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475FC">
      <w:pPr>
        <w:widowControl/>
        <w:tabs>
          <w:tab w:val="left" w:pos="816"/>
        </w:tabs>
        <w:spacing w:line="360" w:lineRule="auto"/>
        <w:ind w:firstLine="1687" w:firstLineChars="200"/>
        <w:rPr>
          <w:rFonts w:ascii="宋体"/>
          <w:b/>
          <w:color w:val="auto"/>
          <w:sz w:val="72"/>
          <w:szCs w:val="72"/>
          <w:highlight w:val="none"/>
        </w:rPr>
      </w:pPr>
      <w:bookmarkStart w:id="0" w:name="_Toc434315322"/>
      <w:r>
        <w:rPr>
          <w:rFonts w:hint="eastAsia" w:ascii="宋体" w:hAnsi="宋体"/>
          <w:b/>
          <w:color w:val="auto"/>
          <w:sz w:val="84"/>
          <w:szCs w:val="84"/>
          <w:highlight w:val="none"/>
        </w:rPr>
        <w:t>竞争性磋商文件</w:t>
      </w:r>
    </w:p>
    <w:p w14:paraId="5B4E5E96">
      <w:pPr>
        <w:widowControl/>
        <w:spacing w:line="360" w:lineRule="auto"/>
        <w:jc w:val="left"/>
        <w:rPr>
          <w:rFonts w:ascii="宋体"/>
          <w:b/>
          <w:color w:val="auto"/>
          <w:sz w:val="28"/>
          <w:szCs w:val="28"/>
          <w:highlight w:val="none"/>
        </w:rPr>
      </w:pPr>
      <w:r>
        <w:rPr>
          <w:rFonts w:ascii="宋体"/>
          <w:b/>
          <w:color w:val="auto"/>
          <w:sz w:val="72"/>
          <w:szCs w:val="72"/>
          <w:highlight w:val="none"/>
        </w:rPr>
        <w:drawing>
          <wp:anchor distT="0" distB="0" distL="114300" distR="114300" simplePos="0" relativeHeight="251659264" behindDoc="0" locked="0" layoutInCell="1" allowOverlap="1">
            <wp:simplePos x="0" y="0"/>
            <wp:positionH relativeFrom="column">
              <wp:posOffset>575310</wp:posOffset>
            </wp:positionH>
            <wp:positionV relativeFrom="paragraph">
              <wp:posOffset>519430</wp:posOffset>
            </wp:positionV>
            <wp:extent cx="4646295" cy="3232150"/>
            <wp:effectExtent l="0" t="0" r="1905" b="6350"/>
            <wp:wrapTopAndBottom/>
            <wp:docPr id="3" name="图片 4" descr="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华"/>
                    <pic:cNvPicPr>
                      <a:picLocks noChangeAspect="1"/>
                    </pic:cNvPicPr>
                  </pic:nvPicPr>
                  <pic:blipFill>
                    <a:blip r:embed="rId12"/>
                    <a:stretch>
                      <a:fillRect/>
                    </a:stretch>
                  </pic:blipFill>
                  <pic:spPr>
                    <a:xfrm>
                      <a:off x="0" y="0"/>
                      <a:ext cx="4646295" cy="3232150"/>
                    </a:xfrm>
                    <a:prstGeom prst="rect">
                      <a:avLst/>
                    </a:prstGeom>
                    <a:noFill/>
                    <a:ln>
                      <a:noFill/>
                    </a:ln>
                  </pic:spPr>
                </pic:pic>
              </a:graphicData>
            </a:graphic>
          </wp:anchor>
        </w:drawing>
      </w:r>
    </w:p>
    <w:p w14:paraId="6DB0C882">
      <w:pPr>
        <w:widowControl/>
        <w:spacing w:line="360" w:lineRule="auto"/>
        <w:rPr>
          <w:rFonts w:hint="eastAsia" w:ascii="宋体" w:hAnsi="宋体"/>
          <w:b/>
          <w:color w:val="auto"/>
          <w:sz w:val="28"/>
          <w:szCs w:val="28"/>
          <w:highlight w:val="none"/>
        </w:rPr>
      </w:pPr>
    </w:p>
    <w:p w14:paraId="1A21E478">
      <w:pPr>
        <w:widowControl/>
        <w:spacing w:line="360" w:lineRule="auto"/>
        <w:ind w:firstLine="281" w:firstLineChars="100"/>
        <w:rPr>
          <w:rFonts w:hint="eastAsia" w:ascii="宋体" w:hAnsi="宋体"/>
          <w:b/>
          <w:color w:val="auto"/>
          <w:sz w:val="28"/>
          <w:szCs w:val="28"/>
          <w:highlight w:val="none"/>
        </w:rPr>
      </w:pPr>
      <w:r>
        <w:rPr>
          <w:rFonts w:hint="eastAsia" w:ascii="宋体" w:hAnsi="宋体"/>
          <w:b/>
          <w:color w:val="auto"/>
          <w:sz w:val="28"/>
          <w:szCs w:val="28"/>
          <w:highlight w:val="none"/>
        </w:rPr>
        <w:t>项目名称：江城街道合群村委窝田队芋车窝地块土方平整工程</w:t>
      </w:r>
    </w:p>
    <w:p w14:paraId="3FDD9BFC">
      <w:pPr>
        <w:widowControl/>
        <w:spacing w:line="360" w:lineRule="auto"/>
        <w:ind w:firstLine="281" w:firstLineChars="100"/>
        <w:rPr>
          <w:rFonts w:hint="eastAsia" w:ascii="宋体" w:hAnsi="宋体"/>
          <w:b/>
          <w:color w:val="auto"/>
          <w:sz w:val="28"/>
          <w:szCs w:val="28"/>
          <w:highlight w:val="none"/>
        </w:rPr>
      </w:pPr>
      <w:r>
        <w:rPr>
          <w:rFonts w:hint="eastAsia" w:ascii="宋体" w:hAnsi="宋体"/>
          <w:b/>
          <w:color w:val="auto"/>
          <w:sz w:val="28"/>
          <w:szCs w:val="28"/>
          <w:highlight w:val="none"/>
        </w:rPr>
        <w:t>项目编号：QZZC2025-C2-220130-GXHC</w:t>
      </w:r>
    </w:p>
    <w:p w14:paraId="1FEEC2B6">
      <w:pPr>
        <w:widowControl/>
        <w:spacing w:line="360" w:lineRule="auto"/>
        <w:rPr>
          <w:rFonts w:ascii="宋体"/>
          <w:b/>
          <w:color w:val="auto"/>
          <w:sz w:val="72"/>
          <w:szCs w:val="72"/>
          <w:highlight w:val="none"/>
        </w:rPr>
      </w:pPr>
      <w:r>
        <w:rPr>
          <w:rFonts w:ascii="宋体" w:hAnsi="宋体"/>
          <w:b/>
          <w:color w:val="auto"/>
          <w:sz w:val="30"/>
          <w:szCs w:val="30"/>
          <w:highlight w:val="none"/>
        </w:rPr>
        <w:t xml:space="preserve">       </w:t>
      </w:r>
      <w:r>
        <w:rPr>
          <w:rFonts w:ascii="宋体" w:hAnsi="宋体"/>
          <w:b/>
          <w:color w:val="auto"/>
          <w:sz w:val="72"/>
          <w:szCs w:val="72"/>
          <w:highlight w:val="none"/>
        </w:rPr>
        <w:t xml:space="preserve">                                                                                                                                                                                                                                                                                                                                                                                                                                                                                                                                                                                                                                                                                                                                                                                                                                                                                                                                                                                                                                                                                                                                                                                                                                                                                                                                                                                                                                                                                                                                                                                                                                                                                                                                                                                                                                                                                                                                                                                                                                                                                                                                                                                                                                                                                                                                                                                                                                                                                                                                                                                                                                                                                                                                                                                                                                                                                                                                                                                                                                                                                                                                                                                                                                                                                                                                                                                                                                                                                                                                                                                                                                                                                                                                                                                                                                                                                                                                                                                                                                                                                                                                                                                                                </w:t>
      </w:r>
      <w:r>
        <w:rPr>
          <w:rFonts w:ascii="宋体" w:hAnsi="宋体"/>
          <w:b/>
          <w:color w:val="auto"/>
          <w:sz w:val="72"/>
          <w:szCs w:val="72"/>
          <w:highlight w:val="none"/>
        </w:rPr>
        <w:t xml:space="preserve">                                                                                                                                                                                                                                                                                                                                                                                                                                                                                                                                                                                                                                                                                                                                                                                                                                                                                                                                                                                                                                                                                                                                                                                                                                                                                                                                                                                                                                                                                                                                                                                                                                                                                                                                                                                                                                                                                                                                                                                                                                                                                                                                                                                                                                                                                                                                                                                                                                                                                                                                                                                                                                                                                                                                                                                                                                                                                                                                                                                                                                                                                                                                                                                                                                                                                                                                                                                                                                                                                                                                                                                                                                                                                                                                                                                                                                                                                                                                                                                                                                                                                                                                                                                                                </w:t>
      </w:r>
      <w:r>
        <w:rPr>
          <w:rFonts w:ascii="宋体" w:hAnsi="宋体"/>
          <w:b/>
          <w:color w:val="auto"/>
          <w:sz w:val="72"/>
          <w:szCs w:val="72"/>
          <w:highlight w:val="none"/>
        </w:rPr>
        <w:t xml:space="preserve">                                                                                                                                                                                                                                                                                                                                                                                                                                                                                                                                                                                                                                                                                                                                                                                                                                                                                                                                                                                                                                                                                                                                                                                                                                                                                                                                                                                                                                                                                                                                                                                                                                                                                                                                                                                                                                                                                                                                                           </w:t>
      </w:r>
    </w:p>
    <w:p w14:paraId="1A1C6BB4">
      <w:pPr>
        <w:widowControl/>
        <w:spacing w:line="360" w:lineRule="auto"/>
        <w:ind w:firstLine="281" w:firstLineChars="100"/>
        <w:jc w:val="left"/>
        <w:rPr>
          <w:rFonts w:hint="eastAsia" w:ascii="宋体" w:hAnsi="宋体"/>
          <w:b/>
          <w:color w:val="auto"/>
          <w:sz w:val="28"/>
          <w:szCs w:val="28"/>
          <w:highlight w:val="none"/>
        </w:rPr>
      </w:pPr>
      <w:r>
        <w:rPr>
          <w:rFonts w:hint="eastAsia" w:ascii="宋体" w:hAnsi="宋体"/>
          <w:b/>
          <w:color w:val="auto"/>
          <w:sz w:val="28"/>
          <w:szCs w:val="28"/>
          <w:highlight w:val="none"/>
        </w:rPr>
        <w:t>招标单位</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盖章）</w:t>
      </w:r>
      <w:r>
        <w:rPr>
          <w:rFonts w:hint="eastAsia" w:ascii="宋体" w:hAnsi="宋体"/>
          <w:b/>
          <w:color w:val="auto"/>
          <w:sz w:val="28"/>
          <w:szCs w:val="28"/>
          <w:highlight w:val="none"/>
        </w:rPr>
        <w:t>：浦北县土地储备中心</w:t>
      </w:r>
    </w:p>
    <w:p w14:paraId="2F57E982">
      <w:pPr>
        <w:widowControl/>
        <w:spacing w:line="360" w:lineRule="auto"/>
        <w:ind w:firstLine="281" w:firstLineChars="100"/>
        <w:jc w:val="left"/>
        <w:rPr>
          <w:rFonts w:hint="eastAsia" w:ascii="宋体" w:hAnsi="宋体"/>
          <w:b/>
          <w:color w:val="auto"/>
          <w:sz w:val="28"/>
          <w:szCs w:val="28"/>
          <w:highlight w:val="none"/>
          <w:lang w:eastAsia="zh-CN"/>
        </w:rPr>
      </w:pPr>
    </w:p>
    <w:p w14:paraId="63D1339E">
      <w:pPr>
        <w:widowControl/>
        <w:spacing w:line="360" w:lineRule="auto"/>
        <w:ind w:firstLine="281" w:firstLineChars="100"/>
        <w:jc w:val="left"/>
        <w:rPr>
          <w:rFonts w:hint="eastAsia" w:ascii="宋体" w:eastAsia="宋体"/>
          <w:b/>
          <w:color w:val="auto"/>
          <w:sz w:val="28"/>
          <w:szCs w:val="28"/>
          <w:highlight w:val="none"/>
          <w:lang w:val="en-US" w:eastAsia="zh-CN"/>
        </w:rPr>
      </w:pPr>
      <w:r>
        <w:rPr>
          <w:rFonts w:hint="eastAsia" w:ascii="宋体" w:hAnsi="宋体"/>
          <w:b/>
          <w:color w:val="auto"/>
          <w:sz w:val="28"/>
          <w:szCs w:val="28"/>
          <w:highlight w:val="none"/>
        </w:rPr>
        <w:t>招标代理机构</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盖章）</w:t>
      </w:r>
      <w:r>
        <w:rPr>
          <w:rFonts w:hint="eastAsia" w:ascii="宋体" w:hAnsi="宋体"/>
          <w:b/>
          <w:color w:val="auto"/>
          <w:sz w:val="28"/>
          <w:szCs w:val="28"/>
          <w:highlight w:val="none"/>
        </w:rPr>
        <w:t>：广西华诚达建设项目管理有限公司</w:t>
      </w:r>
      <w:r>
        <w:rPr>
          <w:rFonts w:hint="eastAsia" w:ascii="宋体" w:hAnsi="宋体"/>
          <w:b/>
          <w:color w:val="auto"/>
          <w:sz w:val="28"/>
          <w:szCs w:val="28"/>
          <w:highlight w:val="none"/>
          <w:lang w:val="en-US" w:eastAsia="zh-CN"/>
        </w:rPr>
        <w:t xml:space="preserve"> </w:t>
      </w:r>
    </w:p>
    <w:p w14:paraId="33900BCA">
      <w:pPr>
        <w:widowControl/>
        <w:spacing w:line="360" w:lineRule="auto"/>
        <w:ind w:left="420" w:leftChars="200" w:firstLine="3168" w:firstLineChars="1127"/>
        <w:jc w:val="left"/>
        <w:rPr>
          <w:rFonts w:hint="eastAsia" w:ascii="宋体" w:hAnsi="宋体"/>
          <w:b/>
          <w:color w:val="auto"/>
          <w:sz w:val="28"/>
          <w:szCs w:val="28"/>
          <w:highlight w:val="none"/>
        </w:rPr>
      </w:pPr>
    </w:p>
    <w:p w14:paraId="3B3454B1">
      <w:pPr>
        <w:widowControl/>
        <w:spacing w:line="360" w:lineRule="auto"/>
        <w:ind w:left="420" w:leftChars="200" w:firstLine="3168" w:firstLineChars="1127"/>
        <w:jc w:val="left"/>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rPr>
        <w:t>202</w:t>
      </w:r>
      <w:r>
        <w:rPr>
          <w:rFonts w:hint="eastAsia" w:ascii="宋体" w:hAnsi="宋体"/>
          <w:b/>
          <w:color w:val="auto"/>
          <w:sz w:val="28"/>
          <w:szCs w:val="28"/>
          <w:highlight w:val="none"/>
          <w:lang w:val="en-US" w:eastAsia="zh-CN"/>
        </w:rPr>
        <w:t>5</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06</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 xml:space="preserve">17日 </w:t>
      </w:r>
    </w:p>
    <w:p w14:paraId="140B444E">
      <w:pPr>
        <w:pStyle w:val="39"/>
        <w:rPr>
          <w:color w:val="auto"/>
          <w:spacing w:val="0"/>
          <w:position w:val="0"/>
          <w:highlight w:val="none"/>
          <w:lang w:val="en-US" w:eastAsia="zh-CN"/>
        </w:rPr>
      </w:pPr>
    </w:p>
    <w:p w14:paraId="3003E4B6">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color w:val="auto"/>
          <w:spacing w:val="0"/>
          <w:kern w:val="2"/>
          <w:position w:val="0"/>
          <w:sz w:val="28"/>
          <w:szCs w:val="36"/>
          <w:highlight w:val="none"/>
          <w:lang w:val="en-US" w:eastAsia="zh-CN" w:bidi="ar-SA"/>
        </w:rPr>
        <w:sectPr>
          <w:headerReference r:id="rId3" w:type="default"/>
          <w:pgSz w:w="11906" w:h="16838"/>
          <w:pgMar w:top="1440" w:right="1080" w:bottom="1440" w:left="460" w:header="851" w:footer="794" w:gutter="567"/>
          <w:pgNumType w:fmt="decimal" w:start="1"/>
          <w:cols w:space="720" w:num="1"/>
        </w:sectPr>
      </w:pPr>
    </w:p>
    <w:sdt>
      <w:sdtPr>
        <w:rPr>
          <w:rFonts w:ascii="宋体" w:hAnsi="宋体" w:eastAsia="宋体" w:cs="Times New Roman"/>
          <w:color w:val="auto"/>
          <w:spacing w:val="0"/>
          <w:kern w:val="2"/>
          <w:position w:val="0"/>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spacing w:val="0"/>
          <w:kern w:val="2"/>
          <w:position w:val="0"/>
          <w:sz w:val="28"/>
          <w:szCs w:val="40"/>
          <w:highlight w:val="none"/>
          <w:lang w:val="en-US" w:eastAsia="zh-CN" w:bidi="ar-SA"/>
        </w:rPr>
      </w:sdtEndPr>
      <w:sdtContent>
        <w:p w14:paraId="7082A176">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ascii="宋体" w:hAnsi="宋体" w:eastAsia="宋体" w:cs="Times New Roman"/>
              <w:color w:val="auto"/>
              <w:spacing w:val="0"/>
              <w:kern w:val="2"/>
              <w:position w:val="0"/>
              <w:sz w:val="28"/>
              <w:szCs w:val="36"/>
              <w:highlight w:val="none"/>
              <w:lang w:val="en-US" w:eastAsia="zh-CN" w:bidi="ar-SA"/>
            </w:rPr>
          </w:pPr>
        </w:p>
        <w:p w14:paraId="7301DDBD">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pacing w:val="0"/>
              <w:position w:val="0"/>
              <w:sz w:val="44"/>
              <w:szCs w:val="44"/>
              <w:highlight w:val="none"/>
            </w:rPr>
          </w:pPr>
          <w:r>
            <w:rPr>
              <w:rFonts w:ascii="宋体" w:hAnsi="宋体" w:eastAsia="宋体"/>
              <w:b/>
              <w:bCs/>
              <w:color w:val="auto"/>
              <w:spacing w:val="0"/>
              <w:position w:val="0"/>
              <w:sz w:val="44"/>
              <w:szCs w:val="44"/>
              <w:highlight w:val="none"/>
            </w:rPr>
            <w:t>目</w:t>
          </w:r>
          <w:r>
            <w:rPr>
              <w:rFonts w:hint="eastAsia" w:ascii="宋体" w:hAnsi="宋体"/>
              <w:b/>
              <w:bCs/>
              <w:color w:val="auto"/>
              <w:spacing w:val="0"/>
              <w:position w:val="0"/>
              <w:sz w:val="44"/>
              <w:szCs w:val="44"/>
              <w:highlight w:val="none"/>
              <w:lang w:val="en-US" w:eastAsia="zh-CN"/>
            </w:rPr>
            <w:t xml:space="preserve">  </w:t>
          </w:r>
          <w:r>
            <w:rPr>
              <w:rFonts w:ascii="宋体" w:hAnsi="宋体" w:eastAsia="宋体"/>
              <w:b/>
              <w:bCs/>
              <w:color w:val="auto"/>
              <w:spacing w:val="0"/>
              <w:position w:val="0"/>
              <w:sz w:val="44"/>
              <w:szCs w:val="44"/>
              <w:highlight w:val="none"/>
            </w:rPr>
            <w:t>录</w:t>
          </w:r>
        </w:p>
        <w:p w14:paraId="2284BF6B">
          <w:pPr>
            <w:pStyle w:val="20"/>
            <w:tabs>
              <w:tab w:val="right" w:leader="dot" w:pos="9799"/>
            </w:tabs>
            <w:rPr>
              <w:rFonts w:hint="eastAsia" w:ascii="宋体" w:hAnsi="宋体" w:eastAsia="宋体" w:cs="宋体"/>
              <w:color w:val="auto"/>
              <w:spacing w:val="0"/>
              <w:position w:val="0"/>
              <w:sz w:val="28"/>
              <w:szCs w:val="36"/>
              <w:highlight w:val="none"/>
            </w:rPr>
          </w:pPr>
          <w:r>
            <w:rPr>
              <w:rFonts w:ascii="宋体" w:hAnsi="宋体" w:cs="宋体"/>
              <w:color w:val="auto"/>
              <w:spacing w:val="0"/>
              <w:position w:val="0"/>
              <w:sz w:val="32"/>
              <w:szCs w:val="40"/>
              <w:highlight w:val="none"/>
            </w:rPr>
            <w:fldChar w:fldCharType="begin"/>
          </w:r>
          <w:r>
            <w:rPr>
              <w:rFonts w:ascii="宋体" w:hAnsi="宋体" w:cs="宋体"/>
              <w:color w:val="auto"/>
              <w:spacing w:val="0"/>
              <w:position w:val="0"/>
              <w:sz w:val="32"/>
              <w:szCs w:val="40"/>
              <w:highlight w:val="none"/>
            </w:rPr>
            <w:instrText xml:space="preserve">TOC \o "1-1" \h \u </w:instrText>
          </w:r>
          <w:r>
            <w:rPr>
              <w:rFonts w:ascii="宋体" w:hAnsi="宋体" w:cs="宋体"/>
              <w:color w:val="auto"/>
              <w:spacing w:val="0"/>
              <w:position w:val="0"/>
              <w:sz w:val="32"/>
              <w:szCs w:val="40"/>
              <w:highlight w:val="none"/>
            </w:rPr>
            <w:fldChar w:fldCharType="separate"/>
          </w:r>
        </w:p>
        <w:p w14:paraId="6D9514F7">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_Toc29312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第一章</w:t>
          </w:r>
          <w:r>
            <w:rPr>
              <w:rFonts w:hint="eastAsia" w:ascii="宋体" w:hAnsi="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lang w:val="en-US" w:eastAsia="zh-CN"/>
            </w:rPr>
            <w:t>竞争性磋商公告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_Toc29312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5A663B1">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_Toc5416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第二章 </w:t>
          </w:r>
          <w:r>
            <w:rPr>
              <w:rFonts w:hint="eastAsia" w:ascii="宋体" w:hAnsi="宋体" w:cs="宋体"/>
              <w:bCs/>
              <w:color w:val="auto"/>
              <w:spacing w:val="0"/>
              <w:kern w:val="0"/>
              <w:position w:val="0"/>
              <w:sz w:val="24"/>
              <w:szCs w:val="24"/>
              <w:highlight w:val="none"/>
              <w:lang w:val="en-US" w:eastAsia="zh-CN"/>
            </w:rPr>
            <w:t xml:space="preserve"> 供应商</w:t>
          </w:r>
          <w:r>
            <w:rPr>
              <w:rFonts w:hint="eastAsia" w:ascii="宋体" w:hAnsi="宋体" w:eastAsia="宋体" w:cs="宋体"/>
              <w:bCs/>
              <w:color w:val="auto"/>
              <w:spacing w:val="0"/>
              <w:kern w:val="0"/>
              <w:position w:val="0"/>
              <w:sz w:val="24"/>
              <w:szCs w:val="24"/>
              <w:highlight w:val="none"/>
            </w:rPr>
            <w:t>须知前附表</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_Toc5416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A504A1C">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_Toc26558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第三章  项目基本情况及要求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_Toc26558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24</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BDADF38">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_Toc20069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lang w:val="en-US" w:eastAsia="zh-CN"/>
            </w:rPr>
            <w:t>第四章</w:t>
          </w:r>
          <w:r>
            <w:rPr>
              <w:rFonts w:hint="eastAsia" w:ascii="宋体" w:hAnsi="宋体" w:eastAsia="宋体" w:cs="宋体"/>
              <w:bCs/>
              <w:color w:val="auto"/>
              <w:spacing w:val="0"/>
              <w:kern w:val="0"/>
              <w:position w:val="0"/>
              <w:sz w:val="24"/>
              <w:szCs w:val="24"/>
              <w:highlight w:val="none"/>
            </w:rPr>
            <w:t xml:space="preserve">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评审标准</w:t>
          </w:r>
          <w:r>
            <w:rPr>
              <w:rFonts w:hint="eastAsia" w:ascii="宋体" w:hAnsi="宋体" w:eastAsia="宋体" w:cs="宋体"/>
              <w:color w:val="auto"/>
              <w:spacing w:val="0"/>
              <w:position w:val="0"/>
              <w:sz w:val="24"/>
              <w:szCs w:val="24"/>
              <w:highlight w:val="none"/>
            </w:rPr>
            <w:tab/>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fldChar w:fldCharType="end"/>
          </w:r>
          <w:r>
            <w:rPr>
              <w:rFonts w:hint="eastAsia" w:ascii="宋体" w:hAnsi="宋体" w:cs="宋体"/>
              <w:color w:val="auto"/>
              <w:spacing w:val="0"/>
              <w:position w:val="0"/>
              <w:sz w:val="24"/>
              <w:szCs w:val="24"/>
              <w:highlight w:val="none"/>
              <w:lang w:val="en-US" w:eastAsia="zh-CN"/>
            </w:rPr>
            <w:t>6</w:t>
          </w:r>
        </w:p>
        <w:p w14:paraId="1727C2E6">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_Toc15543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第</w:t>
          </w:r>
          <w:r>
            <w:rPr>
              <w:rFonts w:hint="eastAsia" w:ascii="宋体" w:hAnsi="宋体" w:eastAsia="宋体" w:cs="宋体"/>
              <w:bCs/>
              <w:color w:val="auto"/>
              <w:spacing w:val="0"/>
              <w:kern w:val="0"/>
              <w:position w:val="0"/>
              <w:sz w:val="24"/>
              <w:szCs w:val="24"/>
              <w:highlight w:val="none"/>
              <w:lang w:val="en-US" w:eastAsia="zh-CN"/>
            </w:rPr>
            <w:t>五</w:t>
          </w:r>
          <w:r>
            <w:rPr>
              <w:rFonts w:hint="eastAsia" w:ascii="宋体" w:hAnsi="宋体" w:eastAsia="宋体" w:cs="宋体"/>
              <w:bCs/>
              <w:color w:val="auto"/>
              <w:spacing w:val="0"/>
              <w:kern w:val="0"/>
              <w:position w:val="0"/>
              <w:sz w:val="24"/>
              <w:szCs w:val="24"/>
              <w:highlight w:val="none"/>
            </w:rPr>
            <w:t>章</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 xml:space="preserve"> 响应文件（格式）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_Toc15543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924571D">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_Toc3612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kern w:val="0"/>
              <w:position w:val="0"/>
              <w:sz w:val="24"/>
              <w:szCs w:val="24"/>
              <w:highlight w:val="none"/>
            </w:rPr>
            <w:t xml:space="preserve">第六章 </w:t>
          </w:r>
          <w:r>
            <w:rPr>
              <w:rFonts w:hint="eastAsia" w:ascii="宋体" w:hAnsi="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合同主要条款</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参考格式</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_Toc3612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63</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1869EAD">
          <w:pPr>
            <w:pStyle w:val="20"/>
            <w:tabs>
              <w:tab w:val="right" w:leader="dot" w:pos="9799"/>
            </w:tabs>
            <w:spacing w:line="360" w:lineRule="auto"/>
            <w:rPr>
              <w:color w:val="auto"/>
              <w:spacing w:val="0"/>
              <w:position w:val="0"/>
              <w:sz w:val="20"/>
              <w:szCs w:val="22"/>
              <w:highlight w:val="none"/>
            </w:rPr>
          </w:pPr>
        </w:p>
        <w:p w14:paraId="69A79163">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pacing w:val="0"/>
              <w:position w:val="0"/>
              <w:sz w:val="32"/>
              <w:szCs w:val="40"/>
              <w:highlight w:val="none"/>
            </w:rPr>
          </w:pPr>
          <w:r>
            <w:rPr>
              <w:rFonts w:ascii="宋体" w:hAnsi="宋体" w:cs="宋体"/>
              <w:color w:val="auto"/>
              <w:spacing w:val="0"/>
              <w:position w:val="0"/>
              <w:szCs w:val="40"/>
              <w:highlight w:val="none"/>
            </w:rPr>
            <w:fldChar w:fldCharType="end"/>
          </w:r>
          <w:r>
            <w:rPr>
              <w:rFonts w:hint="eastAsia" w:ascii="宋体" w:hAnsi="宋体" w:cs="宋体"/>
              <w:color w:val="auto"/>
              <w:spacing w:val="0"/>
              <w:position w:val="0"/>
              <w:szCs w:val="40"/>
              <w:highlight w:val="none"/>
              <w:lang w:eastAsia="zh-CN"/>
            </w:rPr>
            <w:tab/>
          </w:r>
        </w:p>
      </w:sdtContent>
    </w:sdt>
    <w:p w14:paraId="2A8AFAF5">
      <w:pPr>
        <w:pStyle w:val="10"/>
        <w:tabs>
          <w:tab w:val="left" w:pos="4386"/>
        </w:tabs>
        <w:autoSpaceDE/>
        <w:autoSpaceDN/>
        <w:adjustRightInd/>
        <w:spacing w:line="320" w:lineRule="exact"/>
        <w:jc w:val="left"/>
        <w:rPr>
          <w:rFonts w:hint="eastAsia" w:hAnsi="宋体" w:eastAsia="宋体" w:cs="宋体"/>
          <w:b/>
          <w:bCs/>
          <w:color w:val="auto"/>
          <w:spacing w:val="0"/>
          <w:position w:val="0"/>
          <w:sz w:val="36"/>
          <w:szCs w:val="36"/>
          <w:highlight w:val="none"/>
          <w:lang w:eastAsia="zh-CN"/>
        </w:rPr>
      </w:pPr>
      <w:r>
        <w:rPr>
          <w:rFonts w:hint="eastAsia" w:hAnsi="宋体" w:cs="宋体"/>
          <w:b/>
          <w:bCs/>
          <w:color w:val="auto"/>
          <w:spacing w:val="0"/>
          <w:position w:val="0"/>
          <w:sz w:val="36"/>
          <w:szCs w:val="36"/>
          <w:highlight w:val="none"/>
          <w:lang w:eastAsia="zh-CN"/>
        </w:rPr>
        <w:tab/>
      </w:r>
    </w:p>
    <w:p w14:paraId="33AB45EB">
      <w:pPr>
        <w:tabs>
          <w:tab w:val="left" w:pos="6703"/>
        </w:tabs>
        <w:bidi w:val="0"/>
        <w:jc w:val="left"/>
        <w:rPr>
          <w:rFonts w:hint="eastAsia" w:eastAsia="宋体"/>
          <w:color w:val="auto"/>
          <w:spacing w:val="0"/>
          <w:position w:val="0"/>
          <w:highlight w:val="none"/>
          <w:lang w:eastAsia="zh-CN"/>
        </w:rPr>
        <w:sectPr>
          <w:footerReference r:id="rId4" w:type="default"/>
          <w:pgSz w:w="11906" w:h="16838"/>
          <w:pgMar w:top="1440" w:right="1080" w:bottom="1440" w:left="460" w:header="851" w:footer="794" w:gutter="567"/>
          <w:pgNumType w:fmt="decimal" w:start="1"/>
          <w:cols w:space="720" w:num="1"/>
        </w:sectPr>
      </w:pPr>
      <w:r>
        <w:rPr>
          <w:rFonts w:hint="eastAsia"/>
          <w:color w:val="auto"/>
          <w:spacing w:val="0"/>
          <w:position w:val="0"/>
          <w:highlight w:val="none"/>
          <w:lang w:eastAsia="zh-CN"/>
        </w:rPr>
        <w:tab/>
      </w:r>
    </w:p>
    <w:p w14:paraId="3A4CEB61">
      <w:pPr>
        <w:pStyle w:val="2"/>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pacing w:val="0"/>
          <w:position w:val="0"/>
          <w:sz w:val="30"/>
          <w:szCs w:val="30"/>
          <w:highlight w:val="none"/>
          <w:lang w:eastAsia="zh-CN"/>
        </w:rPr>
      </w:pPr>
      <w:bookmarkStart w:id="1" w:name="_Toc29312"/>
      <w:r>
        <w:rPr>
          <w:rFonts w:hint="eastAsia"/>
          <w:color w:val="auto"/>
          <w:spacing w:val="0"/>
          <w:position w:val="0"/>
          <w:sz w:val="30"/>
          <w:szCs w:val="30"/>
          <w:highlight w:val="none"/>
        </w:rPr>
        <w:t>第一章</w:t>
      </w:r>
      <w:bookmarkEnd w:id="0"/>
      <w:bookmarkEnd w:id="1"/>
      <w:bookmarkStart w:id="2" w:name="_Toc434315323"/>
      <w:r>
        <w:rPr>
          <w:rFonts w:hint="eastAsia"/>
          <w:color w:val="auto"/>
          <w:spacing w:val="0"/>
          <w:position w:val="0"/>
          <w:sz w:val="30"/>
          <w:szCs w:val="30"/>
          <w:highlight w:val="none"/>
          <w:lang w:val="en-US" w:eastAsia="zh-CN"/>
        </w:rPr>
        <w:t xml:space="preserve">  竞争性</w:t>
      </w:r>
      <w:r>
        <w:rPr>
          <w:rFonts w:hint="eastAsia"/>
          <w:color w:val="auto"/>
          <w:spacing w:val="0"/>
          <w:position w:val="0"/>
          <w:sz w:val="30"/>
          <w:szCs w:val="30"/>
          <w:highlight w:val="none"/>
          <w:lang w:eastAsia="zh-CN"/>
        </w:rPr>
        <w:t>磋商公告</w:t>
      </w:r>
    </w:p>
    <w:p w14:paraId="6023D959">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spacing w:val="0"/>
          <w:position w:val="0"/>
          <w:sz w:val="30"/>
          <w:szCs w:val="30"/>
          <w:highlight w:val="none"/>
        </w:rPr>
      </w:pPr>
      <w:r>
        <w:rPr>
          <w:rFonts w:hint="eastAsia" w:ascii="宋体" w:hAnsi="宋体"/>
          <w:b/>
          <w:color w:val="auto"/>
          <w:spacing w:val="0"/>
          <w:position w:val="0"/>
          <w:sz w:val="30"/>
          <w:szCs w:val="30"/>
          <w:highlight w:val="none"/>
          <w:lang w:val="en-US" w:eastAsia="zh-CN"/>
        </w:rPr>
        <w:t>广西华诚达建设项目管理有限公司</w:t>
      </w:r>
      <w:r>
        <w:rPr>
          <w:rFonts w:hint="eastAsia" w:ascii="宋体" w:hAnsi="宋体"/>
          <w:b/>
          <w:color w:val="auto"/>
          <w:spacing w:val="0"/>
          <w:position w:val="0"/>
          <w:sz w:val="30"/>
          <w:szCs w:val="30"/>
          <w:highlight w:val="none"/>
        </w:rPr>
        <w:t>关于</w:t>
      </w:r>
      <w:bookmarkStart w:id="3" w:name="_Toc2948"/>
      <w:r>
        <w:rPr>
          <w:rFonts w:hint="eastAsia" w:ascii="宋体" w:hAnsi="宋体" w:cs="宋体"/>
          <w:b/>
          <w:bCs w:val="0"/>
          <w:sz w:val="30"/>
          <w:szCs w:val="30"/>
          <w:u w:val="none"/>
          <w:lang w:val="en-US" w:eastAsia="zh-CN"/>
        </w:rPr>
        <w:t>江城街道合群村委窝田队芋车窝地块土方平整工程</w:t>
      </w:r>
      <w:r>
        <w:rPr>
          <w:rFonts w:hint="eastAsia" w:ascii="宋体" w:hAnsi="宋体"/>
          <w:b/>
          <w:color w:val="auto"/>
          <w:sz w:val="30"/>
          <w:szCs w:val="30"/>
          <w:highlight w:val="none"/>
          <w:u w:val="none"/>
          <w:lang w:val="en-US" w:eastAsia="zh-CN"/>
        </w:rPr>
        <w:t>（QZZC2025-C2-220130-GXHC）</w:t>
      </w:r>
      <w:r>
        <w:rPr>
          <w:rFonts w:hint="eastAsia" w:ascii="宋体" w:hAnsi="宋体"/>
          <w:b/>
          <w:color w:val="auto"/>
          <w:spacing w:val="0"/>
          <w:position w:val="0"/>
          <w:sz w:val="30"/>
          <w:szCs w:val="30"/>
          <w:highlight w:val="none"/>
          <w:u w:val="none"/>
          <w:lang w:val="en-US" w:eastAsia="zh-CN"/>
        </w:rPr>
        <w:t>竞争</w:t>
      </w:r>
      <w:r>
        <w:rPr>
          <w:rFonts w:hint="eastAsia" w:ascii="宋体" w:hAnsi="宋体" w:eastAsia="宋体"/>
          <w:b/>
          <w:color w:val="auto"/>
          <w:spacing w:val="0"/>
          <w:position w:val="0"/>
          <w:sz w:val="30"/>
          <w:szCs w:val="30"/>
          <w:highlight w:val="none"/>
          <w:lang w:val="en-US" w:eastAsia="zh-CN"/>
        </w:rPr>
        <w:t>性</w:t>
      </w:r>
      <w:r>
        <w:rPr>
          <w:rFonts w:hint="eastAsia" w:ascii="宋体" w:hAnsi="宋体" w:eastAsia="宋体"/>
          <w:b/>
          <w:color w:val="auto"/>
          <w:spacing w:val="0"/>
          <w:position w:val="0"/>
          <w:sz w:val="30"/>
          <w:szCs w:val="30"/>
          <w:highlight w:val="none"/>
          <w:lang w:eastAsia="zh-CN"/>
        </w:rPr>
        <w:t>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61AB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0B74C4C1">
            <w:pPr>
              <w:spacing w:line="400" w:lineRule="exact"/>
              <w:rPr>
                <w:rFonts w:ascii="宋体" w:hAnsi="宋体" w:cs="宋体"/>
                <w:b/>
                <w:bCs/>
                <w:color w:val="auto"/>
                <w:spacing w:val="0"/>
                <w:position w:val="0"/>
                <w:szCs w:val="21"/>
                <w:highlight w:val="none"/>
              </w:rPr>
            </w:pPr>
            <w:r>
              <w:rPr>
                <w:rFonts w:hint="eastAsia" w:ascii="宋体" w:hAnsi="宋体" w:cs="宋体"/>
                <w:b/>
                <w:bCs/>
                <w:color w:val="auto"/>
                <w:spacing w:val="0"/>
                <w:position w:val="0"/>
                <w:szCs w:val="21"/>
                <w:highlight w:val="none"/>
              </w:rPr>
              <w:t>项目概况</w:t>
            </w:r>
          </w:p>
          <w:p w14:paraId="325E0301">
            <w:pPr>
              <w:spacing w:line="400" w:lineRule="exact"/>
              <w:ind w:firstLine="420" w:firstLineChars="200"/>
              <w:rPr>
                <w:color w:val="auto"/>
                <w:spacing w:val="0"/>
                <w:position w:val="0"/>
                <w:highlight w:val="none"/>
              </w:rPr>
            </w:pPr>
            <w:r>
              <w:rPr>
                <w:rFonts w:hint="eastAsia" w:ascii="宋体" w:hAnsi="宋体" w:cs="宋体"/>
                <w:b w:val="0"/>
                <w:bCs w:val="0"/>
                <w:color w:val="auto"/>
                <w:sz w:val="21"/>
                <w:szCs w:val="21"/>
                <w:u w:val="single"/>
                <w:lang w:val="en-US" w:eastAsia="zh-CN"/>
              </w:rPr>
              <w:t>江城街道合群村委窝田队芋车窝地块土方平整工程</w:t>
            </w:r>
            <w:r>
              <w:rPr>
                <w:rFonts w:hint="eastAsia" w:ascii="宋体" w:hAnsi="宋体" w:cs="宋体"/>
                <w:color w:val="auto"/>
                <w:spacing w:val="0"/>
                <w:position w:val="0"/>
                <w:szCs w:val="21"/>
                <w:highlight w:val="none"/>
              </w:rPr>
              <w:t>采购项目的潜在供应商应在</w:t>
            </w:r>
            <w:r>
              <w:rPr>
                <w:rFonts w:hint="eastAsia" w:ascii="宋体" w:hAnsi="宋体" w:cs="宋体"/>
                <w:color w:val="auto"/>
                <w:spacing w:val="0"/>
                <w:position w:val="0"/>
                <w:szCs w:val="21"/>
                <w:highlight w:val="none"/>
                <w:u w:val="single"/>
                <w:lang w:eastAsia="zh-CN"/>
              </w:rPr>
              <w:t>广西政府采购云平台（https://www.gcy.zfcg.gxzf.gov.cn/）</w:t>
            </w:r>
            <w:r>
              <w:rPr>
                <w:rFonts w:hint="eastAsia" w:ascii="宋体" w:hAnsi="宋体" w:cs="宋体"/>
                <w:color w:val="auto"/>
                <w:spacing w:val="0"/>
                <w:position w:val="0"/>
                <w:szCs w:val="21"/>
                <w:highlight w:val="none"/>
              </w:rPr>
              <w:t>获取</w:t>
            </w:r>
            <w:r>
              <w:rPr>
                <w:rFonts w:hint="eastAsia" w:ascii="宋体" w:hAnsi="宋体" w:cs="宋体"/>
                <w:color w:val="auto"/>
                <w:spacing w:val="0"/>
                <w:position w:val="0"/>
                <w:highlight w:val="none"/>
              </w:rPr>
              <w:t>采购文件</w:t>
            </w:r>
            <w:r>
              <w:rPr>
                <w:rFonts w:hint="eastAsia" w:ascii="宋体" w:hAnsi="宋体" w:cs="宋体"/>
                <w:color w:val="auto"/>
                <w:spacing w:val="0"/>
                <w:position w:val="0"/>
                <w:szCs w:val="21"/>
                <w:highlight w:val="none"/>
              </w:rPr>
              <w:t>，并于</w:t>
            </w:r>
            <w:bookmarkStart w:id="1089" w:name="_GoBack"/>
            <w:bookmarkEnd w:id="1089"/>
            <w:r>
              <w:rPr>
                <w:rFonts w:hint="eastAsia" w:ascii="宋体" w:hAnsi="宋体" w:cs="宋体"/>
                <w:color w:val="auto"/>
                <w:spacing w:val="0"/>
                <w:position w:val="0"/>
                <w:szCs w:val="21"/>
                <w:highlight w:val="none"/>
                <w:u w:val="single"/>
                <w:lang w:val="en-US" w:eastAsia="zh-CN"/>
              </w:rPr>
              <w:t>2025</w:t>
            </w:r>
            <w:r>
              <w:rPr>
                <w:rFonts w:hint="eastAsia" w:ascii="宋体" w:hAnsi="宋体" w:cs="宋体"/>
                <w:color w:val="auto"/>
                <w:spacing w:val="0"/>
                <w:position w:val="0"/>
                <w:szCs w:val="21"/>
                <w:highlight w:val="none"/>
                <w:u w:val="single"/>
                <w:lang w:eastAsia="zh-CN"/>
              </w:rPr>
              <w:t>年</w:t>
            </w:r>
            <w:r>
              <w:rPr>
                <w:rFonts w:hint="eastAsia" w:ascii="宋体" w:hAnsi="宋体" w:cs="宋体"/>
                <w:color w:val="auto"/>
                <w:spacing w:val="0"/>
                <w:position w:val="0"/>
                <w:szCs w:val="21"/>
                <w:highlight w:val="none"/>
                <w:u w:val="single"/>
                <w:lang w:val="en-US" w:eastAsia="zh-CN"/>
              </w:rPr>
              <w:t>06</w:t>
            </w:r>
            <w:r>
              <w:rPr>
                <w:rFonts w:hint="eastAsia" w:ascii="宋体" w:hAnsi="宋体" w:cs="宋体"/>
                <w:color w:val="auto"/>
                <w:spacing w:val="0"/>
                <w:position w:val="0"/>
                <w:szCs w:val="21"/>
                <w:highlight w:val="none"/>
                <w:u w:val="single"/>
              </w:rPr>
              <w:t>月</w:t>
            </w:r>
            <w:r>
              <w:rPr>
                <w:rFonts w:hint="eastAsia" w:ascii="宋体" w:hAnsi="宋体" w:cs="宋体"/>
                <w:color w:val="auto"/>
                <w:spacing w:val="0"/>
                <w:position w:val="0"/>
                <w:szCs w:val="21"/>
                <w:highlight w:val="none"/>
                <w:u w:val="single"/>
                <w:lang w:val="en-US" w:eastAsia="zh-CN"/>
              </w:rPr>
              <w:t>30</w:t>
            </w:r>
            <w:r>
              <w:rPr>
                <w:rFonts w:hint="eastAsia" w:ascii="宋体" w:hAnsi="宋体" w:cs="宋体"/>
                <w:color w:val="auto"/>
                <w:spacing w:val="0"/>
                <w:position w:val="0"/>
                <w:szCs w:val="21"/>
                <w:highlight w:val="none"/>
                <w:u w:val="single"/>
              </w:rPr>
              <w:t>日</w:t>
            </w:r>
            <w:r>
              <w:rPr>
                <w:rFonts w:hint="eastAsia" w:ascii="宋体" w:hAnsi="宋体" w:cs="宋体"/>
                <w:color w:val="auto"/>
                <w:spacing w:val="0"/>
                <w:position w:val="0"/>
                <w:szCs w:val="21"/>
                <w:highlight w:val="none"/>
                <w:u w:val="single"/>
                <w:lang w:val="en-US" w:eastAsia="zh-CN"/>
              </w:rPr>
              <w:t>10</w:t>
            </w:r>
            <w:r>
              <w:rPr>
                <w:rFonts w:hint="eastAsia" w:ascii="宋体" w:hAnsi="宋体" w:cs="宋体"/>
                <w:color w:val="auto"/>
                <w:spacing w:val="0"/>
                <w:position w:val="0"/>
                <w:szCs w:val="21"/>
                <w:highlight w:val="none"/>
                <w:u w:val="single"/>
              </w:rPr>
              <w:t>时</w:t>
            </w:r>
            <w:r>
              <w:rPr>
                <w:rFonts w:hint="eastAsia" w:ascii="宋体" w:hAnsi="宋体" w:cs="宋体"/>
                <w:color w:val="auto"/>
                <w:spacing w:val="0"/>
                <w:position w:val="0"/>
                <w:szCs w:val="21"/>
                <w:highlight w:val="none"/>
                <w:u w:val="single"/>
                <w:lang w:val="en-US" w:eastAsia="zh-CN"/>
              </w:rPr>
              <w:t>30</w:t>
            </w:r>
            <w:r>
              <w:rPr>
                <w:rFonts w:hint="eastAsia" w:ascii="宋体" w:hAnsi="宋体" w:cs="宋体"/>
                <w:color w:val="auto"/>
                <w:spacing w:val="0"/>
                <w:position w:val="0"/>
                <w:szCs w:val="21"/>
                <w:highlight w:val="none"/>
                <w:u w:val="single"/>
              </w:rPr>
              <w:t>分（北京时间）</w:t>
            </w:r>
            <w:r>
              <w:rPr>
                <w:rFonts w:hint="eastAsia" w:ascii="宋体" w:hAnsi="宋体" w:cs="宋体"/>
                <w:color w:val="auto"/>
                <w:spacing w:val="0"/>
                <w:position w:val="0"/>
                <w:szCs w:val="21"/>
                <w:highlight w:val="none"/>
              </w:rPr>
              <w:t>前提交响应文件。</w:t>
            </w:r>
          </w:p>
        </w:tc>
      </w:tr>
    </w:tbl>
    <w:p w14:paraId="105458B7">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4" w:name="_Toc28359012"/>
      <w:bookmarkStart w:id="5" w:name="_Toc35393798"/>
      <w:bookmarkStart w:id="6" w:name="_Toc31859"/>
      <w:bookmarkStart w:id="7" w:name="_Toc35393629"/>
      <w:bookmarkStart w:id="8" w:name="_Toc28359089"/>
      <w:bookmarkStart w:id="9" w:name="_Toc9324"/>
      <w:r>
        <w:rPr>
          <w:rFonts w:hint="eastAsia" w:ascii="宋体" w:hAnsi="宋体" w:eastAsia="宋体" w:cs="宋体"/>
          <w:bCs w:val="0"/>
          <w:color w:val="auto"/>
          <w:spacing w:val="0"/>
          <w:position w:val="0"/>
          <w:sz w:val="21"/>
          <w:szCs w:val="21"/>
          <w:highlight w:val="none"/>
        </w:rPr>
        <w:t>一、项目基本情况</w:t>
      </w:r>
      <w:bookmarkEnd w:id="4"/>
      <w:bookmarkEnd w:id="5"/>
      <w:bookmarkEnd w:id="6"/>
      <w:bookmarkEnd w:id="7"/>
      <w:bookmarkEnd w:id="8"/>
      <w:bookmarkEnd w:id="9"/>
    </w:p>
    <w:p w14:paraId="49D3CEE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项目编号：QZZC2025-C2-220130-GXHC</w:t>
      </w:r>
      <w:r>
        <w:rPr>
          <w:rFonts w:hint="eastAsia" w:ascii="宋体" w:hAnsi="宋体" w:cs="宋体"/>
          <w:color w:val="auto"/>
          <w:spacing w:val="0"/>
          <w:position w:val="0"/>
          <w:szCs w:val="21"/>
          <w:highlight w:val="none"/>
          <w:lang w:val="en-US" w:eastAsia="zh-CN"/>
        </w:rPr>
        <w:t xml:space="preserve"> </w:t>
      </w:r>
    </w:p>
    <w:p w14:paraId="51887D7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u w:val="single"/>
          <w:lang w:val="en-US" w:eastAsia="zh-CN"/>
        </w:rPr>
      </w:pPr>
      <w:r>
        <w:rPr>
          <w:rFonts w:hint="eastAsia" w:ascii="宋体" w:hAnsi="宋体" w:cs="宋体"/>
          <w:color w:val="auto"/>
          <w:spacing w:val="0"/>
          <w:position w:val="0"/>
          <w:szCs w:val="21"/>
          <w:highlight w:val="none"/>
        </w:rPr>
        <w:t>项目名称：</w:t>
      </w:r>
      <w:r>
        <w:rPr>
          <w:rFonts w:hint="eastAsia" w:ascii="宋体" w:hAnsi="宋体" w:cs="宋体"/>
          <w:b w:val="0"/>
          <w:bCs w:val="0"/>
          <w:color w:val="auto"/>
          <w:sz w:val="21"/>
          <w:szCs w:val="21"/>
          <w:u w:val="none"/>
          <w:lang w:val="en-US" w:eastAsia="zh-CN"/>
        </w:rPr>
        <w:t>江城街道合群村委窝田队芋车窝地块土方平整工程</w:t>
      </w:r>
    </w:p>
    <w:p w14:paraId="1FF2EA9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采购方式：</w:t>
      </w:r>
      <w:r>
        <w:rPr>
          <w:rFonts w:hint="eastAsia" w:ascii="宋体" w:hAnsi="宋体" w:cs="宋体"/>
          <w:color w:val="auto"/>
          <w:spacing w:val="0"/>
          <w:position w:val="0"/>
          <w:highlight w:val="none"/>
        </w:rPr>
        <w:t>竞争性磋商</w:t>
      </w:r>
    </w:p>
    <w:p w14:paraId="1E8D75A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b w:val="0"/>
          <w:bCs w:val="0"/>
          <w:sz w:val="21"/>
          <w:szCs w:val="21"/>
          <w:u w:val="none"/>
          <w:lang w:val="en-US" w:eastAsia="zh-CN"/>
        </w:rPr>
      </w:pPr>
      <w:r>
        <w:rPr>
          <w:rFonts w:hint="eastAsia" w:ascii="宋体" w:hAnsi="宋体" w:cs="宋体"/>
          <w:color w:val="auto"/>
          <w:spacing w:val="0"/>
          <w:position w:val="0"/>
          <w:szCs w:val="21"/>
          <w:highlight w:val="none"/>
        </w:rPr>
        <w:t>预算</w:t>
      </w:r>
      <w:r>
        <w:rPr>
          <w:rFonts w:hint="eastAsia" w:ascii="宋体" w:hAnsi="宋体" w:cs="宋体"/>
          <w:color w:val="auto"/>
          <w:spacing w:val="0"/>
          <w:position w:val="0"/>
          <w:szCs w:val="21"/>
          <w:highlight w:val="none"/>
          <w:lang w:eastAsia="zh-CN"/>
        </w:rPr>
        <w:t>总</w:t>
      </w:r>
      <w:r>
        <w:rPr>
          <w:rFonts w:hint="eastAsia" w:ascii="宋体" w:hAnsi="宋体" w:cs="宋体"/>
          <w:color w:val="auto"/>
          <w:spacing w:val="0"/>
          <w:position w:val="0"/>
          <w:szCs w:val="21"/>
          <w:highlight w:val="none"/>
        </w:rPr>
        <w:t>金额（元）：</w:t>
      </w:r>
      <w:r>
        <w:rPr>
          <w:rFonts w:hint="eastAsia" w:ascii="宋体" w:hAnsi="宋体" w:cs="宋体"/>
          <w:b w:val="0"/>
          <w:bCs w:val="0"/>
          <w:sz w:val="21"/>
          <w:szCs w:val="21"/>
          <w:u w:val="none"/>
          <w:lang w:val="en-US" w:eastAsia="zh-CN"/>
        </w:rPr>
        <w:t>1457944.8</w:t>
      </w:r>
    </w:p>
    <w:p w14:paraId="7D42A2E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最高限价（元）：</w:t>
      </w:r>
      <w:r>
        <w:rPr>
          <w:rFonts w:hint="eastAsia" w:ascii="宋体" w:hAnsi="宋体" w:cs="宋体"/>
          <w:color w:val="auto"/>
          <w:spacing w:val="0"/>
          <w:position w:val="0"/>
          <w:szCs w:val="21"/>
          <w:highlight w:val="none"/>
          <w:lang w:val="en-US" w:eastAsia="zh-CN"/>
        </w:rPr>
        <w:t>1457944.8</w:t>
      </w:r>
    </w:p>
    <w:p w14:paraId="76C8518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b w:val="0"/>
          <w:bCs w:val="0"/>
          <w:sz w:val="21"/>
          <w:szCs w:val="21"/>
          <w:u w:val="none"/>
          <w:lang w:val="en-US" w:eastAsia="zh-CN"/>
        </w:rPr>
      </w:pPr>
      <w:r>
        <w:rPr>
          <w:rFonts w:hint="default" w:ascii="宋体" w:hAnsi="宋体" w:eastAsia="宋体" w:cs="宋体"/>
          <w:b w:val="0"/>
          <w:bCs w:val="0"/>
          <w:sz w:val="21"/>
          <w:szCs w:val="21"/>
          <w:u w:val="none"/>
          <w:lang w:val="en-US" w:eastAsia="zh-CN"/>
        </w:rPr>
        <w:t>简要规格描述或项目基本概况介绍、用途：江城街道合群村委窝田队芋车窝地块土方平整工程一项，具体详见竞争性磋商文件、工程量清单。</w:t>
      </w:r>
    </w:p>
    <w:p w14:paraId="2153C37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合同履约</w:t>
      </w:r>
      <w:r>
        <w:rPr>
          <w:rFonts w:hint="eastAsia" w:ascii="宋体" w:hAnsi="宋体" w:cs="宋体"/>
          <w:color w:val="000000" w:themeColor="text1"/>
          <w:spacing w:val="0"/>
          <w:position w:val="0"/>
          <w:szCs w:val="21"/>
          <w:highlight w:val="none"/>
          <w14:textFill>
            <w14:solidFill>
              <w14:schemeClr w14:val="tx1"/>
            </w14:solidFill>
          </w14:textFill>
        </w:rPr>
        <w:t>期限：</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工期50个</w:t>
      </w:r>
      <w:r>
        <w:rPr>
          <w:rFonts w:hint="eastAsia" w:ascii="宋体" w:hAnsi="宋体" w:cs="宋体"/>
          <w:color w:val="000000" w:themeColor="text1"/>
          <w:spacing w:val="0"/>
          <w:position w:val="0"/>
          <w:szCs w:val="21"/>
          <w:highlight w:val="none"/>
          <w:lang w:eastAsia="zh-CN"/>
          <w14:textFill>
            <w14:solidFill>
              <w14:schemeClr w14:val="tx1"/>
            </w14:solidFill>
          </w14:textFill>
        </w:rPr>
        <w:t>日历</w:t>
      </w:r>
      <w:r>
        <w:rPr>
          <w:rFonts w:hint="eastAsia" w:ascii="宋体" w:hAnsi="宋体" w:cs="宋体"/>
          <w:color w:val="auto"/>
          <w:spacing w:val="0"/>
          <w:position w:val="0"/>
          <w:szCs w:val="21"/>
          <w:highlight w:val="none"/>
          <w:lang w:eastAsia="zh-CN"/>
        </w:rPr>
        <w:t>天。</w:t>
      </w:r>
    </w:p>
    <w:p w14:paraId="528A995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本标项（否）接受</w:t>
      </w:r>
      <w:r>
        <w:rPr>
          <w:rFonts w:hint="eastAsia" w:ascii="宋体" w:hAnsi="宋体" w:cs="宋体"/>
          <w:color w:val="auto"/>
          <w:spacing w:val="0"/>
          <w:position w:val="0"/>
          <w:szCs w:val="21"/>
          <w:highlight w:val="none"/>
          <w:lang w:eastAsia="zh-CN"/>
        </w:rPr>
        <w:t>联合体竞标</w:t>
      </w:r>
    </w:p>
    <w:p w14:paraId="7264060F">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10" w:name="_Toc35393630"/>
      <w:bookmarkStart w:id="11" w:name="_Toc28359090"/>
      <w:bookmarkStart w:id="12" w:name="_Toc21513"/>
      <w:bookmarkStart w:id="13" w:name="_Toc28359013"/>
      <w:bookmarkStart w:id="14" w:name="_Toc35393799"/>
      <w:r>
        <w:rPr>
          <w:rFonts w:hint="eastAsia" w:ascii="宋体" w:hAnsi="宋体" w:eastAsia="宋体" w:cs="宋体"/>
          <w:bCs w:val="0"/>
          <w:color w:val="auto"/>
          <w:spacing w:val="0"/>
          <w:position w:val="0"/>
          <w:sz w:val="21"/>
          <w:szCs w:val="21"/>
          <w:highlight w:val="none"/>
        </w:rPr>
        <w:t>二、申请人的资格要求：</w:t>
      </w:r>
      <w:bookmarkEnd w:id="10"/>
      <w:bookmarkEnd w:id="11"/>
      <w:bookmarkEnd w:id="12"/>
      <w:bookmarkEnd w:id="13"/>
      <w:bookmarkEnd w:id="14"/>
    </w:p>
    <w:p w14:paraId="0081D239">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1.符合《中华人民共和国政府采购法》第二十二条规定</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 xml:space="preserve"> </w:t>
      </w:r>
    </w:p>
    <w:p w14:paraId="792240F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2D3C2EEE">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hAnsi="宋体" w:cs="宋体"/>
          <w:color w:val="auto"/>
          <w:spacing w:val="0"/>
          <w:position w:val="0"/>
          <w:sz w:val="21"/>
          <w:szCs w:val="21"/>
          <w:highlight w:val="none"/>
        </w:rPr>
      </w:pPr>
      <w:bookmarkStart w:id="15" w:name="_Toc28359091"/>
      <w:bookmarkStart w:id="16" w:name="_Toc28359014"/>
      <w:r>
        <w:rPr>
          <w:rFonts w:hint="eastAsia" w:hAnsi="宋体" w:cs="宋体"/>
          <w:color w:val="auto"/>
          <w:spacing w:val="0"/>
          <w:position w:val="0"/>
          <w:sz w:val="21"/>
          <w:szCs w:val="21"/>
          <w:highlight w:val="none"/>
        </w:rPr>
        <w:t>3.本项目的特定资格要求：</w:t>
      </w:r>
    </w:p>
    <w:p w14:paraId="2F0882FB">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pacing w:val="0"/>
          <w:position w:val="0"/>
          <w:sz w:val="21"/>
          <w:szCs w:val="21"/>
          <w:highlight w:val="yellow"/>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 w:val="21"/>
          <w:szCs w:val="21"/>
          <w:highlight w:val="none"/>
          <w:lang w:val="en-US" w:eastAsia="zh-CN"/>
        </w:rPr>
        <w:t>。</w:t>
      </w:r>
    </w:p>
    <w:p w14:paraId="252A586E">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17" w:name="_Toc9125"/>
      <w:bookmarkStart w:id="18" w:name="_Toc35393631"/>
      <w:bookmarkStart w:id="19" w:name="_Toc13777"/>
      <w:bookmarkStart w:id="20" w:name="_Toc35393800"/>
      <w:r>
        <w:rPr>
          <w:rFonts w:hint="eastAsia" w:ascii="宋体" w:hAnsi="宋体" w:eastAsia="宋体" w:cs="宋体"/>
          <w:bCs w:val="0"/>
          <w:color w:val="auto"/>
          <w:spacing w:val="0"/>
          <w:position w:val="0"/>
          <w:sz w:val="21"/>
          <w:szCs w:val="21"/>
          <w:highlight w:val="none"/>
        </w:rPr>
        <w:t>三、获取采购文件</w:t>
      </w:r>
      <w:bookmarkEnd w:id="15"/>
      <w:bookmarkEnd w:id="16"/>
      <w:bookmarkEnd w:id="17"/>
      <w:bookmarkEnd w:id="18"/>
      <w:bookmarkEnd w:id="19"/>
      <w:bookmarkEnd w:id="20"/>
    </w:p>
    <w:p w14:paraId="5A6AD4E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cs="宋体"/>
          <w:color w:val="auto"/>
          <w:spacing w:val="0"/>
          <w:position w:val="0"/>
          <w:szCs w:val="21"/>
          <w:highlight w:val="none"/>
          <w:u w:val="none"/>
        </w:rPr>
        <w:t>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06</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17</w:t>
      </w:r>
      <w:r>
        <w:rPr>
          <w:rFonts w:hint="eastAsia" w:ascii="宋体" w:hAnsi="宋体" w:cs="宋体"/>
          <w:color w:val="auto"/>
          <w:spacing w:val="0"/>
          <w:position w:val="0"/>
          <w:szCs w:val="21"/>
          <w:highlight w:val="none"/>
          <w:u w:val="none"/>
        </w:rPr>
        <w:t>日至</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06</w:t>
      </w:r>
      <w:r>
        <w:rPr>
          <w:rFonts w:hint="eastAsia" w:ascii="宋体" w:hAnsi="宋体" w:cs="宋体"/>
          <w:color w:val="auto"/>
          <w:spacing w:val="0"/>
          <w:position w:val="0"/>
          <w:szCs w:val="21"/>
          <w:highlight w:val="none"/>
          <w:u w:val="none"/>
          <w:lang w:eastAsia="zh-CN"/>
        </w:rPr>
        <w:t>月</w:t>
      </w:r>
      <w:r>
        <w:rPr>
          <w:rFonts w:hint="eastAsia" w:ascii="宋体" w:hAnsi="宋体" w:cs="宋体"/>
          <w:color w:val="auto"/>
          <w:spacing w:val="0"/>
          <w:position w:val="0"/>
          <w:szCs w:val="21"/>
          <w:highlight w:val="none"/>
          <w:u w:val="none"/>
          <w:lang w:val="en-US" w:eastAsia="zh-CN"/>
        </w:rPr>
        <w:t>24</w:t>
      </w:r>
      <w:r>
        <w:rPr>
          <w:rFonts w:hint="eastAsia" w:ascii="宋体" w:hAnsi="宋体" w:cs="宋体"/>
          <w:color w:val="auto"/>
          <w:spacing w:val="0"/>
          <w:position w:val="0"/>
          <w:szCs w:val="21"/>
          <w:highlight w:val="none"/>
          <w:u w:val="none"/>
          <w:lang w:eastAsia="zh-CN"/>
        </w:rPr>
        <w:t>日</w:t>
      </w:r>
      <w:r>
        <w:rPr>
          <w:rFonts w:hint="eastAsia" w:ascii="宋体" w:hAnsi="宋体" w:cs="宋体"/>
          <w:color w:val="auto"/>
          <w:spacing w:val="0"/>
          <w:position w:val="0"/>
          <w:szCs w:val="21"/>
          <w:highlight w:val="none"/>
          <w:u w:val="none"/>
        </w:rPr>
        <w:t>，每天上午8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00至12</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00，下午</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w:t>
      </w:r>
      <w:r>
        <w:rPr>
          <w:rFonts w:hint="eastAsia" w:ascii="宋体" w:hAnsi="宋体" w:cs="宋体"/>
          <w:color w:val="auto"/>
          <w:spacing w:val="0"/>
          <w:position w:val="0"/>
          <w:szCs w:val="21"/>
          <w:highlight w:val="none"/>
          <w:u w:val="none"/>
          <w:lang w:val="en-US" w:eastAsia="zh-CN"/>
        </w:rPr>
        <w:t>18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（北京时间，法定节假日除外）</w:t>
      </w:r>
      <w:r>
        <w:rPr>
          <w:rFonts w:hint="eastAsia" w:ascii="宋体" w:hAnsi="宋体" w:cs="宋体"/>
          <w:color w:val="auto"/>
          <w:spacing w:val="0"/>
          <w:position w:val="0"/>
          <w:szCs w:val="21"/>
          <w:highlight w:val="none"/>
          <w:u w:val="none"/>
          <w:lang w:eastAsia="zh-CN"/>
        </w:rPr>
        <w:t>。</w:t>
      </w:r>
    </w:p>
    <w:p w14:paraId="591D0702">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auto"/>
          <w:spacing w:val="0"/>
          <w:position w:val="0"/>
          <w:szCs w:val="21"/>
          <w:highlight w:val="none"/>
          <w:u w:val="none"/>
          <w:lang w:eastAsia="zh-CN"/>
        </w:rPr>
      </w:pPr>
      <w:r>
        <w:rPr>
          <w:rFonts w:hint="eastAsia" w:ascii="宋体" w:hAnsi="宋体" w:eastAsia="宋体" w:cs="宋体"/>
          <w:color w:val="auto"/>
          <w:spacing w:val="0"/>
          <w:position w:val="0"/>
          <w:sz w:val="21"/>
          <w:szCs w:val="21"/>
          <w:highlight w:val="none"/>
          <w:u w:val="none"/>
        </w:rPr>
        <w:t>地</w:t>
      </w:r>
      <w:r>
        <w:rPr>
          <w:rFonts w:hint="eastAsia" w:ascii="宋体" w:hAnsi="宋体" w:cs="宋体"/>
          <w:color w:val="auto"/>
          <w:spacing w:val="0"/>
          <w:position w:val="0"/>
          <w:sz w:val="21"/>
          <w:szCs w:val="21"/>
          <w:highlight w:val="none"/>
          <w:u w:val="none"/>
          <w:lang w:eastAsia="zh-CN"/>
        </w:rPr>
        <w:t>点</w:t>
      </w:r>
      <w:r>
        <w:rPr>
          <w:rFonts w:hint="eastAsia" w:ascii="宋体" w:hAnsi="宋体" w:cs="宋体"/>
          <w:color w:val="auto"/>
          <w:spacing w:val="0"/>
          <w:position w:val="0"/>
          <w:sz w:val="21"/>
          <w:szCs w:val="21"/>
          <w:highlight w:val="none"/>
          <w:u w:val="none"/>
          <w:lang w:val="en-US" w:eastAsia="zh-CN"/>
        </w:rPr>
        <w:t>（网址）</w:t>
      </w:r>
      <w:r>
        <w:rPr>
          <w:rFonts w:hint="eastAsia" w:ascii="宋体" w:hAnsi="宋体" w:eastAsia="宋体" w:cs="宋体"/>
          <w:color w:val="auto"/>
          <w:spacing w:val="0"/>
          <w:position w:val="0"/>
          <w:sz w:val="21"/>
          <w:szCs w:val="21"/>
          <w:highlight w:val="none"/>
          <w:u w:val="none"/>
          <w:lang w:val="en-US" w:eastAsia="zh-CN"/>
        </w:rPr>
        <w:t>：</w:t>
      </w:r>
      <w:r>
        <w:rPr>
          <w:rFonts w:hint="eastAsia" w:ascii="宋体" w:hAnsi="宋体" w:cs="Times New Roman"/>
          <w:color w:val="auto"/>
          <w:spacing w:val="0"/>
          <w:position w:val="0"/>
          <w:szCs w:val="21"/>
          <w:highlight w:val="none"/>
          <w:u w:val="none"/>
          <w:lang w:eastAsia="zh-CN"/>
        </w:rPr>
        <w:t>广西政府采购云平台（https://www.gcy.zfcg.gxzf.gov.cn/）</w:t>
      </w:r>
    </w:p>
    <w:p w14:paraId="61B578E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auto"/>
          <w:spacing w:val="0"/>
          <w:position w:val="0"/>
          <w:highlight w:val="none"/>
        </w:rPr>
      </w:pPr>
      <w:r>
        <w:rPr>
          <w:rFonts w:hint="eastAsia" w:ascii="宋体" w:hAnsi="宋体"/>
          <w:color w:val="auto"/>
          <w:spacing w:val="0"/>
          <w:position w:val="0"/>
          <w:szCs w:val="21"/>
          <w:highlight w:val="none"/>
        </w:rPr>
        <w:t>方式</w:t>
      </w:r>
      <w:r>
        <w:rPr>
          <w:rFonts w:hint="eastAsia" w:ascii="宋体" w:hAnsi="宋体"/>
          <w:color w:val="auto"/>
          <w:spacing w:val="0"/>
          <w:position w:val="0"/>
          <w:szCs w:val="21"/>
          <w:highlight w:val="none"/>
          <w:lang w:eastAsia="zh-CN"/>
        </w:rPr>
        <w:t>：供应商登录广西政府采购云平台（https://www.gcy.zfcg.gxzf.gov.cn/）在线申请获取采购文件（进入“项目采购”应用，在获取采购文件菜单中选择项目，申请获取采购文件）。</w:t>
      </w:r>
    </w:p>
    <w:p w14:paraId="3444B166">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21" w:name="_Toc28359092"/>
      <w:bookmarkStart w:id="22" w:name="_Toc28359015"/>
      <w:bookmarkStart w:id="23" w:name="_Toc35393632"/>
      <w:bookmarkStart w:id="24" w:name="_Toc35393801"/>
      <w:bookmarkStart w:id="25" w:name="_Toc18110"/>
      <w:bookmarkStart w:id="26" w:name="_Toc28970"/>
      <w:r>
        <w:rPr>
          <w:rFonts w:hint="eastAsia" w:ascii="宋体" w:hAnsi="宋体" w:eastAsia="宋体" w:cs="宋体"/>
          <w:bCs w:val="0"/>
          <w:color w:val="auto"/>
          <w:spacing w:val="0"/>
          <w:position w:val="0"/>
          <w:sz w:val="21"/>
          <w:szCs w:val="21"/>
          <w:highlight w:val="none"/>
        </w:rPr>
        <w:t>四、响应文件提交</w:t>
      </w:r>
      <w:bookmarkEnd w:id="21"/>
      <w:bookmarkEnd w:id="22"/>
      <w:bookmarkEnd w:id="23"/>
      <w:bookmarkEnd w:id="24"/>
      <w:bookmarkEnd w:id="25"/>
      <w:bookmarkEnd w:id="26"/>
    </w:p>
    <w:p w14:paraId="6975C319">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截止时间：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06</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30</w:t>
      </w:r>
      <w:r>
        <w:rPr>
          <w:rFonts w:hint="eastAsia" w:ascii="宋体" w:hAnsi="宋体" w:cs="宋体"/>
          <w:color w:val="auto"/>
          <w:spacing w:val="0"/>
          <w:position w:val="0"/>
          <w:szCs w:val="21"/>
          <w:highlight w:val="none"/>
          <w:u w:val="none"/>
        </w:rPr>
        <w:t>日</w:t>
      </w:r>
      <w:r>
        <w:rPr>
          <w:rFonts w:hint="eastAsia" w:ascii="宋体" w:hAnsi="宋体" w:cs="宋体"/>
          <w:color w:val="auto"/>
          <w:spacing w:val="0"/>
          <w:position w:val="0"/>
          <w:szCs w:val="21"/>
          <w:highlight w:val="none"/>
          <w:u w:val="none"/>
          <w:lang w:val="en-US" w:eastAsia="zh-CN"/>
        </w:rPr>
        <w:t>10</w:t>
      </w:r>
      <w:r>
        <w:rPr>
          <w:rFonts w:hint="eastAsia" w:ascii="宋体" w:hAnsi="宋体" w:cs="宋体"/>
          <w:color w:val="auto"/>
          <w:spacing w:val="0"/>
          <w:position w:val="0"/>
          <w:szCs w:val="21"/>
          <w:highlight w:val="none"/>
          <w:u w:val="none"/>
        </w:rPr>
        <w:t>时</w:t>
      </w:r>
      <w:r>
        <w:rPr>
          <w:rFonts w:hint="eastAsia" w:ascii="宋体" w:hAnsi="宋体" w:cs="宋体"/>
          <w:color w:val="auto"/>
          <w:spacing w:val="0"/>
          <w:position w:val="0"/>
          <w:szCs w:val="21"/>
          <w:highlight w:val="none"/>
          <w:u w:val="none"/>
          <w:lang w:val="en-US" w:eastAsia="zh-CN"/>
        </w:rPr>
        <w:t>30</w:t>
      </w:r>
      <w:r>
        <w:rPr>
          <w:rFonts w:hint="eastAsia" w:ascii="宋体" w:hAnsi="宋体" w:cs="宋体"/>
          <w:color w:val="auto"/>
          <w:spacing w:val="0"/>
          <w:position w:val="0"/>
          <w:szCs w:val="21"/>
          <w:highlight w:val="none"/>
          <w:u w:val="none"/>
        </w:rPr>
        <w:t>分</w:t>
      </w:r>
      <w:r>
        <w:rPr>
          <w:rFonts w:hint="eastAsia" w:ascii="宋体" w:hAnsi="宋体"/>
          <w:bCs/>
          <w:color w:val="auto"/>
          <w:spacing w:val="0"/>
          <w:position w:val="0"/>
          <w:szCs w:val="21"/>
          <w:highlight w:val="none"/>
          <w:u w:val="none"/>
        </w:rPr>
        <w:t>（北京时间）</w:t>
      </w:r>
    </w:p>
    <w:p w14:paraId="1B04A1BB">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auto"/>
          <w:spacing w:val="0"/>
          <w:position w:val="0"/>
          <w:szCs w:val="21"/>
          <w:highlight w:val="none"/>
          <w:u w:val="none"/>
        </w:rPr>
      </w:pPr>
      <w:r>
        <w:rPr>
          <w:rFonts w:hint="eastAsia" w:ascii="宋体" w:hAnsi="宋体"/>
          <w:color w:val="auto"/>
          <w:spacing w:val="0"/>
          <w:position w:val="0"/>
          <w:szCs w:val="21"/>
          <w:highlight w:val="none"/>
          <w:u w:val="none"/>
        </w:rPr>
        <w:t>地点（网址）：</w:t>
      </w:r>
      <w:r>
        <w:rPr>
          <w:rFonts w:hint="eastAsia" w:ascii="宋体" w:hAnsi="宋体" w:cs="宋体"/>
          <w:bCs/>
          <w:color w:val="auto"/>
          <w:spacing w:val="0"/>
          <w:position w:val="0"/>
          <w:szCs w:val="21"/>
          <w:highlight w:val="none"/>
        </w:rPr>
        <w:t>通过</w:t>
      </w:r>
      <w:r>
        <w:rPr>
          <w:rFonts w:hint="eastAsia" w:ascii="宋体" w:hAnsi="宋体" w:cs="宋体"/>
          <w:color w:val="auto"/>
          <w:spacing w:val="0"/>
          <w:position w:val="0"/>
          <w:highlight w:val="none"/>
          <w:lang w:eastAsia="zh-CN"/>
        </w:rPr>
        <w:t>广西政府采购云平台（https://www.gcy.zfcg.gxzf.gov.cn/）</w:t>
      </w:r>
      <w:r>
        <w:rPr>
          <w:rFonts w:hint="eastAsia" w:ascii="宋体" w:hAnsi="宋体" w:cs="宋体"/>
          <w:color w:val="auto"/>
          <w:spacing w:val="0"/>
          <w:position w:val="0"/>
          <w:szCs w:val="21"/>
          <w:highlight w:val="none"/>
        </w:rPr>
        <w:t>上传响应文件，并在线竞标。</w:t>
      </w:r>
    </w:p>
    <w:p w14:paraId="578D1B3A">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27" w:name="_Toc28359016"/>
      <w:bookmarkStart w:id="28" w:name="_Toc35393633"/>
      <w:bookmarkStart w:id="29" w:name="_Toc24973"/>
      <w:bookmarkStart w:id="30" w:name="_Toc3197"/>
      <w:bookmarkStart w:id="31" w:name="_Toc28359093"/>
      <w:bookmarkStart w:id="32" w:name="_Toc35393802"/>
      <w:r>
        <w:rPr>
          <w:rFonts w:hint="eastAsia" w:ascii="宋体" w:hAnsi="宋体" w:eastAsia="宋体" w:cs="宋体"/>
          <w:bCs w:val="0"/>
          <w:color w:val="auto"/>
          <w:spacing w:val="0"/>
          <w:position w:val="0"/>
          <w:sz w:val="21"/>
          <w:szCs w:val="21"/>
          <w:highlight w:val="none"/>
          <w:u w:val="none"/>
        </w:rPr>
        <w:t>五、响应文件开启</w:t>
      </w:r>
      <w:bookmarkEnd w:id="27"/>
      <w:bookmarkEnd w:id="28"/>
      <w:bookmarkEnd w:id="29"/>
      <w:bookmarkEnd w:id="30"/>
      <w:bookmarkEnd w:id="31"/>
      <w:bookmarkEnd w:id="32"/>
    </w:p>
    <w:p w14:paraId="2292996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开启时间：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06</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30</w:t>
      </w:r>
      <w:r>
        <w:rPr>
          <w:rFonts w:hint="eastAsia" w:ascii="宋体" w:hAnsi="宋体" w:cs="宋体"/>
          <w:color w:val="auto"/>
          <w:spacing w:val="0"/>
          <w:position w:val="0"/>
          <w:szCs w:val="21"/>
          <w:highlight w:val="none"/>
          <w:u w:val="none"/>
        </w:rPr>
        <w:t>日</w:t>
      </w:r>
      <w:r>
        <w:rPr>
          <w:rFonts w:hint="eastAsia" w:ascii="宋体" w:hAnsi="宋体" w:cs="宋体"/>
          <w:color w:val="auto"/>
          <w:spacing w:val="0"/>
          <w:position w:val="0"/>
          <w:szCs w:val="21"/>
          <w:highlight w:val="none"/>
          <w:u w:val="none"/>
          <w:lang w:val="en-US" w:eastAsia="zh-CN"/>
        </w:rPr>
        <w:t>10</w:t>
      </w:r>
      <w:r>
        <w:rPr>
          <w:rFonts w:hint="eastAsia" w:ascii="宋体" w:hAnsi="宋体" w:cs="宋体"/>
          <w:color w:val="auto"/>
          <w:spacing w:val="0"/>
          <w:position w:val="0"/>
          <w:szCs w:val="21"/>
          <w:highlight w:val="none"/>
          <w:u w:val="none"/>
        </w:rPr>
        <w:t>时</w:t>
      </w:r>
      <w:r>
        <w:rPr>
          <w:rFonts w:hint="eastAsia" w:ascii="宋体" w:hAnsi="宋体" w:cs="宋体"/>
          <w:color w:val="auto"/>
          <w:spacing w:val="0"/>
          <w:position w:val="0"/>
          <w:szCs w:val="21"/>
          <w:highlight w:val="none"/>
          <w:u w:val="none"/>
          <w:lang w:val="en-US" w:eastAsia="zh-CN"/>
        </w:rPr>
        <w:t>30</w:t>
      </w:r>
      <w:r>
        <w:rPr>
          <w:rFonts w:hint="eastAsia" w:ascii="宋体" w:hAnsi="宋体" w:cs="宋体"/>
          <w:color w:val="auto"/>
          <w:spacing w:val="0"/>
          <w:position w:val="0"/>
          <w:szCs w:val="21"/>
          <w:highlight w:val="none"/>
          <w:u w:val="none"/>
        </w:rPr>
        <w:t>分</w:t>
      </w:r>
      <w:r>
        <w:rPr>
          <w:rFonts w:hint="eastAsia" w:ascii="宋体" w:hAnsi="宋体"/>
          <w:bCs/>
          <w:color w:val="auto"/>
          <w:spacing w:val="0"/>
          <w:position w:val="0"/>
          <w:szCs w:val="21"/>
          <w:highlight w:val="none"/>
          <w:u w:val="none"/>
        </w:rPr>
        <w:t>（北京时间）</w:t>
      </w:r>
    </w:p>
    <w:p w14:paraId="1EECD7C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pacing w:val="0"/>
          <w:position w:val="0"/>
          <w:szCs w:val="21"/>
          <w:highlight w:val="none"/>
          <w:u w:val="none"/>
          <w:lang w:val="en-US" w:eastAsia="zh-CN"/>
        </w:rPr>
      </w:pPr>
      <w:r>
        <w:rPr>
          <w:rFonts w:hint="eastAsia" w:ascii="宋体" w:hAnsi="宋体"/>
          <w:bCs/>
          <w:color w:val="auto"/>
          <w:spacing w:val="0"/>
          <w:position w:val="0"/>
          <w:szCs w:val="21"/>
          <w:highlight w:val="none"/>
          <w:u w:val="none"/>
        </w:rPr>
        <w:t>地点：</w:t>
      </w:r>
      <w:r>
        <w:rPr>
          <w:rFonts w:hint="eastAsia" w:ascii="宋体" w:hAnsi="宋体"/>
          <w:bCs/>
          <w:color w:val="auto"/>
          <w:spacing w:val="0"/>
          <w:position w:val="0"/>
          <w:szCs w:val="21"/>
          <w:highlight w:val="none"/>
          <w:u w:val="none"/>
          <w:lang w:eastAsia="zh-CN"/>
        </w:rPr>
        <w:t>广西政府采购云平台</w:t>
      </w:r>
      <w:r>
        <w:rPr>
          <w:rFonts w:hint="eastAsia" w:ascii="宋体" w:hAnsi="宋体"/>
          <w:bCs/>
          <w:color w:val="auto"/>
          <w:spacing w:val="0"/>
          <w:position w:val="0"/>
          <w:szCs w:val="21"/>
          <w:highlight w:val="none"/>
          <w:u w:val="none"/>
        </w:rPr>
        <w:t>电子开标大厅在线解密开启</w:t>
      </w:r>
      <w:r>
        <w:rPr>
          <w:rFonts w:hint="eastAsia" w:ascii="宋体" w:hAnsi="宋体"/>
          <w:bCs/>
          <w:color w:val="auto"/>
          <w:spacing w:val="0"/>
          <w:position w:val="0"/>
          <w:szCs w:val="21"/>
          <w:highlight w:val="none"/>
          <w:u w:val="none"/>
          <w:lang w:eastAsia="zh-CN"/>
        </w:rPr>
        <w:t>。</w:t>
      </w:r>
    </w:p>
    <w:p w14:paraId="52BF06B8">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33" w:name="_Toc35393634"/>
      <w:bookmarkStart w:id="34" w:name="_Toc5452"/>
      <w:bookmarkStart w:id="35" w:name="_Toc28359017"/>
      <w:bookmarkStart w:id="36" w:name="_Toc28359094"/>
      <w:bookmarkStart w:id="37" w:name="_Toc35393803"/>
      <w:bookmarkStart w:id="38" w:name="_Toc17419"/>
      <w:r>
        <w:rPr>
          <w:rFonts w:hint="eastAsia" w:ascii="宋体" w:hAnsi="宋体" w:eastAsia="宋体" w:cs="宋体"/>
          <w:bCs w:val="0"/>
          <w:color w:val="auto"/>
          <w:spacing w:val="0"/>
          <w:position w:val="0"/>
          <w:sz w:val="21"/>
          <w:szCs w:val="21"/>
          <w:highlight w:val="none"/>
          <w:u w:val="none"/>
        </w:rPr>
        <w:t>六、公告期限</w:t>
      </w:r>
      <w:bookmarkEnd w:id="33"/>
      <w:bookmarkEnd w:id="34"/>
      <w:bookmarkEnd w:id="35"/>
      <w:bookmarkEnd w:id="36"/>
      <w:bookmarkEnd w:id="37"/>
      <w:bookmarkEnd w:id="38"/>
    </w:p>
    <w:p w14:paraId="1F2A322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自本公告发布之日起5个工作日。</w:t>
      </w:r>
    </w:p>
    <w:p w14:paraId="4959DA96">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39" w:name="_Toc35393804"/>
      <w:bookmarkStart w:id="40" w:name="_Toc321"/>
      <w:bookmarkStart w:id="41" w:name="_Toc26297"/>
      <w:bookmarkStart w:id="42" w:name="_Toc35393635"/>
      <w:r>
        <w:rPr>
          <w:rFonts w:hint="eastAsia" w:ascii="宋体" w:hAnsi="宋体" w:eastAsia="宋体" w:cs="宋体"/>
          <w:bCs w:val="0"/>
          <w:color w:val="auto"/>
          <w:spacing w:val="0"/>
          <w:position w:val="0"/>
          <w:sz w:val="21"/>
          <w:szCs w:val="21"/>
          <w:highlight w:val="none"/>
        </w:rPr>
        <w:t>七、其他补充事宜</w:t>
      </w:r>
      <w:bookmarkEnd w:id="39"/>
      <w:bookmarkEnd w:id="40"/>
      <w:bookmarkEnd w:id="41"/>
      <w:bookmarkEnd w:id="42"/>
    </w:p>
    <w:p w14:paraId="261F9456">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bookmarkStart w:id="43" w:name="_Toc35393636"/>
      <w:bookmarkStart w:id="44" w:name="_Toc28359018"/>
      <w:bookmarkStart w:id="45" w:name="_Toc28359095"/>
      <w:bookmarkStart w:id="46" w:name="_Toc35393805"/>
      <w:r>
        <w:rPr>
          <w:rFonts w:hint="eastAsia" w:ascii="宋体" w:hAnsi="宋体" w:cs="宋体"/>
          <w:color w:val="auto"/>
          <w:spacing w:val="0"/>
          <w:position w:val="0"/>
          <w:szCs w:val="21"/>
          <w:highlight w:val="none"/>
        </w:rPr>
        <w:t>1.本项目为全流程电子化政府采购项目，供应商应按照本项目采购文件和</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的要求编制、加密并提交电子响应文件。未完成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供应商注册入驻并办理数字证书（CA认证）的供应商将无法参与本项目政府采购活动。供应商在使用</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参与</w:t>
      </w: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过程中遇到涉及平台使用的任何问题，</w:t>
      </w:r>
      <w:r>
        <w:rPr>
          <w:rFonts w:hint="eastAsia" w:ascii="宋体" w:hAnsi="宋体"/>
          <w:color w:val="auto"/>
          <w:spacing w:val="0"/>
          <w:position w:val="0"/>
          <w:szCs w:val="21"/>
          <w:highlight w:val="none"/>
        </w:rPr>
        <w:t>可致电</w:t>
      </w:r>
      <w:r>
        <w:rPr>
          <w:rFonts w:hint="eastAsia" w:ascii="宋体" w:hAnsi="宋体"/>
          <w:color w:val="auto"/>
          <w:spacing w:val="0"/>
          <w:position w:val="0"/>
          <w:szCs w:val="21"/>
          <w:highlight w:val="none"/>
          <w:lang w:eastAsia="zh-CN"/>
        </w:rPr>
        <w:t>广西政府采购云平台</w:t>
      </w:r>
      <w:r>
        <w:rPr>
          <w:rFonts w:hint="eastAsia" w:ascii="宋体" w:hAnsi="宋体"/>
          <w:color w:val="auto"/>
          <w:spacing w:val="0"/>
          <w:position w:val="0"/>
          <w:szCs w:val="21"/>
          <w:highlight w:val="none"/>
        </w:rPr>
        <w:t>技术支持热线咨询</w:t>
      </w:r>
      <w:r>
        <w:rPr>
          <w:rFonts w:hint="eastAsia" w:ascii="宋体" w:hAnsi="宋体" w:cs="宋体"/>
          <w:color w:val="auto"/>
          <w:spacing w:val="0"/>
          <w:position w:val="0"/>
          <w:szCs w:val="21"/>
          <w:highlight w:val="none"/>
        </w:rPr>
        <w:t>：</w:t>
      </w:r>
      <w:r>
        <w:rPr>
          <w:rFonts w:hint="eastAsia" w:ascii="宋体" w:hAnsi="宋体" w:cs="宋体"/>
          <w:color w:val="auto"/>
          <w:spacing w:val="0"/>
          <w:kern w:val="0"/>
          <w:position w:val="0"/>
          <w:szCs w:val="21"/>
          <w:highlight w:val="none"/>
        </w:rPr>
        <w:t>95763</w:t>
      </w:r>
      <w:r>
        <w:rPr>
          <w:rFonts w:hint="eastAsia" w:ascii="宋体"/>
          <w:color w:val="auto"/>
          <w:spacing w:val="0"/>
          <w:position w:val="0"/>
          <w:szCs w:val="21"/>
          <w:highlight w:val="none"/>
        </w:rPr>
        <w:t>。</w:t>
      </w:r>
    </w:p>
    <w:p w14:paraId="2342CC25">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（1）供应商应及时熟悉掌握电子标系统操作指南（见</w:t>
      </w:r>
      <w:r>
        <w:rPr>
          <w:rFonts w:hint="eastAsia" w:ascii="宋体" w:hAnsi="宋体" w:cs="宋体"/>
          <w:color w:val="auto"/>
          <w:spacing w:val="0"/>
          <w:position w:val="0"/>
          <w:szCs w:val="21"/>
          <w:highlight w:val="none"/>
          <w:lang w:eastAsia="zh-CN"/>
        </w:rPr>
        <w:t>广西政府采购云平台电子卖场</w:t>
      </w:r>
      <w:r>
        <w:rPr>
          <w:rFonts w:hint="eastAsia" w:ascii="宋体" w:hAnsi="宋体" w:cs="宋体"/>
          <w:color w:val="auto"/>
          <w:spacing w:val="0"/>
          <w:position w:val="0"/>
          <w:szCs w:val="21"/>
          <w:highlight w:val="none"/>
        </w:rPr>
        <w:t>首页右上角—服务中心—帮助</w:t>
      </w:r>
      <w:r>
        <w:rPr>
          <w:rFonts w:hint="eastAsia" w:ascii="宋体" w:hAnsi="宋体" w:cs="宋体"/>
          <w:color w:val="auto"/>
          <w:spacing w:val="0"/>
          <w:position w:val="0"/>
          <w:szCs w:val="21"/>
          <w:highlight w:val="none"/>
          <w:lang w:eastAsia="zh-CN"/>
        </w:rPr>
        <w:t>文档</w:t>
      </w:r>
      <w:r>
        <w:rPr>
          <w:rFonts w:hint="eastAsia" w:ascii="宋体" w:hAnsi="宋体" w:cs="宋体"/>
          <w:color w:val="auto"/>
          <w:spacing w:val="0"/>
          <w:position w:val="0"/>
          <w:szCs w:val="21"/>
          <w:highlight w:val="none"/>
        </w:rPr>
        <w:t>—项目采购）：https</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//service.zcygov.cn/#/knowledges/tree?tag=AG1DtGwBFdiHxlNdhY0r。</w:t>
      </w:r>
    </w:p>
    <w:p w14:paraId="583EB1CB">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（2）供应商应及时完成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供应商注册入驻和办理</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CA证书申领和绑定（见广西壮族自治区政府采购网—办事服务—下载专区-CA证书申请操作指南</w:t>
      </w:r>
      <w:r>
        <w:rPr>
          <w:rFonts w:hint="eastAsia" w:ascii="宋体" w:hAnsi="宋体" w:cs="宋体"/>
          <w:color w:val="auto"/>
          <w:spacing w:val="0"/>
          <w:position w:val="0"/>
          <w:szCs w:val="21"/>
          <w:highlight w:val="none"/>
          <w:lang w:eastAsia="zh-CN"/>
        </w:rPr>
        <w:t>或广西政采云西部CA办理方式</w:t>
      </w:r>
      <w:r>
        <w:rPr>
          <w:rFonts w:hint="eastAsia" w:ascii="宋体" w:hAnsi="宋体" w:cs="宋体"/>
          <w:color w:val="auto"/>
          <w:spacing w:val="0"/>
          <w:position w:val="0"/>
          <w:szCs w:val="21"/>
          <w:highlight w:val="none"/>
        </w:rPr>
        <w:t>）。</w:t>
      </w:r>
    </w:p>
    <w:p w14:paraId="2D5BEB4E">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（3）供应商须通过</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供应商客户端软件制作电子响应文件，</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供应商客户端软件请供应商自行前往下载并安装（</w:t>
      </w:r>
      <w:r>
        <w:rPr>
          <w:rFonts w:hint="eastAsia" w:ascii="宋体" w:hAnsi="宋体" w:cs="宋体"/>
          <w:color w:val="auto"/>
          <w:spacing w:val="0"/>
          <w:kern w:val="0"/>
          <w:position w:val="0"/>
          <w:szCs w:val="21"/>
          <w:highlight w:val="none"/>
          <w:lang w:val="en-US" w:eastAsia="zh-CN"/>
        </w:rPr>
        <w:t>客户端下载路径：广西政府采购网（访问地址http：//zfcg.gxzf.gov.cn/）—办事服务—下载专区-广西政府采购云平台新版客户端</w:t>
      </w:r>
      <w:r>
        <w:rPr>
          <w:rFonts w:hint="eastAsia" w:ascii="宋体" w:hAnsi="宋体" w:cs="宋体"/>
          <w:color w:val="auto"/>
          <w:spacing w:val="0"/>
          <w:position w:val="0"/>
          <w:szCs w:val="21"/>
          <w:highlight w:val="none"/>
        </w:rPr>
        <w:t>）。</w:t>
      </w:r>
    </w:p>
    <w:p w14:paraId="1B33A337">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2.本项目需要落实的政府采购政策</w:t>
      </w:r>
    </w:p>
    <w:p w14:paraId="6D5B73F6">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（1）政府采购促进中小企业发展。</w:t>
      </w:r>
    </w:p>
    <w:p w14:paraId="173374D4">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（2）政府采购支持采用本国产品的政策。</w:t>
      </w:r>
    </w:p>
    <w:p w14:paraId="24B77D07">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（3）强制采购节能产品；优先采购节能产品、环境标志产品。</w:t>
      </w:r>
    </w:p>
    <w:p w14:paraId="36432A57">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rPr>
        <w:t>（4）政府采购促</w:t>
      </w:r>
      <w:r>
        <w:rPr>
          <w:rFonts w:hint="eastAsia" w:ascii="宋体" w:hAnsi="宋体" w:eastAsia="宋体" w:cs="宋体"/>
          <w:color w:val="auto"/>
          <w:spacing w:val="0"/>
          <w:position w:val="0"/>
          <w:szCs w:val="21"/>
          <w:highlight w:val="none"/>
        </w:rPr>
        <w:t>进残疾人就业政策。</w:t>
      </w:r>
    </w:p>
    <w:p w14:paraId="47982C4A">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（5）政府采购支持监狱企业发展。</w:t>
      </w:r>
    </w:p>
    <w:p w14:paraId="348C3ED7">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3.网上查询地址</w:t>
      </w:r>
    </w:p>
    <w:p w14:paraId="0B6B939D">
      <w:pPr>
        <w:keepNext w:val="0"/>
        <w:keepLines w:val="0"/>
        <w:pageBreakBefore w:val="0"/>
        <w:widowControl w:val="0"/>
        <w:shd w:val="clea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fldChar w:fldCharType="begin"/>
      </w:r>
      <w:r>
        <w:rPr>
          <w:rFonts w:hint="eastAsia" w:ascii="宋体" w:hAnsi="宋体" w:cs="宋体"/>
          <w:color w:val="auto"/>
          <w:kern w:val="0"/>
          <w:szCs w:val="21"/>
          <w:highlight w:val="none"/>
          <w:lang w:eastAsia="zh-CN"/>
        </w:rPr>
        <w:instrText xml:space="preserve"> HYPERLINK "http://zfcg.gxzf.gov.cn/（广西壮族自治区政府采购网）、http:/ggzy.jgswj.gxzf.gov.cn/pbggzy/全国公共资源交易平台（广西•浦北）、http:/ggzy.jgswj.gxzf.gov.cn/qzggzy/全国公共资源交易平台（广西•钦州）、http:/www.gxpb.gov.cn/zwgk/（浦北县人民政府网）" </w:instrText>
      </w:r>
      <w:r>
        <w:rPr>
          <w:rFonts w:hint="eastAsia" w:ascii="宋体" w:hAnsi="宋体" w:cs="宋体"/>
          <w:color w:val="auto"/>
          <w:kern w:val="0"/>
          <w:szCs w:val="21"/>
          <w:highlight w:val="none"/>
          <w:lang w:eastAsia="zh-CN"/>
        </w:rPr>
        <w:fldChar w:fldCharType="separate"/>
      </w:r>
      <w:r>
        <w:rPr>
          <w:rFonts w:hint="eastAsia" w:ascii="宋体" w:hAnsi="宋体" w:cs="宋体"/>
          <w:color w:val="auto"/>
          <w:kern w:val="0"/>
          <w:szCs w:val="21"/>
          <w:highlight w:val="none"/>
          <w:lang w:eastAsia="zh-CN"/>
        </w:rPr>
        <w:t>http://zfcg.gxzf.gov.cn/（广西壮族自治区政府采购网）、http://ggzy.jgswj.gxzf.gov.cn/pbggzy/</w:t>
      </w:r>
      <w:r>
        <w:rPr>
          <w:rFonts w:hint="eastAsia" w:ascii="宋体" w:hAnsi="宋体" w:cs="宋体"/>
          <w:color w:val="auto"/>
          <w:kern w:val="0"/>
          <w:szCs w:val="21"/>
          <w:highlight w:val="none"/>
          <w:lang w:val="zh-CN" w:eastAsia="zh-CN"/>
        </w:rPr>
        <w:t>全国公共资源交易平台</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zh-CN" w:eastAsia="zh-CN"/>
        </w:rPr>
        <w:t>广西</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zh-CN" w:eastAsia="zh-CN"/>
        </w:rPr>
        <w:t>浦北</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zh-CN" w:eastAsia="zh-CN"/>
        </w:rPr>
        <w:t>、</w:t>
      </w:r>
      <w:r>
        <w:rPr>
          <w:rFonts w:hint="eastAsia" w:ascii="宋体" w:hAnsi="宋体" w:cs="宋体"/>
          <w:color w:val="auto"/>
          <w:kern w:val="0"/>
          <w:szCs w:val="21"/>
          <w:highlight w:val="none"/>
          <w:lang w:eastAsia="zh-CN"/>
        </w:rPr>
        <w:t>http://ggzy.jgswj.gxzf.gov.cn/qzggzy/</w:t>
      </w:r>
      <w:r>
        <w:rPr>
          <w:rFonts w:hint="eastAsia" w:ascii="宋体" w:hAnsi="宋体" w:cs="宋体"/>
          <w:color w:val="auto"/>
          <w:kern w:val="0"/>
          <w:szCs w:val="21"/>
          <w:highlight w:val="none"/>
          <w:lang w:val="zh-CN" w:eastAsia="zh-CN"/>
        </w:rPr>
        <w:t>全国公共资源交易平台</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zh-CN" w:eastAsia="zh-CN"/>
        </w:rPr>
        <w:t>广西</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zh-CN" w:eastAsia="zh-CN"/>
        </w:rPr>
        <w:t>钦州</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eastAsia="zh-CN"/>
        </w:rPr>
        <w:fldChar w:fldCharType="end"/>
      </w:r>
      <w:r>
        <w:rPr>
          <w:rFonts w:hint="eastAsia" w:ascii="宋体" w:hAnsi="宋体" w:cs="宋体"/>
          <w:color w:val="auto"/>
          <w:kern w:val="0"/>
          <w:szCs w:val="21"/>
          <w:highlight w:val="none"/>
          <w:lang w:eastAsia="zh-CN"/>
        </w:rPr>
        <w:t>、</w:t>
      </w:r>
    </w:p>
    <w:p w14:paraId="688658E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pacing w:val="0"/>
          <w:position w:val="0"/>
          <w:szCs w:val="21"/>
          <w:highlight w:val="none"/>
          <w:lang w:bidi="ar"/>
        </w:rPr>
      </w:pPr>
      <w:r>
        <w:rPr>
          <w:rFonts w:hint="eastAsia" w:ascii="宋体" w:hAnsi="宋体" w:cs="宋体"/>
          <w:color w:val="auto"/>
          <w:kern w:val="0"/>
          <w:szCs w:val="21"/>
          <w:highlight w:val="none"/>
          <w:lang w:eastAsia="zh-CN"/>
        </w:rPr>
        <w:t>http://www.gxpb.gov.cn/（浦北县人民政府网）</w:t>
      </w:r>
      <w:r>
        <w:rPr>
          <w:rFonts w:hint="eastAsia" w:ascii="宋体" w:hAnsi="宋体" w:cs="宋体"/>
          <w:color w:val="auto"/>
          <w:spacing w:val="0"/>
          <w:position w:val="0"/>
          <w:szCs w:val="21"/>
          <w:highlight w:val="none"/>
          <w:lang w:bidi="ar"/>
        </w:rPr>
        <w:t>。</w:t>
      </w:r>
    </w:p>
    <w:p w14:paraId="5B512E2D">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r>
        <w:rPr>
          <w:rFonts w:hint="eastAsia" w:ascii="宋体" w:hAnsi="宋体" w:cs="宋体"/>
          <w:color w:val="auto"/>
          <w:spacing w:val="0"/>
          <w:position w:val="0"/>
          <w:szCs w:val="21"/>
          <w:highlight w:val="none"/>
          <w:lang w:bidi="ar"/>
        </w:rPr>
        <w:t>监督部门：浦北县政府采购监督管理办公室   联系电话：0777-8314622</w:t>
      </w:r>
    </w:p>
    <w:p w14:paraId="33430E99">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47" w:name="_Toc23726"/>
      <w:bookmarkStart w:id="48" w:name="_Toc227"/>
      <w:r>
        <w:rPr>
          <w:rFonts w:hint="eastAsia" w:ascii="宋体" w:hAnsi="宋体" w:eastAsia="宋体" w:cs="宋体"/>
          <w:bCs w:val="0"/>
          <w:color w:val="auto"/>
          <w:spacing w:val="0"/>
          <w:position w:val="0"/>
          <w:sz w:val="21"/>
          <w:szCs w:val="21"/>
          <w:highlight w:val="none"/>
        </w:rPr>
        <w:t>八、凡对本次采购提出询问，请按以下方式联系</w:t>
      </w:r>
      <w:bookmarkEnd w:id="43"/>
      <w:bookmarkEnd w:id="44"/>
      <w:bookmarkEnd w:id="45"/>
      <w:bookmarkEnd w:id="46"/>
      <w:bookmarkEnd w:id="47"/>
      <w:bookmarkEnd w:id="48"/>
    </w:p>
    <w:p w14:paraId="7CE6F8FD">
      <w:pPr>
        <w:pStyle w:val="3"/>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49" w:name="_Toc35393637"/>
      <w:bookmarkStart w:id="50" w:name="_Toc35393806"/>
      <w:bookmarkStart w:id="51" w:name="_Toc28359019"/>
      <w:bookmarkStart w:id="52" w:name="_Toc28359096"/>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1.采购人信息</w:t>
      </w:r>
      <w:bookmarkEnd w:id="49"/>
      <w:bookmarkEnd w:id="50"/>
      <w:bookmarkEnd w:id="51"/>
      <w:bookmarkEnd w:id="52"/>
    </w:p>
    <w:p w14:paraId="499B9364">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名    称：浦北县土地储备中心  </w:t>
      </w:r>
    </w:p>
    <w:p w14:paraId="26CB9FA4">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址：浦北县县城东滨路     </w:t>
      </w:r>
    </w:p>
    <w:p w14:paraId="52C11910">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项目联系人：</w:t>
      </w:r>
      <w:r>
        <w:rPr>
          <w:rFonts w:hint="eastAsia" w:ascii="宋体" w:hAnsi="宋体" w:cs="宋体"/>
          <w:color w:val="auto"/>
          <w:sz w:val="21"/>
          <w:szCs w:val="21"/>
          <w:u w:val="none"/>
          <w:lang w:val="en-US" w:eastAsia="zh-CN"/>
        </w:rPr>
        <w:t>陆勇</w:t>
      </w: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  </w:t>
      </w:r>
    </w:p>
    <w:p w14:paraId="16A25183">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项目联系方式：0777-8317029  </w:t>
      </w:r>
    </w:p>
    <w:p w14:paraId="1B682B77">
      <w:pPr>
        <w:pStyle w:val="3"/>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53" w:name="_Toc35393807"/>
      <w:bookmarkStart w:id="54" w:name="_Toc28359097"/>
      <w:bookmarkStart w:id="55" w:name="_Toc35393638"/>
      <w:bookmarkStart w:id="56" w:name="_Toc28359020"/>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2.采购代理机构信息</w:t>
      </w:r>
      <w:bookmarkEnd w:id="53"/>
      <w:bookmarkEnd w:id="54"/>
      <w:bookmarkEnd w:id="55"/>
      <w:bookmarkEnd w:id="56"/>
    </w:p>
    <w:p w14:paraId="242B7010">
      <w:pPr>
        <w:pageBreakBefore w:val="0"/>
        <w:widowControl w:val="0"/>
        <w:kinsoku/>
        <w:wordWrap/>
        <w:overflowPunct/>
        <w:topLinePunct w:val="0"/>
        <w:bidi w:val="0"/>
        <w:adjustRightInd/>
        <w:spacing w:line="360" w:lineRule="auto"/>
        <w:ind w:firstLine="420" w:firstLineChars="2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名    称：</w:t>
      </w:r>
      <w:r>
        <w:rPr>
          <w:rFonts w:hint="eastAsia" w:asciiTheme="minorEastAsia" w:hAnsiTheme="minorEastAsia" w:eastAsiaTheme="minorEastAsia" w:cstheme="minorEastAsia"/>
          <w:b w:val="0"/>
          <w:bCs w:val="0"/>
          <w:color w:val="auto"/>
          <w:kern w:val="0"/>
          <w:sz w:val="21"/>
          <w:szCs w:val="21"/>
          <w:highlight w:val="none"/>
          <w:lang w:val="en-US" w:eastAsia="zh-CN" w:bidi="ar-SA"/>
        </w:rPr>
        <w:t>广西华诚达建设项目管理有限公司　</w:t>
      </w:r>
    </w:p>
    <w:p w14:paraId="526A780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w:t>
      </w:r>
      <w:bookmarkStart w:id="57" w:name="_Toc28359098"/>
      <w:bookmarkStart w:id="58" w:name="_Toc35393808"/>
      <w:bookmarkStart w:id="59" w:name="_Toc28359021"/>
      <w:bookmarkStart w:id="60" w:name="_Toc35393639"/>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浦北县晨华广场64栋-111号（二楼）         </w:t>
      </w:r>
    </w:p>
    <w:p w14:paraId="5B75B05D">
      <w:pPr>
        <w:pageBreakBefore w:val="0"/>
        <w:widowControl w:val="0"/>
        <w:kinsoku/>
        <w:wordWrap/>
        <w:overflowPunct/>
        <w:topLinePunct w:val="0"/>
        <w:autoSpaceDE/>
        <w:autoSpaceDN/>
        <w:bidi w:val="0"/>
        <w:adjustRightInd/>
        <w:spacing w:line="360" w:lineRule="auto"/>
        <w:ind w:firstLine="420" w:firstLineChars="2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项目联系人：陈敏</w:t>
      </w:r>
    </w:p>
    <w:p w14:paraId="72473EEB">
      <w:pPr>
        <w:pStyle w:val="3"/>
        <w:pageBreakBefore w:val="0"/>
        <w:widowControl w:val="0"/>
        <w:kinsoku/>
        <w:wordWrap/>
        <w:overflowPunct/>
        <w:topLinePunct w:val="0"/>
        <w:bidi w:val="0"/>
        <w:adjustRightInd/>
        <w:spacing w:line="360" w:lineRule="auto"/>
        <w:ind w:firstLine="420" w:firstLineChars="200"/>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项目联系方式：</w:t>
      </w:r>
      <w:bookmarkEnd w:id="57"/>
      <w:bookmarkEnd w:id="58"/>
      <w:bookmarkEnd w:id="59"/>
      <w:bookmarkEnd w:id="60"/>
      <w:r>
        <w:rPr>
          <w:rFonts w:hint="eastAsia" w:asciiTheme="minorEastAsia" w:hAnsiTheme="minorEastAsia" w:eastAsiaTheme="minorEastAsia" w:cstheme="minorEastAsia"/>
          <w:b w:val="0"/>
          <w:bCs w:val="0"/>
          <w:color w:val="auto"/>
          <w:kern w:val="0"/>
          <w:sz w:val="21"/>
          <w:szCs w:val="21"/>
          <w:highlight w:val="none"/>
          <w:lang w:val="en-US" w:eastAsia="zh-CN" w:bidi="ar-SA"/>
        </w:rPr>
        <w:t>0777-8381599</w:t>
      </w:r>
    </w:p>
    <w:p w14:paraId="1FC3B80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64102B44">
      <w:pPr>
        <w:pStyle w:val="39"/>
        <w:pageBreakBefore w:val="0"/>
        <w:numPr>
          <w:ilvl w:val="0"/>
          <w:numId w:val="0"/>
        </w:numPr>
        <w:kinsoku/>
        <w:wordWrap/>
        <w:overflowPunct/>
        <w:topLinePunct w:val="0"/>
        <w:bidi w:val="0"/>
        <w:spacing w:line="360" w:lineRule="auto"/>
        <w:textAlignment w:val="auto"/>
        <w:rPr>
          <w:rFonts w:hint="default"/>
          <w:color w:val="auto"/>
          <w:spacing w:val="0"/>
          <w:position w:val="0"/>
          <w:highlight w:val="none"/>
          <w:lang w:val="en-US" w:eastAsia="zh-CN"/>
        </w:rPr>
      </w:pPr>
    </w:p>
    <w:p w14:paraId="4A3D25B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712BDA48">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auto"/>
          <w:spacing w:val="0"/>
          <w:position w:val="0"/>
          <w:highlight w:val="none"/>
          <w:lang w:eastAsia="zh-CN"/>
        </w:rPr>
      </w:pPr>
      <w:r>
        <w:rPr>
          <w:rFonts w:hint="eastAsia" w:ascii="宋体" w:hAnsi="宋体" w:cs="宋体"/>
          <w:color w:val="auto"/>
          <w:spacing w:val="0"/>
          <w:position w:val="0"/>
          <w:highlight w:val="none"/>
        </w:rPr>
        <w:t xml:space="preserve">                                                    </w:t>
      </w:r>
      <w:r>
        <w:rPr>
          <w:rFonts w:hint="eastAsia" w:asciiTheme="minorEastAsia" w:hAnsiTheme="minorEastAsia" w:eastAsiaTheme="minorEastAsia" w:cstheme="minorEastAsia"/>
          <w:b w:val="0"/>
          <w:bCs w:val="0"/>
          <w:color w:val="auto"/>
          <w:kern w:val="0"/>
          <w:sz w:val="21"/>
          <w:szCs w:val="21"/>
          <w:highlight w:val="none"/>
          <w:lang w:val="en-US" w:eastAsia="zh-CN" w:bidi="ar-SA"/>
        </w:rPr>
        <w:t>广西华诚达建设项目管理有限公司</w:t>
      </w:r>
    </w:p>
    <w:p w14:paraId="51D5F168">
      <w:pPr>
        <w:pStyle w:val="10"/>
        <w:pageBreakBefore w:val="0"/>
        <w:kinsoku/>
        <w:wordWrap/>
        <w:overflowPunct/>
        <w:topLinePunct w:val="0"/>
        <w:bidi w:val="0"/>
        <w:spacing w:after="0" w:line="360" w:lineRule="auto"/>
        <w:jc w:val="center"/>
        <w:textAlignment w:val="auto"/>
        <w:rPr>
          <w:rFonts w:hint="eastAsia" w:ascii="宋体" w:hAnsi="宋体" w:cs="宋体"/>
          <w:b/>
          <w:bCs/>
          <w:color w:val="auto"/>
          <w:spacing w:val="0"/>
          <w:position w:val="0"/>
          <w:sz w:val="28"/>
          <w:szCs w:val="28"/>
          <w:highlight w:val="none"/>
        </w:rPr>
      </w:pPr>
      <w:r>
        <w:rPr>
          <w:rFonts w:hint="eastAsia" w:hAnsi="宋体" w:cs="宋体"/>
          <w:color w:val="auto"/>
          <w:spacing w:val="0"/>
          <w:kern w:val="2"/>
          <w:position w:val="0"/>
          <w:sz w:val="21"/>
          <w:szCs w:val="24"/>
          <w:highlight w:val="none"/>
          <w:lang w:val="en-US" w:eastAsia="zh-CN" w:bidi="ar-SA"/>
        </w:rPr>
        <w:t xml:space="preserve">                                                            2025 </w:t>
      </w:r>
      <w:r>
        <w:rPr>
          <w:rFonts w:hint="eastAsia" w:ascii="宋体" w:hAnsi="宋体" w:eastAsia="宋体" w:cs="宋体"/>
          <w:color w:val="auto"/>
          <w:spacing w:val="0"/>
          <w:kern w:val="2"/>
          <w:position w:val="0"/>
          <w:sz w:val="21"/>
          <w:szCs w:val="24"/>
          <w:highlight w:val="none"/>
          <w:lang w:val="en-US" w:eastAsia="zh-CN" w:bidi="ar-SA"/>
        </w:rPr>
        <w:t>年</w:t>
      </w:r>
      <w:r>
        <w:rPr>
          <w:rFonts w:hint="eastAsia" w:hAnsi="宋体" w:cs="宋体"/>
          <w:color w:val="auto"/>
          <w:spacing w:val="0"/>
          <w:kern w:val="2"/>
          <w:position w:val="0"/>
          <w:sz w:val="21"/>
          <w:szCs w:val="24"/>
          <w:highlight w:val="none"/>
          <w:lang w:val="en-US" w:eastAsia="zh-CN" w:bidi="ar-SA"/>
        </w:rPr>
        <w:t xml:space="preserve"> 06 </w:t>
      </w:r>
      <w:r>
        <w:rPr>
          <w:rFonts w:hint="eastAsia" w:ascii="宋体" w:hAnsi="宋体" w:eastAsia="宋体" w:cs="宋体"/>
          <w:color w:val="auto"/>
          <w:spacing w:val="0"/>
          <w:kern w:val="2"/>
          <w:position w:val="0"/>
          <w:sz w:val="21"/>
          <w:szCs w:val="24"/>
          <w:highlight w:val="none"/>
          <w:lang w:val="en-US" w:eastAsia="zh-CN" w:bidi="ar-SA"/>
        </w:rPr>
        <w:t>月</w:t>
      </w:r>
      <w:r>
        <w:rPr>
          <w:rFonts w:hint="eastAsia" w:hAnsi="宋体" w:cs="宋体"/>
          <w:color w:val="auto"/>
          <w:spacing w:val="0"/>
          <w:kern w:val="2"/>
          <w:position w:val="0"/>
          <w:sz w:val="21"/>
          <w:szCs w:val="24"/>
          <w:highlight w:val="none"/>
          <w:lang w:val="en-US" w:eastAsia="zh-CN" w:bidi="ar-SA"/>
        </w:rPr>
        <w:t xml:space="preserve"> 17 </w:t>
      </w:r>
      <w:r>
        <w:rPr>
          <w:rFonts w:hint="eastAsia" w:ascii="宋体" w:hAnsi="宋体" w:eastAsia="宋体" w:cs="宋体"/>
          <w:color w:val="auto"/>
          <w:spacing w:val="0"/>
          <w:kern w:val="2"/>
          <w:position w:val="0"/>
          <w:sz w:val="21"/>
          <w:szCs w:val="24"/>
          <w:highlight w:val="none"/>
          <w:lang w:val="en-US" w:eastAsia="zh-CN" w:bidi="ar-SA"/>
        </w:rPr>
        <w:t>日</w:t>
      </w:r>
    </w:p>
    <w:p w14:paraId="0790A454">
      <w:pPr>
        <w:pStyle w:val="39"/>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08D65976">
      <w:pPr>
        <w:pStyle w:val="39"/>
        <w:rPr>
          <w:rFonts w:hint="eastAsia" w:ascii="宋体" w:hAnsi="宋体" w:eastAsia="宋体" w:cs="宋体"/>
          <w:b w:val="0"/>
          <w:color w:val="auto"/>
          <w:spacing w:val="0"/>
          <w:position w:val="0"/>
          <w:sz w:val="21"/>
          <w:szCs w:val="21"/>
          <w:highlight w:val="none"/>
          <w:lang w:val="en-US" w:eastAsia="zh-CN"/>
        </w:rPr>
      </w:pPr>
    </w:p>
    <w:p w14:paraId="372FDE01">
      <w:pPr>
        <w:pStyle w:val="39"/>
        <w:rPr>
          <w:rFonts w:hint="eastAsia" w:ascii="宋体" w:hAnsi="宋体" w:eastAsia="宋体" w:cs="宋体"/>
          <w:b w:val="0"/>
          <w:color w:val="auto"/>
          <w:spacing w:val="0"/>
          <w:position w:val="0"/>
          <w:sz w:val="21"/>
          <w:szCs w:val="21"/>
          <w:highlight w:val="none"/>
          <w:lang w:val="en-US" w:eastAsia="zh-CN"/>
        </w:rPr>
      </w:pPr>
    </w:p>
    <w:p w14:paraId="63BB3078">
      <w:pPr>
        <w:pStyle w:val="39"/>
        <w:rPr>
          <w:rFonts w:hint="eastAsia" w:ascii="宋体" w:hAnsi="宋体" w:eastAsia="宋体" w:cs="宋体"/>
          <w:b w:val="0"/>
          <w:color w:val="auto"/>
          <w:spacing w:val="0"/>
          <w:position w:val="0"/>
          <w:sz w:val="21"/>
          <w:szCs w:val="21"/>
          <w:highlight w:val="none"/>
          <w:lang w:val="en-US" w:eastAsia="zh-CN"/>
        </w:rPr>
      </w:pPr>
    </w:p>
    <w:p w14:paraId="27881ACC">
      <w:pPr>
        <w:pStyle w:val="39"/>
        <w:rPr>
          <w:rFonts w:hint="eastAsia" w:ascii="宋体" w:hAnsi="宋体" w:eastAsia="宋体" w:cs="宋体"/>
          <w:b w:val="0"/>
          <w:color w:val="auto"/>
          <w:spacing w:val="0"/>
          <w:position w:val="0"/>
          <w:sz w:val="21"/>
          <w:szCs w:val="21"/>
          <w:highlight w:val="none"/>
          <w:lang w:val="en-US" w:eastAsia="zh-CN"/>
        </w:rPr>
      </w:pPr>
    </w:p>
    <w:p w14:paraId="33D6AA2F">
      <w:pPr>
        <w:pStyle w:val="39"/>
        <w:rPr>
          <w:rFonts w:hint="eastAsia" w:ascii="宋体" w:hAnsi="宋体" w:eastAsia="宋体" w:cs="宋体"/>
          <w:b w:val="0"/>
          <w:color w:val="auto"/>
          <w:spacing w:val="0"/>
          <w:position w:val="0"/>
          <w:sz w:val="21"/>
          <w:szCs w:val="21"/>
          <w:highlight w:val="none"/>
          <w:lang w:val="en-US" w:eastAsia="zh-CN"/>
        </w:rPr>
      </w:pPr>
    </w:p>
    <w:p w14:paraId="0B1C1FFB">
      <w:pPr>
        <w:pStyle w:val="39"/>
        <w:rPr>
          <w:rFonts w:hint="eastAsia" w:ascii="宋体" w:hAnsi="宋体" w:eastAsia="宋体" w:cs="宋体"/>
          <w:b w:val="0"/>
          <w:color w:val="auto"/>
          <w:spacing w:val="0"/>
          <w:position w:val="0"/>
          <w:sz w:val="21"/>
          <w:szCs w:val="21"/>
          <w:highlight w:val="none"/>
          <w:lang w:val="en-US" w:eastAsia="zh-CN"/>
        </w:rPr>
      </w:pPr>
    </w:p>
    <w:p w14:paraId="0E15911D">
      <w:pPr>
        <w:pStyle w:val="39"/>
        <w:rPr>
          <w:rFonts w:hint="eastAsia" w:ascii="宋体" w:hAnsi="宋体" w:eastAsia="宋体" w:cs="宋体"/>
          <w:b w:val="0"/>
          <w:color w:val="auto"/>
          <w:spacing w:val="0"/>
          <w:position w:val="0"/>
          <w:sz w:val="21"/>
          <w:szCs w:val="21"/>
          <w:highlight w:val="none"/>
          <w:lang w:val="en-US" w:eastAsia="zh-CN"/>
        </w:rPr>
      </w:pPr>
    </w:p>
    <w:p w14:paraId="2904C3CC">
      <w:pPr>
        <w:pStyle w:val="39"/>
        <w:rPr>
          <w:rFonts w:hint="eastAsia" w:ascii="宋体" w:hAnsi="宋体" w:eastAsia="宋体" w:cs="宋体"/>
          <w:b w:val="0"/>
          <w:color w:val="auto"/>
          <w:spacing w:val="0"/>
          <w:position w:val="0"/>
          <w:sz w:val="21"/>
          <w:szCs w:val="21"/>
          <w:highlight w:val="none"/>
          <w:lang w:val="en-US" w:eastAsia="zh-CN"/>
        </w:rPr>
      </w:pPr>
    </w:p>
    <w:p w14:paraId="5074408D">
      <w:pPr>
        <w:numPr>
          <w:ilvl w:val="0"/>
          <w:numId w:val="1"/>
        </w:numPr>
        <w:jc w:val="center"/>
        <w:outlineLvl w:val="0"/>
        <w:rPr>
          <w:rFonts w:ascii="宋体" w:hAnsi="宋体" w:cs="宋体"/>
          <w:b/>
          <w:bCs/>
          <w:color w:val="auto"/>
          <w:spacing w:val="0"/>
          <w:kern w:val="0"/>
          <w:position w:val="0"/>
          <w:sz w:val="36"/>
          <w:szCs w:val="36"/>
          <w:highlight w:val="none"/>
        </w:rPr>
      </w:pPr>
      <w:bookmarkStart w:id="61" w:name="_Toc5416"/>
      <w:r>
        <w:rPr>
          <w:rFonts w:hint="eastAsia" w:ascii="宋体" w:hAnsi="宋体" w:cs="宋体"/>
          <w:b/>
          <w:bCs/>
          <w:color w:val="auto"/>
          <w:spacing w:val="0"/>
          <w:kern w:val="0"/>
          <w:position w:val="0"/>
          <w:sz w:val="36"/>
          <w:szCs w:val="36"/>
          <w:highlight w:val="none"/>
          <w:lang w:eastAsia="zh-CN"/>
        </w:rPr>
        <w:t>供应商</w:t>
      </w:r>
      <w:r>
        <w:rPr>
          <w:rFonts w:hint="eastAsia" w:ascii="宋体" w:hAnsi="宋体" w:cs="宋体"/>
          <w:b/>
          <w:bCs/>
          <w:color w:val="auto"/>
          <w:spacing w:val="0"/>
          <w:kern w:val="0"/>
          <w:position w:val="0"/>
          <w:sz w:val="36"/>
          <w:szCs w:val="36"/>
          <w:highlight w:val="none"/>
        </w:rPr>
        <w:t>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2306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6907A2C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0351449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78EED2B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内容</w:t>
            </w:r>
          </w:p>
        </w:tc>
      </w:tr>
      <w:tr w14:paraId="2922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4B27AB9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772CF50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424D406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项目名称：</w:t>
            </w:r>
            <w:r>
              <w:rPr>
                <w:rFonts w:hint="eastAsia" w:ascii="宋体" w:hAnsi="宋体" w:cs="宋体"/>
                <w:b w:val="0"/>
                <w:bCs w:val="0"/>
                <w:color w:val="auto"/>
                <w:sz w:val="21"/>
                <w:szCs w:val="21"/>
                <w:u w:val="none"/>
                <w:lang w:val="en-US" w:eastAsia="zh-CN"/>
              </w:rPr>
              <w:t>江城街道合群村委窝田队芋车窝地块土方平整工程</w:t>
            </w:r>
          </w:p>
          <w:p w14:paraId="2EFCC21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u w:val="single"/>
                <w:lang w:eastAsia="zh-CN"/>
              </w:rPr>
            </w:pPr>
            <w:r>
              <w:rPr>
                <w:rFonts w:hint="eastAsia" w:ascii="宋体" w:hAnsi="宋体" w:cs="宋体"/>
                <w:color w:val="auto"/>
                <w:spacing w:val="0"/>
                <w:position w:val="0"/>
                <w:szCs w:val="21"/>
                <w:highlight w:val="none"/>
                <w:lang w:val="en-US" w:eastAsia="zh-CN"/>
              </w:rPr>
              <w:t>项目</w:t>
            </w:r>
            <w:r>
              <w:rPr>
                <w:rFonts w:hint="eastAsia" w:ascii="宋体" w:hAnsi="宋体" w:cs="宋体"/>
                <w:color w:val="auto"/>
                <w:spacing w:val="0"/>
                <w:position w:val="0"/>
                <w:szCs w:val="21"/>
                <w:highlight w:val="none"/>
              </w:rPr>
              <w:t>编号：QZZC2025-C2-220130-GXHC</w:t>
            </w:r>
          </w:p>
        </w:tc>
      </w:tr>
      <w:tr w14:paraId="19C5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3314768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5291353E">
            <w:pPr>
              <w:pStyle w:val="13"/>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auto"/>
                <w:spacing w:val="0"/>
                <w:position w:val="0"/>
                <w:highlight w:val="none"/>
              </w:rPr>
            </w:pPr>
            <w:r>
              <w:rPr>
                <w:rFonts w:hint="eastAsia"/>
                <w:color w:val="auto"/>
                <w:spacing w:val="0"/>
                <w:position w:val="0"/>
                <w:highlight w:val="none"/>
                <w:lang w:eastAsia="zh-CN"/>
              </w:rPr>
              <w:t>供应商</w:t>
            </w:r>
            <w:r>
              <w:rPr>
                <w:rFonts w:hint="eastAsia"/>
                <w:color w:val="auto"/>
                <w:spacing w:val="0"/>
                <w:position w:val="0"/>
                <w:highlight w:val="none"/>
              </w:rPr>
              <w:t>资格</w:t>
            </w:r>
          </w:p>
        </w:tc>
        <w:tc>
          <w:tcPr>
            <w:tcW w:w="7399" w:type="dxa"/>
            <w:tcBorders>
              <w:top w:val="single" w:color="auto" w:sz="4" w:space="0"/>
              <w:left w:val="single" w:color="auto" w:sz="4" w:space="0"/>
              <w:bottom w:val="single" w:color="auto" w:sz="4" w:space="0"/>
              <w:right w:val="single" w:color="auto" w:sz="4" w:space="0"/>
            </w:tcBorders>
            <w:vAlign w:val="center"/>
          </w:tcPr>
          <w:p w14:paraId="1AB5A805">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auto"/>
                <w:spacing w:val="0"/>
                <w:position w:val="0"/>
                <w:highlight w:val="none"/>
              </w:rPr>
            </w:pPr>
            <w:bookmarkStart w:id="62" w:name="OLE_LINK8"/>
            <w:r>
              <w:rPr>
                <w:rFonts w:hint="eastAsia"/>
                <w:b/>
                <w:bCs/>
                <w:color w:val="auto"/>
                <w:spacing w:val="0"/>
                <w:position w:val="0"/>
                <w:highlight w:val="none"/>
                <w:lang w:eastAsia="zh-CN"/>
              </w:rPr>
              <w:t>供应商</w:t>
            </w:r>
            <w:r>
              <w:rPr>
                <w:rFonts w:hint="eastAsia"/>
                <w:b/>
                <w:bCs/>
                <w:color w:val="auto"/>
                <w:spacing w:val="0"/>
                <w:position w:val="0"/>
                <w:highlight w:val="none"/>
              </w:rPr>
              <w:t>资格</w:t>
            </w:r>
            <w:r>
              <w:rPr>
                <w:rFonts w:hint="eastAsia"/>
                <w:b/>
                <w:bCs/>
                <w:color w:val="auto"/>
                <w:spacing w:val="0"/>
                <w:position w:val="0"/>
                <w:highlight w:val="none"/>
                <w:lang w:eastAsia="zh-CN"/>
              </w:rPr>
              <w:t>要求</w:t>
            </w:r>
            <w:r>
              <w:rPr>
                <w:rFonts w:hint="eastAsia"/>
                <w:b/>
                <w:bCs/>
                <w:color w:val="auto"/>
                <w:spacing w:val="0"/>
                <w:position w:val="0"/>
                <w:highlight w:val="none"/>
              </w:rPr>
              <w:t>：</w:t>
            </w:r>
          </w:p>
          <w:bookmarkEnd w:id="62"/>
          <w:p w14:paraId="4119E220">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1.符合《中华人民共和国政府采购法》第二十二条规定。 </w:t>
            </w:r>
          </w:p>
          <w:p w14:paraId="4CAE5A3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702069AA">
            <w:pPr>
              <w:pStyle w:val="10"/>
              <w:keepNext w:val="0"/>
              <w:keepLines w:val="0"/>
              <w:pageBreakBefore w:val="0"/>
              <w:widowControl w:val="0"/>
              <w:kinsoku/>
              <w:wordWrap/>
              <w:overflowPunct/>
              <w:topLinePunct w:val="0"/>
              <w:autoSpaceDE/>
              <w:autoSpaceDN/>
              <w:bidi w:val="0"/>
              <w:adjustRightInd/>
              <w:spacing w:after="0" w:line="360" w:lineRule="auto"/>
              <w:textAlignment w:val="auto"/>
              <w:rPr>
                <w:rFonts w:hint="eastAsia" w:hAnsi="宋体" w:cs="宋体"/>
                <w:color w:val="auto"/>
                <w:spacing w:val="0"/>
                <w:position w:val="0"/>
                <w:sz w:val="21"/>
                <w:szCs w:val="21"/>
                <w:highlight w:val="none"/>
              </w:rPr>
            </w:pPr>
            <w:r>
              <w:rPr>
                <w:rFonts w:hint="eastAsia" w:hAnsi="宋体" w:cs="宋体"/>
                <w:color w:val="auto"/>
                <w:spacing w:val="0"/>
                <w:position w:val="0"/>
                <w:sz w:val="21"/>
                <w:szCs w:val="21"/>
                <w:highlight w:val="none"/>
              </w:rPr>
              <w:t>3.本项目的特定资格要求：</w:t>
            </w:r>
          </w:p>
          <w:p w14:paraId="0355A949">
            <w:pPr>
              <w:pStyle w:val="10"/>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pacing w:val="0"/>
                <w:position w:val="0"/>
                <w:sz w:val="21"/>
                <w:szCs w:val="21"/>
                <w:highlight w:val="none"/>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 w:val="21"/>
                <w:szCs w:val="21"/>
                <w:highlight w:val="none"/>
                <w:lang w:val="en-US" w:eastAsia="zh-CN"/>
              </w:rPr>
              <w:t>。</w:t>
            </w:r>
          </w:p>
          <w:p w14:paraId="58890E0E">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供应商出现下列情形之一的，不得参加政府采购活动：</w:t>
            </w:r>
          </w:p>
          <w:p w14:paraId="6D3C6555">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4D4A24E">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对在“信用中国”网站（www.creditchina.gov.cn</w:t>
            </w:r>
            <w:r>
              <w:rPr>
                <w:rFonts w:hint="eastAsia" w:ascii="宋体" w:hAnsi="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556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3A9FF48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30B2A54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报价</w:t>
            </w:r>
          </w:p>
        </w:tc>
        <w:tc>
          <w:tcPr>
            <w:tcW w:w="7399" w:type="dxa"/>
            <w:tcBorders>
              <w:top w:val="single" w:color="auto" w:sz="4" w:space="0"/>
              <w:left w:val="single" w:color="auto" w:sz="4" w:space="0"/>
              <w:bottom w:val="single" w:color="auto" w:sz="4" w:space="0"/>
              <w:right w:val="single" w:color="auto" w:sz="4" w:space="0"/>
            </w:tcBorders>
            <w:vAlign w:val="center"/>
          </w:tcPr>
          <w:p w14:paraId="4884B1F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val="en-US" w:eastAsia="zh-CN"/>
              </w:rPr>
              <w:t>竞标</w:t>
            </w:r>
            <w:r>
              <w:rPr>
                <w:rFonts w:hint="eastAsia" w:ascii="宋体" w:hAnsi="宋体" w:cs="宋体"/>
                <w:color w:val="auto"/>
                <w:spacing w:val="0"/>
                <w:position w:val="0"/>
                <w:highlight w:val="none"/>
                <w:lang w:eastAsia="zh-CN"/>
              </w:rPr>
              <w:t>报价：</w:t>
            </w:r>
          </w:p>
          <w:p w14:paraId="7213A7A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 xml:space="preserve">1.供应商必须就所投项目的全部内容作完整唯一报价，漏项报价的或有选择的或有条件的报价，其磋商将视为无效。                        </w:t>
            </w:r>
          </w:p>
          <w:p w14:paraId="7C049948">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lang w:eastAsia="zh-CN"/>
              </w:rPr>
              <w:t>2.本项目报价采用</w:t>
            </w:r>
            <w:r>
              <w:rPr>
                <w:rFonts w:hint="eastAsia" w:ascii="宋体" w:hAnsi="宋体" w:cs="宋体"/>
                <w:color w:val="auto"/>
                <w:spacing w:val="0"/>
                <w:position w:val="0"/>
                <w:highlight w:val="none"/>
                <w:lang w:val="en-US" w:eastAsia="zh-CN"/>
              </w:rPr>
              <w:t>工程量清单报价</w:t>
            </w:r>
            <w:r>
              <w:rPr>
                <w:rFonts w:hint="eastAsia" w:ascii="宋体" w:hAnsi="宋体" w:cs="宋体"/>
                <w:color w:val="auto"/>
                <w:spacing w:val="0"/>
                <w:position w:val="0"/>
                <w:highlight w:val="none"/>
                <w:lang w:eastAsia="zh-CN"/>
              </w:rPr>
              <w:t>方式，合同价在合同实施期间因市场价格波动可调整合同价格，合同价含服务资料、人员成本、服务费、管理、材料、利润、税金、政策性文件规定及合同包含的应有风险、责任等各项应有费用。</w:t>
            </w:r>
          </w:p>
        </w:tc>
      </w:tr>
      <w:tr w14:paraId="2B7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3C31050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2373CC80">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1EF07D23">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1.响应文件电子版要求：按照本采购文件“</w:t>
            </w:r>
            <w:r>
              <w:rPr>
                <w:rFonts w:hint="eastAsia" w:ascii="宋体" w:hAnsi="宋体"/>
                <w:color w:val="auto"/>
                <w:spacing w:val="0"/>
                <w:position w:val="0"/>
                <w:szCs w:val="21"/>
                <w:highlight w:val="none"/>
              </w:rPr>
              <w:t>第五章 响应文件格式</w:t>
            </w:r>
            <w:r>
              <w:rPr>
                <w:rFonts w:hint="eastAsia" w:ascii="宋体" w:hAnsi="宋体" w:cs="宋体"/>
                <w:color w:val="auto"/>
                <w:spacing w:val="0"/>
                <w:position w:val="0"/>
                <w:szCs w:val="21"/>
                <w:highlight w:val="none"/>
              </w:rPr>
              <w:t>”编写（第五章未附格式的，由供应商自行拟定），不可涂改并在规定加盖公章处加盖电子公章，</w:t>
            </w:r>
            <w:r>
              <w:rPr>
                <w:rFonts w:hint="eastAsia" w:ascii="宋体" w:hAnsi="宋体" w:cs="宋体"/>
                <w:b/>
                <w:color w:val="auto"/>
                <w:spacing w:val="0"/>
                <w:position w:val="0"/>
                <w:szCs w:val="21"/>
                <w:highlight w:val="none"/>
              </w:rPr>
              <w:t>否则响应文件按无效响应处理</w:t>
            </w:r>
            <w:r>
              <w:rPr>
                <w:rFonts w:hint="eastAsia" w:ascii="宋体" w:hAnsi="宋体" w:cs="宋体"/>
                <w:color w:val="auto"/>
                <w:spacing w:val="0"/>
                <w:position w:val="0"/>
                <w:szCs w:val="21"/>
                <w:highlight w:val="none"/>
              </w:rPr>
              <w:t>。</w:t>
            </w:r>
          </w:p>
          <w:p w14:paraId="10C4794F">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Courier New"/>
                <w:color w:val="auto"/>
                <w:spacing w:val="0"/>
                <w:position w:val="0"/>
                <w:szCs w:val="21"/>
                <w:highlight w:val="none"/>
              </w:rPr>
              <w:t>.响应文件电子版密封方式：电子响应文件通过平台有效CA加密后在</w:t>
            </w:r>
            <w:r>
              <w:rPr>
                <w:rFonts w:hint="eastAsia" w:ascii="宋体" w:hAnsi="宋体" w:cs="Courier New"/>
                <w:color w:val="auto"/>
                <w:spacing w:val="0"/>
                <w:position w:val="0"/>
                <w:szCs w:val="21"/>
                <w:highlight w:val="none"/>
                <w:lang w:eastAsia="zh-CN"/>
              </w:rPr>
              <w:t>广西政府采购云平台递交</w:t>
            </w:r>
            <w:r>
              <w:rPr>
                <w:rFonts w:hint="eastAsia" w:ascii="宋体" w:hAnsi="宋体" w:cs="Courier New"/>
                <w:color w:val="auto"/>
                <w:spacing w:val="0"/>
                <w:position w:val="0"/>
                <w:szCs w:val="21"/>
                <w:highlight w:val="none"/>
              </w:rPr>
              <w:t>。</w:t>
            </w:r>
          </w:p>
        </w:tc>
      </w:tr>
      <w:tr w14:paraId="577F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2707C85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51654F43">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4E94E252">
            <w:pPr>
              <w:pStyle w:val="9"/>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auto"/>
                <w:spacing w:val="0"/>
                <w:position w:val="0"/>
                <w:szCs w:val="21"/>
                <w:highlight w:val="none"/>
                <w:lang w:val="en-US"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本项目不接受</w:t>
            </w:r>
            <w:r>
              <w:rPr>
                <w:color w:val="auto"/>
                <w:spacing w:val="0"/>
                <w:position w:val="0"/>
                <w:sz w:val="21"/>
                <w:highlight w:val="none"/>
              </w:rPr>
              <w:t>电子备份响应文件</w:t>
            </w:r>
            <w:r>
              <w:rPr>
                <w:rFonts w:hint="eastAsia"/>
                <w:color w:val="auto"/>
                <w:spacing w:val="0"/>
                <w:position w:val="0"/>
                <w:sz w:val="21"/>
                <w:highlight w:val="none"/>
                <w:lang w:eastAsia="zh-CN"/>
              </w:rPr>
              <w:t>。</w:t>
            </w:r>
          </w:p>
          <w:p w14:paraId="4BFD5645">
            <w:pPr>
              <w:pStyle w:val="9"/>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本项目接受</w:t>
            </w:r>
            <w:r>
              <w:rPr>
                <w:color w:val="auto"/>
                <w:spacing w:val="0"/>
                <w:position w:val="0"/>
                <w:sz w:val="21"/>
                <w:highlight w:val="none"/>
              </w:rPr>
              <w:t>电子备份响应文件</w:t>
            </w:r>
            <w:r>
              <w:rPr>
                <w:rFonts w:hint="eastAsia" w:ascii="宋体" w:hAnsi="宋体"/>
                <w:color w:val="auto"/>
                <w:spacing w:val="0"/>
                <w:position w:val="0"/>
                <w:szCs w:val="21"/>
                <w:highlight w:val="none"/>
                <w:lang w:eastAsia="zh-CN"/>
              </w:rPr>
              <w:t>。</w:t>
            </w:r>
          </w:p>
        </w:tc>
      </w:tr>
      <w:tr w14:paraId="7A90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0700197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62AA2836">
            <w:pPr>
              <w:keepNext w:val="0"/>
              <w:keepLines w:val="0"/>
              <w:pageBreakBefore w:val="0"/>
              <w:widowControl w:val="0"/>
              <w:kinsoku/>
              <w:wordWrap/>
              <w:overflowPunct/>
              <w:topLinePunct w:val="0"/>
              <w:autoSpaceDE/>
              <w:autoSpaceDN/>
              <w:bidi w:val="0"/>
              <w:adjustRightInd/>
              <w:spacing w:line="360" w:lineRule="auto"/>
              <w:jc w:val="center"/>
              <w:textAlignment w:val="auto"/>
              <w:rPr>
                <w:color w:val="auto"/>
                <w:spacing w:val="0"/>
                <w:position w:val="0"/>
                <w:highlight w:val="none"/>
              </w:rPr>
            </w:pPr>
            <w:r>
              <w:rPr>
                <w:rFonts w:hint="eastAsia"/>
                <w:color w:val="auto"/>
                <w:spacing w:val="0"/>
                <w:position w:val="0"/>
                <w:highlight w:val="none"/>
                <w:lang w:eastAsia="zh-CN"/>
              </w:rPr>
              <w:t>竞标</w:t>
            </w:r>
            <w:r>
              <w:rPr>
                <w:rFonts w:hint="eastAsia"/>
                <w:color w:val="auto"/>
                <w:spacing w:val="0"/>
                <w:position w:val="0"/>
                <w:highlight w:val="none"/>
              </w:rPr>
              <w:t>有效期</w:t>
            </w:r>
          </w:p>
        </w:tc>
        <w:tc>
          <w:tcPr>
            <w:tcW w:w="7399" w:type="dxa"/>
            <w:tcBorders>
              <w:top w:val="single" w:color="auto" w:sz="4" w:space="0"/>
              <w:left w:val="single" w:color="auto" w:sz="4" w:space="0"/>
              <w:bottom w:val="single" w:color="auto" w:sz="4" w:space="0"/>
              <w:right w:val="single" w:color="auto" w:sz="4" w:space="0"/>
            </w:tcBorders>
            <w:vAlign w:val="center"/>
          </w:tcPr>
          <w:p w14:paraId="477C97F3">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有效期：</w:t>
            </w: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截止日期后60天</w:t>
            </w:r>
          </w:p>
        </w:tc>
      </w:tr>
      <w:tr w14:paraId="209C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766D5E8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7</w:t>
            </w:r>
          </w:p>
        </w:tc>
        <w:tc>
          <w:tcPr>
            <w:tcW w:w="1602" w:type="dxa"/>
            <w:tcBorders>
              <w:top w:val="single" w:color="auto" w:sz="4" w:space="0"/>
              <w:left w:val="single" w:color="auto" w:sz="4" w:space="0"/>
              <w:bottom w:val="single" w:color="auto" w:sz="4" w:space="0"/>
              <w:right w:val="single" w:color="auto" w:sz="4" w:space="0"/>
            </w:tcBorders>
            <w:vAlign w:val="center"/>
          </w:tcPr>
          <w:p w14:paraId="3C78842D">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2F2E132F">
            <w:pPr>
              <w:pStyle w:val="13"/>
              <w:keepNext w:val="0"/>
              <w:keepLines w:val="0"/>
              <w:pageBreakBefore w:val="0"/>
              <w:widowControl w:val="0"/>
              <w:kinsoku/>
              <w:wordWrap/>
              <w:overflowPunct/>
              <w:topLinePunct w:val="0"/>
              <w:bidi w:val="0"/>
              <w:adjustRightInd/>
              <w:spacing w:line="360" w:lineRule="auto"/>
              <w:textAlignment w:val="auto"/>
              <w:rPr>
                <w:rFonts w:hint="default" w:hAnsi="宋体" w:cs="宋体"/>
                <w:color w:val="auto"/>
                <w:spacing w:val="0"/>
                <w:kern w:val="0"/>
                <w:position w:val="0"/>
                <w:szCs w:val="21"/>
                <w:highlight w:val="none"/>
                <w:lang w:val="en-US" w:eastAsia="zh-CN"/>
              </w:rPr>
            </w:pPr>
            <w:r>
              <w:rPr>
                <w:rFonts w:hint="eastAsia" w:hAnsi="宋体" w:cs="宋体"/>
                <w:color w:val="auto"/>
                <w:spacing w:val="0"/>
                <w:kern w:val="0"/>
                <w:position w:val="0"/>
                <w:szCs w:val="21"/>
                <w:highlight w:val="none"/>
                <w:lang w:eastAsia="zh-CN"/>
              </w:rPr>
              <w:t>本项目是否要求收取磋商保证金：</w:t>
            </w:r>
            <w:r>
              <w:rPr>
                <w:rFonts w:hint="eastAsia" w:hAnsi="宋体" w:cs="宋体"/>
                <w:color w:val="auto"/>
                <w:spacing w:val="0"/>
                <w:kern w:val="0"/>
                <w:position w:val="0"/>
                <w:szCs w:val="21"/>
                <w:highlight w:val="none"/>
                <w:lang w:val="en-US" w:eastAsia="zh-CN"/>
              </w:rPr>
              <w:t>不要求</w:t>
            </w:r>
          </w:p>
          <w:p w14:paraId="5B822F97">
            <w:pPr>
              <w:pStyle w:val="13"/>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w:t>
            </w:r>
            <w:r>
              <w:rPr>
                <w:rFonts w:hint="eastAsia" w:hAnsi="宋体" w:cs="宋体"/>
                <w:color w:val="auto"/>
                <w:spacing w:val="0"/>
                <w:kern w:val="0"/>
                <w:position w:val="0"/>
                <w:szCs w:val="21"/>
                <w:highlight w:val="none"/>
                <w:lang w:eastAsia="zh-CN"/>
              </w:rPr>
              <w:t>：</w:t>
            </w:r>
            <w:r>
              <w:rPr>
                <w:rFonts w:hint="eastAsia" w:hAnsi="宋体"/>
                <w:color w:val="auto"/>
                <w:spacing w:val="0"/>
                <w:position w:val="0"/>
                <w:szCs w:val="21"/>
                <w:highlight w:val="none"/>
                <w:u w:val="single"/>
                <w:lang w:val="en-US" w:eastAsia="zh-CN"/>
              </w:rPr>
              <w:t xml:space="preserve">  / </w:t>
            </w:r>
            <w:r>
              <w:rPr>
                <w:rFonts w:hint="eastAsia" w:hAnsi="宋体"/>
                <w:color w:val="auto"/>
                <w:spacing w:val="0"/>
                <w:position w:val="0"/>
                <w:szCs w:val="21"/>
                <w:highlight w:val="none"/>
              </w:rPr>
              <w:t>元整</w:t>
            </w:r>
            <w:r>
              <w:rPr>
                <w:rFonts w:hint="eastAsia" w:hAnsi="宋体" w:cs="宋体"/>
                <w:color w:val="auto"/>
                <w:spacing w:val="0"/>
                <w:kern w:val="0"/>
                <w:position w:val="0"/>
                <w:szCs w:val="21"/>
                <w:highlight w:val="none"/>
              </w:rPr>
              <w:t>。</w:t>
            </w:r>
          </w:p>
          <w:p w14:paraId="56CF7551">
            <w:pPr>
              <w:pStyle w:val="13"/>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olor w:val="auto"/>
                <w:spacing w:val="0"/>
                <w:position w:val="0"/>
                <w:szCs w:val="21"/>
                <w:highlight w:val="none"/>
                <w:lang w:eastAsia="zh-CN"/>
              </w:rPr>
              <w:t>磋商</w:t>
            </w:r>
            <w:r>
              <w:rPr>
                <w:rFonts w:hint="eastAsia" w:hAnsi="宋体"/>
                <w:color w:val="auto"/>
                <w:spacing w:val="0"/>
                <w:position w:val="0"/>
                <w:szCs w:val="21"/>
                <w:highlight w:val="none"/>
              </w:rPr>
              <w:t>保证金缴纳形式：银行转账、支票、汇票、本票或者银行、</w:t>
            </w:r>
            <w:r>
              <w:rPr>
                <w:rFonts w:hint="eastAsia" w:hAnsi="宋体"/>
                <w:color w:val="auto"/>
                <w:spacing w:val="0"/>
                <w:position w:val="0"/>
                <w:szCs w:val="21"/>
                <w:highlight w:val="none"/>
                <w:lang w:eastAsia="zh-CN"/>
              </w:rPr>
              <w:t>保险机构出具的保函、保险单</w:t>
            </w:r>
            <w:r>
              <w:rPr>
                <w:rFonts w:hint="eastAsia" w:hAnsi="宋体"/>
                <w:color w:val="auto"/>
                <w:spacing w:val="0"/>
                <w:position w:val="0"/>
                <w:szCs w:val="21"/>
                <w:highlight w:val="none"/>
              </w:rPr>
              <w:t>，禁止采用现钞方式。</w:t>
            </w:r>
          </w:p>
          <w:p w14:paraId="6B99CA91">
            <w:pPr>
              <w:pStyle w:val="13"/>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auto"/>
                <w:spacing w:val="0"/>
                <w:kern w:val="0"/>
                <w:position w:val="0"/>
                <w:szCs w:val="21"/>
                <w:highlight w:val="none"/>
                <w:lang w:eastAsia="zh-CN"/>
              </w:rPr>
            </w:pPr>
            <w:r>
              <w:rPr>
                <w:rFonts w:hint="eastAsia" w:hAnsi="宋体" w:cs="宋体"/>
                <w:color w:val="auto"/>
                <w:spacing w:val="0"/>
                <w:kern w:val="0"/>
                <w:position w:val="0"/>
                <w:szCs w:val="21"/>
                <w:highlight w:val="none"/>
              </w:rPr>
              <w:t>采用银行转账方式的，</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标人将</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保证金从</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标人基本账户转出交至以下指定的</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保证金专用账户，且提交到指定账户时间不得迟于</w:t>
            </w:r>
            <w:r>
              <w:rPr>
                <w:rFonts w:hint="eastAsia" w:hAnsi="宋体" w:cs="宋体"/>
                <w:color w:val="auto"/>
                <w:spacing w:val="0"/>
                <w:kern w:val="0"/>
                <w:position w:val="0"/>
                <w:szCs w:val="21"/>
                <w:highlight w:val="none"/>
                <w:lang w:eastAsia="zh-CN"/>
              </w:rPr>
              <w:t>响应文件提交</w:t>
            </w:r>
            <w:r>
              <w:rPr>
                <w:rFonts w:hint="eastAsia" w:hAnsi="宋体" w:cs="宋体"/>
                <w:color w:val="auto"/>
                <w:spacing w:val="0"/>
                <w:kern w:val="0"/>
                <w:position w:val="0"/>
                <w:szCs w:val="21"/>
                <w:highlight w:val="none"/>
              </w:rPr>
              <w:t>截止时间（以到账为准）</w:t>
            </w:r>
            <w:r>
              <w:rPr>
                <w:rFonts w:hint="eastAsia" w:hAnsi="宋体" w:cs="宋体"/>
                <w:color w:val="auto"/>
                <w:spacing w:val="0"/>
                <w:kern w:val="0"/>
                <w:position w:val="0"/>
                <w:szCs w:val="21"/>
                <w:highlight w:val="none"/>
                <w:lang w:eastAsia="zh-CN"/>
              </w:rPr>
              <w:t>：</w:t>
            </w:r>
          </w:p>
          <w:p w14:paraId="1DF288C4">
            <w:pPr>
              <w:pStyle w:val="13"/>
              <w:keepNext w:val="0"/>
              <w:keepLines w:val="0"/>
              <w:pageBreakBefore w:val="0"/>
              <w:widowControl w:val="0"/>
              <w:kinsoku/>
              <w:wordWrap/>
              <w:overflowPunct/>
              <w:topLinePunct w:val="0"/>
              <w:bidi w:val="0"/>
              <w:adjustRightInd/>
              <w:spacing w:line="360" w:lineRule="auto"/>
              <w:textAlignment w:val="auto"/>
              <w:rPr>
                <w:rFonts w:hint="default" w:hAnsi="宋体" w:cs="宋体"/>
                <w:color w:val="auto"/>
                <w:spacing w:val="0"/>
                <w:kern w:val="0"/>
                <w:position w:val="0"/>
                <w:szCs w:val="21"/>
                <w:highlight w:val="none"/>
                <w:u w:val="none"/>
                <w:lang w:val="en-US"/>
              </w:rPr>
            </w:pPr>
            <w:r>
              <w:rPr>
                <w:rFonts w:hint="eastAsia" w:hAnsi="宋体" w:cs="宋体"/>
                <w:color w:val="auto"/>
                <w:spacing w:val="0"/>
                <w:kern w:val="0"/>
                <w:position w:val="0"/>
                <w:szCs w:val="21"/>
                <w:highlight w:val="none"/>
                <w:u w:val="none"/>
              </w:rPr>
              <w:t>开户行：</w:t>
            </w:r>
            <w:r>
              <w:rPr>
                <w:rFonts w:hint="eastAsia" w:hAnsi="宋体"/>
                <w:color w:val="auto"/>
                <w:spacing w:val="0"/>
                <w:position w:val="0"/>
                <w:szCs w:val="21"/>
                <w:highlight w:val="none"/>
                <w:u w:val="none"/>
                <w:lang w:val="en-US" w:eastAsia="zh-CN"/>
              </w:rPr>
              <w:t xml:space="preserve">/ </w:t>
            </w:r>
          </w:p>
          <w:p w14:paraId="2B06B418">
            <w:pPr>
              <w:pStyle w:val="13"/>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户名：</w:t>
            </w:r>
            <w:r>
              <w:rPr>
                <w:rFonts w:hint="eastAsia" w:hAnsi="宋体"/>
                <w:color w:val="auto"/>
                <w:spacing w:val="0"/>
                <w:position w:val="0"/>
                <w:szCs w:val="21"/>
                <w:highlight w:val="none"/>
                <w:u w:val="none"/>
                <w:lang w:val="en-US" w:eastAsia="zh-CN"/>
              </w:rPr>
              <w:t>/</w:t>
            </w:r>
          </w:p>
          <w:p w14:paraId="307707EC">
            <w:pPr>
              <w:pStyle w:val="13"/>
              <w:keepNext w:val="0"/>
              <w:keepLines w:val="0"/>
              <w:pageBreakBefore w:val="0"/>
              <w:widowControl w:val="0"/>
              <w:kinsoku/>
              <w:wordWrap/>
              <w:overflowPunct/>
              <w:topLinePunct w:val="0"/>
              <w:bidi w:val="0"/>
              <w:adjustRightInd/>
              <w:spacing w:line="360" w:lineRule="auto"/>
              <w:textAlignment w:val="auto"/>
              <w:rPr>
                <w:rFonts w:hint="eastAsia" w:eastAsia="宋体"/>
                <w:color w:val="auto"/>
                <w:spacing w:val="0"/>
                <w:position w:val="0"/>
                <w:highlight w:val="none"/>
                <w:lang w:eastAsia="zh-CN"/>
              </w:rPr>
            </w:pPr>
            <w:r>
              <w:rPr>
                <w:rFonts w:hint="eastAsia" w:hAnsi="宋体" w:cs="宋体"/>
                <w:color w:val="auto"/>
                <w:spacing w:val="0"/>
                <w:kern w:val="0"/>
                <w:position w:val="0"/>
                <w:szCs w:val="21"/>
                <w:highlight w:val="none"/>
                <w:u w:val="none"/>
              </w:rPr>
              <w:t xml:space="preserve">账号： </w:t>
            </w:r>
            <w:r>
              <w:rPr>
                <w:rFonts w:hint="eastAsia" w:hAnsi="宋体"/>
                <w:color w:val="auto"/>
                <w:spacing w:val="0"/>
                <w:position w:val="0"/>
                <w:szCs w:val="21"/>
                <w:highlight w:val="none"/>
                <w:u w:val="none"/>
                <w:lang w:val="en-US" w:eastAsia="zh-CN"/>
              </w:rPr>
              <w:t>/</w:t>
            </w:r>
          </w:p>
        </w:tc>
      </w:tr>
      <w:tr w14:paraId="115A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620588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8</w:t>
            </w:r>
          </w:p>
        </w:tc>
        <w:tc>
          <w:tcPr>
            <w:tcW w:w="1602" w:type="dxa"/>
            <w:tcBorders>
              <w:top w:val="single" w:color="auto" w:sz="4" w:space="0"/>
              <w:left w:val="single" w:color="auto" w:sz="4" w:space="0"/>
              <w:bottom w:val="single" w:color="auto" w:sz="4" w:space="0"/>
              <w:right w:val="single" w:color="auto" w:sz="4" w:space="0"/>
            </w:tcBorders>
            <w:vAlign w:val="center"/>
          </w:tcPr>
          <w:p w14:paraId="2806ACA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hAnsi="宋体" w:cs="宋体"/>
                <w:color w:val="auto"/>
                <w:spacing w:val="0"/>
                <w:position w:val="0"/>
                <w:highlight w:val="none"/>
                <w:lang w:eastAsia="zh-CN"/>
              </w:rPr>
              <w:t>响应</w:t>
            </w:r>
            <w:r>
              <w:rPr>
                <w:rFonts w:hint="eastAsia" w:hAnsi="宋体" w:cs="宋体"/>
                <w:color w:val="auto"/>
                <w:spacing w:val="0"/>
                <w:position w:val="0"/>
                <w:highlight w:val="none"/>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22E0DCBD">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331E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7911681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9</w:t>
            </w:r>
          </w:p>
        </w:tc>
        <w:tc>
          <w:tcPr>
            <w:tcW w:w="1602" w:type="dxa"/>
            <w:tcBorders>
              <w:top w:val="single" w:color="auto" w:sz="4" w:space="0"/>
              <w:left w:val="single" w:color="auto" w:sz="4" w:space="0"/>
              <w:bottom w:val="single" w:color="auto" w:sz="4" w:space="0"/>
              <w:right w:val="single" w:color="auto" w:sz="4" w:space="0"/>
            </w:tcBorders>
            <w:vAlign w:val="center"/>
          </w:tcPr>
          <w:p w14:paraId="00210AC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76D5A6A0">
            <w:pPr>
              <w:pStyle w:val="13"/>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auto"/>
                <w:spacing w:val="0"/>
                <w:position w:val="0"/>
                <w:highlight w:val="none"/>
              </w:rPr>
            </w:pPr>
            <w:r>
              <w:rPr>
                <w:rFonts w:hint="eastAsia" w:hAnsi="宋体" w:cs="宋体"/>
                <w:color w:val="auto"/>
                <w:spacing w:val="0"/>
                <w:position w:val="0"/>
                <w:highlight w:val="none"/>
              </w:rPr>
              <w:t>评标委员会构成：</w:t>
            </w:r>
            <w:r>
              <w:rPr>
                <w:rFonts w:hint="eastAsia" w:hAnsi="宋体" w:cs="宋体"/>
                <w:color w:val="auto"/>
                <w:spacing w:val="0"/>
                <w:position w:val="0"/>
                <w:highlight w:val="none"/>
                <w:lang w:val="en-US" w:eastAsia="zh-CN"/>
              </w:rPr>
              <w:t>3</w:t>
            </w:r>
            <w:r>
              <w:rPr>
                <w:rFonts w:hint="eastAsia" w:hAnsi="宋体" w:cs="宋体"/>
                <w:color w:val="auto"/>
                <w:spacing w:val="0"/>
                <w:position w:val="0"/>
                <w:highlight w:val="none"/>
              </w:rPr>
              <w:t>人，其中</w:t>
            </w:r>
            <w:r>
              <w:rPr>
                <w:rFonts w:hint="eastAsia" w:hAnsi="宋体" w:cs="宋体"/>
                <w:color w:val="auto"/>
                <w:spacing w:val="0"/>
                <w:position w:val="0"/>
                <w:highlight w:val="none"/>
                <w:lang w:val="en-US" w:eastAsia="zh-CN"/>
              </w:rPr>
              <w:t>采购单位</w:t>
            </w:r>
            <w:r>
              <w:rPr>
                <w:rFonts w:hint="eastAsia" w:hAnsi="宋体" w:cs="宋体"/>
                <w:color w:val="auto"/>
                <w:spacing w:val="0"/>
                <w:position w:val="0"/>
                <w:highlight w:val="none"/>
              </w:rPr>
              <w:t>委托代表</w:t>
            </w:r>
            <w:r>
              <w:rPr>
                <w:rFonts w:hint="eastAsia" w:hAnsi="宋体" w:cs="宋体"/>
                <w:color w:val="auto"/>
                <w:spacing w:val="0"/>
                <w:position w:val="0"/>
                <w:highlight w:val="none"/>
                <w:lang w:val="en-US" w:eastAsia="zh-CN"/>
              </w:rPr>
              <w:t>1</w:t>
            </w:r>
            <w:r>
              <w:rPr>
                <w:rFonts w:hint="eastAsia" w:hAnsi="宋体" w:cs="宋体"/>
                <w:color w:val="auto"/>
                <w:spacing w:val="0"/>
                <w:position w:val="0"/>
                <w:highlight w:val="none"/>
              </w:rPr>
              <w:t>人，专家</w:t>
            </w:r>
            <w:r>
              <w:rPr>
                <w:rFonts w:hint="eastAsia" w:hAnsi="宋体" w:cs="宋体"/>
                <w:color w:val="auto"/>
                <w:spacing w:val="0"/>
                <w:position w:val="0"/>
                <w:highlight w:val="none"/>
                <w:lang w:val="en-US" w:eastAsia="zh-CN"/>
              </w:rPr>
              <w:t>2</w:t>
            </w:r>
            <w:r>
              <w:rPr>
                <w:rFonts w:hint="eastAsia" w:hAnsi="宋体" w:cs="宋体"/>
                <w:color w:val="auto"/>
                <w:spacing w:val="0"/>
                <w:position w:val="0"/>
                <w:highlight w:val="none"/>
              </w:rPr>
              <w:t>人；</w:t>
            </w:r>
          </w:p>
          <w:p w14:paraId="3A53733A">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评标专家确定方式：随机抽取。</w:t>
            </w:r>
          </w:p>
        </w:tc>
      </w:tr>
      <w:tr w14:paraId="4B55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7F4409F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10</w:t>
            </w:r>
          </w:p>
        </w:tc>
        <w:tc>
          <w:tcPr>
            <w:tcW w:w="1602" w:type="dxa"/>
            <w:tcBorders>
              <w:top w:val="single" w:color="auto" w:sz="4" w:space="0"/>
              <w:left w:val="single" w:color="auto" w:sz="4" w:space="0"/>
              <w:bottom w:val="single" w:color="auto" w:sz="4" w:space="0"/>
              <w:right w:val="single" w:color="auto" w:sz="4" w:space="0"/>
            </w:tcBorders>
            <w:vAlign w:val="center"/>
          </w:tcPr>
          <w:p w14:paraId="356E121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357F66C7">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3857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3AEF46A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1</w:t>
            </w:r>
          </w:p>
        </w:tc>
        <w:tc>
          <w:tcPr>
            <w:tcW w:w="1602" w:type="dxa"/>
            <w:tcBorders>
              <w:top w:val="single" w:color="auto" w:sz="4" w:space="0"/>
              <w:left w:val="single" w:color="auto" w:sz="4" w:space="0"/>
              <w:bottom w:val="single" w:color="auto" w:sz="4" w:space="0"/>
              <w:right w:val="single" w:color="auto" w:sz="4" w:space="0"/>
            </w:tcBorders>
            <w:vAlign w:val="center"/>
          </w:tcPr>
          <w:p w14:paraId="648AA3D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34EE65F3">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评标方法：</w:t>
            </w:r>
            <w:r>
              <w:rPr>
                <w:rFonts w:hint="eastAsia"/>
                <w:color w:val="auto"/>
                <w:spacing w:val="0"/>
                <w:position w:val="0"/>
                <w:highlight w:val="none"/>
              </w:rPr>
              <w:t>综合评分法</w:t>
            </w:r>
          </w:p>
        </w:tc>
      </w:tr>
      <w:tr w14:paraId="2BCF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673224F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12</w:t>
            </w:r>
          </w:p>
        </w:tc>
        <w:tc>
          <w:tcPr>
            <w:tcW w:w="1602" w:type="dxa"/>
            <w:tcBorders>
              <w:top w:val="single" w:color="auto" w:sz="4" w:space="0"/>
              <w:left w:val="single" w:color="auto" w:sz="4" w:space="0"/>
              <w:bottom w:val="single" w:color="auto" w:sz="4" w:space="0"/>
              <w:right w:val="single" w:color="auto" w:sz="4" w:space="0"/>
            </w:tcBorders>
            <w:vAlign w:val="center"/>
          </w:tcPr>
          <w:p w14:paraId="13106A58">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7D70A5D8">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商务条款评审中允许负偏离的非实质性条款数为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p w14:paraId="564C8E9C">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服务需求评审中允许负偏离的非实质性条款数为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tc>
      </w:tr>
      <w:tr w14:paraId="0CFC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6B571FB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3</w:t>
            </w:r>
          </w:p>
        </w:tc>
        <w:tc>
          <w:tcPr>
            <w:tcW w:w="1602" w:type="dxa"/>
            <w:tcBorders>
              <w:top w:val="single" w:color="auto" w:sz="4" w:space="0"/>
              <w:left w:val="single" w:color="auto" w:sz="4" w:space="0"/>
              <w:bottom w:val="single" w:color="auto" w:sz="4" w:space="0"/>
              <w:right w:val="single" w:color="auto" w:sz="4" w:space="0"/>
            </w:tcBorders>
            <w:vAlign w:val="center"/>
          </w:tcPr>
          <w:p w14:paraId="5D8989E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0ACA5B70">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auto"/>
                <w:spacing w:val="0"/>
                <w:position w:val="0"/>
                <w:szCs w:val="21"/>
                <w:highlight w:val="none"/>
              </w:rPr>
            </w:pPr>
            <w:r>
              <w:rPr>
                <w:rFonts w:hint="eastAsia" w:ascii="宋体" w:hAnsi="宋体"/>
                <w:color w:val="auto"/>
                <w:spacing w:val="0"/>
                <w:position w:val="0"/>
                <w:szCs w:val="21"/>
                <w:highlight w:val="none"/>
              </w:rPr>
              <w:t>□本项目不收取履约保证金。</w:t>
            </w:r>
          </w:p>
          <w:p w14:paraId="18159562">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本项目收取履约保证金，具体规定如下：</w:t>
            </w:r>
          </w:p>
          <w:p w14:paraId="002683E3">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履约保证金金额：按成交金额的</w:t>
            </w:r>
            <w:r>
              <w:rPr>
                <w:rFonts w:hint="eastAsia" w:ascii="宋体" w:hAnsi="宋体" w:cs="宋体"/>
                <w:color w:val="auto"/>
                <w:spacing w:val="0"/>
                <w:position w:val="0"/>
                <w:szCs w:val="21"/>
                <w:highlight w:val="none"/>
                <w:u w:val="single"/>
                <w:lang w:val="en-US" w:eastAsia="zh-CN"/>
              </w:rPr>
              <w:t xml:space="preserve">  2 </w:t>
            </w:r>
            <w:r>
              <w:rPr>
                <w:rFonts w:hint="eastAsia" w:ascii="宋体" w:hAnsi="宋体" w:cs="宋体"/>
                <w:color w:val="auto"/>
                <w:spacing w:val="0"/>
                <w:position w:val="0"/>
                <w:szCs w:val="21"/>
                <w:highlight w:val="none"/>
                <w:u w:val="single"/>
              </w:rPr>
              <w:t>%</w:t>
            </w:r>
            <w:r>
              <w:rPr>
                <w:rFonts w:hint="eastAsia" w:ascii="宋体" w:hAnsi="宋体" w:cs="宋体"/>
                <w:color w:val="auto"/>
                <w:spacing w:val="0"/>
                <w:position w:val="0"/>
                <w:szCs w:val="21"/>
                <w:highlight w:val="none"/>
              </w:rPr>
              <w:t>。</w:t>
            </w:r>
            <w:r>
              <w:rPr>
                <w:rFonts w:hint="eastAsia" w:ascii="宋体" w:hAnsi="宋体" w:cs="宋体"/>
                <w:b/>
                <w:color w:val="auto"/>
                <w:spacing w:val="0"/>
                <w:position w:val="0"/>
                <w:szCs w:val="21"/>
                <w:highlight w:val="none"/>
              </w:rPr>
              <w:t>（注：履约保证金不超过</w:t>
            </w:r>
            <w:r>
              <w:rPr>
                <w:rFonts w:hint="eastAsia"/>
                <w:b/>
                <w:color w:val="auto"/>
                <w:spacing w:val="0"/>
                <w:position w:val="0"/>
                <w:highlight w:val="none"/>
              </w:rPr>
              <w:t>政府采购合同金额的</w:t>
            </w:r>
            <w:r>
              <w:rPr>
                <w:rFonts w:ascii="宋体" w:hAnsi="宋体" w:cs="宋体"/>
                <w:b/>
                <w:color w:val="auto"/>
                <w:spacing w:val="0"/>
                <w:position w:val="0"/>
                <w:szCs w:val="21"/>
                <w:highlight w:val="none"/>
              </w:rPr>
              <w:t>5</w:t>
            </w:r>
            <w:r>
              <w:rPr>
                <w:rFonts w:hint="eastAsia" w:ascii="宋体" w:hAnsi="宋体" w:cs="宋体"/>
                <w:b/>
                <w:color w:val="auto"/>
                <w:spacing w:val="0"/>
                <w:position w:val="0"/>
                <w:szCs w:val="21"/>
                <w:highlight w:val="none"/>
              </w:rPr>
              <w:t>%，对中小企业收取的履约保证金数额不得超过政府采购合同金额的2%。采购人可根据供应商的资信等情况减免履约保证金。）</w:t>
            </w:r>
          </w:p>
          <w:p w14:paraId="6694C1F8">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履约保证金提交方式：银行转账、支票、汇票、本票或者银行、</w:t>
            </w:r>
            <w:r>
              <w:rPr>
                <w:rFonts w:hint="eastAsia" w:ascii="宋体" w:hAnsi="宋体" w:cs="宋体"/>
                <w:color w:val="auto"/>
                <w:spacing w:val="0"/>
                <w:position w:val="0"/>
                <w:szCs w:val="21"/>
                <w:highlight w:val="none"/>
                <w:lang w:eastAsia="zh-CN"/>
              </w:rPr>
              <w:t>保险机构出具的保函、保险单</w:t>
            </w:r>
            <w:r>
              <w:rPr>
                <w:rFonts w:hint="eastAsia" w:ascii="宋体" w:hAnsi="宋体" w:cs="宋体"/>
                <w:color w:val="auto"/>
                <w:spacing w:val="0"/>
                <w:position w:val="0"/>
                <w:szCs w:val="21"/>
                <w:highlight w:val="none"/>
              </w:rPr>
              <w:t>等非现金方式。</w:t>
            </w:r>
          </w:p>
        </w:tc>
      </w:tr>
      <w:tr w14:paraId="1F6E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3857838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4</w:t>
            </w:r>
          </w:p>
        </w:tc>
        <w:tc>
          <w:tcPr>
            <w:tcW w:w="1602" w:type="dxa"/>
            <w:tcBorders>
              <w:top w:val="single" w:color="auto" w:sz="4" w:space="0"/>
              <w:left w:val="single" w:color="auto" w:sz="4" w:space="0"/>
              <w:bottom w:val="single" w:color="auto" w:sz="4" w:space="0"/>
              <w:right w:val="single" w:color="auto" w:sz="4" w:space="0"/>
            </w:tcBorders>
            <w:vAlign w:val="center"/>
          </w:tcPr>
          <w:p w14:paraId="196801C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041CA57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本项目采购预算价：</w:t>
            </w:r>
            <w:r>
              <w:rPr>
                <w:rFonts w:hint="eastAsia" w:ascii="宋体" w:hAnsi="宋体" w:cs="宋体"/>
                <w:b w:val="0"/>
                <w:bCs w:val="0"/>
                <w:color w:val="auto"/>
                <w:sz w:val="21"/>
                <w:szCs w:val="21"/>
                <w:u w:val="none"/>
                <w:lang w:val="en-US" w:eastAsia="zh-CN"/>
              </w:rPr>
              <w:t>1457944.8</w:t>
            </w:r>
            <w:r>
              <w:rPr>
                <w:rFonts w:hint="eastAsia" w:asciiTheme="minorEastAsia" w:hAnsiTheme="minorEastAsia" w:eastAsiaTheme="minorEastAsia" w:cstheme="minorEastAsia"/>
                <w:color w:val="auto"/>
                <w:spacing w:val="0"/>
                <w:kern w:val="2"/>
                <w:position w:val="0"/>
                <w:sz w:val="21"/>
                <w:szCs w:val="21"/>
                <w:highlight w:val="none"/>
                <w:lang w:val="en-US" w:eastAsia="zh-CN"/>
              </w:rPr>
              <w:t>元</w:t>
            </w:r>
          </w:p>
        </w:tc>
      </w:tr>
      <w:tr w14:paraId="7208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7F788FB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208ED2C3">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21488FAD">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以书面形式</w:t>
            </w:r>
          </w:p>
        </w:tc>
      </w:tr>
      <w:tr w14:paraId="2B87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AEEFA2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256707D8">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65B87274">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default" w:ascii="宋体" w:hAnsi="宋体"/>
                <w:color w:val="auto"/>
                <w:szCs w:val="21"/>
                <w:highlight w:val="none"/>
                <w:u w:val="none"/>
                <w:lang w:val="en-US"/>
              </w:rPr>
            </w:pPr>
            <w:r>
              <w:rPr>
                <w:rFonts w:hint="eastAsia" w:ascii="宋体" w:hAnsi="宋体"/>
                <w:color w:val="auto"/>
                <w:szCs w:val="21"/>
                <w:highlight w:val="none"/>
                <w:u w:val="none"/>
                <w:lang w:eastAsia="zh-CN"/>
              </w:rPr>
              <w:t>广西华诚达建设项目管理有限公司</w:t>
            </w:r>
          </w:p>
          <w:p w14:paraId="5841155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olor w:val="auto"/>
                <w:szCs w:val="21"/>
                <w:highlight w:val="none"/>
                <w:u w:val="none"/>
                <w:lang w:val="en-US" w:eastAsia="zh-CN"/>
              </w:rPr>
            </w:pPr>
            <w:r>
              <w:rPr>
                <w:rFonts w:ascii="宋体" w:hAnsi="宋体"/>
                <w:color w:val="auto"/>
                <w:szCs w:val="21"/>
                <w:highlight w:val="none"/>
                <w:u w:val="none"/>
              </w:rPr>
              <w:t>联系电话</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0777-8381599</w:t>
            </w:r>
          </w:p>
          <w:p w14:paraId="48B48148">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auto"/>
                <w:spacing w:val="0"/>
                <w:position w:val="0"/>
                <w:highlight w:val="none"/>
              </w:rPr>
            </w:pPr>
            <w:r>
              <w:rPr>
                <w:rFonts w:ascii="宋体" w:hAnsi="宋体"/>
                <w:color w:val="auto"/>
                <w:szCs w:val="21"/>
                <w:highlight w:val="none"/>
                <w:u w:val="none"/>
              </w:rPr>
              <w:t>通讯地址</w:t>
            </w:r>
            <w:r>
              <w:rPr>
                <w:rFonts w:hint="eastAsia" w:ascii="宋体" w:hAnsi="宋体" w:cs="Helvetica"/>
                <w:color w:val="auto"/>
                <w:szCs w:val="21"/>
                <w:highlight w:val="none"/>
                <w:u w:val="none"/>
              </w:rPr>
              <w:t>：</w:t>
            </w:r>
            <w:r>
              <w:rPr>
                <w:rFonts w:hint="eastAsia" w:ascii="宋体" w:hAnsi="宋体" w:cs="宋体"/>
                <w:color w:val="auto"/>
                <w:sz w:val="21"/>
                <w:szCs w:val="21"/>
                <w:lang w:val="en-US" w:eastAsia="zh-CN"/>
              </w:rPr>
              <w:t xml:space="preserve">浦北县晨华广场64栋-111号（二楼）  </w:t>
            </w:r>
          </w:p>
        </w:tc>
      </w:tr>
      <w:tr w14:paraId="4CB5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3C8BBD1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17</w:t>
            </w:r>
          </w:p>
        </w:tc>
        <w:tc>
          <w:tcPr>
            <w:tcW w:w="1602" w:type="dxa"/>
            <w:tcBorders>
              <w:top w:val="single" w:color="auto" w:sz="4" w:space="0"/>
              <w:left w:val="single" w:color="auto" w:sz="4" w:space="0"/>
              <w:bottom w:val="single" w:color="auto" w:sz="4" w:space="0"/>
              <w:right w:val="single" w:color="auto" w:sz="4" w:space="0"/>
            </w:tcBorders>
            <w:vAlign w:val="center"/>
          </w:tcPr>
          <w:p w14:paraId="07383C52">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hAnsi="宋体"/>
                <w:color w:val="auto"/>
                <w:spacing w:val="0"/>
                <w:position w:val="0"/>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67922C12">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auto"/>
                <w:spacing w:val="0"/>
                <w:position w:val="0"/>
                <w:highlight w:val="none"/>
              </w:rPr>
            </w:pPr>
            <w:r>
              <w:rPr>
                <w:rFonts w:hint="eastAsia" w:hAnsi="宋体"/>
                <w:color w:val="auto"/>
                <w:spacing w:val="0"/>
                <w:position w:val="0"/>
                <w:highlight w:val="none"/>
              </w:rPr>
              <w:t>质疑期内每个工作日</w:t>
            </w:r>
            <w:r>
              <w:rPr>
                <w:rFonts w:hint="eastAsia" w:hAnsi="宋体"/>
                <w:color w:val="auto"/>
                <w:spacing w:val="0"/>
                <w:position w:val="0"/>
                <w:highlight w:val="none"/>
                <w:u w:val="single"/>
              </w:rPr>
              <w:t>08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12</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r>
              <w:rPr>
                <w:rFonts w:hint="eastAsia" w:hAnsi="宋体"/>
                <w:color w:val="auto"/>
                <w:spacing w:val="0"/>
                <w:position w:val="0"/>
                <w:highlight w:val="none"/>
                <w:u w:val="single"/>
              </w:rPr>
              <w:t>15</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p>
        </w:tc>
      </w:tr>
      <w:tr w14:paraId="04E4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565B311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18</w:t>
            </w:r>
          </w:p>
        </w:tc>
        <w:tc>
          <w:tcPr>
            <w:tcW w:w="1602" w:type="dxa"/>
            <w:tcBorders>
              <w:top w:val="single" w:color="auto" w:sz="4" w:space="0"/>
              <w:left w:val="single" w:color="auto" w:sz="4" w:space="0"/>
              <w:bottom w:val="single" w:color="auto" w:sz="4" w:space="0"/>
              <w:right w:val="single" w:color="auto" w:sz="4" w:space="0"/>
            </w:tcBorders>
            <w:vAlign w:val="center"/>
          </w:tcPr>
          <w:p w14:paraId="5984CD86">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auto"/>
                <w:spacing w:val="0"/>
                <w:position w:val="0"/>
                <w:highlight w:val="none"/>
              </w:rPr>
            </w:pPr>
            <w:r>
              <w:rPr>
                <w:rFonts w:hint="eastAsia" w:ascii="宋体" w:hAnsi="宋体" w:cs="宋体"/>
                <w:color w:val="auto"/>
                <w:spacing w:val="0"/>
                <w:position w:val="0"/>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780FA9D5">
            <w:pPr>
              <w:pStyle w:val="13"/>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代理服务费：按差额定率累进法，以《招标代理服务收费管理暂行办法》计价格[2002]1980号文和发改价格[2011]534号工程类标准计算，按计费依据计费再下浮20%向成交人计取。成交人在领取成交通知书前，一次性向采购代理机构支付。</w:t>
            </w:r>
          </w:p>
          <w:p w14:paraId="2861AC1F">
            <w:pPr>
              <w:pStyle w:val="13"/>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 代理服务费收取银行账户：</w:t>
            </w:r>
          </w:p>
          <w:p w14:paraId="268279DD">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auto"/>
                <w:highlight w:val="none"/>
                <w:lang w:eastAsia="zh-CN"/>
              </w:rPr>
            </w:pPr>
            <w:r>
              <w:rPr>
                <w:rFonts w:hint="eastAsia" w:hAnsi="宋体"/>
                <w:color w:val="auto"/>
                <w:highlight w:val="none"/>
              </w:rPr>
              <w:t>账户名称：</w:t>
            </w:r>
            <w:r>
              <w:rPr>
                <w:rFonts w:hint="eastAsia" w:hAnsi="宋体"/>
                <w:color w:val="auto"/>
                <w:highlight w:val="none"/>
                <w:lang w:val="en-US" w:eastAsia="zh-CN"/>
              </w:rPr>
              <w:t>广西华诚达建设项目管理有限公司浦北分公司</w:t>
            </w:r>
            <w:r>
              <w:rPr>
                <w:rFonts w:hint="eastAsia" w:hAnsi="宋体"/>
                <w:color w:val="auto"/>
                <w:highlight w:val="none"/>
                <w:lang w:eastAsia="zh-CN"/>
              </w:rPr>
              <w:t xml:space="preserve"> </w:t>
            </w:r>
          </w:p>
          <w:p w14:paraId="6558A30B">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olor w:val="auto"/>
                <w:highlight w:val="none"/>
                <w:lang w:val="en-US" w:eastAsia="zh-CN"/>
              </w:rPr>
            </w:pPr>
            <w:r>
              <w:rPr>
                <w:rFonts w:hint="eastAsia" w:hAnsi="宋体"/>
                <w:color w:val="auto"/>
                <w:highlight w:val="none"/>
              </w:rPr>
              <w:t>开户银行：</w:t>
            </w:r>
            <w:r>
              <w:rPr>
                <w:rFonts w:hint="eastAsia" w:hAnsi="宋体"/>
                <w:color w:val="auto"/>
                <w:highlight w:val="none"/>
                <w:lang w:val="en-US" w:eastAsia="zh-CN"/>
              </w:rPr>
              <w:t>浦北县农村信用合作联社小江信用社</w:t>
            </w:r>
          </w:p>
          <w:p w14:paraId="53F1452E">
            <w:pPr>
              <w:pStyle w:val="13"/>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auto"/>
                <w:spacing w:val="0"/>
                <w:position w:val="0"/>
                <w:highlight w:val="none"/>
              </w:rPr>
            </w:pPr>
            <w:r>
              <w:rPr>
                <w:rFonts w:hint="eastAsia" w:hAnsi="宋体"/>
                <w:color w:val="auto"/>
                <w:highlight w:val="none"/>
              </w:rPr>
              <w:t>银行账号：</w:t>
            </w:r>
            <w:r>
              <w:rPr>
                <w:rFonts w:hint="eastAsia" w:hAnsi="宋体"/>
                <w:color w:val="auto"/>
                <w:highlight w:val="none"/>
                <w:lang w:val="en-US" w:eastAsia="zh-CN"/>
              </w:rPr>
              <w:t xml:space="preserve">825512010110542786 </w:t>
            </w:r>
          </w:p>
        </w:tc>
      </w:tr>
      <w:tr w14:paraId="2296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F766A0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19</w:t>
            </w:r>
          </w:p>
        </w:tc>
        <w:tc>
          <w:tcPr>
            <w:tcW w:w="1602" w:type="dxa"/>
            <w:tcBorders>
              <w:top w:val="single" w:color="auto" w:sz="4" w:space="0"/>
              <w:left w:val="single" w:color="auto" w:sz="4" w:space="0"/>
              <w:bottom w:val="single" w:color="auto" w:sz="4" w:space="0"/>
              <w:right w:val="single" w:color="auto" w:sz="4" w:space="0"/>
            </w:tcBorders>
            <w:vAlign w:val="center"/>
          </w:tcPr>
          <w:p w14:paraId="3DD4553D">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hAnsi="宋体"/>
                <w:color w:val="auto"/>
                <w:spacing w:val="0"/>
                <w:position w:val="0"/>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1724AA7B">
            <w:pPr>
              <w:pStyle w:val="13"/>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解释权：</w:t>
            </w:r>
            <w:r>
              <w:rPr>
                <w:rFonts w:hAnsi="宋体" w:cs="宋体"/>
                <w:color w:val="auto"/>
                <w:spacing w:val="0"/>
                <w:position w:val="0"/>
                <w:sz w:val="21"/>
                <w:highlight w:val="none"/>
                <w:lang w:val="en-US" w:eastAsia="zh-CN"/>
              </w:rPr>
              <w:t>构成本</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的各个组成文件应互为解释，互为说明；除</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中有特别规定外，仅适用于</w:t>
            </w:r>
            <w:r>
              <w:rPr>
                <w:rFonts w:hint="eastAsia" w:hAnsi="宋体" w:cs="宋体"/>
                <w:color w:val="auto"/>
                <w:spacing w:val="0"/>
                <w:position w:val="0"/>
                <w:sz w:val="21"/>
                <w:highlight w:val="none"/>
                <w:lang w:val="en-US" w:eastAsia="zh-CN"/>
              </w:rPr>
              <w:t>竞标</w:t>
            </w:r>
            <w:r>
              <w:rPr>
                <w:rFonts w:hAnsi="宋体" w:cs="宋体"/>
                <w:color w:val="auto"/>
                <w:spacing w:val="0"/>
                <w:position w:val="0"/>
                <w:sz w:val="21"/>
                <w:highlight w:val="none"/>
                <w:lang w:val="en-US" w:eastAsia="zh-CN"/>
              </w:rPr>
              <w:t>阶段的规定，按</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竞争性磋商</w:t>
            </w:r>
            <w:r>
              <w:rPr>
                <w:rFonts w:hAnsi="宋体" w:cs="宋体"/>
                <w:color w:val="auto"/>
                <w:spacing w:val="0"/>
                <w:position w:val="0"/>
                <w:sz w:val="21"/>
                <w:highlight w:val="none"/>
                <w:lang w:val="en-US" w:eastAsia="zh-CN"/>
              </w:rPr>
              <w:t>公告、</w:t>
            </w:r>
            <w:r>
              <w:rPr>
                <w:rFonts w:hint="eastAsia" w:hAnsi="宋体" w:cs="宋体"/>
                <w:color w:val="auto"/>
                <w:spacing w:val="0"/>
                <w:position w:val="0"/>
                <w:sz w:val="21"/>
                <w:highlight w:val="none"/>
                <w:lang w:val="en-US" w:eastAsia="zh-CN"/>
              </w:rPr>
              <w:t>供应商</w:t>
            </w:r>
            <w:r>
              <w:rPr>
                <w:rFonts w:hAnsi="宋体" w:cs="宋体"/>
                <w:color w:val="auto"/>
                <w:spacing w:val="0"/>
                <w:position w:val="0"/>
                <w:sz w:val="21"/>
                <w:highlight w:val="none"/>
                <w:lang w:val="en-US" w:eastAsia="zh-CN"/>
              </w:rPr>
              <w:t>须知</w:t>
            </w:r>
            <w:r>
              <w:rPr>
                <w:rFonts w:hint="eastAsia" w:hAnsi="宋体" w:cs="宋体"/>
                <w:color w:val="auto"/>
                <w:spacing w:val="0"/>
                <w:position w:val="0"/>
                <w:sz w:val="21"/>
                <w:highlight w:val="none"/>
                <w:lang w:val="en-US" w:eastAsia="zh-CN"/>
              </w:rPr>
              <w:t>、采购需求</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评审程序、评审方法和评审标准</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响应</w:t>
            </w:r>
            <w:r>
              <w:rPr>
                <w:rFonts w:hAnsi="宋体" w:cs="宋体"/>
                <w:color w:val="auto"/>
                <w:spacing w:val="0"/>
                <w:position w:val="0"/>
                <w:sz w:val="21"/>
                <w:highlight w:val="none"/>
                <w:lang w:val="en-US" w:eastAsia="zh-CN"/>
              </w:rPr>
              <w:t>文件格式</w:t>
            </w:r>
            <w:r>
              <w:rPr>
                <w:rFonts w:hint="eastAsia" w:hAnsi="宋体" w:cs="宋体"/>
                <w:color w:val="auto"/>
                <w:spacing w:val="0"/>
                <w:position w:val="0"/>
                <w:sz w:val="21"/>
                <w:highlight w:val="none"/>
                <w:lang w:val="en-US" w:eastAsia="zh-CN"/>
              </w:rPr>
              <w:t>、合同文本</w:t>
            </w:r>
            <w:r>
              <w:rPr>
                <w:rFonts w:hAnsi="宋体" w:cs="宋体"/>
                <w:color w:val="auto"/>
                <w:spacing w:val="0"/>
                <w:position w:val="0"/>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与同步更新的</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不一致时以</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为准。按本款前述规定仍不能形成结论的，</w:t>
            </w:r>
            <w:r>
              <w:rPr>
                <w:rFonts w:hAnsi="宋体" w:cs="宋体"/>
                <w:b/>
                <w:color w:val="auto"/>
                <w:spacing w:val="0"/>
                <w:position w:val="0"/>
                <w:sz w:val="21"/>
                <w:highlight w:val="none"/>
                <w:lang w:val="en-US" w:eastAsia="zh-CN"/>
              </w:rPr>
              <w:t>由</w:t>
            </w:r>
            <w:r>
              <w:rPr>
                <w:rFonts w:hint="eastAsia" w:hAnsi="宋体" w:cs="宋体"/>
                <w:b/>
                <w:color w:val="auto"/>
                <w:spacing w:val="0"/>
                <w:position w:val="0"/>
                <w:sz w:val="21"/>
                <w:highlight w:val="none"/>
                <w:lang w:val="en-US" w:eastAsia="zh-CN"/>
              </w:rPr>
              <w:t>采购</w:t>
            </w:r>
            <w:r>
              <w:rPr>
                <w:rFonts w:hAnsi="宋体" w:cs="宋体"/>
                <w:b/>
                <w:color w:val="auto"/>
                <w:spacing w:val="0"/>
                <w:position w:val="0"/>
                <w:sz w:val="21"/>
                <w:highlight w:val="none"/>
                <w:lang w:val="en-US" w:eastAsia="zh-CN"/>
              </w:rPr>
              <w:t>人</w:t>
            </w:r>
            <w:r>
              <w:rPr>
                <w:rFonts w:hint="eastAsia" w:hAnsi="宋体" w:cs="宋体"/>
                <w:b/>
                <w:color w:val="auto"/>
                <w:spacing w:val="0"/>
                <w:position w:val="0"/>
                <w:sz w:val="21"/>
                <w:highlight w:val="none"/>
                <w:lang w:val="en-US" w:eastAsia="zh-CN"/>
              </w:rPr>
              <w:t>或者采购代理机构</w:t>
            </w:r>
            <w:r>
              <w:rPr>
                <w:rFonts w:hAnsi="宋体" w:cs="宋体"/>
                <w:b/>
                <w:color w:val="auto"/>
                <w:spacing w:val="0"/>
                <w:position w:val="0"/>
                <w:sz w:val="21"/>
                <w:highlight w:val="none"/>
                <w:lang w:val="en-US" w:eastAsia="zh-CN"/>
              </w:rPr>
              <w:t>负责解释。</w:t>
            </w:r>
          </w:p>
          <w:p w14:paraId="230AE30B">
            <w:pPr>
              <w:pStyle w:val="13"/>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法律责任：</w:t>
            </w:r>
            <w:r>
              <w:rPr>
                <w:rFonts w:hint="eastAsia" w:hAnsi="宋体" w:cs="宋体"/>
                <w:color w:val="auto"/>
                <w:spacing w:val="0"/>
                <w:position w:val="0"/>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387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96DC5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20</w:t>
            </w:r>
          </w:p>
        </w:tc>
        <w:tc>
          <w:tcPr>
            <w:tcW w:w="1602" w:type="dxa"/>
            <w:tcBorders>
              <w:top w:val="single" w:color="auto" w:sz="4" w:space="0"/>
              <w:left w:val="single" w:color="auto" w:sz="4" w:space="0"/>
              <w:bottom w:val="single" w:color="auto" w:sz="4" w:space="0"/>
              <w:right w:val="single" w:color="auto" w:sz="4" w:space="0"/>
            </w:tcBorders>
            <w:vAlign w:val="center"/>
          </w:tcPr>
          <w:p w14:paraId="3CEE0ED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2678D2D9">
            <w:pPr>
              <w:pStyle w:val="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322EF72">
            <w:pPr>
              <w:pStyle w:val="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6B4C2CBD">
            <w:pPr>
              <w:pStyle w:val="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0C073368">
            <w:pPr>
              <w:pStyle w:val="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6DD8701">
            <w:pPr>
              <w:pStyle w:val="13"/>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5</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自然人竞标的，磋商文件规定盖公章处由自然人摁手指指印。</w:t>
            </w:r>
          </w:p>
          <w:p w14:paraId="21F423D1">
            <w:pPr>
              <w:pStyle w:val="13"/>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6</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本磋商文件所称的“以上”“以下”“以内”“届满”，包括本数；所称的“不满”“超过”“以外”，不包括本数。</w:t>
            </w:r>
          </w:p>
        </w:tc>
      </w:tr>
      <w:tr w14:paraId="557F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0371398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21</w:t>
            </w:r>
          </w:p>
        </w:tc>
        <w:tc>
          <w:tcPr>
            <w:tcW w:w="1602" w:type="dxa"/>
            <w:tcBorders>
              <w:top w:val="single" w:color="auto" w:sz="4" w:space="0"/>
              <w:left w:val="single" w:color="auto" w:sz="4" w:space="0"/>
              <w:bottom w:val="single" w:color="auto" w:sz="4" w:space="0"/>
              <w:right w:val="single" w:color="auto" w:sz="4" w:space="0"/>
            </w:tcBorders>
            <w:vAlign w:val="center"/>
          </w:tcPr>
          <w:p w14:paraId="03A0541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eastAsia="宋体" w:cs="宋体"/>
                <w:b/>
                <w:color w:val="auto"/>
                <w:spacing w:val="0"/>
                <w:position w:val="0"/>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5D1730AE">
            <w:pPr>
              <w:pStyle w:val="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lang w:eastAsia="zh-CN"/>
              </w:rPr>
            </w:pPr>
            <w:r>
              <w:rPr>
                <w:rFonts w:hint="eastAsia"/>
                <w:color w:val="auto"/>
                <w:spacing w:val="0"/>
                <w:position w:val="0"/>
                <w:highlight w:val="none"/>
              </w:rPr>
              <w:t>（1）</w:t>
            </w:r>
            <w:r>
              <w:rPr>
                <w:rFonts w:hint="eastAsia"/>
                <w:color w:val="auto"/>
                <w:spacing w:val="0"/>
                <w:position w:val="0"/>
                <w:highlight w:val="none"/>
                <w:lang w:eastAsia="zh-CN"/>
              </w:rPr>
              <w:t>响应文件</w:t>
            </w:r>
            <w:r>
              <w:rPr>
                <w:rFonts w:hint="eastAsia"/>
                <w:color w:val="auto"/>
                <w:spacing w:val="0"/>
                <w:position w:val="0"/>
                <w:highlight w:val="none"/>
              </w:rPr>
              <w:t>中须加盖供应商公章位置均采用CA签章，并根据“政府采购项目电子交易管理操作指南-供应商”及本</w:t>
            </w:r>
            <w:r>
              <w:rPr>
                <w:rFonts w:hint="eastAsia"/>
                <w:color w:val="auto"/>
                <w:spacing w:val="0"/>
                <w:position w:val="0"/>
                <w:highlight w:val="none"/>
                <w:lang w:eastAsia="zh-CN"/>
              </w:rPr>
              <w:t>竞争性磋商文件</w:t>
            </w:r>
            <w:r>
              <w:rPr>
                <w:rFonts w:hint="eastAsia"/>
                <w:color w:val="auto"/>
                <w:spacing w:val="0"/>
                <w:position w:val="0"/>
                <w:highlight w:val="none"/>
              </w:rPr>
              <w:t>规定的</w:t>
            </w:r>
            <w:r>
              <w:rPr>
                <w:rFonts w:hint="eastAsia"/>
                <w:color w:val="auto"/>
                <w:spacing w:val="0"/>
                <w:position w:val="0"/>
                <w:highlight w:val="none"/>
                <w:lang w:eastAsia="zh-CN"/>
              </w:rPr>
              <w:t>要求</w:t>
            </w:r>
            <w:r>
              <w:rPr>
                <w:rFonts w:hint="eastAsia"/>
                <w:color w:val="auto"/>
                <w:spacing w:val="0"/>
                <w:position w:val="0"/>
                <w:highlight w:val="none"/>
              </w:rPr>
              <w:t>编制</w:t>
            </w:r>
            <w:r>
              <w:rPr>
                <w:rFonts w:hint="eastAsia"/>
                <w:color w:val="auto"/>
                <w:spacing w:val="0"/>
                <w:position w:val="0"/>
                <w:highlight w:val="none"/>
                <w:lang w:eastAsia="zh-CN"/>
              </w:rPr>
              <w:t>响应文件</w:t>
            </w:r>
            <w:r>
              <w:rPr>
                <w:rFonts w:hint="eastAsia"/>
                <w:color w:val="auto"/>
                <w:spacing w:val="0"/>
                <w:position w:val="0"/>
                <w:highlight w:val="none"/>
              </w:rPr>
              <w:t>并进行关联定位，以便</w:t>
            </w:r>
            <w:r>
              <w:rPr>
                <w:rFonts w:hint="eastAsia"/>
                <w:color w:val="auto"/>
                <w:spacing w:val="0"/>
                <w:position w:val="0"/>
                <w:highlight w:val="none"/>
                <w:lang w:eastAsia="zh-CN"/>
              </w:rPr>
              <w:t>磋商小组</w:t>
            </w:r>
            <w:r>
              <w:rPr>
                <w:rFonts w:hint="eastAsia"/>
                <w:color w:val="auto"/>
                <w:spacing w:val="0"/>
                <w:position w:val="0"/>
                <w:highlight w:val="none"/>
              </w:rPr>
              <w:t>在评审时，点击评分项可直接定位到该评分项内容。如对</w:t>
            </w:r>
            <w:r>
              <w:rPr>
                <w:rFonts w:hint="eastAsia"/>
                <w:color w:val="auto"/>
                <w:spacing w:val="0"/>
                <w:position w:val="0"/>
                <w:highlight w:val="none"/>
                <w:lang w:eastAsia="zh-CN"/>
              </w:rPr>
              <w:t>竞争性磋商文件</w:t>
            </w:r>
            <w:r>
              <w:rPr>
                <w:rFonts w:hint="eastAsia"/>
                <w:color w:val="auto"/>
                <w:spacing w:val="0"/>
                <w:position w:val="0"/>
                <w:highlight w:val="none"/>
              </w:rPr>
              <w:t>的某项要求，供应商的</w:t>
            </w:r>
            <w:r>
              <w:rPr>
                <w:rFonts w:hint="eastAsia"/>
                <w:color w:val="auto"/>
                <w:spacing w:val="0"/>
                <w:position w:val="0"/>
                <w:highlight w:val="none"/>
                <w:lang w:eastAsia="zh-CN"/>
              </w:rPr>
              <w:t>响应文件</w:t>
            </w:r>
            <w:r>
              <w:rPr>
                <w:rFonts w:hint="eastAsia"/>
                <w:color w:val="auto"/>
                <w:spacing w:val="0"/>
                <w:position w:val="0"/>
                <w:highlight w:val="none"/>
              </w:rPr>
              <w:t>未能关联定位提供相应的内容与其对应，</w:t>
            </w:r>
            <w:r>
              <w:rPr>
                <w:rFonts w:hint="eastAsia"/>
                <w:color w:val="auto"/>
                <w:spacing w:val="0"/>
                <w:position w:val="0"/>
                <w:highlight w:val="none"/>
                <w:lang w:eastAsia="zh-CN"/>
              </w:rPr>
              <w:t>则磋商小组在评审时如做出对供应商不利的评审由供应商自行承担。响应文件如内容不完整、编排混乱导致响应文件被误读、 漏读，或者在按磋商文件规定的部位查找不到相关内容的，由供应商自行承担。</w:t>
            </w:r>
          </w:p>
          <w:p w14:paraId="07D13832">
            <w:pPr>
              <w:pStyle w:val="13"/>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rPr>
            </w:pPr>
            <w:r>
              <w:rPr>
                <w:rFonts w:hint="eastAsia"/>
                <w:color w:val="auto"/>
                <w:spacing w:val="0"/>
                <w:position w:val="0"/>
                <w:highlight w:val="none"/>
                <w:lang w:eastAsia="zh-CN"/>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spacing w:val="0"/>
                <w:position w:val="0"/>
                <w:highlight w:val="none"/>
              </w:rPr>
              <w:t>。</w:t>
            </w:r>
          </w:p>
          <w:p w14:paraId="4FC1B038">
            <w:pPr>
              <w:pStyle w:val="3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spacing w:val="0"/>
                <w:position w:val="0"/>
                <w:highlight w:val="none"/>
                <w:lang w:val="en-US" w:eastAsia="zh-CN"/>
              </w:rPr>
            </w:pPr>
            <w:r>
              <w:rPr>
                <w:rFonts w:hint="eastAsia" w:ascii="Times New Roman" w:eastAsia="宋体" w:cs="Times New Roman"/>
                <w:bCs w:val="0"/>
                <w:color w:val="auto"/>
                <w:spacing w:val="0"/>
                <w:kern w:val="2"/>
                <w:position w:val="0"/>
                <w:sz w:val="21"/>
                <w:szCs w:val="24"/>
                <w:highlight w:val="none"/>
                <w:lang w:val="en-US" w:eastAsia="zh-CN" w:bidi="ar-SA"/>
              </w:rPr>
              <w:t>（3）补充事项：</w:t>
            </w:r>
            <w:r>
              <w:rPr>
                <w:rFonts w:hint="eastAsia" w:ascii="Times New Roman" w:hAnsi="Times New Roman" w:eastAsia="宋体" w:cs="Times New Roman"/>
                <w:bCs w:val="0"/>
                <w:color w:val="auto"/>
                <w:spacing w:val="0"/>
                <w:kern w:val="2"/>
                <w:position w:val="0"/>
                <w:sz w:val="21"/>
                <w:szCs w:val="24"/>
                <w:highlight w:val="none"/>
                <w:lang w:val="en-US" w:eastAsia="zh-CN" w:bidi="ar-SA"/>
              </w:rPr>
              <w:t>成交</w:t>
            </w:r>
            <w:r>
              <w:rPr>
                <w:rFonts w:hint="eastAsia" w:ascii="Times New Roman" w:eastAsia="宋体" w:cs="Times New Roman"/>
                <w:bCs w:val="0"/>
                <w:color w:val="auto"/>
                <w:spacing w:val="0"/>
                <w:kern w:val="2"/>
                <w:position w:val="0"/>
                <w:sz w:val="21"/>
                <w:szCs w:val="24"/>
                <w:highlight w:val="none"/>
                <w:lang w:val="en-US" w:eastAsia="zh-CN" w:bidi="ar-SA"/>
              </w:rPr>
              <w:t>供应商</w:t>
            </w:r>
            <w:r>
              <w:rPr>
                <w:rFonts w:hint="eastAsia" w:ascii="Times New Roman" w:hAnsi="Times New Roman" w:eastAsia="宋体" w:cs="Times New Roman"/>
                <w:bCs w:val="0"/>
                <w:color w:val="auto"/>
                <w:spacing w:val="0"/>
                <w:kern w:val="2"/>
                <w:position w:val="0"/>
                <w:sz w:val="21"/>
                <w:szCs w:val="24"/>
                <w:highlight w:val="none"/>
                <w:lang w:val="en-US" w:eastAsia="zh-CN" w:bidi="ar-SA"/>
              </w:rPr>
              <w:t>需在确定成交3日内打印盖章响应文件</w:t>
            </w:r>
            <w:r>
              <w:rPr>
                <w:rFonts w:hint="eastAsia" w:ascii="Times New Roman" w:eastAsia="宋体" w:cs="Times New Roman"/>
                <w:bCs w:val="0"/>
                <w:color w:val="auto"/>
                <w:spacing w:val="0"/>
                <w:kern w:val="2"/>
                <w:position w:val="0"/>
                <w:sz w:val="21"/>
                <w:szCs w:val="24"/>
                <w:highlight w:val="none"/>
                <w:lang w:val="en-US" w:eastAsia="zh-CN" w:bidi="ar-SA"/>
              </w:rPr>
              <w:t>（一式五份）</w:t>
            </w:r>
            <w:r>
              <w:rPr>
                <w:rFonts w:hint="eastAsia" w:ascii="Times New Roman" w:hAnsi="Times New Roman" w:eastAsia="宋体" w:cs="Times New Roman"/>
                <w:bCs w:val="0"/>
                <w:color w:val="auto"/>
                <w:spacing w:val="0"/>
                <w:kern w:val="2"/>
                <w:position w:val="0"/>
                <w:sz w:val="21"/>
                <w:szCs w:val="24"/>
                <w:highlight w:val="none"/>
                <w:lang w:val="en-US" w:eastAsia="zh-CN" w:bidi="ar-SA"/>
              </w:rPr>
              <w:t>提供给代理机构，作为成果文件装订使用。</w:t>
            </w:r>
          </w:p>
        </w:tc>
      </w:tr>
      <w:tr w14:paraId="4348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013ED7B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auto"/>
                <w:spacing w:val="0"/>
                <w:position w:val="0"/>
                <w:szCs w:val="21"/>
                <w:highlight w:val="none"/>
                <w:lang w:val="en-US" w:eastAsia="zh-CN"/>
              </w:rPr>
            </w:pPr>
            <w:bookmarkStart w:id="63" w:name="_Toc8441"/>
            <w:bookmarkStart w:id="64" w:name="_Toc16298"/>
            <w:r>
              <w:rPr>
                <w:rFonts w:hint="eastAsia" w:ascii="宋体" w:hAnsi="宋体" w:cs="宋体"/>
                <w:color w:val="auto"/>
                <w:spacing w:val="0"/>
                <w:position w:val="0"/>
                <w:szCs w:val="21"/>
                <w:highlight w:val="none"/>
                <w:lang w:val="en-US" w:eastAsia="zh-CN"/>
              </w:rPr>
              <w:t>22</w:t>
            </w:r>
          </w:p>
        </w:tc>
        <w:tc>
          <w:tcPr>
            <w:tcW w:w="1602" w:type="dxa"/>
            <w:tcBorders>
              <w:top w:val="single" w:color="auto" w:sz="4" w:space="0"/>
              <w:left w:val="single" w:color="auto" w:sz="4" w:space="0"/>
              <w:bottom w:val="single" w:color="auto" w:sz="4" w:space="0"/>
              <w:right w:val="single" w:color="auto" w:sz="4" w:space="0"/>
            </w:tcBorders>
            <w:vAlign w:val="center"/>
          </w:tcPr>
          <w:p w14:paraId="7287692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1AA5B46B">
            <w:pPr>
              <w:pStyle w:val="38"/>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auto"/>
                <w:spacing w:val="0"/>
                <w:kern w:val="2"/>
                <w:position w:val="0"/>
                <w:sz w:val="21"/>
                <w:szCs w:val="24"/>
                <w:highlight w:val="none"/>
                <w:lang w:val="en-US" w:eastAsia="zh-CN" w:bidi="ar-SA"/>
              </w:rPr>
            </w:pPr>
            <w:r>
              <w:rPr>
                <w:rFonts w:hint="eastAsia" w:ascii="Times New Roman" w:eastAsia="宋体" w:cs="Times New Roman"/>
                <w:bCs w:val="0"/>
                <w:color w:val="auto"/>
                <w:spacing w:val="0"/>
                <w:kern w:val="2"/>
                <w:position w:val="0"/>
                <w:sz w:val="21"/>
                <w:szCs w:val="24"/>
                <w:highlight w:val="none"/>
                <w:lang w:val="en-US" w:eastAsia="zh-CN" w:bidi="ar-SA"/>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156E21C1">
      <w:pPr>
        <w:rPr>
          <w:rFonts w:hint="eastAsia"/>
          <w:color w:val="auto"/>
          <w:spacing w:val="0"/>
          <w:position w:val="0"/>
          <w:highlight w:val="none"/>
          <w:lang w:val="en-US" w:eastAsia="zh-CN"/>
        </w:rPr>
      </w:pPr>
    </w:p>
    <w:p w14:paraId="742732E2">
      <w:pPr>
        <w:pStyle w:val="15"/>
        <w:rPr>
          <w:rFonts w:hint="eastAsia"/>
          <w:color w:val="auto"/>
          <w:highlight w:val="none"/>
          <w:lang w:val="en-US" w:eastAsia="zh-CN"/>
        </w:rPr>
      </w:pPr>
    </w:p>
    <w:p w14:paraId="4F0B33B3">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pacing w:val="0"/>
          <w:position w:val="0"/>
          <w:sz w:val="32"/>
          <w:szCs w:val="32"/>
          <w:highlight w:val="none"/>
          <w:lang w:val="en-US" w:eastAsia="zh-CN"/>
        </w:rPr>
      </w:pPr>
    </w:p>
    <w:p w14:paraId="22018D15">
      <w:pPr>
        <w:rPr>
          <w:rFonts w:hint="eastAsia"/>
          <w:color w:val="auto"/>
          <w:highlight w:val="none"/>
          <w:lang w:val="en-US" w:eastAsia="zh-CN"/>
        </w:rPr>
        <w:sectPr>
          <w:pgSz w:w="11906" w:h="16838"/>
          <w:pgMar w:top="1247" w:right="1417" w:bottom="1247" w:left="1417" w:header="851" w:footer="992" w:gutter="0"/>
          <w:cols w:space="0" w:num="1"/>
          <w:docGrid w:type="lines" w:linePitch="312" w:charSpace="0"/>
        </w:sectPr>
      </w:pPr>
    </w:p>
    <w:p w14:paraId="7AD3F471">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 w:val="32"/>
          <w:szCs w:val="32"/>
          <w:highlight w:val="none"/>
          <w:lang w:val="en-US" w:eastAsia="zh-CN"/>
        </w:rPr>
        <w:t>供应商</w:t>
      </w:r>
      <w:r>
        <w:rPr>
          <w:rFonts w:hint="eastAsia" w:ascii="宋体" w:hAnsi="宋体" w:cs="宋体"/>
          <w:b/>
          <w:bCs w:val="0"/>
          <w:color w:val="auto"/>
          <w:spacing w:val="0"/>
          <w:position w:val="0"/>
          <w:sz w:val="32"/>
          <w:szCs w:val="32"/>
          <w:highlight w:val="none"/>
        </w:rPr>
        <w:t>须知</w:t>
      </w:r>
      <w:bookmarkEnd w:id="63"/>
      <w:bookmarkEnd w:id="64"/>
    </w:p>
    <w:p w14:paraId="46B6F4F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一、总则</w:t>
      </w:r>
    </w:p>
    <w:p w14:paraId="6A6F478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1.适用范围</w:t>
      </w:r>
    </w:p>
    <w:p w14:paraId="5A531F7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B155C0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1.2本竞争性磋商文件适用于本项目的所有采购程序和环节</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法律、法规另有规定的，从其规定</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w:t>
      </w:r>
    </w:p>
    <w:p w14:paraId="3E51DB0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2.定义</w:t>
      </w:r>
    </w:p>
    <w:p w14:paraId="441E398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2.1“采购人”是指依法进行采购的国家机关、事业单位、团体组织。</w:t>
      </w:r>
    </w:p>
    <w:p w14:paraId="7A5D5AC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2.2“采购代理机构”是指政府采购代理机构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以下简称采购代理机构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是指集中采购机构以外、受采购人委托从事政府采购代理业务的社会中介机构。</w:t>
      </w:r>
    </w:p>
    <w:p w14:paraId="6AC82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2.3“供应商”是指向采购人提供货物、工程或者服务的法人、其他组织或者自然人。</w:t>
      </w:r>
    </w:p>
    <w:p w14:paraId="16BD6B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2.4“工程”是指建设工程，包括建筑物和构筑物的新建、改建、扩建、装修、拆除、修缮等。</w:t>
      </w:r>
    </w:p>
    <w:p w14:paraId="431EF3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2.5“竞标”是指供应商按照本项目竞争性磋商公告规定的方式获取竞争性磋商文件、提交响应文件并希望获得标的的行为。</w:t>
      </w:r>
    </w:p>
    <w:p w14:paraId="30D518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2.6“响应文件”是指：供应商根据本竞争性磋商文件要求，编制包含资格证明、报价商务技术等所有内容的文件。</w:t>
      </w:r>
    </w:p>
    <w:p w14:paraId="4CDF48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2.7“实质性要求”是指竞争性磋商文件中已经指明不满足则响应文件按无效响应处理的条款，或不能负偏离的条款，或采购需求中带“▲”的条款。</w:t>
      </w:r>
    </w:p>
    <w:p w14:paraId="215CD3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2.8“正偏离”，是指响应文件对竞争性磋商文件“采购需求”中有关条款作出的响应优于条款要求并有利于采购人的情形。</w:t>
      </w:r>
    </w:p>
    <w:p w14:paraId="26FFF9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2.9“负偏离”，是指响应文件对竞争性磋商文件“采购需求”中有关条款作出的响应不满足条款要求导致采购人要求不能得到满足的情形。</w:t>
      </w:r>
    </w:p>
    <w:p w14:paraId="0E460C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2.10“允许负偏离的条款”是指采购需求中的不属于“实质性要求”的条款。</w:t>
      </w:r>
    </w:p>
    <w:p w14:paraId="4E7C8D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2.11“书面形式”是指合同书、信件和数据电文</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包括电报、电传、传真、电子数据交换和电子邮件</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等可以有形地表现所载内容的形式。</w:t>
      </w:r>
    </w:p>
    <w:p w14:paraId="24DF92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2.12“首次报价”是指供应商提交的首次响应文件中的报价。</w:t>
      </w:r>
    </w:p>
    <w:p w14:paraId="2F976B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2.13“评审价”是指供应商提交的最后报价并经修正和政策功能价格扣除后的价格。</w:t>
      </w:r>
    </w:p>
    <w:p w14:paraId="482BD58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3.供应商的资格条件</w:t>
      </w:r>
    </w:p>
    <w:p w14:paraId="54E099D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供应商的资格条件详见“供应商须知前附表”。</w:t>
      </w:r>
    </w:p>
    <w:p w14:paraId="7CD2E78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4.竞标费用</w:t>
      </w:r>
    </w:p>
    <w:p w14:paraId="2370064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供应商应承担参与本次采购活动有关的所有费用，包括但不限于获取磋商文件、勘查现场、编制和提交响应文件、参加磋商与应答、签订合同等，不论磋商结果如何，均应自行承担。</w:t>
      </w:r>
    </w:p>
    <w:p w14:paraId="7E928A4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5.联合体竞标</w:t>
      </w:r>
    </w:p>
    <w:p w14:paraId="5C7136A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5.1本项目不接受联合体竞标。</w:t>
      </w:r>
    </w:p>
    <w:p w14:paraId="37A52DB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6.转包与分包</w:t>
      </w:r>
    </w:p>
    <w:p w14:paraId="35A82A2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6.1本项目不允许转包。</w:t>
      </w:r>
    </w:p>
    <w:p w14:paraId="3A376D5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7.特别说明</w:t>
      </w:r>
    </w:p>
    <w:p w14:paraId="43A1050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7.1如果本磋商文件要求供应商提供资格、信誉、荣誉、业绩与企业认证等材料的，则供应商所提供的以上材料必须为供应商所拥有。</w:t>
      </w:r>
    </w:p>
    <w:p w14:paraId="58D8C2C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7.2供应商应仔细阅读竞争性磋商文件的所有内容，按照竞争性磋商文件的要求提交响应文件，并对所提供的全部资料的真实性承担法律责任。</w:t>
      </w:r>
    </w:p>
    <w:p w14:paraId="7D4DF15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287B956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7.4在政府采购活动中，采购人员及相关人员与供应商有下列利害关系之一的，应当回避：</w:t>
      </w:r>
    </w:p>
    <w:p w14:paraId="331132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参加采购活动前3年内与供应商存在劳动关系；</w:t>
      </w:r>
    </w:p>
    <w:p w14:paraId="4CA51D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参加采购活动前3年内担任供应商的董事、监事；</w:t>
      </w:r>
    </w:p>
    <w:p w14:paraId="59633F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参加采购活动前3年内是供应商的控股股东或者实际控制人；</w:t>
      </w:r>
    </w:p>
    <w:p w14:paraId="24CCAF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与供应商的法定代表人或负责人有夫妻、直系血亲、三代以内旁系血亲或者近姻亲关系；</w:t>
      </w:r>
    </w:p>
    <w:p w14:paraId="052231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与供应商有其他可能影响政府采购活动公平、公正进行的关系。</w:t>
      </w:r>
    </w:p>
    <w:p w14:paraId="40F49A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6492F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7.5有下列情形之一的视为供应商相互串通竞标，响应文件将被视为无效：</w:t>
      </w:r>
    </w:p>
    <w:p w14:paraId="5C58A4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不同供应商的响应文件由同一单位或者个人编制；或者不同供应商报名的IP地址一致的；</w:t>
      </w:r>
    </w:p>
    <w:p w14:paraId="2262D0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不同供应商委托同一单位或者个人办理磋商事宜；</w:t>
      </w:r>
    </w:p>
    <w:p w14:paraId="3360E6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不同的供应商的响应文件载明的项目管理员为同一个人；</w:t>
      </w:r>
    </w:p>
    <w:p w14:paraId="0B6BBD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不同供应商的响应文件异常一致或者报价呈规律性差异；</w:t>
      </w:r>
    </w:p>
    <w:p w14:paraId="6032BC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不同供应商的响应文件相互混装；</w:t>
      </w:r>
    </w:p>
    <w:p w14:paraId="06149A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不同供应商的磋商保证金从同一单位或者个人账户转出。</w:t>
      </w:r>
    </w:p>
    <w:p w14:paraId="3CAE7B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7.6供应商有下列情形之一的，属于恶意串通行为：</w:t>
      </w:r>
    </w:p>
    <w:p w14:paraId="088F06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供应商直接或者间接从采购人或者采购代理机构处获得其他供应商的相关信息并修改其响应文件；</w:t>
      </w:r>
    </w:p>
    <w:p w14:paraId="6ABBC4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供应商按照采购人或者采购代理机构的授意撤换、修改响应文件；</w:t>
      </w:r>
    </w:p>
    <w:p w14:paraId="695F6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供应商之间协商报价、技术方案等响应文件或者响应文件的实质性内容；</w:t>
      </w:r>
    </w:p>
    <w:p w14:paraId="29447C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属于同一集团、协会、商会等组织成员的供应商按照该组织要求协同参加政府采购活动；</w:t>
      </w:r>
    </w:p>
    <w:p w14:paraId="418282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供应商之间事先约定一致抬高或者压低报价，或者在政府采购活动中事先约定轮流以高价位或者低价位成交，或者事先约定由某一特定供应商成交，然后再参加竞标；</w:t>
      </w:r>
    </w:p>
    <w:p w14:paraId="256634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供应商之间商定部分供应商放弃参加政府采购活动或者放弃成交；</w:t>
      </w:r>
    </w:p>
    <w:p w14:paraId="0D294C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7</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供应商与采购人或者采购代理机构之间、供应商相互之间，为谋求特定供应商成交或者排斥其他供应商的其他串通行为。</w:t>
      </w:r>
    </w:p>
    <w:p w14:paraId="4FCC2E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7.7关联供应商不得参加同一合同项下政府采购活动，否则响应文件将被视为无效：</w:t>
      </w:r>
    </w:p>
    <w:p w14:paraId="35C385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单位负责人为同一人或者存在直接控股、管理关系的不同的供应商，不得参加同一合同项下的政府采购活动。</w:t>
      </w:r>
    </w:p>
    <w:p w14:paraId="69ECE2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position w:val="0"/>
          <w:szCs w:val="21"/>
          <w:highlight w:val="none"/>
          <w:lang w:val="en-US" w:eastAsia="zh-CN"/>
        </w:rPr>
      </w:pPr>
      <w:r>
        <w:rPr>
          <w:rFonts w:hint="eastAsia" w:ascii="宋体" w:hAnsi="宋体" w:eastAsia="宋体" w:cs="宋体"/>
          <w:b/>
          <w:bCs/>
          <w:color w:val="auto"/>
          <w:spacing w:val="0"/>
          <w:position w:val="0"/>
          <w:szCs w:val="21"/>
          <w:highlight w:val="none"/>
          <w:lang w:val="en-US" w:eastAsia="zh-CN"/>
        </w:rPr>
        <w:t>二、响应文件的编制</w:t>
      </w:r>
    </w:p>
    <w:p w14:paraId="1CE852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8.响应文件的编制原则</w:t>
      </w:r>
    </w:p>
    <w:p w14:paraId="313F4B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供应商应当按照竞争性磋商文件的要求编制响应文件，并对其提交的响应文件的真实性、合法性承担法律责任。响应文件应当对竞争性磋商文件作出实质性响应。</w:t>
      </w:r>
    </w:p>
    <w:p w14:paraId="4C5115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9.响应文件编制基本要求</w:t>
      </w:r>
    </w:p>
    <w:p w14:paraId="2C1BFF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要求及本竞争性磋商采购文件要求制作、加密并递交。具体操作流程可参考《</w:t>
      </w:r>
      <w:r>
        <w:rPr>
          <w:rFonts w:hint="eastAsia" w:ascii="宋体" w:hAnsi="宋体" w:eastAsia="宋体" w:cs="宋体"/>
          <w:b w:val="0"/>
          <w:bCs/>
          <w:color w:val="auto"/>
          <w:spacing w:val="0"/>
          <w:position w:val="0"/>
          <w:szCs w:val="21"/>
          <w:highlight w:val="none"/>
          <w:lang w:val="en-US" w:eastAsia="zh-CN"/>
        </w:rPr>
        <w:t>政府采购项目电子交易管理操作指南-供应商</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指南可</w:t>
      </w:r>
      <w:r>
        <w:rPr>
          <w:rFonts w:hint="eastAsia" w:ascii="宋体" w:hAnsi="宋体" w:eastAsia="宋体" w:cs="宋体"/>
          <w:b w:val="0"/>
          <w:bCs/>
          <w:color w:val="auto"/>
          <w:spacing w:val="0"/>
          <w:position w:val="0"/>
          <w:szCs w:val="21"/>
          <w:highlight w:val="none"/>
        </w:rPr>
        <w:t>在“http</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//zfcg.gxzf.gov.cn/PurchaseAdvisory/ImportantNotice/2866753.html”下载。</w:t>
      </w:r>
    </w:p>
    <w:p w14:paraId="15CBC7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9.2供应商提交的竞争性磋商响应文件以及供应商与</w:t>
      </w:r>
      <w:r>
        <w:rPr>
          <w:rFonts w:hint="eastAsia" w:ascii="宋体" w:hAnsi="宋体" w:cs="宋体"/>
          <w:b w:val="0"/>
          <w:bCs/>
          <w:color w:val="auto"/>
          <w:spacing w:val="0"/>
          <w:position w:val="0"/>
          <w:szCs w:val="21"/>
          <w:highlight w:val="none"/>
          <w:lang w:eastAsia="zh-CN"/>
        </w:rPr>
        <w:t>广西华诚达建设项目管理有限公司</w:t>
      </w:r>
      <w:r>
        <w:rPr>
          <w:rFonts w:hint="eastAsia" w:ascii="宋体" w:hAnsi="宋体" w:eastAsia="宋体" w:cs="宋体"/>
          <w:b w:val="0"/>
          <w:bCs/>
          <w:color w:val="auto"/>
          <w:spacing w:val="0"/>
          <w:position w:val="0"/>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6D3400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9.3供应商应认真阅读、并充分理解本文件的全部内容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包括所有的补充、修改内容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，承诺并履行本文件中各项条款规定及要求。</w:t>
      </w:r>
    </w:p>
    <w:p w14:paraId="205CED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9.4竞争性磋商响应文件必须按本文件的全部内容，包括所有的补充通知及附件进行编制。</w:t>
      </w:r>
    </w:p>
    <w:p w14:paraId="3E1AF8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9.5如因供应商只填写和提供了本文件要求的部分内容和附件，而给评审造成困难，其可能导致的结果和责任由供应商自行承担。</w:t>
      </w:r>
    </w:p>
    <w:p w14:paraId="5763A0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9.6响应文件的组成：响应文件应分为资格证明文件、报价文件、商务技术文件三个部分组成。</w:t>
      </w:r>
      <w:r>
        <w:rPr>
          <w:rFonts w:hint="eastAsia" w:ascii="宋体" w:hAnsi="宋体" w:eastAsia="宋体" w:cs="宋体"/>
          <w:b/>
          <w:bCs w:val="0"/>
          <w:color w:val="auto"/>
          <w:spacing w:val="0"/>
          <w:position w:val="0"/>
          <w:szCs w:val="21"/>
          <w:highlight w:val="none"/>
          <w:lang w:eastAsia="zh-CN"/>
        </w:rPr>
        <w:t>以下注明“</w:t>
      </w:r>
      <w:r>
        <w:rPr>
          <w:rFonts w:hint="eastAsia" w:ascii="宋体" w:hAnsi="宋体" w:eastAsia="宋体" w:cs="宋体"/>
          <w:color w:val="auto"/>
          <w:spacing w:val="0"/>
          <w:position w:val="0"/>
          <w:szCs w:val="21"/>
          <w:highlight w:val="none"/>
        </w:rPr>
        <w:t>▲</w:t>
      </w:r>
      <w:r>
        <w:rPr>
          <w:rFonts w:hint="eastAsia" w:ascii="宋体" w:hAnsi="宋体" w:eastAsia="宋体" w:cs="宋体"/>
          <w:b/>
          <w:bCs w:val="0"/>
          <w:color w:val="auto"/>
          <w:spacing w:val="0"/>
          <w:position w:val="0"/>
          <w:szCs w:val="21"/>
          <w:highlight w:val="none"/>
          <w:lang w:eastAsia="zh-CN"/>
        </w:rPr>
        <w:t>”的必须提供，否则竞标无效。</w:t>
      </w:r>
    </w:p>
    <w:p w14:paraId="2F54B3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1.资格证明文件</w:t>
      </w:r>
    </w:p>
    <w:p w14:paraId="76622C7B">
      <w:pPr>
        <w:pStyle w:val="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lang w:val="en-US" w:eastAsia="zh-CN"/>
        </w:rPr>
        <w:t>供应商为法人或者其他组织的提供其营业执照等证明文件复印件（如营业执照或者事业单位法人证书或者执业许可证或者登记证书等）；</w:t>
      </w:r>
    </w:p>
    <w:p w14:paraId="480BE3C4">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▲2、投标人依法缴纳税收的相关材料[202</w:t>
      </w:r>
      <w:r>
        <w:rPr>
          <w:rFonts w:hint="eastAsia" w:ascii="宋体" w:hAnsi="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年</w:t>
      </w:r>
      <w:r>
        <w:rPr>
          <w:rFonts w:hint="eastAsia" w:ascii="宋体" w:hAnsi="宋体" w:cs="宋体"/>
          <w:color w:val="auto"/>
          <w:spacing w:val="0"/>
          <w:position w:val="0"/>
          <w:szCs w:val="21"/>
          <w:highlight w:val="none"/>
          <w:lang w:val="en-US" w:eastAsia="zh-CN"/>
        </w:rPr>
        <w:t>01</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p w14:paraId="0E0F345C">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▲3、投标人依法缴纳社会保障资金的相关材料[202</w:t>
      </w:r>
      <w:r>
        <w:rPr>
          <w:rFonts w:hint="eastAsia" w:ascii="宋体" w:hAnsi="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年</w:t>
      </w:r>
      <w:r>
        <w:rPr>
          <w:rFonts w:hint="eastAsia" w:ascii="宋体" w:hAnsi="宋体" w:cs="宋体"/>
          <w:color w:val="auto"/>
          <w:spacing w:val="0"/>
          <w:position w:val="0"/>
          <w:szCs w:val="21"/>
          <w:highlight w:val="none"/>
          <w:lang w:val="en-US" w:eastAsia="zh-CN"/>
        </w:rPr>
        <w:t>01</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三个月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p>
    <w:p w14:paraId="4ABC400C">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▲4、投标人财务状况报告：[2023年</w:t>
      </w:r>
      <w:r>
        <w:rPr>
          <w:rFonts w:hint="eastAsia" w:ascii="宋体" w:hAnsi="宋体" w:cs="宋体"/>
          <w:color w:val="auto"/>
          <w:spacing w:val="0"/>
          <w:position w:val="0"/>
          <w:szCs w:val="21"/>
          <w:highlight w:val="none"/>
          <w:lang w:eastAsia="zh-CN"/>
        </w:rPr>
        <w:t>或</w:t>
      </w:r>
      <w:r>
        <w:rPr>
          <w:rFonts w:hint="eastAsia" w:ascii="宋体" w:hAnsi="宋体" w:cs="宋体"/>
          <w:color w:val="auto"/>
          <w:spacing w:val="0"/>
          <w:position w:val="0"/>
          <w:szCs w:val="21"/>
          <w:highlight w:val="none"/>
          <w:lang w:val="en-US" w:eastAsia="zh-CN"/>
        </w:rPr>
        <w:t>2024年</w:t>
      </w:r>
      <w:r>
        <w:rPr>
          <w:rFonts w:hint="eastAsia" w:ascii="宋体" w:hAnsi="宋体" w:eastAsia="宋体" w:cs="宋体"/>
          <w:color w:val="auto"/>
          <w:spacing w:val="0"/>
          <w:position w:val="0"/>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14:paraId="311B5D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竞标声明（格式后附）；</w:t>
      </w:r>
    </w:p>
    <w:p w14:paraId="64BCAF2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color w:val="auto"/>
          <w:spacing w:val="0"/>
          <w:position w:val="0"/>
          <w:szCs w:val="21"/>
          <w:highlight w:val="none"/>
        </w:rPr>
        <w:t>供应商直接控股、管理关系信息表（格式后附）；</w:t>
      </w:r>
    </w:p>
    <w:p w14:paraId="600779E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7、</w:t>
      </w:r>
      <w:r>
        <w:rPr>
          <w:rFonts w:hint="eastAsia" w:ascii="宋体" w:hAnsi="宋体" w:eastAsia="宋体" w:cs="宋体"/>
          <w:color w:val="auto"/>
          <w:spacing w:val="0"/>
          <w:position w:val="0"/>
          <w:szCs w:val="21"/>
          <w:highlight w:val="none"/>
        </w:rPr>
        <w:t>拟派的项目经理无在建项目承诺书（格式</w:t>
      </w:r>
      <w:r>
        <w:rPr>
          <w:rFonts w:hint="eastAsia" w:ascii="宋体" w:hAnsi="宋体" w:eastAsia="宋体" w:cs="宋体"/>
          <w:color w:val="auto"/>
          <w:spacing w:val="0"/>
          <w:position w:val="0"/>
          <w:szCs w:val="21"/>
          <w:highlight w:val="none"/>
          <w:lang w:eastAsia="zh-CN"/>
        </w:rPr>
        <w:t>自拟</w:t>
      </w:r>
      <w:r>
        <w:rPr>
          <w:rFonts w:hint="eastAsia" w:ascii="宋体" w:hAnsi="宋体" w:eastAsia="宋体" w:cs="宋体"/>
          <w:color w:val="auto"/>
          <w:spacing w:val="0"/>
          <w:position w:val="0"/>
          <w:szCs w:val="21"/>
          <w:highlight w:val="none"/>
        </w:rPr>
        <w:t>）</w:t>
      </w:r>
      <w:r>
        <w:rPr>
          <w:rFonts w:hint="eastAsia" w:ascii="宋体" w:hAnsi="宋体" w:cs="宋体"/>
          <w:color w:val="auto"/>
          <w:spacing w:val="0"/>
          <w:position w:val="0"/>
          <w:szCs w:val="21"/>
          <w:highlight w:val="none"/>
          <w:lang w:eastAsia="zh-CN"/>
        </w:rPr>
        <w:t>；</w:t>
      </w:r>
    </w:p>
    <w:p w14:paraId="6AEE383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lang w:eastAsia="zh-CN"/>
        </w:rPr>
        <w:t>本项目属于专门面向中小企业采购的项目，供应商须为中小企业或监狱企业或残疾人福利性单位。</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供应商必须在响应文件中提供《</w:t>
      </w:r>
      <w:r>
        <w:rPr>
          <w:rFonts w:hint="eastAsia" w:ascii="宋体" w:hAnsi="宋体" w:eastAsia="宋体" w:cs="宋体"/>
          <w:bCs/>
          <w:color w:val="auto"/>
          <w:spacing w:val="0"/>
          <w:position w:val="0"/>
          <w:szCs w:val="21"/>
          <w:highlight w:val="none"/>
        </w:rPr>
        <w:t>中小企业声明函（工程）</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2"/>
          <w:highlight w:val="none"/>
        </w:rPr>
        <w:t>或残疾人福利性单位声明函或监狱企业证明材料</w:t>
      </w:r>
      <w:r>
        <w:rPr>
          <w:rFonts w:hint="eastAsia" w:ascii="宋体" w:hAnsi="宋体" w:eastAsia="宋体" w:cs="宋体"/>
          <w:color w:val="auto"/>
          <w:spacing w:val="0"/>
          <w:position w:val="0"/>
          <w:szCs w:val="22"/>
          <w:highlight w:val="none"/>
          <w:lang w:val="en-US" w:eastAsia="zh-CN"/>
        </w:rPr>
        <w:t>]；</w:t>
      </w:r>
    </w:p>
    <w:p w14:paraId="6E9887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9、</w:t>
      </w:r>
      <w:r>
        <w:rPr>
          <w:rFonts w:hint="eastAsia" w:ascii="宋体" w:hAnsi="宋体" w:eastAsia="宋体" w:cs="宋体"/>
          <w:b w:val="0"/>
          <w:bCs/>
          <w:color w:val="auto"/>
          <w:spacing w:val="0"/>
          <w:position w:val="0"/>
          <w:szCs w:val="21"/>
          <w:highlight w:val="none"/>
          <w:lang w:eastAsia="zh-CN"/>
        </w:rPr>
        <w:t>本项目的特定资格要求：</w:t>
      </w: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Cs w:val="21"/>
          <w:highlight w:val="none"/>
          <w:lang w:eastAsia="zh-CN"/>
        </w:rPr>
        <w:t>；</w:t>
      </w:r>
    </w:p>
    <w:p w14:paraId="4238CF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lang w:val="en-US" w:eastAsia="zh-CN"/>
        </w:rPr>
        <w:t>10、</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针对资格证明需要说明的其他证明文件和说明。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6270D3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2</w:t>
      </w:r>
      <w:r>
        <w:rPr>
          <w:rFonts w:hint="eastAsia" w:ascii="宋体" w:hAnsi="宋体" w:eastAsia="宋体" w:cs="宋体"/>
          <w:b/>
          <w:bCs w:val="0"/>
          <w:color w:val="auto"/>
          <w:spacing w:val="0"/>
          <w:position w:val="0"/>
          <w:szCs w:val="21"/>
          <w:highlight w:val="none"/>
        </w:rPr>
        <w:t>.报价文件</w:t>
      </w:r>
    </w:p>
    <w:p w14:paraId="70311C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磋商函；</w:t>
      </w:r>
    </w:p>
    <w:p w14:paraId="2BD359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磋商函附录</w:t>
      </w:r>
      <w:r>
        <w:rPr>
          <w:rFonts w:hint="eastAsia" w:ascii="宋体" w:hAnsi="宋体" w:eastAsia="宋体" w:cs="宋体"/>
          <w:b/>
          <w:bCs w:val="0"/>
          <w:color w:val="auto"/>
          <w:spacing w:val="0"/>
          <w:position w:val="0"/>
          <w:szCs w:val="21"/>
          <w:highlight w:val="none"/>
          <w:lang w:eastAsia="zh-CN"/>
        </w:rPr>
        <w:t>；</w:t>
      </w:r>
    </w:p>
    <w:p w14:paraId="281230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竞标报价表</w:t>
      </w:r>
      <w:r>
        <w:rPr>
          <w:rFonts w:hint="eastAsia" w:ascii="宋体" w:hAnsi="宋体" w:eastAsia="宋体" w:cs="宋体"/>
          <w:b w:val="0"/>
          <w:bCs/>
          <w:color w:val="auto"/>
          <w:spacing w:val="0"/>
          <w:position w:val="0"/>
          <w:szCs w:val="21"/>
          <w:highlight w:val="none"/>
          <w:lang w:eastAsia="zh-CN"/>
        </w:rPr>
        <w:t>；</w:t>
      </w:r>
    </w:p>
    <w:p w14:paraId="551F3B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已标价</w:t>
      </w:r>
      <w:r>
        <w:rPr>
          <w:rFonts w:hint="eastAsia" w:ascii="宋体" w:hAnsi="宋体" w:cs="宋体"/>
          <w:b w:val="0"/>
          <w:bCs/>
          <w:color w:val="auto"/>
          <w:spacing w:val="0"/>
          <w:position w:val="0"/>
          <w:szCs w:val="21"/>
          <w:highlight w:val="none"/>
          <w:lang w:eastAsia="zh-CN"/>
        </w:rPr>
        <w:t>工程量清单</w:t>
      </w:r>
      <w:r>
        <w:rPr>
          <w:rFonts w:hint="eastAsia" w:ascii="宋体" w:hAnsi="宋体" w:eastAsia="宋体" w:cs="宋体"/>
          <w:b w:val="0"/>
          <w:bCs/>
          <w:color w:val="auto"/>
          <w:spacing w:val="0"/>
          <w:position w:val="0"/>
          <w:szCs w:val="21"/>
          <w:highlight w:val="none"/>
        </w:rPr>
        <w:t>；</w:t>
      </w:r>
    </w:p>
    <w:p w14:paraId="5AF7F0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针对报价需要说明的其他文件和说明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2E2884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3</w:t>
      </w:r>
      <w:r>
        <w:rPr>
          <w:rFonts w:hint="eastAsia" w:ascii="宋体" w:hAnsi="宋体" w:eastAsia="宋体" w:cs="宋体"/>
          <w:b/>
          <w:bCs w:val="0"/>
          <w:color w:val="auto"/>
          <w:spacing w:val="0"/>
          <w:position w:val="0"/>
          <w:szCs w:val="21"/>
          <w:highlight w:val="none"/>
        </w:rPr>
        <w:t>.商务技术文件</w:t>
      </w:r>
    </w:p>
    <w:p w14:paraId="31528B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无串通竞标行为的承诺函（格式后附）；</w:t>
      </w:r>
    </w:p>
    <w:p w14:paraId="30AF06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法定代表人身份证明书及法定代表人有效身份证正反面复印件（格式后附）；</w:t>
      </w:r>
    </w:p>
    <w:p w14:paraId="31B0FB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授权委托书及委托代理人有效身份证正反面复印件（格式后附）；</w:t>
      </w:r>
      <w:r>
        <w:rPr>
          <w:rFonts w:hint="eastAsia" w:ascii="宋体" w:hAnsi="宋体" w:eastAsia="宋体" w:cs="宋体"/>
          <w:b/>
          <w:bCs w:val="0"/>
          <w:color w:val="auto"/>
          <w:spacing w:val="0"/>
          <w:position w:val="0"/>
          <w:szCs w:val="21"/>
          <w:highlight w:val="none"/>
        </w:rPr>
        <w:t>（委托时必须提供）</w:t>
      </w:r>
    </w:p>
    <w:p w14:paraId="7CFBC0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施工组织设计；</w:t>
      </w:r>
    </w:p>
    <w:p w14:paraId="5F0296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rPr>
        <w:t>项目管理机构配备情况表；</w:t>
      </w:r>
    </w:p>
    <w:p w14:paraId="5235E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针对商务技术需要说明的其他文件和说明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0E07F58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特别说明：</w:t>
      </w:r>
      <w:r>
        <w:rPr>
          <w:rFonts w:hint="eastAsia" w:ascii="宋体" w:hAnsi="宋体" w:eastAsia="宋体" w:cs="宋体"/>
          <w:b/>
          <w:bCs w:val="0"/>
          <w:color w:val="auto"/>
          <w:spacing w:val="0"/>
          <w:position w:val="0"/>
          <w:szCs w:val="21"/>
          <w:highlight w:val="none"/>
          <w:lang w:eastAsia="zh-CN"/>
        </w:rPr>
        <w:t>①</w:t>
      </w:r>
      <w:r>
        <w:rPr>
          <w:rFonts w:hint="eastAsia" w:ascii="宋体" w:hAnsi="宋体" w:eastAsia="宋体" w:cs="宋体"/>
          <w:b/>
          <w:bCs w:val="0"/>
          <w:color w:val="auto"/>
          <w:spacing w:val="0"/>
          <w:position w:val="0"/>
          <w:szCs w:val="21"/>
          <w:highlight w:val="none"/>
        </w:rPr>
        <w:t>电子磋商响应文件中所</w:t>
      </w:r>
      <w:r>
        <w:rPr>
          <w:rFonts w:hint="eastAsia" w:ascii="宋体" w:hAnsi="宋体" w:eastAsia="宋体" w:cs="宋体"/>
          <w:b/>
          <w:bCs w:val="0"/>
          <w:i w:val="0"/>
          <w:iCs w:val="0"/>
          <w:color w:val="auto"/>
          <w:spacing w:val="0"/>
          <w:position w:val="0"/>
          <w:szCs w:val="21"/>
          <w:highlight w:val="none"/>
        </w:rPr>
        <w:t>须加盖公章部分均采用CA签章</w:t>
      </w:r>
      <w:r>
        <w:rPr>
          <w:rFonts w:hint="eastAsia" w:ascii="宋体" w:hAnsi="宋体" w:eastAsia="宋体" w:cs="宋体"/>
          <w:b/>
          <w:bCs w:val="0"/>
          <w:color w:val="auto"/>
          <w:spacing w:val="0"/>
          <w:position w:val="0"/>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9F53B8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auto"/>
          <w:spacing w:val="0"/>
          <w:position w:val="0"/>
          <w:szCs w:val="21"/>
          <w:highlight w:val="none"/>
        </w:rPr>
        <w:t>。</w:t>
      </w:r>
    </w:p>
    <w:p w14:paraId="52656EC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③</w:t>
      </w:r>
      <w:r>
        <w:rPr>
          <w:rFonts w:hint="eastAsia" w:ascii="宋体" w:hAnsi="宋体" w:eastAsia="宋体" w:cs="宋体"/>
          <w:b/>
          <w:bCs w:val="0"/>
          <w:color w:val="auto"/>
          <w:spacing w:val="0"/>
          <w:position w:val="0"/>
          <w:szCs w:val="21"/>
          <w:highlight w:val="none"/>
        </w:rPr>
        <w:t>竞争性磋商采购文件要求提供的各种复印件，须加盖供应商CA签章，否则其磋商无效。</w:t>
      </w:r>
    </w:p>
    <w:p w14:paraId="56B12D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9.7响应文件有效期：见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592BEC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9.8磋商保证金：见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352532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10.计量单位</w:t>
      </w:r>
    </w:p>
    <w:p w14:paraId="5053F5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10.1磋商文件已有明确规定的，使用磋商文件规定的计量单位；磋商文件没有规定的，应采用</w:t>
      </w:r>
      <w:r>
        <w:rPr>
          <w:rFonts w:hint="eastAsia" w:ascii="宋体" w:hAnsi="宋体" w:eastAsia="宋体" w:cs="宋体"/>
          <w:b w:val="0"/>
          <w:bCs/>
          <w:color w:val="auto"/>
          <w:spacing w:val="0"/>
          <w:position w:val="0"/>
          <w:szCs w:val="21"/>
          <w:highlight w:val="none"/>
          <w:lang w:eastAsia="zh-CN"/>
        </w:rPr>
        <w:t>国家</w:t>
      </w:r>
      <w:r>
        <w:rPr>
          <w:rFonts w:hint="eastAsia" w:ascii="宋体" w:hAnsi="宋体" w:eastAsia="宋体" w:cs="宋体"/>
          <w:b w:val="0"/>
          <w:bCs/>
          <w:color w:val="auto"/>
          <w:spacing w:val="0"/>
          <w:position w:val="0"/>
          <w:szCs w:val="21"/>
          <w:highlight w:val="none"/>
        </w:rPr>
        <w:t>法定计量单位，货币种类为人民币，否则视同未响应。</w:t>
      </w:r>
    </w:p>
    <w:p w14:paraId="39DF9A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三、磋商报价及采购预算</w:t>
      </w:r>
    </w:p>
    <w:p w14:paraId="2E6351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3771B3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11.2供应商必须就所磋商的采购项目的全部内容作完整唯一报价，漏项报价的或有选择的或有条件的报价，其竞标将视为无效。</w:t>
      </w:r>
    </w:p>
    <w:p w14:paraId="65D944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11.3本项目磋商报价费用指按照采购需求完成该项目的所有服务工作的费用总和。</w:t>
      </w:r>
    </w:p>
    <w:p w14:paraId="1DF516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3A1B4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四、响应文件的份数、封装和递交</w:t>
      </w:r>
    </w:p>
    <w:p w14:paraId="191E09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12.竞争性磋商响应文件的份数：电子</w:t>
      </w:r>
      <w:r>
        <w:rPr>
          <w:rFonts w:hint="eastAsia" w:ascii="宋体" w:hAnsi="宋体" w:eastAsia="宋体" w:cs="宋体"/>
          <w:b w:val="0"/>
          <w:bCs/>
          <w:color w:val="auto"/>
          <w:spacing w:val="0"/>
          <w:position w:val="0"/>
          <w:szCs w:val="21"/>
          <w:highlight w:val="none"/>
          <w:lang w:eastAsia="zh-CN"/>
        </w:rPr>
        <w:t>加密</w:t>
      </w:r>
      <w:r>
        <w:rPr>
          <w:rFonts w:hint="eastAsia" w:ascii="宋体" w:hAnsi="宋体" w:eastAsia="宋体" w:cs="宋体"/>
          <w:b w:val="0"/>
          <w:bCs/>
          <w:color w:val="auto"/>
          <w:spacing w:val="0"/>
          <w:position w:val="0"/>
          <w:szCs w:val="21"/>
          <w:highlight w:val="none"/>
        </w:rPr>
        <w:t>响应文件一份。</w:t>
      </w:r>
    </w:p>
    <w:p w14:paraId="6E1FCD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auto"/>
          <w:spacing w:val="0"/>
          <w:position w:val="0"/>
          <w:szCs w:val="21"/>
          <w:highlight w:val="none"/>
          <w:lang w:eastAsia="zh-CN"/>
        </w:rPr>
        <w:t>响应</w:t>
      </w:r>
      <w:r>
        <w:rPr>
          <w:rFonts w:hint="eastAsia" w:ascii="宋体" w:hAnsi="宋体" w:eastAsia="宋体" w:cs="宋体"/>
          <w:b w:val="0"/>
          <w:bCs/>
          <w:color w:val="auto"/>
          <w:spacing w:val="0"/>
          <w:position w:val="0"/>
          <w:szCs w:val="21"/>
          <w:highlight w:val="none"/>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3128F2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13.响应文件的递交</w:t>
      </w:r>
    </w:p>
    <w:p w14:paraId="2DF720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13.1所有竞争性响应文件应于“第二章磋商须知及前附表”中规定的截止时间前递交到规定地点。</w:t>
      </w:r>
    </w:p>
    <w:p w14:paraId="3D8801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31C334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13.2迟交的响应文件</w:t>
      </w:r>
    </w:p>
    <w:p w14:paraId="396956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采购人或采购代理人按照规定有权拒绝或原封退回在其规定的递交响应文件截止时间之后收到的任何响应文件。</w:t>
      </w:r>
    </w:p>
    <w:p w14:paraId="75582F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五、竞争性磋商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简称磋商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与评审</w:t>
      </w:r>
    </w:p>
    <w:p w14:paraId="77AA2A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14.磋商小组成立及响应文件的开启</w:t>
      </w:r>
    </w:p>
    <w:p w14:paraId="3EED91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2CDDB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4DA1E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14.3响应文件的开启：具体详见“供应商须知前附表”。</w:t>
      </w:r>
    </w:p>
    <w:p w14:paraId="1929E5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15.响应文件评审程序</w:t>
      </w:r>
    </w:p>
    <w:p w14:paraId="2F652A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15.1资格审查</w:t>
      </w:r>
    </w:p>
    <w:p w14:paraId="0EDA10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15.1.1响应文件开启后，由磋商小组依法对供应商的资格证明文件进行审查。</w:t>
      </w:r>
    </w:p>
    <w:p w14:paraId="56794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15.1.2通过资格审查的合格供应商不足3家的，不得进入符合性审查环节，采购人或采购代理机构应当重新开展采购活动。</w:t>
      </w:r>
    </w:p>
    <w:p w14:paraId="69B02A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15.2符合性审查</w:t>
      </w:r>
    </w:p>
    <w:p w14:paraId="62BADD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15.2.1由磋商小组通过资格审查的合格供应商的响应文件的竞标报价、商务、技术等实质性要求进行符合性审查，以确定其是否满足竞争性磋商文件的实质性要求。</w:t>
      </w:r>
    </w:p>
    <w:p w14:paraId="083B49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E209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15.2.3磋商小组要求供应商澄清、说明或者更正响应文件应当要求供应商在合理时间</w:t>
      </w:r>
      <w:r>
        <w:rPr>
          <w:rFonts w:hint="eastAsia" w:ascii="宋体" w:hAnsi="宋体" w:eastAsia="宋体" w:cs="宋体"/>
          <w:b w:val="0"/>
          <w:bCs/>
          <w:color w:val="auto"/>
          <w:spacing w:val="0"/>
          <w:position w:val="0"/>
          <w:szCs w:val="21"/>
          <w:highlight w:val="none"/>
          <w:lang w:eastAsia="zh-CN"/>
        </w:rPr>
        <w:t>内通</w:t>
      </w:r>
      <w:r>
        <w:rPr>
          <w:rFonts w:hint="eastAsia" w:ascii="宋体" w:hAnsi="宋体" w:eastAsia="宋体" w:cs="宋体"/>
          <w:b w:val="0"/>
          <w:bCs/>
          <w:color w:val="auto"/>
          <w:spacing w:val="0"/>
          <w:position w:val="0"/>
          <w:szCs w:val="21"/>
          <w:highlight w:val="none"/>
        </w:rPr>
        <w:t>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的方式形式作出。供应商的澄清、说明或者更正必须通过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30E871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15.2.4首次响应文件中报价出现前后不一致的，按照下列规定修正：</w:t>
      </w:r>
    </w:p>
    <w:p w14:paraId="35CE25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响应文件中报价表内容与响应文件中相应内容不一致的，以报价表为准；</w:t>
      </w:r>
    </w:p>
    <w:p w14:paraId="3B8844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大写金额和小写金额不一致的，以大写金额为准；</w:t>
      </w:r>
    </w:p>
    <w:p w14:paraId="1CA9D7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单价金额小数点或者百分比有明显错位的，以报价表的总价为准，并修改单价；</w:t>
      </w:r>
    </w:p>
    <w:p w14:paraId="1BE2E9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总价金额与按单价汇总金额不一致的，以单价金额计算结果为准。</w:t>
      </w:r>
    </w:p>
    <w:p w14:paraId="3855F4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同时出现两种以上不一致的，按照以上</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规定的顺序逐条进行修正。修正后的报价经供应商确认后产生约束力，供应商不确认的，其响应文件按无效响应处理。</w:t>
      </w:r>
    </w:p>
    <w:p w14:paraId="3CB724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4C0F67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15.2.6通过符合性审查的合格供应商不足3家的，不得进入磋商环节，采购人或采购代理机构应当重新开展采购活动。</w:t>
      </w:r>
    </w:p>
    <w:p w14:paraId="1DF0D4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16.磋商</w:t>
      </w:r>
    </w:p>
    <w:p w14:paraId="67E146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16.1磋商小组按照“供应商须知前附表”确定的顺序，集中与单一供应商分别进行磋商，并予所有参加磋商的供应商平等的磋商机会。符合磋商资格的供应商必须实时关注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ab/>
      </w:r>
      <w:r>
        <w:rPr>
          <w:rFonts w:hint="eastAsia" w:ascii="宋体" w:hAnsi="宋体" w:eastAsia="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开标信息，在接到磋商通知后规定时间内参加磋商，未在规定时间内参加磋商的视同放弃参加磋商权利，其响应文件按无效响应处理。</w:t>
      </w:r>
    </w:p>
    <w:p w14:paraId="6561DC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6573F5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16.3对竞争性磋商文件作出的实质性变动是竞争性磋商文件的有效组成部分，由磋商小组及时以书面形式同时通知所有参加磋商的供应商。</w:t>
      </w:r>
    </w:p>
    <w:p w14:paraId="688ACD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35A827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16.5磋商中，磋商的任何一方不得透露与磋商有关的其他供应商的技术资料、价格和其他信息。</w:t>
      </w:r>
    </w:p>
    <w:p w14:paraId="222416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16.6采购代理机构对磋商过程和重要磋商内容进行记录，磋商双方应在记录上签字确认。</w:t>
      </w:r>
    </w:p>
    <w:p w14:paraId="79939A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16.7磋商过程中重新提交的响应文件，供应商可以在开启前补充、修改。</w:t>
      </w:r>
    </w:p>
    <w:p w14:paraId="3A20B4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16.8根据《财政部关于政府采购竞争性磋商采购方式管理暂行办法有关问题的补充通知》</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财库〔2015〕124号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的规定，采用竞争性磋商采购方式采购的政府购买服务项目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含政府和社会资本合作项目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，在采购过程中符合要求的供应商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只有2家的，竞争性磋商采购活动可以继续进行。采购过程中符合要求的供应商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只有1家的，采购人</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项目实施机构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或者采购代理机构应当终止竞争性磋商采购活动，发布项目终止公告并说明原因，重新开展采购活动。</w:t>
      </w:r>
    </w:p>
    <w:p w14:paraId="048462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75C9F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16.10本项目所有响应文件的首次报价及所有磋商报价均不公布。最后磋商结束后，磋商小组不得再与供应商进行任何形式的商谈。</w:t>
      </w:r>
    </w:p>
    <w:p w14:paraId="570A7B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17.最后报价</w:t>
      </w:r>
    </w:p>
    <w:p w14:paraId="4B155F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提交最后报价，提交最后报价的供应商不得少于3家，除本章第4.3条外，否则必须重新采购。</w:t>
      </w:r>
    </w:p>
    <w:p w14:paraId="772066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并要求其在规定时间内在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w:t>
      </w:r>
    </w:p>
    <w:p w14:paraId="311068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①最后报价与首次报价相比无调整的：供应商提交的最后报价只须注明与首次报价相同。</w:t>
      </w:r>
    </w:p>
    <w:p w14:paraId="385162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分部分项工程量清单费用、措施项目清单费用、规费、税金、其它项目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和采购人部分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暂列金、材料购置费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等完成本工程并经验收合格至达到质量保修期限所需的费用、合理利润及风险。如磋商文件或磋商程中明确供应商应提供技术服务及其它服务的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如检测费、验收发生的费用</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w:t>
      </w:r>
      <w:r>
        <w:rPr>
          <w:rFonts w:hint="eastAsia" w:ascii="宋体" w:hAnsi="宋体" w:cs="宋体"/>
          <w:b w:val="0"/>
          <w:bCs/>
          <w:color w:val="auto"/>
          <w:spacing w:val="0"/>
          <w:position w:val="0"/>
          <w:szCs w:val="21"/>
          <w:highlight w:val="none"/>
          <w:lang w:eastAsia="zh-CN"/>
        </w:rPr>
        <w:t>逾期视为放弃磋商资格、退出磋商</w:t>
      </w:r>
      <w:r>
        <w:rPr>
          <w:rFonts w:hint="eastAsia" w:ascii="宋体" w:hAnsi="宋体" w:eastAsia="宋体" w:cs="宋体"/>
          <w:b w:val="0"/>
          <w:bCs/>
          <w:color w:val="auto"/>
          <w:spacing w:val="0"/>
          <w:position w:val="0"/>
          <w:szCs w:val="21"/>
          <w:highlight w:val="none"/>
        </w:rPr>
        <w:t>。</w:t>
      </w:r>
    </w:p>
    <w:p w14:paraId="5717D2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17.3最后报价是供应商响应文件的有效组成部分。符合《政府采购竞争性磋商采购方式管理暂行办法》</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财库〔2014〕214号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第三条第四项“市场竞争不充分的科研项目，以及需要扶持的科技成果转化项目”的，提交最后报价的供应商可以为2家。</w:t>
      </w:r>
    </w:p>
    <w:p w14:paraId="50B3E1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16EE49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17.5供应商未在规定时间内提交最后报价的，视同退出磋商。</w:t>
      </w:r>
    </w:p>
    <w:p w14:paraId="51C699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17.6磋商小组收齐某一分标最后报价后统一开启，磋商小组对最后报价进行有效性、完整性和响应程度的审查。</w:t>
      </w:r>
    </w:p>
    <w:p w14:paraId="739A79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17.7响应文件最后报价出现前后不一致的，按照本正文第25.2.4条的规定修正。</w:t>
      </w:r>
    </w:p>
    <w:p w14:paraId="0B6B69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17.8修正后的报价出现下列情形的，按无效响应处理：</w:t>
      </w:r>
    </w:p>
    <w:p w14:paraId="5387F0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供应商不确认的；</w:t>
      </w:r>
    </w:p>
    <w:p w14:paraId="1A37F1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超过所竞标规定的采购预算金额或者最高限价的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8CD44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超过分项采购预算金额或者最高限价的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71D741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17.9经供应商确认修正后的最后报价作为评审及签订合同的依据。</w:t>
      </w:r>
    </w:p>
    <w:p w14:paraId="27ECA3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17.10最后报价结束后，磋商小组不得再与供应商进行任何形式的商谈。</w:t>
      </w:r>
    </w:p>
    <w:p w14:paraId="3B75E6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18.比较与评价</w:t>
      </w:r>
    </w:p>
    <w:p w14:paraId="22C664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18.1评审方法：综合评分法。</w:t>
      </w:r>
    </w:p>
    <w:p w14:paraId="7CF57D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6A29C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18.3评审时，磋商小组各成员应当独立对每个有效的响应文件进行评价、打分，然后汇总每个供应商每项评分因素的得分。</w:t>
      </w:r>
    </w:p>
    <w:p w14:paraId="097E44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磋商小组按照竞争性磋商文件中规定的评审标准计算各供应商的报价得分。项目评审过程中，不得去掉最后报价中的最高报价和最低报价。</w:t>
      </w:r>
    </w:p>
    <w:p w14:paraId="47D433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各供应商的得分为磋商小组所有成员的有效评分的算术平均数。</w:t>
      </w:r>
    </w:p>
    <w:p w14:paraId="218561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如有修正，以确认修正后的最后报价为准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6B0714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5B76A3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4F78E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特别说明：</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公司如对电子化磋商及评审程序有调整的，按调整后的程序操作。</w:t>
      </w:r>
    </w:p>
    <w:p w14:paraId="1E8733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18.6采购过程中出现以下情形，导致电子交易平台无法正常运行，或者无法保证电子交易的公平、公正和安全时，采购组织机构可中止电子交易活动：</w:t>
      </w:r>
    </w:p>
    <w:p w14:paraId="5E564E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18.6.1电子交易平台发生故障而无法登录访问的；</w:t>
      </w:r>
    </w:p>
    <w:p w14:paraId="61313E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18.6.2电子交易平台应用或数据库出现错误，不能进行正常操作的；</w:t>
      </w:r>
    </w:p>
    <w:p w14:paraId="49064D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18.6.3电子交易平台发现严重安全漏洞，有潜在泄密危险的；</w:t>
      </w:r>
    </w:p>
    <w:p w14:paraId="0AB1FB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18.6.4病毒发作导致不能进行正常操作的；</w:t>
      </w:r>
    </w:p>
    <w:p w14:paraId="1F8C18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18.6.5其他无法保证电子交易的公平、公正和安全的情况。</w:t>
      </w:r>
    </w:p>
    <w:p w14:paraId="25F8A6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026CA7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六、确定成交供应商办法及结果公告</w:t>
      </w:r>
    </w:p>
    <w:p w14:paraId="73999F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942FC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1520C1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BB5BC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265B5E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七、履约保证金</w:t>
      </w:r>
    </w:p>
    <w:p w14:paraId="5A99CA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20.履约保证金：</w:t>
      </w:r>
      <w:r>
        <w:rPr>
          <w:rFonts w:hint="eastAsia" w:ascii="宋体" w:hAnsi="宋体" w:eastAsia="宋体" w:cs="宋体"/>
          <w:b w:val="0"/>
          <w:bCs/>
          <w:color w:val="auto"/>
          <w:spacing w:val="0"/>
          <w:position w:val="0"/>
          <w:szCs w:val="21"/>
          <w:highlight w:val="none"/>
          <w:lang w:val="en-US" w:eastAsia="zh-CN"/>
        </w:rPr>
        <w:t>详见须知前附表</w:t>
      </w:r>
      <w:r>
        <w:rPr>
          <w:rFonts w:hint="eastAsia" w:ascii="宋体" w:hAnsi="宋体" w:eastAsia="宋体" w:cs="宋体"/>
          <w:b w:val="0"/>
          <w:bCs/>
          <w:color w:val="auto"/>
          <w:spacing w:val="0"/>
          <w:position w:val="0"/>
          <w:szCs w:val="21"/>
          <w:highlight w:val="none"/>
        </w:rPr>
        <w:t>。</w:t>
      </w:r>
    </w:p>
    <w:p w14:paraId="6CDC0A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八、签订合同</w:t>
      </w:r>
    </w:p>
    <w:p w14:paraId="4A4257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b w:val="0"/>
          <w:bCs/>
          <w:color w:val="auto"/>
          <w:spacing w:val="0"/>
          <w:position w:val="0"/>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600EE2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28FF12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九、政府采购合同公告</w:t>
      </w:r>
    </w:p>
    <w:p w14:paraId="6A1AF3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48C06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十、适用法律</w:t>
      </w:r>
    </w:p>
    <w:p w14:paraId="09F746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23.本项目适用于《中华人民共和国政府采购法》《中华人民共和国政府采购法实施条例》</w:t>
      </w:r>
    </w:p>
    <w:p w14:paraId="4019FC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468E88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十一、其他事项</w:t>
      </w:r>
    </w:p>
    <w:p w14:paraId="5695ED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24.1招标代理服务费</w:t>
      </w:r>
    </w:p>
    <w:p w14:paraId="1D90F2F7">
      <w:pPr>
        <w:pStyle w:val="13"/>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hAnsi="宋体" w:cs="宋体"/>
          <w:color w:val="auto"/>
          <w:spacing w:val="0"/>
          <w:position w:val="0"/>
          <w:sz w:val="21"/>
          <w:highlight w:val="none"/>
          <w:lang w:val="en-US" w:eastAsia="zh-CN"/>
        </w:rPr>
        <w:t>按差额定率累进法，以《招标代理服务收费管理暂行办法》计价格[2002]1980号文和发改价格[2011]534号工程类标准计算，按计费依据计费再下浮20%向成交人计取。成交人在领取成交通知书前，一次性向采购代理机构支付</w:t>
      </w:r>
      <w:r>
        <w:rPr>
          <w:rFonts w:hint="eastAsia" w:ascii="宋体" w:hAnsi="宋体" w:eastAsia="宋体" w:cs="宋体"/>
          <w:b w:val="0"/>
          <w:bCs/>
          <w:color w:val="auto"/>
          <w:spacing w:val="0"/>
          <w:position w:val="0"/>
          <w:szCs w:val="21"/>
          <w:highlight w:val="none"/>
        </w:rPr>
        <w:t>。</w:t>
      </w:r>
    </w:p>
    <w:p w14:paraId="3DFB6A27">
      <w:pPr>
        <w:pStyle w:val="13"/>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代理服务费专用</w:t>
      </w:r>
      <w:r>
        <w:rPr>
          <w:rFonts w:hint="eastAsia" w:ascii="宋体" w:hAnsi="宋体" w:eastAsia="宋体" w:cs="宋体"/>
          <w:b w:val="0"/>
          <w:bCs/>
          <w:color w:val="auto"/>
          <w:spacing w:val="0"/>
          <w:position w:val="0"/>
          <w:szCs w:val="21"/>
          <w:highlight w:val="none"/>
          <w:lang w:eastAsia="zh-CN"/>
        </w:rPr>
        <w:t>账</w:t>
      </w:r>
      <w:r>
        <w:rPr>
          <w:rFonts w:hint="eastAsia" w:ascii="宋体" w:hAnsi="宋体" w:eastAsia="宋体" w:cs="宋体"/>
          <w:b w:val="0"/>
          <w:bCs/>
          <w:color w:val="auto"/>
          <w:spacing w:val="0"/>
          <w:position w:val="0"/>
          <w:szCs w:val="21"/>
          <w:highlight w:val="none"/>
        </w:rPr>
        <w:t>户：</w:t>
      </w:r>
    </w:p>
    <w:p w14:paraId="47E45464">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hAnsi="宋体"/>
          <w:color w:val="auto"/>
          <w:highlight w:val="none"/>
          <w:lang w:eastAsia="zh-CN"/>
        </w:rPr>
      </w:pPr>
      <w:r>
        <w:rPr>
          <w:rFonts w:hint="eastAsia" w:hAnsi="宋体"/>
          <w:color w:val="auto"/>
          <w:highlight w:val="none"/>
        </w:rPr>
        <w:t>账户名称：</w:t>
      </w:r>
      <w:r>
        <w:rPr>
          <w:rFonts w:hint="eastAsia" w:hAnsi="宋体"/>
          <w:color w:val="auto"/>
          <w:highlight w:val="none"/>
          <w:lang w:val="en-US" w:eastAsia="zh-CN"/>
        </w:rPr>
        <w:t>广西华诚达建设项目管理有限公司浦北分公司</w:t>
      </w:r>
      <w:r>
        <w:rPr>
          <w:rFonts w:hint="eastAsia" w:hAnsi="宋体"/>
          <w:color w:val="auto"/>
          <w:highlight w:val="none"/>
          <w:lang w:eastAsia="zh-CN"/>
        </w:rPr>
        <w:t xml:space="preserve"> </w:t>
      </w:r>
    </w:p>
    <w:p w14:paraId="57D5421B">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hAnsi="宋体"/>
          <w:color w:val="auto"/>
          <w:highlight w:val="none"/>
          <w:lang w:eastAsia="zh-CN"/>
        </w:rPr>
      </w:pPr>
      <w:r>
        <w:rPr>
          <w:rFonts w:hint="eastAsia" w:hAnsi="宋体"/>
          <w:color w:val="auto"/>
          <w:highlight w:val="none"/>
        </w:rPr>
        <w:t>开户银行：</w:t>
      </w:r>
      <w:r>
        <w:rPr>
          <w:rFonts w:hint="eastAsia" w:hAnsi="宋体"/>
          <w:color w:val="auto"/>
          <w:highlight w:val="none"/>
          <w:lang w:val="en-US" w:eastAsia="zh-CN"/>
        </w:rPr>
        <w:t>浦北县农村信用合作联社小江信用社</w:t>
      </w:r>
    </w:p>
    <w:p w14:paraId="0F12B5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highlight w:val="none"/>
          <w:lang w:val="en-US" w:eastAsia="zh-CN"/>
        </w:rPr>
      </w:pPr>
      <w:r>
        <w:rPr>
          <w:rFonts w:hint="eastAsia" w:hAnsi="宋体"/>
          <w:color w:val="auto"/>
          <w:highlight w:val="none"/>
        </w:rPr>
        <w:t>银行账号：</w:t>
      </w:r>
      <w:r>
        <w:rPr>
          <w:rFonts w:hint="eastAsia" w:hAnsi="宋体"/>
          <w:color w:val="auto"/>
          <w:highlight w:val="none"/>
          <w:lang w:val="en-US" w:eastAsia="zh-CN"/>
        </w:rPr>
        <w:t>825512010110542786</w:t>
      </w:r>
    </w:p>
    <w:p w14:paraId="31AF1BDF">
      <w:pPr>
        <w:pStyle w:val="13"/>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color w:val="auto"/>
          <w:spacing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auto"/>
          <w:spacing w:val="0"/>
          <w:position w:val="0"/>
          <w:szCs w:val="21"/>
          <w:highlight w:val="none"/>
        </w:rPr>
        <w:t>代理服务费收费计算标准：</w:t>
      </w:r>
    </w:p>
    <w:p w14:paraId="5BC5200E">
      <w:pPr>
        <w:pStyle w:val="1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color w:val="auto"/>
          <w:spacing w:val="0"/>
          <w:position w:val="0"/>
          <w:szCs w:val="21"/>
          <w:highlight w:val="none"/>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30BB2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40328E2B">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费率</w:t>
            </w:r>
          </w:p>
          <w:p w14:paraId="031374FC">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金额</w:t>
            </w:r>
          </w:p>
        </w:tc>
        <w:tc>
          <w:tcPr>
            <w:tcW w:w="1579" w:type="dxa"/>
            <w:vAlign w:val="center"/>
          </w:tcPr>
          <w:p w14:paraId="110C98AF">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货物类</w:t>
            </w:r>
          </w:p>
        </w:tc>
        <w:tc>
          <w:tcPr>
            <w:tcW w:w="1579" w:type="dxa"/>
            <w:vAlign w:val="center"/>
          </w:tcPr>
          <w:p w14:paraId="6E0D4A37">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服务类</w:t>
            </w:r>
          </w:p>
        </w:tc>
        <w:tc>
          <w:tcPr>
            <w:tcW w:w="1581" w:type="dxa"/>
            <w:vAlign w:val="center"/>
          </w:tcPr>
          <w:p w14:paraId="0ACBDF00">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工程类</w:t>
            </w:r>
          </w:p>
        </w:tc>
      </w:tr>
      <w:tr w14:paraId="03741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6E9FC9D">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100万元以下</w:t>
            </w:r>
          </w:p>
        </w:tc>
        <w:tc>
          <w:tcPr>
            <w:tcW w:w="1579" w:type="dxa"/>
            <w:vAlign w:val="center"/>
          </w:tcPr>
          <w:p w14:paraId="11FDE7D6">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79" w:type="dxa"/>
            <w:vAlign w:val="center"/>
          </w:tcPr>
          <w:p w14:paraId="2E76E07C">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81" w:type="dxa"/>
            <w:vAlign w:val="center"/>
          </w:tcPr>
          <w:p w14:paraId="214CB2B8">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w:t>
            </w:r>
          </w:p>
        </w:tc>
      </w:tr>
      <w:tr w14:paraId="4D58E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32D27949">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500万元</w:t>
            </w:r>
          </w:p>
        </w:tc>
        <w:tc>
          <w:tcPr>
            <w:tcW w:w="1579" w:type="dxa"/>
            <w:vAlign w:val="center"/>
          </w:tcPr>
          <w:p w14:paraId="59836DB9">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w:t>
            </w:r>
          </w:p>
        </w:tc>
        <w:tc>
          <w:tcPr>
            <w:tcW w:w="1579" w:type="dxa"/>
            <w:vAlign w:val="center"/>
          </w:tcPr>
          <w:p w14:paraId="5037630C">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81" w:type="dxa"/>
            <w:vAlign w:val="center"/>
          </w:tcPr>
          <w:p w14:paraId="7957953F">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0.7%</w:t>
            </w:r>
          </w:p>
        </w:tc>
      </w:tr>
      <w:tr w14:paraId="6CC52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0B717B78">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1000万元</w:t>
            </w:r>
          </w:p>
        </w:tc>
        <w:tc>
          <w:tcPr>
            <w:tcW w:w="1579" w:type="dxa"/>
            <w:vAlign w:val="center"/>
          </w:tcPr>
          <w:p w14:paraId="0EBA621A">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79" w:type="dxa"/>
            <w:vAlign w:val="center"/>
          </w:tcPr>
          <w:p w14:paraId="2F72378F">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0.45%</w:t>
            </w:r>
          </w:p>
        </w:tc>
        <w:tc>
          <w:tcPr>
            <w:tcW w:w="1581" w:type="dxa"/>
            <w:vAlign w:val="center"/>
          </w:tcPr>
          <w:p w14:paraId="06E651E4">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0.55%</w:t>
            </w:r>
          </w:p>
        </w:tc>
      </w:tr>
      <w:tr w14:paraId="37662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65987EC7">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5000万元</w:t>
            </w:r>
          </w:p>
        </w:tc>
        <w:tc>
          <w:tcPr>
            <w:tcW w:w="1579" w:type="dxa"/>
            <w:vAlign w:val="center"/>
          </w:tcPr>
          <w:p w14:paraId="2C5ACED4">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w:t>
            </w:r>
          </w:p>
        </w:tc>
        <w:tc>
          <w:tcPr>
            <w:tcW w:w="1579" w:type="dxa"/>
            <w:vAlign w:val="center"/>
          </w:tcPr>
          <w:p w14:paraId="49C20669">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81" w:type="dxa"/>
            <w:vAlign w:val="center"/>
          </w:tcPr>
          <w:p w14:paraId="7BA39D52">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0.35%</w:t>
            </w:r>
          </w:p>
        </w:tc>
      </w:tr>
      <w:tr w14:paraId="3BDE4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3EE46904">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5000万元</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1亿元</w:t>
            </w:r>
          </w:p>
        </w:tc>
        <w:tc>
          <w:tcPr>
            <w:tcW w:w="1579" w:type="dxa"/>
            <w:vAlign w:val="center"/>
          </w:tcPr>
          <w:p w14:paraId="3AB2BA62">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79" w:type="dxa"/>
            <w:vAlign w:val="center"/>
          </w:tcPr>
          <w:p w14:paraId="287D6F9B">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0.1%</w:t>
            </w:r>
          </w:p>
        </w:tc>
        <w:tc>
          <w:tcPr>
            <w:tcW w:w="1581" w:type="dxa"/>
            <w:vAlign w:val="center"/>
          </w:tcPr>
          <w:p w14:paraId="1DF554CB">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w:t>
            </w:r>
          </w:p>
        </w:tc>
      </w:tr>
      <w:tr w14:paraId="2ABDB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0E76627A">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5亿元</w:t>
            </w:r>
          </w:p>
        </w:tc>
        <w:tc>
          <w:tcPr>
            <w:tcW w:w="1579" w:type="dxa"/>
            <w:vAlign w:val="center"/>
          </w:tcPr>
          <w:p w14:paraId="5414AA76">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79" w:type="dxa"/>
            <w:vAlign w:val="center"/>
          </w:tcPr>
          <w:p w14:paraId="5C4921F0">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81" w:type="dxa"/>
            <w:vAlign w:val="center"/>
          </w:tcPr>
          <w:p w14:paraId="388A7736">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r>
      <w:tr w14:paraId="43D8D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322F0252">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10亿元</w:t>
            </w:r>
          </w:p>
        </w:tc>
        <w:tc>
          <w:tcPr>
            <w:tcW w:w="1579" w:type="dxa"/>
            <w:vAlign w:val="center"/>
          </w:tcPr>
          <w:p w14:paraId="6B701571">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79" w:type="dxa"/>
            <w:vAlign w:val="center"/>
          </w:tcPr>
          <w:p w14:paraId="0EB375C7">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81" w:type="dxa"/>
            <w:vAlign w:val="center"/>
          </w:tcPr>
          <w:p w14:paraId="7B628C3B">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r>
    </w:tbl>
    <w:p w14:paraId="630F3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注：招标代理服务收费按差额定率累进法计算。</w:t>
      </w:r>
    </w:p>
    <w:p w14:paraId="54EA5E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24.2.解释权</w:t>
      </w:r>
    </w:p>
    <w:p w14:paraId="4E653A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解释权属本采购代理机构。</w:t>
      </w:r>
    </w:p>
    <w:p w14:paraId="69ABE1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24.3询问、质疑和投诉</w:t>
      </w:r>
    </w:p>
    <w:p w14:paraId="154BF7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24.3.1供应商对政府采购活动事项有疑问的，可以向采购人、采购代理机构提出询问，采购人或者采购代理机构应当在3个工作日内对供应商依法提出的询问作出答复。</w:t>
      </w:r>
    </w:p>
    <w:p w14:paraId="530615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6F1217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对可以质疑的竞争性磋商文件提出质疑的，为收到竞争性磋商文件之日或竞争性磋商公告期限届满之日；</w:t>
      </w:r>
    </w:p>
    <w:p w14:paraId="6F0685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对采购过程提出质疑的，为各采购程序环节结束之日；</w:t>
      </w:r>
    </w:p>
    <w:p w14:paraId="2100B2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对成交结果提出质疑的，为成交结果公告期限届满之日。</w:t>
      </w:r>
    </w:p>
    <w:p w14:paraId="3F3188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供应商对采购人或采购代理机构的质疑答复不满意或者采购人或采购代理机构未在规定时间内作出答复的，可以在答复期满后十五个工作日内向同级采购监管部门投诉。</w:t>
      </w:r>
    </w:p>
    <w:p w14:paraId="296177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44438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2F50FF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供应商提出质疑应当提交质疑函和必要的证明材料，针对同一采购程序环节的质疑必须在法定质疑期内一次性提出。质疑函应当包括下列内容：</w:t>
      </w:r>
    </w:p>
    <w:p w14:paraId="3515B9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供应商的姓名或者名称、地址、邮编、联系人及联系电话；</w:t>
      </w:r>
    </w:p>
    <w:p w14:paraId="2D19AA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质疑项目的名称、编号；</w:t>
      </w:r>
    </w:p>
    <w:p w14:paraId="0F80BA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具体、明确的质疑事项和与质疑事项相关的请求；</w:t>
      </w:r>
    </w:p>
    <w:p w14:paraId="4B66C8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4</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事实依据；</w:t>
      </w:r>
    </w:p>
    <w:p w14:paraId="52F910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5</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必要的法律依据；</w:t>
      </w:r>
    </w:p>
    <w:p w14:paraId="457CAF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6</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提出质疑的日期。</w:t>
      </w:r>
    </w:p>
    <w:p w14:paraId="3D443A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供应商为自然人的，应当由本人签字；供应商为法人或者其他组织的，应当由法定代表人、主要负责人，或者其委托代理人签字或者盖章，并加盖公章。</w:t>
      </w:r>
    </w:p>
    <w:p w14:paraId="3D250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10BBD2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对竞争性磋商文件提出的质疑，依法通过澄清或者修改可以继续开展采购活动的，澄清或者修改竞争性磋商文件后继续开展采购活动；否则应当在修改竞争性磋商文件后重新开展采购活动。</w:t>
      </w:r>
    </w:p>
    <w:p w14:paraId="2DCDB8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对采购过程、成交结果提出的质疑，合格供应商符合法定数量时，可以从合格的成交候选人中另行确定成交供应商的，应当依法另行确定成交供应商；否则应当重新开展采购活动。</w:t>
      </w:r>
    </w:p>
    <w:p w14:paraId="50A900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质疑答复导致成交结果改变的，采购人或者采购代理机构应当将有关情况书面报告本级财政部门。</w:t>
      </w:r>
    </w:p>
    <w:p w14:paraId="6220E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财政部令第94号</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第六条规定的财政部门提起投诉。</w:t>
      </w:r>
    </w:p>
    <w:p w14:paraId="47379B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所有与本磋商文件有关的函件请按下列通讯地址联系：</w:t>
      </w:r>
    </w:p>
    <w:p w14:paraId="0B64C97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rPr>
        <w:t>通讯地址：</w:t>
      </w:r>
      <w:r>
        <w:rPr>
          <w:rFonts w:hint="eastAsia" w:ascii="宋体" w:hAnsi="宋体" w:cs="宋体"/>
          <w:color w:val="auto"/>
          <w:sz w:val="21"/>
          <w:szCs w:val="21"/>
          <w:lang w:val="en-US" w:eastAsia="zh-CN"/>
        </w:rPr>
        <w:t xml:space="preserve">浦北县晨华广场64栋-111号（二楼）  </w:t>
      </w:r>
    </w:p>
    <w:p w14:paraId="6937B7E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rPr>
        <w:t xml:space="preserve">电话： </w:t>
      </w:r>
      <w:r>
        <w:rPr>
          <w:rFonts w:hint="eastAsia" w:ascii="宋体" w:hAnsi="宋体" w:cs="宋体"/>
          <w:b w:val="0"/>
          <w:bCs/>
          <w:color w:val="auto"/>
          <w:szCs w:val="21"/>
          <w:highlight w:val="none"/>
          <w:lang w:eastAsia="zh-CN"/>
        </w:rPr>
        <w:t>0777-</w:t>
      </w:r>
      <w:r>
        <w:rPr>
          <w:rFonts w:hint="eastAsia" w:ascii="宋体" w:hAnsi="宋体" w:cs="宋体"/>
          <w:b w:val="0"/>
          <w:bCs/>
          <w:color w:val="auto"/>
          <w:szCs w:val="21"/>
          <w:highlight w:val="none"/>
          <w:lang w:val="en-US" w:eastAsia="zh-CN"/>
        </w:rPr>
        <w:t>8381599</w:t>
      </w:r>
    </w:p>
    <w:p w14:paraId="41E562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val="en-US" w:eastAsia="zh-CN"/>
        </w:rPr>
      </w:pPr>
    </w:p>
    <w:p w14:paraId="23F2AA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pacing w:val="0"/>
          <w:position w:val="0"/>
          <w:szCs w:val="21"/>
          <w:highlight w:val="none"/>
        </w:rPr>
      </w:pPr>
    </w:p>
    <w:p w14:paraId="12E64F0A">
      <w:pPr>
        <w:pStyle w:val="15"/>
        <w:rPr>
          <w:rFonts w:ascii="宋体" w:hAnsi="宋体" w:cs="宋体"/>
          <w:b w:val="0"/>
          <w:bCs/>
          <w:color w:val="auto"/>
          <w:spacing w:val="0"/>
          <w:position w:val="0"/>
          <w:szCs w:val="21"/>
          <w:highlight w:val="none"/>
        </w:rPr>
      </w:pPr>
    </w:p>
    <w:p w14:paraId="0D705466">
      <w:pPr>
        <w:pStyle w:val="15"/>
        <w:rPr>
          <w:rFonts w:ascii="宋体" w:hAnsi="宋体" w:cs="宋体"/>
          <w:b w:val="0"/>
          <w:bCs/>
          <w:color w:val="auto"/>
          <w:spacing w:val="0"/>
          <w:position w:val="0"/>
          <w:szCs w:val="21"/>
          <w:highlight w:val="none"/>
        </w:rPr>
      </w:pPr>
    </w:p>
    <w:p w14:paraId="6D9A4ECF">
      <w:pPr>
        <w:jc w:val="center"/>
        <w:outlineLvl w:val="0"/>
        <w:rPr>
          <w:rFonts w:hint="eastAsia" w:ascii="宋体" w:hAnsi="宋体" w:cs="宋体"/>
          <w:b/>
          <w:bCs/>
          <w:color w:val="auto"/>
          <w:spacing w:val="0"/>
          <w:kern w:val="0"/>
          <w:position w:val="0"/>
          <w:sz w:val="36"/>
          <w:szCs w:val="36"/>
          <w:highlight w:val="none"/>
        </w:rPr>
      </w:pPr>
      <w:bookmarkStart w:id="65" w:name="_Toc26558"/>
      <w:r>
        <w:rPr>
          <w:rFonts w:hint="eastAsia" w:ascii="宋体" w:hAnsi="宋体" w:cs="宋体"/>
          <w:b/>
          <w:bCs/>
          <w:color w:val="auto"/>
          <w:spacing w:val="0"/>
          <w:kern w:val="0"/>
          <w:position w:val="0"/>
          <w:sz w:val="36"/>
          <w:szCs w:val="36"/>
          <w:highlight w:val="none"/>
        </w:rPr>
        <w:t>第三章  项目基本情况及要求</w:t>
      </w:r>
      <w:bookmarkEnd w:id="65"/>
    </w:p>
    <w:p w14:paraId="33DBCCF6">
      <w:pPr>
        <w:pStyle w:val="38"/>
        <w:ind w:firstLine="915"/>
        <w:rPr>
          <w:color w:val="auto"/>
          <w:spacing w:val="0"/>
          <w:position w:val="0"/>
          <w:highlight w:val="none"/>
        </w:rPr>
      </w:pPr>
    </w:p>
    <w:p w14:paraId="05074D3B">
      <w:pPr>
        <w:spacing w:line="360" w:lineRule="auto"/>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说明：</w:t>
      </w:r>
    </w:p>
    <w:p w14:paraId="7906813D">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lang w:eastAsia="zh-CN"/>
        </w:rPr>
        <w:t>供应商必须自行为其竞标产品侵犯他人的知识产权或者专利成果的行为承担相应法律责任。</w:t>
      </w:r>
    </w:p>
    <w:p w14:paraId="62307E37">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bookmarkStart w:id="66" w:name="_Toc20069"/>
      <w:r>
        <w:rPr>
          <w:rFonts w:hint="eastAsia" w:ascii="宋体" w:hAnsi="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lang w:val="en-US" w:eastAsia="zh-CN"/>
        </w:rPr>
        <w:t>、采购范围详见：</w:t>
      </w:r>
      <w:r>
        <w:rPr>
          <w:rFonts w:hint="eastAsia" w:ascii="宋体" w:hAnsi="宋体" w:cs="宋体"/>
          <w:color w:val="auto"/>
          <w:spacing w:val="0"/>
          <w:position w:val="0"/>
          <w:szCs w:val="21"/>
          <w:highlight w:val="none"/>
          <w:lang w:val="en-US" w:eastAsia="zh-CN"/>
        </w:rPr>
        <w:t>工程量清单</w:t>
      </w:r>
      <w:r>
        <w:rPr>
          <w:rFonts w:hint="eastAsia" w:ascii="宋体" w:hAnsi="宋体" w:eastAsia="宋体" w:cs="宋体"/>
          <w:color w:val="auto"/>
          <w:spacing w:val="0"/>
          <w:position w:val="0"/>
          <w:szCs w:val="21"/>
          <w:highlight w:val="none"/>
          <w:lang w:val="en-US" w:eastAsia="zh-CN"/>
        </w:rPr>
        <w:t>（另册）。</w:t>
      </w:r>
    </w:p>
    <w:p w14:paraId="7FF9F9B3">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lang w:val="en-US" w:eastAsia="zh-CN"/>
        </w:rPr>
        <w:t>“实质性要求”是指招标文件中已经指明不满足则投标无效的条款，或者不能负偏离的条款，或者</w:t>
      </w: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val="en-US" w:eastAsia="zh-CN"/>
        </w:rPr>
        <w:t>项目基本情况及要求</w:t>
      </w: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val="en-US" w:eastAsia="zh-CN"/>
        </w:rPr>
        <w:t>中带“▲”的条款</w:t>
      </w:r>
    </w:p>
    <w:p w14:paraId="30ED1158">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lang w:val="en-US" w:eastAsia="zh-CN"/>
        </w:rPr>
        <w:t>、商务条款：</w:t>
      </w:r>
    </w:p>
    <w:p w14:paraId="032C979C">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质量标准：达到合格标准；</w:t>
      </w:r>
    </w:p>
    <w:p w14:paraId="5EB395C2">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工期要求：</w:t>
      </w:r>
      <w:r>
        <w:rPr>
          <w:rFonts w:hint="eastAsia" w:ascii="宋体" w:hAnsi="宋体" w:cs="宋体"/>
          <w:color w:val="auto"/>
          <w:spacing w:val="0"/>
          <w:position w:val="0"/>
          <w:szCs w:val="21"/>
          <w:highlight w:val="none"/>
          <w:lang w:val="en-US" w:eastAsia="zh-CN"/>
        </w:rPr>
        <w:t>50</w:t>
      </w:r>
      <w:r>
        <w:rPr>
          <w:rFonts w:hint="eastAsia" w:ascii="宋体" w:hAnsi="宋体" w:eastAsia="宋体" w:cs="宋体"/>
          <w:color w:val="auto"/>
          <w:spacing w:val="0"/>
          <w:position w:val="0"/>
          <w:szCs w:val="21"/>
          <w:highlight w:val="none"/>
          <w:lang w:val="en-US" w:eastAsia="zh-CN"/>
        </w:rPr>
        <w:t>个日历天；</w:t>
      </w:r>
    </w:p>
    <w:p w14:paraId="6E7FAD98">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付款方式：①</w:t>
      </w:r>
      <w:r>
        <w:rPr>
          <w:rFonts w:hint="eastAsia" w:ascii="宋体" w:hAnsi="宋体" w:cs="宋体"/>
          <w:color w:val="auto"/>
          <w:spacing w:val="0"/>
          <w:position w:val="0"/>
          <w:szCs w:val="21"/>
          <w:highlight w:val="none"/>
          <w:lang w:val="en-US" w:eastAsia="zh-CN"/>
        </w:rPr>
        <w:t>发包人将工程款</w:t>
      </w:r>
      <w:r>
        <w:rPr>
          <w:rFonts w:hint="eastAsia" w:ascii="宋体" w:hAnsi="宋体" w:eastAsia="宋体" w:cs="宋体"/>
          <w:color w:val="auto"/>
          <w:spacing w:val="0"/>
          <w:position w:val="0"/>
          <w:szCs w:val="21"/>
          <w:highlight w:val="none"/>
          <w:lang w:val="en-US" w:eastAsia="zh-CN"/>
        </w:rPr>
        <w:t>以转帐方式支付给承包方；②每期支付金额不超过工程进度款的90%，在竣工验收结算审计前，支付工程款总额不得超过合同金额的90%（若合同价高于财政拨款指标，则不超过财政拨款指标的90%）；③竣工验收结算</w:t>
      </w:r>
      <w:r>
        <w:rPr>
          <w:rFonts w:hint="eastAsia" w:ascii="宋体" w:hAnsi="宋体" w:cs="宋体"/>
          <w:color w:val="auto"/>
          <w:spacing w:val="0"/>
          <w:position w:val="0"/>
          <w:szCs w:val="21"/>
          <w:highlight w:val="none"/>
          <w:lang w:val="en-US" w:eastAsia="zh-CN"/>
        </w:rPr>
        <w:t>审核</w:t>
      </w:r>
      <w:r>
        <w:rPr>
          <w:rFonts w:hint="eastAsia" w:ascii="宋体" w:hAnsi="宋体" w:eastAsia="宋体" w:cs="宋体"/>
          <w:color w:val="auto"/>
          <w:spacing w:val="0"/>
          <w:position w:val="0"/>
          <w:szCs w:val="21"/>
          <w:highlight w:val="none"/>
          <w:lang w:val="en-US" w:eastAsia="zh-CN"/>
        </w:rPr>
        <w:t>后，支付至审</w:t>
      </w:r>
      <w:r>
        <w:rPr>
          <w:rFonts w:hint="eastAsia" w:ascii="宋体" w:hAnsi="宋体" w:cs="宋体"/>
          <w:color w:val="auto"/>
          <w:spacing w:val="0"/>
          <w:position w:val="0"/>
          <w:szCs w:val="21"/>
          <w:highlight w:val="none"/>
          <w:lang w:val="en-US" w:eastAsia="zh-CN"/>
        </w:rPr>
        <w:t>核</w:t>
      </w:r>
      <w:r>
        <w:rPr>
          <w:rFonts w:hint="eastAsia" w:ascii="宋体" w:hAnsi="宋体" w:eastAsia="宋体" w:cs="宋体"/>
          <w:color w:val="auto"/>
          <w:spacing w:val="0"/>
          <w:position w:val="0"/>
          <w:szCs w:val="21"/>
          <w:highlight w:val="none"/>
          <w:lang w:val="en-US" w:eastAsia="zh-CN"/>
        </w:rPr>
        <w:t>结算金额100%。</w:t>
      </w:r>
    </w:p>
    <w:p w14:paraId="0B4E5550">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报价方式：工程量清单报价；</w:t>
      </w:r>
    </w:p>
    <w:p w14:paraId="58076BBB">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合同签订期：中标通知书发出之日起25日内；</w:t>
      </w:r>
    </w:p>
    <w:p w14:paraId="365FD100">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项目地址：浦北县；</w:t>
      </w:r>
    </w:p>
    <w:p w14:paraId="6C4D8502">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3、本项目所属行业：建筑业</w:t>
      </w:r>
    </w:p>
    <w:p w14:paraId="03CF2562">
      <w:pPr>
        <w:pStyle w:val="13"/>
        <w:numPr>
          <w:ilvl w:val="0"/>
          <w:numId w:val="0"/>
        </w:numPr>
        <w:spacing w:line="360" w:lineRule="auto"/>
        <w:ind w:leftChars="0"/>
        <w:jc w:val="both"/>
        <w:outlineLvl w:val="0"/>
        <w:rPr>
          <w:rFonts w:hint="eastAsia" w:ascii="黑体" w:hAnsi="宋体" w:eastAsia="黑体" w:cs="Times New Roman"/>
          <w:b/>
          <w:bCs/>
          <w:color w:val="auto"/>
          <w:spacing w:val="0"/>
          <w:kern w:val="0"/>
          <w:position w:val="0"/>
          <w:sz w:val="36"/>
          <w:szCs w:val="36"/>
          <w:highlight w:val="none"/>
          <w:lang w:val="en-US" w:eastAsia="zh-CN"/>
        </w:rPr>
      </w:pPr>
    </w:p>
    <w:p w14:paraId="69E40C7F">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41C3EBC7">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14F31D1E">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785382C5">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54995E1A">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1B45525F">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5C9C52EE">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59891931">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4D7DC8CF">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712CAF1D">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cs="方正小标宋简体"/>
          <w:b/>
          <w:bCs/>
          <w:color w:val="auto"/>
          <w:spacing w:val="0"/>
          <w:kern w:val="2"/>
          <w:position w:val="0"/>
          <w:sz w:val="32"/>
          <w:szCs w:val="32"/>
          <w:highlight w:val="none"/>
          <w:lang w:val="en-US" w:eastAsia="zh-CN" w:bidi="ar-SA"/>
        </w:rPr>
        <w:t>附件1：最后</w:t>
      </w:r>
      <w:r>
        <w:rPr>
          <w:rFonts w:hint="eastAsia" w:ascii="宋体" w:hAnsi="宋体" w:eastAsia="宋体" w:cs="方正小标宋简体"/>
          <w:b/>
          <w:bCs/>
          <w:color w:val="auto"/>
          <w:spacing w:val="0"/>
          <w:kern w:val="2"/>
          <w:position w:val="0"/>
          <w:sz w:val="32"/>
          <w:szCs w:val="32"/>
          <w:highlight w:val="none"/>
          <w:lang w:val="en-US" w:eastAsia="zh-CN" w:bidi="ar-SA"/>
        </w:rPr>
        <w:t>报价表（格式）</w:t>
      </w:r>
    </w:p>
    <w:p w14:paraId="28D066D8">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7E8BA864">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6E70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2268D82">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0AC3CB3">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81FE992">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0168A3E1">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83EB085">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5718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68D50CE">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0CACE37">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5CA5F7B5">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50663ACE">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DD043CD">
            <w:pPr>
              <w:spacing w:line="360" w:lineRule="auto"/>
              <w:contextualSpacing/>
              <w:rPr>
                <w:rFonts w:ascii="宋体" w:hAnsi="宋体" w:cs="仿宋_GB2312"/>
                <w:color w:val="auto"/>
                <w:spacing w:val="0"/>
                <w:position w:val="0"/>
                <w:sz w:val="24"/>
                <w:highlight w:val="none"/>
              </w:rPr>
            </w:pPr>
          </w:p>
        </w:tc>
      </w:tr>
      <w:tr w14:paraId="2F49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75DB5D7">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AA5CBAB">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4A87F5B8">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333E0F8F">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E03E143">
            <w:pPr>
              <w:spacing w:line="360" w:lineRule="auto"/>
              <w:contextualSpacing/>
              <w:rPr>
                <w:rFonts w:ascii="宋体" w:hAnsi="宋体" w:cs="仿宋_GB2312"/>
                <w:color w:val="auto"/>
                <w:spacing w:val="0"/>
                <w:position w:val="0"/>
                <w:sz w:val="24"/>
                <w:highlight w:val="none"/>
              </w:rPr>
            </w:pPr>
          </w:p>
        </w:tc>
      </w:tr>
      <w:tr w14:paraId="7831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5142D61C">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6767CBCE">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4172B86A">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49018CB4">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37ADFDD6">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u w:val="single"/>
          <w:lang w:val="en-US" w:eastAsia="zh-CN"/>
        </w:rPr>
        <w:t>供应商提交的</w:t>
      </w:r>
      <w:r>
        <w:rPr>
          <w:rFonts w:hint="eastAsia" w:ascii="宋体" w:hAnsi="宋体" w:cs="仿宋_GB2312"/>
          <w:b/>
          <w:bCs/>
          <w:color w:val="auto"/>
          <w:spacing w:val="0"/>
          <w:position w:val="0"/>
          <w:sz w:val="32"/>
          <w:szCs w:val="32"/>
          <w:highlight w:val="none"/>
          <w:u w:val="single"/>
        </w:rPr>
        <w:t>最后报价与首次报价相比有调整的</w:t>
      </w:r>
      <w:r>
        <w:rPr>
          <w:rFonts w:hint="eastAsia" w:ascii="宋体" w:hAnsi="宋体" w:cs="仿宋_GB2312"/>
          <w:b/>
          <w:bCs/>
          <w:color w:val="auto"/>
          <w:spacing w:val="0"/>
          <w:position w:val="0"/>
          <w:sz w:val="32"/>
          <w:szCs w:val="32"/>
          <w:highlight w:val="none"/>
          <w:u w:val="single"/>
          <w:lang w:eastAsia="zh-CN"/>
        </w:rPr>
        <w:t>，必须同时上传相对应的“已标价的工程量清单”作为附件</w:t>
      </w:r>
      <w:r>
        <w:rPr>
          <w:rFonts w:hint="eastAsia" w:ascii="宋体" w:hAnsi="宋体" w:cs="仿宋_GB2312"/>
          <w:b/>
          <w:bCs/>
          <w:color w:val="auto"/>
          <w:spacing w:val="0"/>
          <w:position w:val="0"/>
          <w:sz w:val="32"/>
          <w:szCs w:val="32"/>
          <w:highlight w:val="none"/>
          <w:lang w:eastAsia="zh-CN"/>
        </w:rPr>
        <w:t>，</w:t>
      </w:r>
      <w:r>
        <w:rPr>
          <w:rFonts w:hint="eastAsia" w:ascii="宋体" w:hAnsi="宋体" w:cs="仿宋_GB2312"/>
          <w:b/>
          <w:bCs/>
          <w:color w:val="auto"/>
          <w:spacing w:val="0"/>
          <w:position w:val="0"/>
          <w:sz w:val="32"/>
          <w:szCs w:val="32"/>
          <w:highlight w:val="none"/>
        </w:rPr>
        <w:t>否则其响应文件按无效处理。</w:t>
      </w:r>
    </w:p>
    <w:p w14:paraId="15208902">
      <w:pPr>
        <w:spacing w:line="360" w:lineRule="auto"/>
        <w:ind w:right="-817" w:rightChars="-389"/>
        <w:contextualSpacing/>
        <w:rPr>
          <w:rFonts w:hint="eastAsia" w:ascii="宋体" w:hAnsi="宋体" w:cs="仿宋_GB2312"/>
          <w:color w:val="auto"/>
          <w:spacing w:val="0"/>
          <w:position w:val="0"/>
          <w:sz w:val="24"/>
          <w:highlight w:val="none"/>
        </w:rPr>
      </w:pPr>
    </w:p>
    <w:p w14:paraId="3352D795">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72CC1C76">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715CD08D">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5F2B3FEE">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sectPr>
          <w:pgSz w:w="11906" w:h="16838"/>
          <w:pgMar w:top="1247" w:right="1417" w:bottom="1247" w:left="1417" w:header="851" w:footer="992" w:gutter="0"/>
          <w:cols w:space="0" w:num="1"/>
          <w:docGrid w:type="lines" w:linePitch="312" w:charSpace="0"/>
        </w:sectPr>
      </w:pPr>
    </w:p>
    <w:p w14:paraId="0BA04351">
      <w:pPr>
        <w:pStyle w:val="13"/>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lang w:val="en-US" w:eastAsia="zh-CN"/>
        </w:rPr>
        <w:t>第四章</w:t>
      </w:r>
      <w:r>
        <w:rPr>
          <w:rFonts w:hint="eastAsia" w:ascii="黑体" w:hAnsi="宋体" w:eastAsia="黑体" w:cs="Times New Roman"/>
          <w:b/>
          <w:bCs/>
          <w:color w:val="auto"/>
          <w:spacing w:val="0"/>
          <w:kern w:val="0"/>
          <w:position w:val="0"/>
          <w:sz w:val="36"/>
          <w:szCs w:val="36"/>
          <w:highlight w:val="none"/>
        </w:rPr>
        <w:t xml:space="preserve"> 评审标准</w:t>
      </w:r>
      <w:bookmarkEnd w:id="66"/>
    </w:p>
    <w:p w14:paraId="67756828">
      <w:pPr>
        <w:pStyle w:val="5"/>
        <w:numPr>
          <w:ilvl w:val="0"/>
          <w:numId w:val="0"/>
        </w:numPr>
        <w:spacing w:line="360" w:lineRule="auto"/>
        <w:ind w:leftChars="0"/>
        <w:jc w:val="both"/>
        <w:rPr>
          <w:rFonts w:hint="eastAsia"/>
          <w:color w:val="auto"/>
          <w:spacing w:val="0"/>
          <w:position w:val="0"/>
          <w:sz w:val="24"/>
          <w:szCs w:val="24"/>
          <w:highlight w:val="none"/>
        </w:rPr>
      </w:pPr>
      <w:r>
        <w:rPr>
          <w:rFonts w:hint="eastAsia"/>
          <w:color w:val="auto"/>
          <w:spacing w:val="0"/>
          <w:position w:val="0"/>
          <w:sz w:val="24"/>
          <w:szCs w:val="24"/>
          <w:highlight w:val="none"/>
        </w:rPr>
        <w:t>一、评审程序和评审方法</w:t>
      </w:r>
    </w:p>
    <w:p w14:paraId="31224F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pacing w:val="0"/>
          <w:position w:val="0"/>
          <w:highlight w:val="none"/>
        </w:rPr>
      </w:pPr>
      <w:r>
        <w:rPr>
          <w:rFonts w:hint="eastAsia"/>
          <w:b/>
          <w:bCs/>
          <w:color w:val="auto"/>
          <w:spacing w:val="0"/>
          <w:position w:val="0"/>
          <w:highlight w:val="none"/>
        </w:rPr>
        <w:t>1.资格审查</w:t>
      </w:r>
    </w:p>
    <w:p w14:paraId="19B748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1.1响应文件开启后，磋商小组依法对供应商的资格证明文件进行审查。</w:t>
      </w:r>
    </w:p>
    <w:p w14:paraId="10366E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注：采购人或者采购代理机构在资格审查结束前，对供应商进行信用查询。</w:t>
      </w:r>
    </w:p>
    <w:p w14:paraId="725E39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查询渠道：“信用中国”网站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w:t>
      </w:r>
    </w:p>
    <w:p w14:paraId="1EEE7C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信用查询截止时点：资格审查结束前。</w:t>
      </w:r>
    </w:p>
    <w:p w14:paraId="68020D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查询记录和证据留存方式：在查询网站中直接打印查询记录，打印材料作为评审资料保存。</w:t>
      </w:r>
    </w:p>
    <w:p w14:paraId="2DDF69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信用信息使用规则：对在“信用中国”网站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w:t>
      </w:r>
    </w:p>
    <w:p w14:paraId="1EA78E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1.2资格审查标准为本磋商文件中载明对供应商资格要求的条件。资格审查采用合格制，凡符合磋商文件规定的供应商资格要求的响应文件均通过资格审查。</w:t>
      </w:r>
    </w:p>
    <w:p w14:paraId="49BB90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1.3供应商有下列情形之一的，资格审查不通过，其响应文件按无效响应处理：</w:t>
      </w:r>
    </w:p>
    <w:p w14:paraId="6560BA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不具备磋商文件中规定的资格要求的；</w:t>
      </w:r>
    </w:p>
    <w:p w14:paraId="7BBAAF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响应文件未提供任一项“供应商须知前附表”资格证明文件规定的“必须提供”的文件资料的；</w:t>
      </w:r>
    </w:p>
    <w:p w14:paraId="3DFA9E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响应文件提供的资格证明文件出现任一项不符合“供应商须知前附表”资格证明文件规定的“必须提供”的文件资料要求或者无效的。</w:t>
      </w:r>
    </w:p>
    <w:p w14:paraId="65FCA7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1.4通过资格审查的合格供应商不足3家的，不得进入符合性审查环节，采购人或者采购代理机构应当重新开展采购活动。</w:t>
      </w:r>
    </w:p>
    <w:p w14:paraId="3BED8A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2.符合性审查</w:t>
      </w:r>
    </w:p>
    <w:p w14:paraId="55F58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2.1由磋商小组对通过资格审查的合格供应商的响应文件的竞标报价、商务、技术等实质性要求进行符合性审查，以确定其是否满足磋商文件的实质性要求。</w:t>
      </w:r>
    </w:p>
    <w:p w14:paraId="16042E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977B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2.3磋商小组要求供应商澄清、说明或者更正响应文件应当要求供应商在合理时间内通过</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的方式形式作出。供应商的澄清、说明或者更正必须通过</w:t>
      </w:r>
      <w:r>
        <w:rPr>
          <w:rFonts w:hint="eastAsia"/>
          <w:color w:val="auto"/>
          <w:spacing w:val="0"/>
          <w:position w:val="0"/>
          <w:highlight w:val="none"/>
          <w:lang w:eastAsia="zh-CN"/>
        </w:rPr>
        <w:t>广西政府采购云平台</w:t>
      </w:r>
      <w:r>
        <w:rPr>
          <w:rFonts w:hint="eastAsia"/>
          <w:color w:val="auto"/>
          <w:spacing w:val="0"/>
          <w:position w:val="0"/>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29890A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2.4首次响应文件报价出现前后不一致的，按照下列规定修正：</w:t>
      </w:r>
    </w:p>
    <w:p w14:paraId="026734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响应文件中报价表内容与响应文件中相应内容不一致的，以报价表为准；</w:t>
      </w:r>
    </w:p>
    <w:p w14:paraId="2F7D01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大写金额和小写金额不一致的，以大写金额为准；</w:t>
      </w:r>
    </w:p>
    <w:p w14:paraId="04D22F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单价金额小数点或者百分比有明显错位的，以报价表的总价为准，并修改单价；</w:t>
      </w:r>
    </w:p>
    <w:p w14:paraId="1F9823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总价金额与按单价汇总金额不一致的，以单价金额计算结果为准。</w:t>
      </w:r>
    </w:p>
    <w:p w14:paraId="1D24C2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同时出现两种以上不一致的，按照以上</w:t>
      </w: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w:t>
      </w: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规定的顺序逐条进行修正。修正后的报价经供应商确认后产生约束力，供应商不确认的，其响应文件按无效响应处理。</w:t>
      </w:r>
    </w:p>
    <w:p w14:paraId="6B2715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2.5商务技术报价评审</w:t>
      </w:r>
    </w:p>
    <w:p w14:paraId="6FE7C3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在评审时，如发现下列情形之一的，将被视为响应文件无效处理：</w:t>
      </w:r>
    </w:p>
    <w:p w14:paraId="429B97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商务技术评审</w:t>
      </w:r>
    </w:p>
    <w:p w14:paraId="2884AD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响应文件未按磋商文件要求签署、盖章；</w:t>
      </w:r>
    </w:p>
    <w:p w14:paraId="122A1D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委托代理人未能出具有效身份证明或者出具的身份证明与授权委托书中的信息不符；</w:t>
      </w:r>
    </w:p>
    <w:p w14:paraId="47B7B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00FF48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商务条款中标“▲”的条款发生负偏离的或者允许负偏离的条款数超过“供应商须知前附表”规定项数的或者标明实质性的要求发生负偏离；</w:t>
      </w:r>
    </w:p>
    <w:p w14:paraId="31DBF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未对竞标有效期作出响应或者响应文件承诺的竞标有效期不满足磋商文件要求；</w:t>
      </w:r>
    </w:p>
    <w:p w14:paraId="3DAFD9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响应文件的实质性内容未使用中文表述、使用计量单位不符合磋商文件要求；</w:t>
      </w:r>
    </w:p>
    <w:p w14:paraId="2C5756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7</w:t>
      </w:r>
      <w:r>
        <w:rPr>
          <w:rFonts w:hint="eastAsia"/>
          <w:color w:val="auto"/>
          <w:spacing w:val="0"/>
          <w:position w:val="0"/>
          <w:highlight w:val="none"/>
          <w:lang w:eastAsia="zh-CN"/>
        </w:rPr>
        <w:t>）</w:t>
      </w:r>
      <w:r>
        <w:rPr>
          <w:rFonts w:hint="eastAsia"/>
          <w:color w:val="auto"/>
          <w:spacing w:val="0"/>
          <w:position w:val="0"/>
          <w:highlight w:val="none"/>
        </w:rPr>
        <w:t>响应文件中的文件资料因填写不齐全或者内容虚假或者出现其他情形而导致被磋商小组认定无效；</w:t>
      </w:r>
    </w:p>
    <w:p w14:paraId="5BDDF8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8</w:t>
      </w:r>
      <w:r>
        <w:rPr>
          <w:rFonts w:hint="eastAsia"/>
          <w:color w:val="auto"/>
          <w:spacing w:val="0"/>
          <w:position w:val="0"/>
          <w:highlight w:val="none"/>
          <w:lang w:eastAsia="zh-CN"/>
        </w:rPr>
        <w:t>）</w:t>
      </w:r>
      <w:r>
        <w:rPr>
          <w:rFonts w:hint="eastAsia"/>
          <w:color w:val="auto"/>
          <w:spacing w:val="0"/>
          <w:position w:val="0"/>
          <w:highlight w:val="none"/>
        </w:rPr>
        <w:t>响应文件含有采购人不能接受的附加条件；</w:t>
      </w:r>
    </w:p>
    <w:p w14:paraId="12535C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9</w:t>
      </w:r>
      <w:r>
        <w:rPr>
          <w:rFonts w:hint="eastAsia"/>
          <w:color w:val="auto"/>
          <w:spacing w:val="0"/>
          <w:position w:val="0"/>
          <w:highlight w:val="none"/>
          <w:lang w:eastAsia="zh-CN"/>
        </w:rPr>
        <w:t>）</w:t>
      </w:r>
      <w:r>
        <w:rPr>
          <w:rFonts w:hint="eastAsia"/>
          <w:color w:val="auto"/>
          <w:spacing w:val="0"/>
          <w:position w:val="0"/>
          <w:highlight w:val="none"/>
        </w:rPr>
        <w:t>属于“供应商须知正文”第7.7条情形；</w:t>
      </w:r>
    </w:p>
    <w:p w14:paraId="50731B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10</w:t>
      </w:r>
      <w:r>
        <w:rPr>
          <w:rFonts w:hint="eastAsia"/>
          <w:color w:val="auto"/>
          <w:spacing w:val="0"/>
          <w:position w:val="0"/>
          <w:highlight w:val="none"/>
          <w:lang w:eastAsia="zh-CN"/>
        </w:rPr>
        <w:t>）</w:t>
      </w:r>
      <w:r>
        <w:rPr>
          <w:rFonts w:hint="eastAsia"/>
          <w:color w:val="auto"/>
          <w:spacing w:val="0"/>
          <w:position w:val="0"/>
          <w:highlight w:val="none"/>
        </w:rPr>
        <w:t>技术需求允许负偏离的条款数超过“供应商须知前附表”规定项数；</w:t>
      </w:r>
    </w:p>
    <w:p w14:paraId="7AFB9B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w:t>
      </w:r>
      <w:r>
        <w:rPr>
          <w:rFonts w:hint="eastAsia"/>
          <w:color w:val="auto"/>
          <w:spacing w:val="0"/>
          <w:position w:val="0"/>
          <w:highlight w:val="none"/>
          <w:lang w:eastAsia="zh-CN"/>
        </w:rPr>
        <w:t>）</w:t>
      </w:r>
      <w:r>
        <w:rPr>
          <w:rFonts w:hint="eastAsia"/>
          <w:color w:val="auto"/>
          <w:spacing w:val="0"/>
          <w:position w:val="0"/>
          <w:highlight w:val="none"/>
        </w:rPr>
        <w:t>虚假竞标，或者出现其他情形而导致被磋商小组认定无效；</w:t>
      </w:r>
    </w:p>
    <w:p w14:paraId="3E632A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w:t>
      </w:r>
      <w:r>
        <w:rPr>
          <w:rFonts w:hint="eastAsia"/>
          <w:color w:val="auto"/>
          <w:spacing w:val="0"/>
          <w:position w:val="0"/>
          <w:highlight w:val="none"/>
          <w:lang w:eastAsia="zh-CN"/>
        </w:rPr>
        <w:t>）</w:t>
      </w:r>
      <w:r>
        <w:rPr>
          <w:rFonts w:hint="eastAsia"/>
          <w:color w:val="auto"/>
          <w:spacing w:val="0"/>
          <w:position w:val="0"/>
          <w:highlight w:val="none"/>
        </w:rPr>
        <w:t>竞标技术方案不明确，磋商文件未允许但响应文件中存在一个或者一个以上备选</w:t>
      </w:r>
      <w:r>
        <w:rPr>
          <w:rFonts w:hint="eastAsia"/>
          <w:color w:val="auto"/>
          <w:spacing w:val="0"/>
          <w:position w:val="0"/>
          <w:highlight w:val="none"/>
          <w:lang w:eastAsia="zh-CN"/>
        </w:rPr>
        <w:t>（</w:t>
      </w:r>
      <w:r>
        <w:rPr>
          <w:rFonts w:hint="eastAsia"/>
          <w:color w:val="auto"/>
          <w:spacing w:val="0"/>
          <w:position w:val="0"/>
          <w:highlight w:val="none"/>
        </w:rPr>
        <w:t>替代</w:t>
      </w:r>
      <w:r>
        <w:rPr>
          <w:rFonts w:hint="eastAsia"/>
          <w:color w:val="auto"/>
          <w:spacing w:val="0"/>
          <w:position w:val="0"/>
          <w:highlight w:val="none"/>
          <w:lang w:eastAsia="zh-CN"/>
        </w:rPr>
        <w:t>）</w:t>
      </w:r>
      <w:r>
        <w:rPr>
          <w:rFonts w:hint="eastAsia"/>
          <w:color w:val="auto"/>
          <w:spacing w:val="0"/>
          <w:position w:val="0"/>
          <w:highlight w:val="none"/>
        </w:rPr>
        <w:t>竞标方案；</w:t>
      </w:r>
    </w:p>
    <w:p w14:paraId="2FFFE8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w:t>
      </w:r>
      <w:r>
        <w:rPr>
          <w:rFonts w:hint="eastAsia"/>
          <w:color w:val="auto"/>
          <w:spacing w:val="0"/>
          <w:position w:val="0"/>
          <w:highlight w:val="none"/>
          <w:lang w:eastAsia="zh-CN"/>
        </w:rPr>
        <w:t>）</w:t>
      </w:r>
      <w:r>
        <w:rPr>
          <w:rFonts w:hint="eastAsia"/>
          <w:color w:val="auto"/>
          <w:spacing w:val="0"/>
          <w:position w:val="0"/>
          <w:highlight w:val="none"/>
        </w:rPr>
        <w:t>响应文件标注的项目名称或者项目编号与竞争性磋商文件标注的项目名称或者项目编号不一致的；</w:t>
      </w:r>
    </w:p>
    <w:p w14:paraId="343F5A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w:t>
      </w:r>
      <w:r>
        <w:rPr>
          <w:rFonts w:hint="eastAsia"/>
          <w:color w:val="auto"/>
          <w:spacing w:val="0"/>
          <w:position w:val="0"/>
          <w:highlight w:val="none"/>
          <w:lang w:eastAsia="zh-CN"/>
        </w:rPr>
        <w:t>）</w:t>
      </w:r>
      <w:r>
        <w:rPr>
          <w:rFonts w:hint="eastAsia"/>
          <w:color w:val="auto"/>
          <w:spacing w:val="0"/>
          <w:position w:val="0"/>
          <w:highlight w:val="none"/>
        </w:rPr>
        <w:t>未响应磋商文件实质性要求；</w:t>
      </w:r>
    </w:p>
    <w:p w14:paraId="46DCE8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15</w:t>
      </w:r>
      <w:r>
        <w:rPr>
          <w:rFonts w:hint="eastAsia"/>
          <w:color w:val="auto"/>
          <w:spacing w:val="0"/>
          <w:position w:val="0"/>
          <w:highlight w:val="none"/>
          <w:lang w:eastAsia="zh-CN"/>
        </w:rPr>
        <w:t>）</w:t>
      </w:r>
      <w:r>
        <w:rPr>
          <w:rFonts w:hint="eastAsia"/>
          <w:color w:val="auto"/>
          <w:spacing w:val="0"/>
          <w:position w:val="0"/>
          <w:highlight w:val="none"/>
        </w:rPr>
        <w:t>法律、法规和磋商文件规定的其他无效情形。</w:t>
      </w:r>
    </w:p>
    <w:p w14:paraId="43CC6C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报价评审</w:t>
      </w:r>
    </w:p>
    <w:p w14:paraId="48095E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响应文件未提供“供应商须知前附表”报价商务技术文件中规定的；</w:t>
      </w:r>
    </w:p>
    <w:p w14:paraId="17E00A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未采用人民币报价或者未按照磋商文件标明的币种报价；</w:t>
      </w:r>
    </w:p>
    <w:p w14:paraId="762DCD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auto"/>
          <w:spacing w:val="0"/>
          <w:position w:val="0"/>
          <w:highlight w:val="none"/>
          <w:lang w:eastAsia="zh-CN"/>
        </w:rPr>
        <w:t>（</w:t>
      </w:r>
      <w:r>
        <w:rPr>
          <w:rFonts w:hint="eastAsia"/>
          <w:color w:val="auto"/>
          <w:spacing w:val="0"/>
          <w:position w:val="0"/>
          <w:highlight w:val="none"/>
        </w:rPr>
        <w:t>磋商文件允许有备选方案或者其他约定的除外</w:t>
      </w:r>
      <w:r>
        <w:rPr>
          <w:rFonts w:hint="eastAsia"/>
          <w:color w:val="auto"/>
          <w:spacing w:val="0"/>
          <w:position w:val="0"/>
          <w:highlight w:val="none"/>
          <w:lang w:eastAsia="zh-CN"/>
        </w:rPr>
        <w:t>）</w:t>
      </w:r>
      <w:r>
        <w:rPr>
          <w:rFonts w:hint="eastAsia"/>
          <w:color w:val="auto"/>
          <w:spacing w:val="0"/>
          <w:position w:val="0"/>
          <w:highlight w:val="none"/>
        </w:rPr>
        <w:t>；</w:t>
      </w:r>
    </w:p>
    <w:p w14:paraId="654CC0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2B3B90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修正后的报价，供应商不确认的；或者经供应商确认修正后的磋商报价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超过所磋商分标规定的采购预算金额或者最高限价</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；或者经供应商确认修正后磋商报价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40F072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响应文件响应的标的数量及单位与竞争性磋商采购文件要求实质性不一致的。</w:t>
      </w:r>
    </w:p>
    <w:p w14:paraId="4C9F74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92584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2.7通过符合性审查的合格供应商不足3家的，不得进入磋商环节，采购人或者采购代理机构应当重新开展采购活动。</w:t>
      </w:r>
    </w:p>
    <w:p w14:paraId="070EBE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3.磋商程序</w:t>
      </w:r>
    </w:p>
    <w:p w14:paraId="5E67B0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3.1磋商小组按照“供应商须知前附表”确定的顺序，集中与单一供应商分别进行磋商，并给予所有参加磋商的供应商平等的磋商机会。符合磋商资格的供应商必须实时关注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开标信息，在接到磋商通知后规定时间内参加磋商，未在规定时间内参加磋商的视同放弃参加磋商权利，其响应文件按无效响应处理。</w:t>
      </w:r>
    </w:p>
    <w:p w14:paraId="6BB2CA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CC7F9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3.3对磋商文件作出的实质性变动是磋商文件的有效组成部分，由磋商小组及时以书面形式同时通知所有参加磋商的供应商。</w:t>
      </w:r>
    </w:p>
    <w:p w14:paraId="1A96DC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3.4供应商必须按照磋商文件的变动情况和磋商小组的要求重新提交响应文件，并由其法定代表人或者授权代表签字或者加盖CA签章在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73B58D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3.5磋商中，磋商的任何一方不得透露与磋商有关的其他供应商的技术资料、价格和其他信息。</w:t>
      </w:r>
    </w:p>
    <w:p w14:paraId="7B753A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3.6采购代理机构对磋商过程和重要磋商内容进行记录，磋商双方在记录上签字确认。</w:t>
      </w:r>
    </w:p>
    <w:p w14:paraId="1EF975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3.7磋商过程中重新提交的响应文件，供应商可以在开启前补充、修改。</w:t>
      </w:r>
    </w:p>
    <w:p w14:paraId="60A91E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3.8对磋商过程提交的响应文件进行有效性、完整性和响应程度审查，通过审查的合格供应商不足3家的，采购人或者采购代理机构应当重新开展采购活动。</w:t>
      </w:r>
    </w:p>
    <w:p w14:paraId="36E91F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3.9本项目所有响应文件的首次报价及所有磋商报价均不公布。最后磋商结束后，磋商小组不得再与供应商进行任何形式的商谈。</w:t>
      </w:r>
    </w:p>
    <w:p w14:paraId="7968FE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4.最后报价</w:t>
      </w:r>
    </w:p>
    <w:p w14:paraId="2E0E43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4.1磋商文件能够详细列明采购标的的技术、服务要求的，磋商结束后，由磋商小组要求所有继续参加磋商的供应商在规定时间内在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提交最后报价，提交最后报价的供应商不得少于3家，除本章第4.3条外，否则必须重新采购。</w:t>
      </w:r>
    </w:p>
    <w:p w14:paraId="395768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w:t>
      </w:r>
    </w:p>
    <w:p w14:paraId="2BB5CC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①最后报价与首次报价相比无调整的：供应商提交的最后报价只须注明与首次报价相同。</w:t>
      </w:r>
    </w:p>
    <w:p w14:paraId="48F2ED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②最后报价与首次报价相比有调整的：供应商提交的最后报价必须包含已标价的工程量清单，即最后报价是工程量清单全部工作内容的价格体现，具体包括供应商部分</w:t>
      </w:r>
      <w:r>
        <w:rPr>
          <w:rFonts w:hint="eastAsia"/>
          <w:color w:val="auto"/>
          <w:spacing w:val="0"/>
          <w:position w:val="0"/>
          <w:highlight w:val="none"/>
          <w:lang w:eastAsia="zh-CN"/>
        </w:rPr>
        <w:t>（</w:t>
      </w:r>
      <w:r>
        <w:rPr>
          <w:rFonts w:hint="eastAsia"/>
          <w:color w:val="auto"/>
          <w:spacing w:val="0"/>
          <w:position w:val="0"/>
          <w:highlight w:val="none"/>
        </w:rPr>
        <w:t>分部分项工程量清单费用、措施项目清单费用、规费、税金、其它项目</w:t>
      </w:r>
      <w:r>
        <w:rPr>
          <w:rFonts w:hint="eastAsia"/>
          <w:color w:val="auto"/>
          <w:spacing w:val="0"/>
          <w:position w:val="0"/>
          <w:highlight w:val="none"/>
          <w:lang w:eastAsia="zh-CN"/>
        </w:rPr>
        <w:t>）</w:t>
      </w:r>
      <w:r>
        <w:rPr>
          <w:rFonts w:hint="eastAsia"/>
          <w:color w:val="auto"/>
          <w:spacing w:val="0"/>
          <w:position w:val="0"/>
          <w:highlight w:val="none"/>
        </w:rPr>
        <w:t>和采购人部分</w:t>
      </w:r>
      <w:r>
        <w:rPr>
          <w:rFonts w:hint="eastAsia"/>
          <w:color w:val="auto"/>
          <w:spacing w:val="0"/>
          <w:position w:val="0"/>
          <w:highlight w:val="none"/>
          <w:lang w:eastAsia="zh-CN"/>
        </w:rPr>
        <w:t>（</w:t>
      </w:r>
      <w:r>
        <w:rPr>
          <w:rFonts w:hint="eastAsia"/>
          <w:color w:val="auto"/>
          <w:spacing w:val="0"/>
          <w:position w:val="0"/>
          <w:highlight w:val="none"/>
        </w:rPr>
        <w:t>暂列金、材料购置费</w:t>
      </w:r>
      <w:r>
        <w:rPr>
          <w:rFonts w:hint="eastAsia"/>
          <w:color w:val="auto"/>
          <w:spacing w:val="0"/>
          <w:position w:val="0"/>
          <w:highlight w:val="none"/>
          <w:lang w:eastAsia="zh-CN"/>
        </w:rPr>
        <w:t>）（</w:t>
      </w:r>
      <w:r>
        <w:rPr>
          <w:rFonts w:hint="eastAsia"/>
          <w:color w:val="auto"/>
          <w:spacing w:val="0"/>
          <w:position w:val="0"/>
          <w:highlight w:val="none"/>
        </w:rPr>
        <w:t>如有</w:t>
      </w:r>
      <w:r>
        <w:rPr>
          <w:rFonts w:hint="eastAsia"/>
          <w:color w:val="auto"/>
          <w:spacing w:val="0"/>
          <w:position w:val="0"/>
          <w:highlight w:val="none"/>
          <w:lang w:eastAsia="zh-CN"/>
        </w:rPr>
        <w:t>）</w:t>
      </w:r>
      <w:r>
        <w:rPr>
          <w:rFonts w:hint="eastAsia"/>
          <w:color w:val="auto"/>
          <w:spacing w:val="0"/>
          <w:position w:val="0"/>
          <w:highlight w:val="none"/>
        </w:rPr>
        <w:t>等完成本工程并经验收合格至达到质量保修期限所需的费用、合理利润及风险。如磋商文件或磋商程中明确供应商应提供技术服务及其它服务的</w:t>
      </w:r>
      <w:r>
        <w:rPr>
          <w:rFonts w:hint="eastAsia"/>
          <w:color w:val="auto"/>
          <w:spacing w:val="0"/>
          <w:position w:val="0"/>
          <w:highlight w:val="none"/>
          <w:lang w:eastAsia="zh-CN"/>
        </w:rPr>
        <w:t>（</w:t>
      </w:r>
      <w:r>
        <w:rPr>
          <w:rFonts w:hint="eastAsia"/>
          <w:color w:val="auto"/>
          <w:spacing w:val="0"/>
          <w:position w:val="0"/>
          <w:highlight w:val="none"/>
        </w:rPr>
        <w:t>如检测费、验收发生的费用</w:t>
      </w:r>
      <w:r>
        <w:rPr>
          <w:rFonts w:hint="eastAsia"/>
          <w:color w:val="auto"/>
          <w:spacing w:val="0"/>
          <w:position w:val="0"/>
          <w:highlight w:val="none"/>
          <w:lang w:eastAsia="zh-CN"/>
        </w:rPr>
        <w:t>）</w:t>
      </w:r>
      <w:r>
        <w:rPr>
          <w:rFonts w:hint="eastAsia"/>
          <w:color w:val="auto"/>
          <w:spacing w:val="0"/>
          <w:position w:val="0"/>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w:t>
      </w:r>
      <w:r>
        <w:rPr>
          <w:rFonts w:hint="eastAsia"/>
          <w:color w:val="auto"/>
          <w:spacing w:val="0"/>
          <w:position w:val="0"/>
          <w:highlight w:val="none"/>
          <w:lang w:eastAsia="zh-CN"/>
        </w:rPr>
        <w:t>逾期视为放弃磋商资格、退出磋商</w:t>
      </w:r>
      <w:r>
        <w:rPr>
          <w:rFonts w:hint="eastAsia"/>
          <w:color w:val="auto"/>
          <w:spacing w:val="0"/>
          <w:position w:val="0"/>
          <w:highlight w:val="none"/>
        </w:rPr>
        <w:t>。</w:t>
      </w:r>
    </w:p>
    <w:p w14:paraId="6E5F35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4.3最后报价是供应商响应文件的有效组成部分。符合《政府采购竞争性磋商采购方式管理暂行办法》</w:t>
      </w:r>
      <w:r>
        <w:rPr>
          <w:rFonts w:hint="eastAsia"/>
          <w:color w:val="auto"/>
          <w:spacing w:val="0"/>
          <w:position w:val="0"/>
          <w:highlight w:val="none"/>
          <w:lang w:eastAsia="zh-CN"/>
        </w:rPr>
        <w:t>（</w:t>
      </w:r>
      <w:r>
        <w:rPr>
          <w:rFonts w:hint="eastAsia"/>
          <w:color w:val="auto"/>
          <w:spacing w:val="0"/>
          <w:position w:val="0"/>
          <w:highlight w:val="none"/>
        </w:rPr>
        <w:t>财库〔2014〕214号</w:t>
      </w:r>
      <w:r>
        <w:rPr>
          <w:rFonts w:hint="eastAsia"/>
          <w:color w:val="auto"/>
          <w:spacing w:val="0"/>
          <w:position w:val="0"/>
          <w:highlight w:val="none"/>
          <w:lang w:eastAsia="zh-CN"/>
        </w:rPr>
        <w:t>）</w:t>
      </w:r>
      <w:r>
        <w:rPr>
          <w:rFonts w:hint="eastAsia"/>
          <w:color w:val="auto"/>
          <w:spacing w:val="0"/>
          <w:position w:val="0"/>
          <w:highlight w:val="none"/>
        </w:rPr>
        <w:t>第三条第四项“市场竞争不充分的科研项目，以及需要扶持的科技成果转化项目”的，提交最后报价的供应商可以为2家。</w:t>
      </w:r>
    </w:p>
    <w:p w14:paraId="180A92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049236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4.5供应商未在规定时间内提交最后报价的，视同退出磋商。</w:t>
      </w:r>
    </w:p>
    <w:p w14:paraId="3E50A2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4.6磋商小组收齐某一分标最后报价后统一开启，磋商小组对最后报价进行有效性、完整性和响应程度的审查。</w:t>
      </w:r>
    </w:p>
    <w:p w14:paraId="58A91C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4.7响应文件最后报价出现前后不一致的，按照本正文第25.2.4条的规定修正。</w:t>
      </w:r>
    </w:p>
    <w:p w14:paraId="6EFC60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4.8修正后的报价出现下列情形的，按无效响应处理：</w:t>
      </w:r>
    </w:p>
    <w:p w14:paraId="57CE81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供应商不确认的；</w:t>
      </w:r>
    </w:p>
    <w:p w14:paraId="45D0D7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超过所竞标规定的采购预算金额或者最高限价的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1DE44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7C90DF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4.9经供应商确认修正后的最后报价作为评审及签订合同的依据。</w:t>
      </w:r>
    </w:p>
    <w:p w14:paraId="18AF6D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4.10最后报价结束后，磋商小组不得再与供应商进行任何形式的商谈。</w:t>
      </w:r>
    </w:p>
    <w:p w14:paraId="6E59D6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5.比较与评价</w:t>
      </w:r>
    </w:p>
    <w:p w14:paraId="14C52C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5.1评审方法：综合评分法。</w:t>
      </w:r>
    </w:p>
    <w:p w14:paraId="65068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5.2经磋商确定最终采购需求和提交最后报价的供应商后，由磋商小组采用综合评分法对提交最后报价的供应商的响应文件和最后报价进行综合评分。</w:t>
      </w:r>
    </w:p>
    <w:p w14:paraId="326B56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5.3评审时，磋商小组各成员应当独立对每个有效响应的文件进行评价、打分，然后汇总每个供应商每项评分因素的得分。</w:t>
      </w:r>
    </w:p>
    <w:p w14:paraId="2BFBEF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磋商小组按照磋商文件中规定的评审标准计算各供应商的报价得分。项目评审过程中，不得去掉最后报价中的最高报价和最低报价。</w:t>
      </w:r>
    </w:p>
    <w:p w14:paraId="4967B6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各供应商的得分为磋商小组所有成员的有效评分的算术平均数。</w:t>
      </w:r>
    </w:p>
    <w:p w14:paraId="71132A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5.4评审价为供应商的最后报价进行政策性扣除后的价格，评审价只是作为评审时使用。最终成交供应商的成交金额等于最后报价</w:t>
      </w:r>
      <w:r>
        <w:rPr>
          <w:rFonts w:hint="eastAsia"/>
          <w:color w:val="auto"/>
          <w:spacing w:val="0"/>
          <w:position w:val="0"/>
          <w:highlight w:val="none"/>
          <w:lang w:eastAsia="zh-CN"/>
        </w:rPr>
        <w:t>（</w:t>
      </w:r>
      <w:r>
        <w:rPr>
          <w:rFonts w:hint="eastAsia"/>
          <w:color w:val="auto"/>
          <w:spacing w:val="0"/>
          <w:position w:val="0"/>
          <w:highlight w:val="none"/>
        </w:rPr>
        <w:t>如有修正，以确认修正后的最后报价为准</w:t>
      </w:r>
      <w:r>
        <w:rPr>
          <w:rFonts w:hint="eastAsia"/>
          <w:color w:val="auto"/>
          <w:spacing w:val="0"/>
          <w:position w:val="0"/>
          <w:highlight w:val="none"/>
          <w:lang w:eastAsia="zh-CN"/>
        </w:rPr>
        <w:t>）</w:t>
      </w:r>
      <w:r>
        <w:rPr>
          <w:rFonts w:hint="eastAsia"/>
          <w:color w:val="auto"/>
          <w:spacing w:val="0"/>
          <w:position w:val="0"/>
          <w:highlight w:val="none"/>
        </w:rPr>
        <w:t>。</w:t>
      </w:r>
    </w:p>
    <w:p w14:paraId="580E18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58464B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897EA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pacing w:val="0"/>
          <w:position w:val="0"/>
          <w:highlight w:val="none"/>
          <w:lang w:eastAsia="zh-CN"/>
        </w:rPr>
      </w:pPr>
      <w:r>
        <w:rPr>
          <w:rFonts w:hint="eastAsia"/>
          <w:b/>
          <w:bCs/>
          <w:color w:val="auto"/>
          <w:spacing w:val="0"/>
          <w:position w:val="0"/>
          <w:highlight w:val="none"/>
        </w:rPr>
        <w:t>二、评定标准</w:t>
      </w:r>
      <w:r>
        <w:rPr>
          <w:rFonts w:hint="eastAsia"/>
          <w:b/>
          <w:bCs/>
          <w:color w:val="auto"/>
          <w:spacing w:val="0"/>
          <w:position w:val="0"/>
          <w:highlight w:val="none"/>
          <w:lang w:eastAsia="zh-CN"/>
        </w:rPr>
        <w:t>（</w:t>
      </w:r>
      <w:r>
        <w:rPr>
          <w:rFonts w:hint="eastAsia"/>
          <w:b/>
          <w:bCs/>
          <w:color w:val="auto"/>
          <w:spacing w:val="0"/>
          <w:position w:val="0"/>
          <w:highlight w:val="none"/>
        </w:rPr>
        <w:t>综合评分法</w:t>
      </w:r>
      <w:r>
        <w:rPr>
          <w:rFonts w:hint="eastAsia"/>
          <w:b/>
          <w:bCs/>
          <w:color w:val="auto"/>
          <w:spacing w:val="0"/>
          <w:position w:val="0"/>
          <w:highlight w:val="none"/>
          <w:lang w:eastAsia="zh-CN"/>
        </w:rPr>
        <w:t>）</w:t>
      </w:r>
    </w:p>
    <w:p w14:paraId="06958D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对进入详评的，磋商小组将以竞争性磋商文件、响应文件为评定依据，采用百分制综合评分法；计分办法</w:t>
      </w:r>
      <w:r>
        <w:rPr>
          <w:rFonts w:hint="eastAsia"/>
          <w:color w:val="auto"/>
          <w:spacing w:val="0"/>
          <w:position w:val="0"/>
          <w:highlight w:val="none"/>
          <w:lang w:eastAsia="zh-CN"/>
        </w:rPr>
        <w:t>（按四舍五入取至百分位）</w:t>
      </w:r>
      <w:r>
        <w:rPr>
          <w:rFonts w:hint="eastAsia"/>
          <w:color w:val="auto"/>
          <w:spacing w:val="0"/>
          <w:position w:val="0"/>
          <w:highlight w:val="none"/>
        </w:rPr>
        <w:t>。</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56AE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47A6092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序</w:t>
            </w:r>
            <w:r>
              <w:rPr>
                <w:rFonts w:hint="eastAsia" w:ascii="宋体" w:hAnsi="宋体" w:eastAsia="宋体" w:cs="宋体"/>
                <w:b/>
                <w:bCs/>
                <w:color w:val="auto"/>
                <w:spacing w:val="0"/>
                <w:w w:val="100"/>
                <w:position w:val="0"/>
                <w:sz w:val="21"/>
                <w:szCs w:val="21"/>
                <w:highlight w:val="none"/>
              </w:rPr>
              <w:t>号</w:t>
            </w:r>
          </w:p>
        </w:tc>
        <w:tc>
          <w:tcPr>
            <w:tcW w:w="2073" w:type="dxa"/>
            <w:gridSpan w:val="2"/>
            <w:noWrap w:val="0"/>
            <w:vAlign w:val="center"/>
          </w:tcPr>
          <w:p w14:paraId="1912DAC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评审因素</w:t>
            </w:r>
          </w:p>
        </w:tc>
        <w:tc>
          <w:tcPr>
            <w:tcW w:w="5935" w:type="dxa"/>
            <w:noWrap w:val="0"/>
            <w:vAlign w:val="center"/>
          </w:tcPr>
          <w:p w14:paraId="150CBB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cs="Tahoma"/>
                <w:b/>
                <w:bCs/>
                <w:color w:val="auto"/>
                <w:spacing w:val="0"/>
                <w:kern w:val="0"/>
                <w:position w:val="0"/>
                <w:szCs w:val="21"/>
                <w:highlight w:val="none"/>
              </w:rPr>
              <w:t>评审因素具体内容</w:t>
            </w:r>
          </w:p>
        </w:tc>
        <w:tc>
          <w:tcPr>
            <w:tcW w:w="807" w:type="dxa"/>
            <w:noWrap w:val="0"/>
            <w:vAlign w:val="center"/>
          </w:tcPr>
          <w:p w14:paraId="169D51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auto"/>
                <w:spacing w:val="0"/>
                <w:kern w:val="0"/>
                <w:position w:val="0"/>
                <w:szCs w:val="21"/>
                <w:highlight w:val="none"/>
                <w:lang w:eastAsia="zh-CN"/>
              </w:rPr>
            </w:pPr>
            <w:r>
              <w:rPr>
                <w:rFonts w:hint="eastAsia" w:ascii="宋体" w:hAnsi="宋体" w:cs="Tahoma"/>
                <w:b/>
                <w:bCs/>
                <w:color w:val="auto"/>
                <w:spacing w:val="0"/>
                <w:kern w:val="0"/>
                <w:position w:val="0"/>
                <w:szCs w:val="21"/>
                <w:highlight w:val="none"/>
                <w:lang w:eastAsia="zh-CN"/>
              </w:rPr>
              <w:t>备注</w:t>
            </w:r>
          </w:p>
        </w:tc>
      </w:tr>
      <w:tr w14:paraId="79A9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049CD43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w:t>
            </w:r>
          </w:p>
        </w:tc>
        <w:tc>
          <w:tcPr>
            <w:tcW w:w="958" w:type="dxa"/>
            <w:noWrap w:val="0"/>
            <w:vAlign w:val="center"/>
          </w:tcPr>
          <w:p w14:paraId="5254E8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lang w:eastAsia="zh-CN"/>
              </w:rPr>
              <w:t>报价</w:t>
            </w:r>
          </w:p>
        </w:tc>
        <w:tc>
          <w:tcPr>
            <w:tcW w:w="1115" w:type="dxa"/>
            <w:noWrap w:val="0"/>
            <w:vAlign w:val="center"/>
          </w:tcPr>
          <w:p w14:paraId="104080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价格分（满分2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03182B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（1）本项目专门面向中小企业采购（供应商应为中小微企业或监狱企业或残疾人福利性单位)，不再执行价格评审优惠的扶持政策。</w:t>
            </w:r>
          </w:p>
          <w:p w14:paraId="3C632A1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（2）以进入比较与评价环节的</w:t>
            </w:r>
            <w:r>
              <w:rPr>
                <w:rFonts w:hint="eastAsia" w:ascii="宋体" w:hAnsi="宋体" w:eastAsia="宋体" w:cs="宋体"/>
                <w:b w:val="0"/>
                <w:bCs w:val="0"/>
                <w:color w:val="auto"/>
                <w:spacing w:val="0"/>
                <w:w w:val="100"/>
                <w:position w:val="0"/>
                <w:sz w:val="21"/>
                <w:szCs w:val="21"/>
                <w:highlight w:val="none"/>
                <w:lang w:val="en-US" w:eastAsia="zh-CN"/>
              </w:rPr>
              <w:t>最后报价的</w:t>
            </w:r>
            <w:r>
              <w:rPr>
                <w:rFonts w:hint="eastAsia" w:ascii="宋体" w:hAnsi="宋体" w:eastAsia="宋体" w:cs="宋体"/>
                <w:b w:val="0"/>
                <w:bCs w:val="0"/>
                <w:color w:val="auto"/>
                <w:spacing w:val="0"/>
                <w:w w:val="100"/>
                <w:position w:val="0"/>
                <w:sz w:val="21"/>
                <w:szCs w:val="21"/>
                <w:highlight w:val="none"/>
              </w:rPr>
              <w:t>最低</w:t>
            </w:r>
            <w:r>
              <w:rPr>
                <w:rFonts w:hint="eastAsia" w:ascii="宋体" w:hAnsi="宋体" w:eastAsia="宋体" w:cs="宋体"/>
                <w:b w:val="0"/>
                <w:bCs w:val="0"/>
                <w:color w:val="auto"/>
                <w:spacing w:val="0"/>
                <w:w w:val="100"/>
                <w:position w:val="0"/>
                <w:sz w:val="21"/>
                <w:szCs w:val="21"/>
                <w:highlight w:val="none"/>
                <w:lang w:val="en-US" w:eastAsia="zh-CN"/>
              </w:rPr>
              <w:t>价格</w:t>
            </w:r>
            <w:r>
              <w:rPr>
                <w:rFonts w:hint="eastAsia" w:ascii="宋体" w:hAnsi="宋体" w:eastAsia="宋体" w:cs="宋体"/>
                <w:b w:val="0"/>
                <w:bCs w:val="0"/>
                <w:color w:val="auto"/>
                <w:spacing w:val="0"/>
                <w:w w:val="100"/>
                <w:position w:val="0"/>
                <w:sz w:val="21"/>
                <w:szCs w:val="21"/>
                <w:highlight w:val="none"/>
              </w:rPr>
              <w:t>为基准价，基准价得分为</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p w14:paraId="0594B6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eastAsia="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rPr>
              <w:t>）价格分计算公式：报价得分=（基准价/最后报价）×</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tc>
        <w:tc>
          <w:tcPr>
            <w:tcW w:w="807" w:type="dxa"/>
            <w:noWrap w:val="0"/>
            <w:vAlign w:val="center"/>
          </w:tcPr>
          <w:p w14:paraId="4C7AB4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3478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5BA17F5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2</w:t>
            </w:r>
          </w:p>
        </w:tc>
        <w:tc>
          <w:tcPr>
            <w:tcW w:w="958" w:type="dxa"/>
            <w:noWrap w:val="0"/>
            <w:vAlign w:val="center"/>
          </w:tcPr>
          <w:p w14:paraId="53DED0B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技术</w:t>
            </w:r>
          </w:p>
        </w:tc>
        <w:tc>
          <w:tcPr>
            <w:tcW w:w="7050" w:type="dxa"/>
            <w:gridSpan w:val="2"/>
            <w:noWrap w:val="0"/>
            <w:vAlign w:val="center"/>
          </w:tcPr>
          <w:p w14:paraId="6A4669C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p>
        </w:tc>
        <w:tc>
          <w:tcPr>
            <w:tcW w:w="807" w:type="dxa"/>
            <w:noWrap w:val="0"/>
            <w:vAlign w:val="center"/>
          </w:tcPr>
          <w:p w14:paraId="1EB3A02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rPr>
            </w:pPr>
          </w:p>
        </w:tc>
      </w:tr>
      <w:tr w14:paraId="39C7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14:paraId="424C3A1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2.1</w:t>
            </w:r>
          </w:p>
        </w:tc>
        <w:tc>
          <w:tcPr>
            <w:tcW w:w="958" w:type="dxa"/>
            <w:vMerge w:val="restart"/>
            <w:noWrap w:val="0"/>
            <w:vAlign w:val="center"/>
          </w:tcPr>
          <w:p w14:paraId="26011FB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施工组织设计</w:t>
            </w:r>
          </w:p>
        </w:tc>
        <w:tc>
          <w:tcPr>
            <w:tcW w:w="1115" w:type="dxa"/>
            <w:noWrap w:val="0"/>
            <w:vAlign w:val="center"/>
          </w:tcPr>
          <w:p w14:paraId="40FE4D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（1）施工机械设备情况（满分10分）</w:t>
            </w:r>
          </w:p>
        </w:tc>
        <w:tc>
          <w:tcPr>
            <w:tcW w:w="5935" w:type="dxa"/>
            <w:noWrap w:val="0"/>
            <w:vAlign w:val="center"/>
          </w:tcPr>
          <w:p w14:paraId="14DACDD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由磋商小组在打分前根据供应商提供的拟投入施工机械设备情况，在相应档次内独立打分。</w:t>
            </w:r>
          </w:p>
          <w:p w14:paraId="18482D2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一档（0分）：投入的施工机械、设备、机具组织计划差，投入计划与进度计划不呼应，不能满足施工需要。</w:t>
            </w:r>
          </w:p>
          <w:p w14:paraId="018C86C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二档（3分）：投入的施工机械、设备、机具有组织计划，设备数量、选型配置、进场投入计划与进度计划呼应，基本满足施工需要。</w:t>
            </w:r>
          </w:p>
          <w:p w14:paraId="526DB05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三档（6分）：投入的施工机械、设备、机具有详细的组织计划，设备数量、选型配置、进场投入计划与进度计划呼应，满足施工需要。</w:t>
            </w:r>
          </w:p>
          <w:p w14:paraId="5A0E1C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四档（10分）：投入的施工机械、设备、机具有详细的组织计划且计划周密，设备数量、选型配置、进场时间安排合理，满足施工需要。</w:t>
            </w:r>
          </w:p>
        </w:tc>
        <w:tc>
          <w:tcPr>
            <w:tcW w:w="807" w:type="dxa"/>
            <w:noWrap w:val="0"/>
            <w:vAlign w:val="center"/>
          </w:tcPr>
          <w:p w14:paraId="338FA0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47BF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14:paraId="4D1FC17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4C3A23B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C5960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（2）劳动力安排计划（满分10分）</w:t>
            </w:r>
          </w:p>
        </w:tc>
        <w:tc>
          <w:tcPr>
            <w:tcW w:w="5935" w:type="dxa"/>
            <w:noWrap w:val="0"/>
            <w:vAlign w:val="top"/>
          </w:tcPr>
          <w:p w14:paraId="2B396BC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磋商小组在打分前根据供应商提供的劳动力安排计划，在相应档次内独立打分。</w:t>
            </w:r>
          </w:p>
          <w:p w14:paraId="2AD88F7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一档（0分）：各主要施工工序劳动力安排计划不全，无各工种劳动力安排计划或计划不全，劳动力投入不合理，不能满足施工需要。</w:t>
            </w:r>
          </w:p>
          <w:p w14:paraId="2C19AD5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二档（3分）：各主要施工工序应有劳动力安排计划，有各工种劳动力安排计划，劳动力投入基本合理，基本满足施工需要。</w:t>
            </w:r>
          </w:p>
          <w:p w14:paraId="2FCC99C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三档（6分）：各主要施工工序有详细的劳动力安排计划，有各工种劳动力安排计划，劳动力投入合理，满足施工需要。</w:t>
            </w:r>
          </w:p>
          <w:p w14:paraId="47E2748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四档（10分）：各主要施工工序有详细周密的劳动力安排计划，各工种劳动力安排计划齐全，劳动力投入与进度计划呼应合理，满足施工需要。</w:t>
            </w:r>
          </w:p>
        </w:tc>
        <w:tc>
          <w:tcPr>
            <w:tcW w:w="807" w:type="dxa"/>
            <w:noWrap w:val="0"/>
            <w:vAlign w:val="center"/>
          </w:tcPr>
          <w:p w14:paraId="465D9E9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659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71A47D4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4407F0F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C2E7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（3）确保工程质量的技术组织措施（满分10分）</w:t>
            </w:r>
          </w:p>
        </w:tc>
        <w:tc>
          <w:tcPr>
            <w:tcW w:w="5935" w:type="dxa"/>
            <w:noWrap w:val="0"/>
            <w:vAlign w:val="top"/>
          </w:tcPr>
          <w:p w14:paraId="2885EE7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磋商小组在打分前根据供应商提供的工程质量技术组织措施，在相应档次内独立打分。</w:t>
            </w:r>
          </w:p>
          <w:p w14:paraId="3C21743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一档（0分）：质量技术管理班子人员配备不合理，制度不健全。质量技术保证措施和手段不可行，没有质量违约责任承诺。</w:t>
            </w:r>
          </w:p>
          <w:p w14:paraId="33F6528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二档（3分）：质量技术管理班子人员配备基本合理，制度基本健全。主要工序有质量技术保证措施和手段，能有效保证技术质量，满足磋商文件的质量要求。</w:t>
            </w:r>
          </w:p>
          <w:p w14:paraId="0167AB6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三档（6分）：有专门的质量技术管理班子和制度，且人员配备合理，制度健全。主要工序有质量技术保证措施和手段，自控体系完整，能有效保证技术质量，达到承诺的质量标准。</w:t>
            </w:r>
          </w:p>
          <w:p w14:paraId="7D648F1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14:paraId="2FEDED8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1CD2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66BC931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5494A3E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3804B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（4）确保安全生产的技术组织措施（满分10分）</w:t>
            </w:r>
          </w:p>
        </w:tc>
        <w:tc>
          <w:tcPr>
            <w:tcW w:w="5935" w:type="dxa"/>
            <w:noWrap w:val="0"/>
            <w:vAlign w:val="top"/>
          </w:tcPr>
          <w:p w14:paraId="2C65D2A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磋商小组在打分前根据供应商提供的安全生产技术组织措施，在相应档次内独立打分。</w:t>
            </w:r>
          </w:p>
          <w:p w14:paraId="6A9382C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配备满足项目要求的专职安全员，人员配备不合理，安全管理制度不健全，各道工序安全技术措施基本符合实际，不能满足有关安全技术标准要求。现场防火、应急救援、社会治安安全措施不合理。</w:t>
            </w:r>
          </w:p>
          <w:p w14:paraId="6FD2DE6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6BFAAB5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三档（6分）：有配备满足项目要求的专职安全员，人员配备合理，有健全的安全管理制度，各道工序安全技术措施符合实际且满足有关安全技术标准要求。现场防火、应急救援、社会治安安全措施合理。</w:t>
            </w:r>
          </w:p>
          <w:p w14:paraId="4C63BA3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14:paraId="6AA48DC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1BBB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14:paraId="0231048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72A8848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7532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（5）确保工期的技术组织措施（满分10分）</w:t>
            </w:r>
          </w:p>
        </w:tc>
        <w:tc>
          <w:tcPr>
            <w:tcW w:w="5935" w:type="dxa"/>
            <w:noWrap w:val="0"/>
            <w:vAlign w:val="top"/>
          </w:tcPr>
          <w:p w14:paraId="788A91F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磋商小组在打分前根据供应商提供的工期技术组织措施，在相应档次内独立打分。</w:t>
            </w:r>
          </w:p>
          <w:p w14:paraId="6B40D84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一档（0分）：有保证工期的具体措施。各项计划图表编制不完善，安排不合理，不能满足本项目施工实际要求。</w:t>
            </w:r>
          </w:p>
          <w:p w14:paraId="419E940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二档（3分）：有保证工期的具体措施，措施基本得当。各项计划图表编制基本齐全，安排基本合理，基本符合本项目施工实际要求。</w:t>
            </w:r>
          </w:p>
          <w:p w14:paraId="4E40272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三档（6分）：有保证工期的具体措施且措施得当。各项计划图表编制完善，安排较合理，符合本项目施工实际要求。</w:t>
            </w:r>
          </w:p>
          <w:p w14:paraId="571EDD2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四档（10分）：有保证工期的具体措施且措施得力。各项计划图表编制详尽周密，安排科学合理，符合本项目施工实际要求。</w:t>
            </w:r>
          </w:p>
        </w:tc>
        <w:tc>
          <w:tcPr>
            <w:tcW w:w="807" w:type="dxa"/>
            <w:noWrap w:val="0"/>
            <w:vAlign w:val="center"/>
          </w:tcPr>
          <w:p w14:paraId="7F96E08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4FF3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14:paraId="77BF07C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28B570B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046AF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（6）确保文明施工的技术组织措施（满分10分）</w:t>
            </w:r>
          </w:p>
        </w:tc>
        <w:tc>
          <w:tcPr>
            <w:tcW w:w="5935" w:type="dxa"/>
            <w:noWrap w:val="0"/>
            <w:vAlign w:val="top"/>
          </w:tcPr>
          <w:p w14:paraId="4777F44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磋商小组在打分前根据供应商提供的文明施工技术组织措施，在相应档次内独立打分。</w:t>
            </w:r>
          </w:p>
          <w:p w14:paraId="06F5751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一档（0分）：现场文明施工、环境保护措施和内容与《建筑施工安全生产检查标准》、《广西壮族自治区建筑工程文明施工导则》的要求偏差大，无现场文明施工目标的承诺。</w:t>
            </w:r>
          </w:p>
          <w:p w14:paraId="4DA0FA8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现场文明施工、环境保护措施和内容基本达到《建筑施工安全生产检查标准》、《广西壮族自治区建筑工程文明施工导则》；有具体实现现场文明施工目标的承诺，而且各项措施基本周全、具体、有效的。</w:t>
            </w:r>
          </w:p>
          <w:p w14:paraId="6226E36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三档（6分）：现场文明施工、环境保护措施和内容达到《建筑施工安全生产检查标准》、《广西壮族自治区建筑工程文明施工导则》；承诺创建市级文明工地和标准化工地，而且各项措施周全、具体、有效的。</w:t>
            </w:r>
          </w:p>
          <w:p w14:paraId="5C98409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14:paraId="1377177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47AA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14:paraId="2C3D978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6F97148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088A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（7）工程施工的重点和难点及保证措施（满分</w:t>
            </w:r>
            <w:r>
              <w:rPr>
                <w:rFonts w:hint="eastAsia" w:ascii="宋体" w:hAnsi="宋体" w:cs="宋体"/>
                <w:b w:val="0"/>
                <w:bCs w:val="0"/>
                <w:color w:val="auto"/>
                <w:spacing w:val="0"/>
                <w:w w:val="100"/>
                <w:position w:val="0"/>
                <w:sz w:val="21"/>
                <w:szCs w:val="21"/>
                <w:highlight w:val="none"/>
                <w:lang w:val="en-US" w:eastAsia="zh-CN"/>
              </w:rPr>
              <w:t>10</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14:paraId="4C750C3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磋商小组在打分前根据供应商提供的工程施工重点和难点及保证措施，在相应档次内独立打分。</w:t>
            </w:r>
          </w:p>
          <w:p w14:paraId="5818BDC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一档（0分）：未针对该项目的难点、重点进行分析，未考虑各部分施工如何相互交叉和衔接，施工质量效果和设计效果的无法统一。</w:t>
            </w:r>
          </w:p>
          <w:p w14:paraId="0710529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分）：针对该项目的难点、重点分析不具体，各部分施工如何相互交叉和衔接不合理，施工质量效果和设计效果有较大差距。</w:t>
            </w:r>
          </w:p>
          <w:p w14:paraId="031100C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分）：针对该项目的难点、重点分析简单，未重点考虑各部分施工如何相互交叉和衔接，施工质量效果基本达到设计效果。</w:t>
            </w:r>
          </w:p>
          <w:p w14:paraId="45EBB8F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10</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分）：针对该项目的难点、重点详细分析，重点考虑各部分施工如何相互交叉和衔接，以保证施工质量效果和设计效果的完美统一。</w:t>
            </w:r>
          </w:p>
        </w:tc>
        <w:tc>
          <w:tcPr>
            <w:tcW w:w="807" w:type="dxa"/>
            <w:noWrap w:val="0"/>
            <w:vAlign w:val="center"/>
          </w:tcPr>
          <w:p w14:paraId="44CCA5DC">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79E1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14:paraId="2589BA9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551F6DC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343B3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（8）施工总平面布置图（满分5分）</w:t>
            </w:r>
          </w:p>
        </w:tc>
        <w:tc>
          <w:tcPr>
            <w:tcW w:w="5935" w:type="dxa"/>
            <w:noWrap w:val="0"/>
            <w:vAlign w:val="top"/>
          </w:tcPr>
          <w:p w14:paraId="01823C5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磋商小组在打分前根据供应商提供的本工程施工总平面布置图，在相应档次内独立打分。</w:t>
            </w:r>
          </w:p>
          <w:p w14:paraId="5CA676F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一档（0分）：总体布置不合理，不符合安全、文明生产要求。</w:t>
            </w:r>
          </w:p>
          <w:p w14:paraId="515BF85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二档（1分）：总体布置基本合理，基本满足施工需要。</w:t>
            </w:r>
          </w:p>
          <w:p w14:paraId="484BC61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三档（3分）：总体布置合理，能满足施工需要，基本符合安全、文明生产要求。</w:t>
            </w:r>
          </w:p>
          <w:p w14:paraId="469D8FC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四档（5分）：总体布置有针对性、合理，较好满足施工需要，符合安全、文明生产要求。</w:t>
            </w:r>
          </w:p>
        </w:tc>
        <w:tc>
          <w:tcPr>
            <w:tcW w:w="807" w:type="dxa"/>
            <w:noWrap w:val="0"/>
            <w:vAlign w:val="center"/>
          </w:tcPr>
          <w:p w14:paraId="7A41EB8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287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restart"/>
            <w:noWrap w:val="0"/>
            <w:vAlign w:val="center"/>
          </w:tcPr>
          <w:p w14:paraId="317A0C7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3</w:t>
            </w:r>
          </w:p>
        </w:tc>
        <w:tc>
          <w:tcPr>
            <w:tcW w:w="958" w:type="dxa"/>
            <w:vMerge w:val="restart"/>
            <w:noWrap w:val="0"/>
            <w:vAlign w:val="center"/>
          </w:tcPr>
          <w:p w14:paraId="2B8FC8B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商务</w:t>
            </w:r>
          </w:p>
        </w:tc>
        <w:tc>
          <w:tcPr>
            <w:tcW w:w="1115" w:type="dxa"/>
            <w:noWrap w:val="0"/>
            <w:vAlign w:val="center"/>
          </w:tcPr>
          <w:p w14:paraId="1D3655C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noWrap w:val="0"/>
            <w:vAlign w:val="center"/>
          </w:tcPr>
          <w:p w14:paraId="6A9648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拟派驻本项目的技术负责人具有工程类中级（</w:t>
            </w:r>
            <w:r>
              <w:rPr>
                <w:rFonts w:hint="eastAsia" w:ascii="宋体" w:hAnsi="宋体" w:eastAsia="宋体" w:cs="宋体"/>
                <w:b w:val="0"/>
                <w:bCs w:val="0"/>
                <w:color w:val="auto"/>
                <w:spacing w:val="0"/>
                <w:w w:val="100"/>
                <w:position w:val="0"/>
                <w:sz w:val="21"/>
                <w:szCs w:val="21"/>
                <w:highlight w:val="none"/>
                <w:vertAlign w:val="baseline"/>
                <w:lang w:val="en-US" w:eastAsia="zh-CN"/>
              </w:rPr>
              <w:t>含中级</w:t>
            </w:r>
            <w:r>
              <w:rPr>
                <w:rFonts w:hint="eastAsia" w:ascii="宋体" w:hAnsi="宋体" w:eastAsia="宋体" w:cs="宋体"/>
                <w:b w:val="0"/>
                <w:bCs w:val="0"/>
                <w:color w:val="auto"/>
                <w:spacing w:val="0"/>
                <w:w w:val="100"/>
                <w:position w:val="0"/>
                <w:sz w:val="21"/>
                <w:szCs w:val="21"/>
                <w:highlight w:val="none"/>
                <w:vertAlign w:val="baseline"/>
                <w:lang w:eastAsia="zh-CN"/>
              </w:rPr>
              <w:t>）及以上职称证书得</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分</w:t>
            </w:r>
            <w:r>
              <w:rPr>
                <w:rFonts w:hint="eastAsia" w:ascii="宋体" w:hAnsi="宋体" w:eastAsia="宋体" w:cs="宋体"/>
                <w:b w:val="0"/>
                <w:bCs w:val="0"/>
                <w:color w:val="auto"/>
                <w:spacing w:val="0"/>
                <w:w w:val="100"/>
                <w:position w:val="0"/>
                <w:sz w:val="21"/>
                <w:szCs w:val="21"/>
                <w:highlight w:val="none"/>
                <w:vertAlign w:val="baseline"/>
                <w:lang w:eastAsia="zh-CN"/>
              </w:rPr>
              <w:t>，否则不得分。</w:t>
            </w:r>
          </w:p>
        </w:tc>
        <w:tc>
          <w:tcPr>
            <w:tcW w:w="807" w:type="dxa"/>
            <w:noWrap w:val="0"/>
            <w:vAlign w:val="center"/>
          </w:tcPr>
          <w:p w14:paraId="53DFD7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060A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continue"/>
            <w:noWrap w:val="0"/>
            <w:vAlign w:val="center"/>
          </w:tcPr>
          <w:p w14:paraId="6694E4A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p>
        </w:tc>
        <w:tc>
          <w:tcPr>
            <w:tcW w:w="958" w:type="dxa"/>
            <w:vMerge w:val="continue"/>
            <w:noWrap w:val="0"/>
            <w:vAlign w:val="center"/>
          </w:tcPr>
          <w:p w14:paraId="5AD8EF4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p>
        </w:tc>
        <w:tc>
          <w:tcPr>
            <w:tcW w:w="1115" w:type="dxa"/>
            <w:noWrap w:val="0"/>
            <w:vAlign w:val="center"/>
          </w:tcPr>
          <w:p w14:paraId="6174EF8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val="en-US" w:eastAsia="zh-CN"/>
              </w:rPr>
              <w:t>业绩分（</w:t>
            </w:r>
            <w:r>
              <w:rPr>
                <w:rFonts w:hint="eastAsia" w:ascii="宋体" w:hAnsi="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042BB9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202</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年 1 月 1 日以来至响应文件递交截止日期止，供应商 </w:t>
            </w:r>
          </w:p>
          <w:p w14:paraId="00D5F7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有</w:t>
            </w:r>
            <w:r>
              <w:rPr>
                <w:rFonts w:hint="eastAsia" w:ascii="宋体" w:hAnsi="宋体" w:cs="宋体"/>
                <w:b w:val="0"/>
                <w:bCs w:val="0"/>
                <w:color w:val="auto"/>
                <w:spacing w:val="0"/>
                <w:w w:val="100"/>
                <w:position w:val="0"/>
                <w:sz w:val="21"/>
                <w:szCs w:val="21"/>
                <w:highlight w:val="none"/>
                <w:vertAlign w:val="baseline"/>
                <w:lang w:val="en-US" w:eastAsia="zh-CN"/>
              </w:rPr>
              <w:t>市政工程</w:t>
            </w:r>
            <w:r>
              <w:rPr>
                <w:rFonts w:hint="eastAsia" w:ascii="宋体" w:hAnsi="宋体" w:eastAsia="宋体" w:cs="宋体"/>
                <w:b w:val="0"/>
                <w:bCs w:val="0"/>
                <w:color w:val="auto"/>
                <w:spacing w:val="0"/>
                <w:w w:val="100"/>
                <w:position w:val="0"/>
                <w:sz w:val="21"/>
                <w:szCs w:val="21"/>
                <w:highlight w:val="none"/>
                <w:vertAlign w:val="baseline"/>
                <w:lang w:val="en-US" w:eastAsia="zh-CN"/>
              </w:rPr>
              <w:t>项目业绩的，每项得</w:t>
            </w:r>
            <w:r>
              <w:rPr>
                <w:rFonts w:hint="eastAsia" w:ascii="宋体" w:hAnsi="宋体" w:cs="宋体"/>
                <w:b w:val="0"/>
                <w:bCs w:val="0"/>
                <w:color w:val="auto"/>
                <w:spacing w:val="0"/>
                <w:w w:val="100"/>
                <w:position w:val="0"/>
                <w:sz w:val="21"/>
                <w:szCs w:val="21"/>
                <w:highlight w:val="none"/>
                <w:vertAlign w:val="baseline"/>
                <w:lang w:val="en-US" w:eastAsia="zh-CN"/>
              </w:rPr>
              <w:t>1</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分，满分 </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分。[以合 </w:t>
            </w:r>
          </w:p>
          <w:p w14:paraId="2989F6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同或者中标（成交）通知书复印件或扫描件为准，并加盖供 </w:t>
            </w:r>
          </w:p>
          <w:p w14:paraId="570C1C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应商 CA 电子签章]。</w:t>
            </w:r>
          </w:p>
        </w:tc>
        <w:tc>
          <w:tcPr>
            <w:tcW w:w="807" w:type="dxa"/>
            <w:noWrap w:val="0"/>
            <w:vAlign w:val="center"/>
          </w:tcPr>
          <w:p w14:paraId="29A40E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25C2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14:paraId="304DD43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供应商</w:t>
            </w:r>
            <w:r>
              <w:rPr>
                <w:rFonts w:hint="eastAsia" w:ascii="宋体" w:hAnsi="宋体" w:eastAsia="宋体" w:cs="宋体"/>
                <w:b w:val="0"/>
                <w:bCs w:val="0"/>
                <w:color w:val="auto"/>
                <w:spacing w:val="0"/>
                <w:w w:val="100"/>
                <w:position w:val="0"/>
                <w:sz w:val="21"/>
                <w:szCs w:val="21"/>
                <w:highlight w:val="none"/>
              </w:rPr>
              <w:t>汇总得分</w:t>
            </w:r>
          </w:p>
        </w:tc>
        <w:tc>
          <w:tcPr>
            <w:tcW w:w="7050" w:type="dxa"/>
            <w:gridSpan w:val="2"/>
            <w:noWrap w:val="0"/>
            <w:vAlign w:val="center"/>
          </w:tcPr>
          <w:p w14:paraId="1CE369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=报价分得分+技术分得分+商务分得分</w:t>
            </w:r>
          </w:p>
        </w:tc>
        <w:tc>
          <w:tcPr>
            <w:tcW w:w="807" w:type="dxa"/>
            <w:noWrap w:val="0"/>
            <w:vAlign w:val="center"/>
          </w:tcPr>
          <w:p w14:paraId="7C10C5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p>
        </w:tc>
      </w:tr>
    </w:tbl>
    <w:p w14:paraId="17E4B7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pacing w:val="0"/>
          <w:position w:val="0"/>
          <w:highlight w:val="none"/>
          <w:lang w:eastAsia="zh-CN"/>
        </w:rPr>
      </w:pPr>
      <w:r>
        <w:rPr>
          <w:rFonts w:hint="eastAsia" w:ascii="Times New Roman" w:hAnsi="Times New Roman" w:eastAsia="宋体" w:cs="Times New Roman"/>
          <w:b/>
          <w:bCs/>
          <w:color w:val="auto"/>
          <w:spacing w:val="0"/>
          <w:position w:val="0"/>
          <w:highlight w:val="none"/>
          <w:lang w:eastAsia="zh-CN"/>
        </w:rPr>
        <w:t>三、成交候选供应商推荐原则</w:t>
      </w:r>
    </w:p>
    <w:p w14:paraId="02830E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一</w:t>
      </w:r>
      <w:r>
        <w:rPr>
          <w:rFonts w:hint="eastAsia"/>
          <w:color w:val="auto"/>
          <w:spacing w:val="0"/>
          <w:position w:val="0"/>
          <w:highlight w:val="none"/>
          <w:lang w:eastAsia="zh-CN"/>
        </w:rPr>
        <w:t>）</w:t>
      </w:r>
      <w:r>
        <w:rPr>
          <w:rFonts w:hint="eastAsia"/>
          <w:color w:val="auto"/>
          <w:spacing w:val="0"/>
          <w:position w:val="0"/>
          <w:highlight w:val="none"/>
        </w:rPr>
        <w:t>磋商小组将根据总得分由高到低对供应商排列次序</w:t>
      </w:r>
      <w:r>
        <w:rPr>
          <w:rFonts w:hint="eastAsia"/>
          <w:color w:val="auto"/>
          <w:spacing w:val="0"/>
          <w:position w:val="0"/>
          <w:highlight w:val="none"/>
          <w:lang w:eastAsia="zh-CN"/>
        </w:rPr>
        <w:t>（</w:t>
      </w:r>
      <w:r>
        <w:rPr>
          <w:rFonts w:hint="eastAsia"/>
          <w:color w:val="auto"/>
          <w:spacing w:val="0"/>
          <w:position w:val="0"/>
          <w:highlight w:val="none"/>
        </w:rPr>
        <w:t>得分相同时，以</w:t>
      </w:r>
      <w:r>
        <w:rPr>
          <w:rFonts w:hint="eastAsia"/>
          <w:color w:val="auto"/>
          <w:spacing w:val="0"/>
          <w:position w:val="0"/>
          <w:highlight w:val="none"/>
          <w:lang w:eastAsia="zh-CN"/>
        </w:rPr>
        <w:t>最后报价</w:t>
      </w:r>
      <w:r>
        <w:rPr>
          <w:rFonts w:hint="eastAsia"/>
          <w:color w:val="auto"/>
          <w:spacing w:val="0"/>
          <w:position w:val="0"/>
          <w:highlight w:val="none"/>
        </w:rPr>
        <w:t>由低到高顺序排列；得分相同且</w:t>
      </w:r>
      <w:r>
        <w:rPr>
          <w:rFonts w:hint="eastAsia"/>
          <w:color w:val="auto"/>
          <w:spacing w:val="0"/>
          <w:position w:val="0"/>
          <w:highlight w:val="none"/>
          <w:lang w:eastAsia="zh-CN"/>
        </w:rPr>
        <w:t>最后报价</w:t>
      </w:r>
      <w:r>
        <w:rPr>
          <w:rFonts w:hint="eastAsia"/>
          <w:color w:val="auto"/>
          <w:spacing w:val="0"/>
          <w:position w:val="0"/>
          <w:highlight w:val="none"/>
        </w:rPr>
        <w:t>相同的，按技术指标优劣顺序排列</w:t>
      </w:r>
      <w:r>
        <w:rPr>
          <w:rFonts w:hint="eastAsia"/>
          <w:color w:val="auto"/>
          <w:spacing w:val="0"/>
          <w:position w:val="0"/>
          <w:highlight w:val="none"/>
          <w:lang w:eastAsia="zh-CN"/>
        </w:rPr>
        <w:t>）</w:t>
      </w:r>
      <w:r>
        <w:rPr>
          <w:rFonts w:hint="eastAsia"/>
          <w:color w:val="auto"/>
          <w:spacing w:val="0"/>
          <w:position w:val="0"/>
          <w:highlight w:val="none"/>
        </w:rPr>
        <w:t>，并推荐前三名为成交候选人。采购人应当确定磋商小组推荐排名第一的成交候选人为成交供应商。</w:t>
      </w:r>
    </w:p>
    <w:p w14:paraId="631D14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二</w:t>
      </w:r>
      <w:r>
        <w:rPr>
          <w:rFonts w:hint="eastAsia"/>
          <w:color w:val="auto"/>
          <w:spacing w:val="0"/>
          <w:position w:val="0"/>
          <w:highlight w:val="none"/>
          <w:lang w:eastAsia="zh-CN"/>
        </w:rPr>
        <w:t>）</w:t>
      </w:r>
      <w:r>
        <w:rPr>
          <w:rFonts w:hint="eastAsia"/>
          <w:color w:val="auto"/>
          <w:spacing w:val="0"/>
          <w:position w:val="0"/>
          <w:highlight w:val="none"/>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5C84E6A4">
      <w:pPr>
        <w:pStyle w:val="39"/>
        <w:rPr>
          <w:rFonts w:hint="eastAsia" w:ascii="黑体" w:hAnsi="宋体" w:eastAsia="黑体" w:cs="Times New Roman"/>
          <w:b/>
          <w:bCs/>
          <w:color w:val="auto"/>
          <w:spacing w:val="0"/>
          <w:kern w:val="0"/>
          <w:position w:val="0"/>
          <w:sz w:val="36"/>
          <w:szCs w:val="36"/>
          <w:highlight w:val="none"/>
        </w:rPr>
      </w:pPr>
    </w:p>
    <w:p w14:paraId="3DB0A3F3">
      <w:pPr>
        <w:rPr>
          <w:rFonts w:hint="eastAsia" w:ascii="黑体" w:hAnsi="宋体" w:eastAsia="黑体" w:cs="Times New Roman"/>
          <w:b/>
          <w:bCs/>
          <w:color w:val="auto"/>
          <w:spacing w:val="0"/>
          <w:kern w:val="0"/>
          <w:position w:val="0"/>
          <w:sz w:val="36"/>
          <w:szCs w:val="36"/>
          <w:highlight w:val="none"/>
        </w:rPr>
      </w:pPr>
      <w:bookmarkStart w:id="67" w:name="_Toc15543"/>
    </w:p>
    <w:p w14:paraId="3F7B7997">
      <w:pPr>
        <w:pStyle w:val="13"/>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rPr>
        <w:t>第</w:t>
      </w:r>
      <w:r>
        <w:rPr>
          <w:rFonts w:hint="eastAsia" w:ascii="黑体" w:hAnsi="宋体" w:eastAsia="黑体" w:cs="Times New Roman"/>
          <w:b/>
          <w:bCs/>
          <w:color w:val="auto"/>
          <w:spacing w:val="0"/>
          <w:kern w:val="0"/>
          <w:position w:val="0"/>
          <w:sz w:val="36"/>
          <w:szCs w:val="36"/>
          <w:highlight w:val="none"/>
          <w:lang w:val="en-US" w:eastAsia="zh-CN"/>
        </w:rPr>
        <w:t>五</w:t>
      </w:r>
      <w:r>
        <w:rPr>
          <w:rFonts w:hint="eastAsia" w:ascii="黑体" w:hAnsi="宋体" w:eastAsia="黑体" w:cs="Times New Roman"/>
          <w:b/>
          <w:bCs/>
          <w:color w:val="auto"/>
          <w:spacing w:val="0"/>
          <w:kern w:val="0"/>
          <w:position w:val="0"/>
          <w:sz w:val="36"/>
          <w:szCs w:val="36"/>
          <w:highlight w:val="none"/>
        </w:rPr>
        <w:t>章  响应文件（格式）</w:t>
      </w:r>
      <w:bookmarkEnd w:id="67"/>
    </w:p>
    <w:p w14:paraId="717833B8">
      <w:pPr>
        <w:autoSpaceDE w:val="0"/>
        <w:autoSpaceDN w:val="0"/>
        <w:adjustRightInd w:val="0"/>
        <w:spacing w:line="360" w:lineRule="auto"/>
        <w:rPr>
          <w:rFonts w:ascii="宋体" w:cs="宋体"/>
          <w:color w:val="auto"/>
          <w:spacing w:val="0"/>
          <w:position w:val="0"/>
          <w:szCs w:val="21"/>
          <w:highlight w:val="none"/>
          <w:lang w:val="zh-CN"/>
        </w:rPr>
      </w:pPr>
    </w:p>
    <w:p w14:paraId="572EF062">
      <w:pPr>
        <w:rPr>
          <w:rFonts w:hint="eastAsia"/>
          <w:b/>
          <w:color w:val="auto"/>
          <w:spacing w:val="0"/>
          <w:position w:val="0"/>
          <w:sz w:val="32"/>
          <w:szCs w:val="32"/>
          <w:highlight w:val="none"/>
        </w:rPr>
      </w:pPr>
      <w:bookmarkStart w:id="68" w:name="_Toc31723070"/>
      <w:bookmarkStart w:id="69" w:name="_Toc71366186"/>
      <w:bookmarkStart w:id="70" w:name="_Toc44229899"/>
      <w:bookmarkStart w:id="71" w:name="_Toc35611438"/>
      <w:bookmarkStart w:id="72" w:name="_Toc31728084"/>
      <w:bookmarkStart w:id="73" w:name="_Toc35611516"/>
      <w:r>
        <w:rPr>
          <w:rFonts w:hint="eastAsia"/>
          <w:b/>
          <w:color w:val="auto"/>
          <w:spacing w:val="0"/>
          <w:position w:val="0"/>
          <w:sz w:val="32"/>
          <w:szCs w:val="32"/>
          <w:highlight w:val="none"/>
        </w:rPr>
        <w:t>一、资格证明文件格式</w:t>
      </w:r>
      <w:bookmarkEnd w:id="68"/>
      <w:bookmarkEnd w:id="69"/>
      <w:bookmarkEnd w:id="70"/>
      <w:bookmarkEnd w:id="71"/>
      <w:bookmarkEnd w:id="72"/>
      <w:bookmarkEnd w:id="73"/>
    </w:p>
    <w:p w14:paraId="606748B9">
      <w:pPr>
        <w:snapToGrid w:val="0"/>
        <w:spacing w:before="156" w:beforeLines="50" w:after="50" w:line="360" w:lineRule="auto"/>
        <w:jc w:val="left"/>
        <w:rPr>
          <w:rFonts w:hint="eastAsia" w:ascii="宋体" w:hAnsi="宋体"/>
          <w:b/>
          <w:color w:val="auto"/>
          <w:spacing w:val="0"/>
          <w:position w:val="0"/>
          <w:sz w:val="24"/>
          <w:highlight w:val="none"/>
        </w:rPr>
      </w:pPr>
      <w:r>
        <w:rPr>
          <w:rFonts w:hint="eastAsia" w:ascii="宋体" w:hAnsi="宋体"/>
          <w:b/>
          <w:color w:val="auto"/>
          <w:spacing w:val="0"/>
          <w:position w:val="0"/>
          <w:sz w:val="32"/>
          <w:szCs w:val="32"/>
          <w:highlight w:val="none"/>
        </w:rPr>
        <w:t>1.资格证明文件封面格式：</w:t>
      </w:r>
      <w:r>
        <w:rPr>
          <w:rFonts w:hint="eastAsia" w:ascii="宋体" w:hAnsi="宋体"/>
          <w:b/>
          <w:color w:val="auto"/>
          <w:spacing w:val="0"/>
          <w:position w:val="0"/>
          <w:sz w:val="24"/>
          <w:highlight w:val="none"/>
        </w:rPr>
        <w:t xml:space="preserve"> </w:t>
      </w:r>
    </w:p>
    <w:p w14:paraId="7D1F30F9">
      <w:pPr>
        <w:snapToGrid w:val="0"/>
        <w:spacing w:before="156" w:beforeLines="50" w:after="50"/>
        <w:jc w:val="center"/>
        <w:rPr>
          <w:rFonts w:ascii="宋体" w:hAnsi="宋体"/>
          <w:color w:val="auto"/>
          <w:spacing w:val="0"/>
          <w:position w:val="0"/>
          <w:sz w:val="44"/>
          <w:szCs w:val="44"/>
          <w:highlight w:val="none"/>
        </w:rPr>
      </w:pPr>
    </w:p>
    <w:p w14:paraId="5C8755A5">
      <w:pPr>
        <w:snapToGrid w:val="0"/>
        <w:spacing w:before="156" w:beforeLines="50" w:after="50"/>
        <w:jc w:val="center"/>
        <w:rPr>
          <w:rFonts w:ascii="宋体" w:hAnsi="宋体"/>
          <w:color w:val="auto"/>
          <w:spacing w:val="0"/>
          <w:position w:val="0"/>
          <w:sz w:val="44"/>
          <w:szCs w:val="44"/>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2C3E78BC">
      <w:pPr>
        <w:snapToGrid w:val="0"/>
        <w:spacing w:before="156" w:beforeLines="50" w:after="50"/>
        <w:rPr>
          <w:rFonts w:hint="eastAsia" w:ascii="宋体" w:hAnsi="宋体"/>
          <w:color w:val="auto"/>
          <w:spacing w:val="0"/>
          <w:position w:val="0"/>
          <w:sz w:val="24"/>
          <w:szCs w:val="20"/>
          <w:highlight w:val="none"/>
        </w:rPr>
      </w:pPr>
    </w:p>
    <w:p w14:paraId="2EDF55E0">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资  格  证  明  文  件</w:t>
      </w:r>
    </w:p>
    <w:p w14:paraId="4A030333">
      <w:pPr>
        <w:snapToGrid w:val="0"/>
        <w:spacing w:before="156" w:beforeLines="50" w:after="50"/>
        <w:rPr>
          <w:rFonts w:hint="eastAsia" w:ascii="宋体" w:hAnsi="宋体"/>
          <w:bCs/>
          <w:color w:val="auto"/>
          <w:spacing w:val="0"/>
          <w:position w:val="0"/>
          <w:sz w:val="24"/>
          <w:szCs w:val="20"/>
          <w:highlight w:val="none"/>
        </w:rPr>
      </w:pPr>
    </w:p>
    <w:p w14:paraId="38964F37">
      <w:pPr>
        <w:snapToGrid w:val="0"/>
        <w:spacing w:before="156" w:beforeLines="50" w:after="50"/>
        <w:rPr>
          <w:rFonts w:hint="eastAsia" w:ascii="宋体" w:hAnsi="宋体"/>
          <w:bCs/>
          <w:color w:val="auto"/>
          <w:spacing w:val="0"/>
          <w:position w:val="0"/>
          <w:sz w:val="24"/>
          <w:szCs w:val="20"/>
          <w:highlight w:val="none"/>
        </w:rPr>
      </w:pPr>
    </w:p>
    <w:p w14:paraId="2738451B">
      <w:pPr>
        <w:snapToGrid w:val="0"/>
        <w:spacing w:before="156" w:beforeLines="50" w:after="50"/>
        <w:rPr>
          <w:rFonts w:hint="eastAsia" w:ascii="宋体" w:hAnsi="宋体"/>
          <w:bCs/>
          <w:color w:val="auto"/>
          <w:spacing w:val="0"/>
          <w:position w:val="0"/>
          <w:sz w:val="24"/>
          <w:szCs w:val="20"/>
          <w:highlight w:val="none"/>
        </w:rPr>
      </w:pPr>
    </w:p>
    <w:p w14:paraId="546E829F">
      <w:pPr>
        <w:snapToGrid w:val="0"/>
        <w:spacing w:before="156" w:beforeLines="50" w:after="50"/>
        <w:rPr>
          <w:rFonts w:hint="eastAsia" w:ascii="宋体" w:hAnsi="宋体"/>
          <w:bCs/>
          <w:color w:val="auto"/>
          <w:spacing w:val="0"/>
          <w:position w:val="0"/>
          <w:sz w:val="24"/>
          <w:szCs w:val="20"/>
          <w:highlight w:val="none"/>
        </w:rPr>
      </w:pPr>
    </w:p>
    <w:p w14:paraId="1B94E6A7">
      <w:pPr>
        <w:snapToGrid w:val="0"/>
        <w:spacing w:before="156" w:beforeLines="50" w:after="50"/>
        <w:rPr>
          <w:rFonts w:hint="eastAsia" w:ascii="宋体" w:hAnsi="宋体"/>
          <w:bCs/>
          <w:color w:val="auto"/>
          <w:spacing w:val="0"/>
          <w:position w:val="0"/>
          <w:sz w:val="24"/>
          <w:szCs w:val="20"/>
          <w:highlight w:val="none"/>
        </w:rPr>
      </w:pPr>
    </w:p>
    <w:p w14:paraId="44F0DF93">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42A63245">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2D17D171">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363A9E6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254B6252">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4D4B30B5">
      <w:pPr>
        <w:pStyle w:val="8"/>
        <w:snapToGrid w:val="0"/>
        <w:spacing w:before="50" w:after="50"/>
        <w:rPr>
          <w:rFonts w:hint="eastAsia" w:ascii="宋体" w:hAnsi="宋体" w:cs="仿宋_GB2312"/>
          <w:bCs/>
          <w:color w:val="auto"/>
          <w:spacing w:val="0"/>
          <w:position w:val="0"/>
          <w:sz w:val="32"/>
          <w:szCs w:val="32"/>
          <w:highlight w:val="none"/>
        </w:rPr>
      </w:pPr>
    </w:p>
    <w:p w14:paraId="158DC07F">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1F168C20">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p>
    <w:p w14:paraId="3B49516F">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5B4F9493">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7CD75E4E">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15FEE6A7">
      <w:pPr>
        <w:snapToGrid w:val="0"/>
        <w:spacing w:before="156" w:beforeLines="50" w:after="50" w:line="360" w:lineRule="auto"/>
        <w:ind w:left="142"/>
        <w:jc w:val="left"/>
        <w:rPr>
          <w:rFonts w:hint="eastAsia" w:ascii="宋体" w:hAnsi="宋体"/>
          <w:b/>
          <w:bCs/>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2.资格证明文件目录</w:t>
      </w:r>
    </w:p>
    <w:p w14:paraId="2D2BFFE6">
      <w:pPr>
        <w:snapToGrid w:val="0"/>
        <w:spacing w:before="156" w:beforeLines="50" w:after="50" w:line="360" w:lineRule="auto"/>
        <w:ind w:firstLine="645"/>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1959FF7C">
      <w:pPr>
        <w:snapToGrid w:val="0"/>
        <w:spacing w:before="156" w:beforeLines="50" w:after="50"/>
        <w:rPr>
          <w:rFonts w:ascii="宋体" w:hAnsi="宋体"/>
          <w:color w:val="auto"/>
          <w:spacing w:val="0"/>
          <w:position w:val="0"/>
          <w:sz w:val="24"/>
          <w:szCs w:val="20"/>
          <w:highlight w:val="none"/>
        </w:rPr>
      </w:pPr>
      <w:r>
        <w:rPr>
          <w:rFonts w:ascii="宋体" w:hAnsi="宋体"/>
          <w:color w:val="auto"/>
          <w:spacing w:val="0"/>
          <w:position w:val="0"/>
          <w:sz w:val="24"/>
          <w:szCs w:val="20"/>
          <w:highlight w:val="none"/>
        </w:rPr>
        <w:t xml:space="preserve"> </w:t>
      </w:r>
    </w:p>
    <w:p w14:paraId="171D1704">
      <w:pPr>
        <w:spacing w:line="300" w:lineRule="auto"/>
        <w:rPr>
          <w:rFonts w:hint="eastAsia" w:ascii="宋体" w:hAnsi="宋体"/>
          <w:color w:val="auto"/>
          <w:spacing w:val="0"/>
          <w:position w:val="0"/>
          <w:szCs w:val="21"/>
          <w:highlight w:val="none"/>
        </w:rPr>
      </w:pPr>
    </w:p>
    <w:p w14:paraId="32D03646">
      <w:pPr>
        <w:spacing w:line="300" w:lineRule="auto"/>
        <w:rPr>
          <w:rFonts w:hint="eastAsia" w:ascii="宋体" w:hAnsi="宋体"/>
          <w:color w:val="auto"/>
          <w:spacing w:val="0"/>
          <w:position w:val="0"/>
          <w:szCs w:val="21"/>
          <w:highlight w:val="none"/>
        </w:rPr>
      </w:pPr>
    </w:p>
    <w:p w14:paraId="48E1CEFB">
      <w:pPr>
        <w:spacing w:line="300" w:lineRule="auto"/>
        <w:rPr>
          <w:rFonts w:hint="eastAsia" w:ascii="宋体" w:hAnsi="宋体"/>
          <w:color w:val="auto"/>
          <w:spacing w:val="0"/>
          <w:position w:val="0"/>
          <w:szCs w:val="21"/>
          <w:highlight w:val="none"/>
        </w:rPr>
      </w:pPr>
    </w:p>
    <w:p w14:paraId="38262E3C">
      <w:pPr>
        <w:spacing w:line="300" w:lineRule="auto"/>
        <w:rPr>
          <w:rFonts w:hint="eastAsia" w:ascii="宋体" w:hAnsi="宋体"/>
          <w:color w:val="auto"/>
          <w:spacing w:val="0"/>
          <w:position w:val="0"/>
          <w:szCs w:val="21"/>
          <w:highlight w:val="none"/>
        </w:rPr>
      </w:pPr>
    </w:p>
    <w:p w14:paraId="5D6E93FF">
      <w:pPr>
        <w:spacing w:line="300" w:lineRule="auto"/>
        <w:rPr>
          <w:rFonts w:hint="eastAsia" w:ascii="宋体" w:hAnsi="宋体"/>
          <w:color w:val="auto"/>
          <w:spacing w:val="0"/>
          <w:position w:val="0"/>
          <w:szCs w:val="21"/>
          <w:highlight w:val="none"/>
        </w:rPr>
      </w:pPr>
    </w:p>
    <w:p w14:paraId="56AEA47B">
      <w:pPr>
        <w:spacing w:line="300" w:lineRule="auto"/>
        <w:rPr>
          <w:rFonts w:hint="eastAsia" w:ascii="宋体" w:hAnsi="宋体"/>
          <w:color w:val="auto"/>
          <w:spacing w:val="0"/>
          <w:position w:val="0"/>
          <w:szCs w:val="21"/>
          <w:highlight w:val="none"/>
        </w:rPr>
      </w:pPr>
    </w:p>
    <w:p w14:paraId="54CF5BD6">
      <w:pPr>
        <w:spacing w:line="300" w:lineRule="auto"/>
        <w:rPr>
          <w:rFonts w:hint="eastAsia" w:ascii="宋体" w:hAnsi="宋体"/>
          <w:color w:val="auto"/>
          <w:spacing w:val="0"/>
          <w:position w:val="0"/>
          <w:szCs w:val="21"/>
          <w:highlight w:val="none"/>
        </w:rPr>
      </w:pPr>
    </w:p>
    <w:p w14:paraId="209AAEC3">
      <w:pPr>
        <w:spacing w:line="300" w:lineRule="auto"/>
        <w:rPr>
          <w:rFonts w:hint="eastAsia" w:ascii="宋体" w:hAnsi="宋体"/>
          <w:color w:val="auto"/>
          <w:spacing w:val="0"/>
          <w:position w:val="0"/>
          <w:szCs w:val="21"/>
          <w:highlight w:val="none"/>
        </w:rPr>
      </w:pPr>
    </w:p>
    <w:p w14:paraId="69ECE309">
      <w:pPr>
        <w:spacing w:line="300" w:lineRule="auto"/>
        <w:rPr>
          <w:rFonts w:hint="eastAsia" w:ascii="宋体" w:hAnsi="宋体"/>
          <w:color w:val="auto"/>
          <w:spacing w:val="0"/>
          <w:position w:val="0"/>
          <w:szCs w:val="21"/>
          <w:highlight w:val="none"/>
        </w:rPr>
      </w:pPr>
    </w:p>
    <w:p w14:paraId="365C258D">
      <w:pPr>
        <w:spacing w:line="300" w:lineRule="auto"/>
        <w:rPr>
          <w:rFonts w:hint="eastAsia" w:ascii="宋体" w:hAnsi="宋体"/>
          <w:color w:val="auto"/>
          <w:spacing w:val="0"/>
          <w:position w:val="0"/>
          <w:szCs w:val="21"/>
          <w:highlight w:val="none"/>
        </w:rPr>
      </w:pPr>
    </w:p>
    <w:p w14:paraId="48C0B437">
      <w:pPr>
        <w:spacing w:line="300" w:lineRule="auto"/>
        <w:rPr>
          <w:rFonts w:hint="eastAsia" w:ascii="宋体" w:hAnsi="宋体"/>
          <w:color w:val="auto"/>
          <w:spacing w:val="0"/>
          <w:position w:val="0"/>
          <w:szCs w:val="21"/>
          <w:highlight w:val="none"/>
        </w:rPr>
      </w:pPr>
    </w:p>
    <w:p w14:paraId="3BC629A0">
      <w:pPr>
        <w:spacing w:line="300" w:lineRule="auto"/>
        <w:rPr>
          <w:rFonts w:hint="eastAsia" w:ascii="宋体" w:hAnsi="宋体"/>
          <w:color w:val="auto"/>
          <w:spacing w:val="0"/>
          <w:position w:val="0"/>
          <w:szCs w:val="21"/>
          <w:highlight w:val="none"/>
        </w:rPr>
      </w:pPr>
    </w:p>
    <w:p w14:paraId="282FFACB">
      <w:pPr>
        <w:spacing w:line="300" w:lineRule="auto"/>
        <w:rPr>
          <w:rFonts w:hint="eastAsia" w:ascii="宋体" w:hAnsi="宋体"/>
          <w:color w:val="auto"/>
          <w:spacing w:val="0"/>
          <w:position w:val="0"/>
          <w:szCs w:val="21"/>
          <w:highlight w:val="none"/>
        </w:rPr>
      </w:pPr>
    </w:p>
    <w:p w14:paraId="704719E4">
      <w:pPr>
        <w:spacing w:line="300" w:lineRule="auto"/>
        <w:rPr>
          <w:rFonts w:hint="eastAsia" w:ascii="宋体" w:hAnsi="宋体"/>
          <w:color w:val="auto"/>
          <w:spacing w:val="0"/>
          <w:position w:val="0"/>
          <w:szCs w:val="21"/>
          <w:highlight w:val="none"/>
        </w:rPr>
      </w:pPr>
    </w:p>
    <w:p w14:paraId="77B34F9E">
      <w:pPr>
        <w:spacing w:line="300" w:lineRule="auto"/>
        <w:rPr>
          <w:rFonts w:hint="eastAsia" w:ascii="宋体" w:hAnsi="宋体"/>
          <w:color w:val="auto"/>
          <w:spacing w:val="0"/>
          <w:position w:val="0"/>
          <w:szCs w:val="21"/>
          <w:highlight w:val="none"/>
        </w:rPr>
      </w:pPr>
    </w:p>
    <w:p w14:paraId="4E474C50">
      <w:pPr>
        <w:spacing w:line="320" w:lineRule="exact"/>
        <w:jc w:val="center"/>
        <w:rPr>
          <w:rFonts w:hint="eastAsia" w:ascii="宋体" w:hAnsi="宋体"/>
          <w:b/>
          <w:color w:val="auto"/>
          <w:spacing w:val="0"/>
          <w:position w:val="0"/>
          <w:sz w:val="32"/>
          <w:szCs w:val="32"/>
          <w:highlight w:val="none"/>
        </w:rPr>
      </w:pPr>
      <w:r>
        <w:rPr>
          <w:rFonts w:ascii="宋体" w:hAnsi="宋体"/>
          <w:color w:val="auto"/>
          <w:spacing w:val="0"/>
          <w:position w:val="0"/>
          <w:szCs w:val="21"/>
          <w:highlight w:val="none"/>
        </w:rPr>
        <w:br w:type="page"/>
      </w:r>
      <w:r>
        <w:rPr>
          <w:rFonts w:hint="eastAsia" w:ascii="宋体" w:hAnsi="宋体"/>
          <w:b/>
          <w:color w:val="auto"/>
          <w:spacing w:val="0"/>
          <w:position w:val="0"/>
          <w:sz w:val="32"/>
          <w:szCs w:val="32"/>
          <w:highlight w:val="none"/>
        </w:rPr>
        <w:t>竞标声明</w:t>
      </w:r>
      <w:r>
        <w:rPr>
          <w:rFonts w:hint="eastAsia" w:ascii="宋体" w:hAnsi="宋体"/>
          <w:b/>
          <w:color w:val="auto"/>
          <w:spacing w:val="0"/>
          <w:position w:val="0"/>
          <w:sz w:val="32"/>
          <w:szCs w:val="32"/>
          <w:highlight w:val="none"/>
          <w:lang w:eastAsia="zh-CN"/>
        </w:rPr>
        <w:t>（格式）</w:t>
      </w:r>
    </w:p>
    <w:p w14:paraId="43DAD1D5">
      <w:pPr>
        <w:spacing w:line="320" w:lineRule="exact"/>
        <w:jc w:val="center"/>
        <w:rPr>
          <w:rFonts w:hint="eastAsia" w:ascii="宋体" w:hAnsi="宋体"/>
          <w:color w:val="auto"/>
          <w:spacing w:val="0"/>
          <w:position w:val="0"/>
          <w:sz w:val="24"/>
          <w:szCs w:val="20"/>
          <w:highlight w:val="none"/>
        </w:rPr>
      </w:pPr>
    </w:p>
    <w:p w14:paraId="2251655F">
      <w:pPr>
        <w:spacing w:line="360" w:lineRule="auto"/>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致：</w:t>
      </w:r>
      <w:r>
        <w:rPr>
          <w:rFonts w:hint="eastAsia" w:ascii="宋体" w:hAnsi="宋体" w:cs="宋体"/>
          <w:color w:val="auto"/>
          <w:spacing w:val="0"/>
          <w:position w:val="0"/>
          <w:sz w:val="24"/>
          <w:highlight w:val="none"/>
          <w:u w:val="single"/>
        </w:rPr>
        <w:t>（采购人名称）</w:t>
      </w:r>
      <w:r>
        <w:rPr>
          <w:rFonts w:hint="eastAsia" w:ascii="宋体" w:hAnsi="宋体" w:cs="宋体"/>
          <w:color w:val="auto"/>
          <w:spacing w:val="0"/>
          <w:position w:val="0"/>
          <w:sz w:val="24"/>
          <w:highlight w:val="none"/>
        </w:rPr>
        <w:t>：</w:t>
      </w:r>
    </w:p>
    <w:p w14:paraId="5D07563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w:t>
      </w:r>
      <w:r>
        <w:rPr>
          <w:rFonts w:hint="eastAsia" w:ascii="宋体" w:hAnsi="宋体" w:cs="宋体"/>
          <w:color w:val="auto"/>
          <w:spacing w:val="0"/>
          <w:position w:val="0"/>
          <w:sz w:val="24"/>
          <w:highlight w:val="none"/>
          <w:u w:val="single"/>
        </w:rPr>
        <w:t>（供应商名称）</w:t>
      </w:r>
      <w:r>
        <w:rPr>
          <w:rFonts w:hint="eastAsia" w:ascii="宋体" w:hAnsi="宋体" w:cs="宋体"/>
          <w:color w:val="auto"/>
          <w:spacing w:val="0"/>
          <w:position w:val="0"/>
          <w:sz w:val="24"/>
          <w:highlight w:val="none"/>
        </w:rPr>
        <w:t>系中华人民共和国合法供应商，经营地址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w:t>
      </w:r>
    </w:p>
    <w:p w14:paraId="78C354C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我方愿意参加贵方组织的</w:t>
      </w:r>
      <w:r>
        <w:rPr>
          <w:rFonts w:hint="eastAsia" w:ascii="宋体" w:hAnsi="宋体" w:cs="宋体"/>
          <w:color w:val="auto"/>
          <w:spacing w:val="0"/>
          <w:position w:val="0"/>
          <w:sz w:val="24"/>
          <w:highlight w:val="none"/>
          <w:u w:val="single"/>
        </w:rPr>
        <w:t>（项目名称）（项目编号）</w:t>
      </w:r>
      <w:r>
        <w:rPr>
          <w:rFonts w:hint="eastAsia" w:ascii="宋体" w:hAnsi="宋体" w:cs="宋体"/>
          <w:color w:val="auto"/>
          <w:spacing w:val="0"/>
          <w:position w:val="0"/>
          <w:sz w:val="24"/>
          <w:highlight w:val="none"/>
        </w:rPr>
        <w:t>项目的竞标，为便于贵方公正、择优地确定成交供应商及其服务，我方就本次竞标有关事项郑重声明如下：</w:t>
      </w:r>
    </w:p>
    <w:p w14:paraId="4A6F05AA">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1.我方向贵方提交的所有响应文件、资料都是准确的和真实的。</w:t>
      </w:r>
    </w:p>
    <w:p w14:paraId="4C4BD97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w:t>
      </w:r>
      <w:r>
        <w:rPr>
          <w:rFonts w:hint="eastAsia" w:ascii="宋体" w:hAnsi="宋体"/>
          <w:color w:val="auto"/>
          <w:spacing w:val="0"/>
          <w:position w:val="0"/>
          <w:sz w:val="24"/>
          <w:highlight w:val="none"/>
        </w:rPr>
        <w:t>我方不是为本次采购项目提供整体设计、规范编制或者项目管理、监理、检测等服务的供应商</w:t>
      </w:r>
      <w:r>
        <w:rPr>
          <w:rFonts w:hint="eastAsia" w:ascii="宋体" w:hAnsi="宋体" w:cs="宋体"/>
          <w:color w:val="auto"/>
          <w:spacing w:val="0"/>
          <w:position w:val="0"/>
          <w:sz w:val="24"/>
          <w:highlight w:val="none"/>
        </w:rPr>
        <w:t>。</w:t>
      </w:r>
    </w:p>
    <w:p w14:paraId="31B6CA3A">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3.在此，我方宣布同意如下：</w:t>
      </w:r>
    </w:p>
    <w:p w14:paraId="6E2E8DC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（1）将按磋商文件的约定履行合同责任和义务；</w:t>
      </w:r>
    </w:p>
    <w:p w14:paraId="1C648883">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（2）已详细审查全部磋商文件，包括澄清或者更正公告（如有）；</w:t>
      </w:r>
    </w:p>
    <w:p w14:paraId="205B7DE3">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（3）同意提供按照贵方可能要求的与磋商有关的一切数据或者资料；</w:t>
      </w:r>
    </w:p>
    <w:p w14:paraId="7BE741B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（4）响应磋商文件规定的竞标有效期。</w:t>
      </w:r>
    </w:p>
    <w:p w14:paraId="095E7B5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4.我方承诺符合《中华人民共和国政府采购法》第二十二条规定：</w:t>
      </w:r>
    </w:p>
    <w:p w14:paraId="285E97B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（1）具有独立承担民事责任的能力；</w:t>
      </w:r>
    </w:p>
    <w:p w14:paraId="0590B1CB">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（2）具有良好的商业信誉和健全的财务会计制度；</w:t>
      </w:r>
    </w:p>
    <w:p w14:paraId="1E4E29E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（3）具有履行合同所必需的设备和专业技术能力；</w:t>
      </w:r>
    </w:p>
    <w:p w14:paraId="07EBD70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（4）有依法缴纳税收和社会保障资金的良好记录；</w:t>
      </w:r>
    </w:p>
    <w:p w14:paraId="77E9626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（5）参加政府采购活动前三年内，在经营活动中没有重大违法记录；</w:t>
      </w:r>
    </w:p>
    <w:p w14:paraId="742530C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（6）法律、行政法规规定的其他条件。</w:t>
      </w:r>
    </w:p>
    <w:p w14:paraId="70DC61C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4CBB0C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B7DA7A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内容中</w:t>
      </w:r>
      <w:r>
        <w:rPr>
          <w:rFonts w:hint="eastAsia" w:ascii="宋体" w:hAnsi="宋体" w:cs="宋体"/>
          <w:color w:val="auto"/>
          <w:spacing w:val="0"/>
          <w:position w:val="0"/>
          <w:sz w:val="24"/>
          <w:highlight w:val="none"/>
        </w:rPr>
        <w:t>未</w:t>
      </w:r>
      <w:r>
        <w:rPr>
          <w:rFonts w:hint="eastAsia" w:ascii="宋体" w:hAnsi="宋体" w:cs="宋体"/>
          <w:color w:val="auto"/>
          <w:spacing w:val="0"/>
          <w:kern w:val="0"/>
          <w:position w:val="0"/>
          <w:sz w:val="24"/>
          <w:highlight w:val="none"/>
        </w:rPr>
        <w:t>涉及商业秘密；</w:t>
      </w:r>
    </w:p>
    <w:p w14:paraId="32E14BE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涉及商业秘密的内容有：</w:t>
      </w:r>
      <w:r>
        <w:rPr>
          <w:rFonts w:hint="eastAsia" w:ascii="宋体" w:hAnsi="宋体" w:cs="宋体"/>
          <w:color w:val="auto"/>
          <w:spacing w:val="0"/>
          <w:kern w:val="0"/>
          <w:position w:val="0"/>
          <w:sz w:val="24"/>
          <w:highlight w:val="none"/>
          <w:u w:val="single"/>
        </w:rPr>
        <w:t xml:space="preserve">                         </w:t>
      </w:r>
      <w:r>
        <w:rPr>
          <w:rFonts w:hint="eastAsia" w:ascii="宋体" w:hAnsi="宋体" w:cs="宋体"/>
          <w:color w:val="auto"/>
          <w:spacing w:val="0"/>
          <w:kern w:val="0"/>
          <w:position w:val="0"/>
          <w:sz w:val="24"/>
          <w:highlight w:val="none"/>
        </w:rPr>
        <w:t>；</w:t>
      </w:r>
    </w:p>
    <w:p w14:paraId="25C2A37B">
      <w:pPr>
        <w:pStyle w:val="13"/>
        <w:spacing w:line="360" w:lineRule="auto"/>
        <w:ind w:firstLine="480" w:firstLineChars="200"/>
        <w:contextualSpacing/>
        <w:rPr>
          <w:rFonts w:hint="eastAsia" w:hAnsi="宋体" w:cs="宋体"/>
          <w:color w:val="auto"/>
          <w:spacing w:val="0"/>
          <w:position w:val="0"/>
          <w:sz w:val="24"/>
          <w:szCs w:val="24"/>
          <w:highlight w:val="none"/>
          <w:u w:val="single"/>
        </w:rPr>
      </w:pPr>
      <w:r>
        <w:rPr>
          <w:rFonts w:hint="eastAsia" w:hAnsi="宋体" w:cs="宋体"/>
          <w:color w:val="auto"/>
          <w:spacing w:val="0"/>
          <w:position w:val="0"/>
          <w:sz w:val="24"/>
          <w:szCs w:val="24"/>
          <w:highlight w:val="none"/>
        </w:rPr>
        <w:t>7.与本磋商有关的一切正式往来信函请寄：</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邮政编号：</w:t>
      </w:r>
      <w:r>
        <w:rPr>
          <w:rFonts w:hint="eastAsia" w:hAnsi="宋体" w:cs="宋体"/>
          <w:color w:val="auto"/>
          <w:spacing w:val="0"/>
          <w:position w:val="0"/>
          <w:sz w:val="24"/>
          <w:szCs w:val="24"/>
          <w:highlight w:val="none"/>
          <w:u w:val="single"/>
        </w:rPr>
        <w:t xml:space="preserve">        </w:t>
      </w:r>
    </w:p>
    <w:p w14:paraId="152EEF8D">
      <w:pPr>
        <w:pStyle w:val="13"/>
        <w:spacing w:line="360" w:lineRule="auto"/>
        <w:ind w:firstLine="480" w:firstLineChars="200"/>
        <w:contextualSpacing/>
        <w:rPr>
          <w:rFonts w:hint="eastAsia" w:hAnsi="宋体" w:cs="宋体"/>
          <w:color w:val="auto"/>
          <w:spacing w:val="0"/>
          <w:position w:val="0"/>
          <w:sz w:val="24"/>
          <w:szCs w:val="24"/>
          <w:highlight w:val="none"/>
        </w:rPr>
      </w:pPr>
      <w:r>
        <w:rPr>
          <w:rFonts w:hint="eastAsia" w:hAnsi="宋体" w:cs="宋体"/>
          <w:color w:val="auto"/>
          <w:spacing w:val="0"/>
          <w:position w:val="0"/>
          <w:sz w:val="24"/>
          <w:szCs w:val="24"/>
          <w:highlight w:val="none"/>
        </w:rPr>
        <w:t>电话/传真：</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电子邮箱：</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w:t>
      </w:r>
    </w:p>
    <w:p w14:paraId="09FC4C28">
      <w:pPr>
        <w:pStyle w:val="12"/>
        <w:tabs>
          <w:tab w:val="left" w:pos="939"/>
        </w:tabs>
        <w:spacing w:line="360" w:lineRule="auto"/>
        <w:ind w:left="141" w:leftChars="67" w:firstLine="360" w:firstLineChars="150"/>
        <w:rPr>
          <w:rFonts w:hint="eastAsia"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帐号：</w:t>
      </w:r>
      <w:r>
        <w:rPr>
          <w:rFonts w:hint="eastAsia" w:ascii="宋体" w:hAnsi="宋体" w:cs="宋体"/>
          <w:color w:val="auto"/>
          <w:spacing w:val="0"/>
          <w:position w:val="0"/>
          <w:sz w:val="24"/>
          <w:highlight w:val="none"/>
          <w:u w:val="single"/>
        </w:rPr>
        <w:t xml:space="preserve">                             </w:t>
      </w:r>
    </w:p>
    <w:p w14:paraId="15D6FB6F">
      <w:pPr>
        <w:pStyle w:val="12"/>
        <w:tabs>
          <w:tab w:val="left" w:pos="939"/>
        </w:tabs>
        <w:spacing w:line="360" w:lineRule="auto"/>
        <w:ind w:left="141" w:leftChars="67" w:firstLine="360" w:firstLineChars="150"/>
        <w:rPr>
          <w:rFonts w:hint="eastAsia" w:ascii="宋体" w:hAnsi="宋体" w:cs="宋体"/>
          <w:color w:val="auto"/>
          <w:spacing w:val="0"/>
          <w:position w:val="0"/>
          <w:sz w:val="24"/>
          <w:highlight w:val="none"/>
          <w:u w:val="none"/>
        </w:rPr>
      </w:pPr>
      <w:r>
        <w:rPr>
          <w:rFonts w:hint="eastAsia" w:ascii="宋体" w:hAnsi="宋体" w:cs="宋体"/>
          <w:color w:val="auto"/>
          <w:spacing w:val="0"/>
          <w:position w:val="0"/>
          <w:sz w:val="24"/>
          <w:highlight w:val="none"/>
          <w:u w:val="none"/>
          <w:lang w:eastAsia="zh-CN"/>
        </w:rPr>
        <w:t>手机号码：</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none"/>
        </w:rPr>
        <w:t xml:space="preserve">  </w:t>
      </w:r>
    </w:p>
    <w:p w14:paraId="6B7F1541">
      <w:pPr>
        <w:pStyle w:val="12"/>
        <w:tabs>
          <w:tab w:val="left" w:pos="939"/>
        </w:tabs>
        <w:spacing w:line="360" w:lineRule="auto"/>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8.以上事项如有虚假或者隐瞒，我方愿意承担一切后果，并不再寻求任何旨在减轻或者免除法律责任的辩解。</w:t>
      </w:r>
    </w:p>
    <w:p w14:paraId="089C2EDA">
      <w:pPr>
        <w:pStyle w:val="12"/>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特此承诺。</w:t>
      </w:r>
    </w:p>
    <w:p w14:paraId="1BDCDF78">
      <w:pPr>
        <w:spacing w:line="360" w:lineRule="auto"/>
        <w:ind w:firstLine="482" w:firstLineChars="200"/>
        <w:contextualSpacing/>
        <w:jc w:val="left"/>
        <w:rPr>
          <w:rFonts w:hint="eastAsia" w:ascii="宋体" w:hAnsi="宋体"/>
          <w:b/>
          <w:color w:val="auto"/>
          <w:spacing w:val="0"/>
          <w:position w:val="0"/>
          <w:sz w:val="24"/>
          <w:highlight w:val="none"/>
        </w:rPr>
      </w:pPr>
      <w:r>
        <w:rPr>
          <w:rFonts w:hint="eastAsia" w:ascii="宋体" w:hAnsi="宋体" w:cs="宋体"/>
          <w:b/>
          <w:color w:val="auto"/>
          <w:spacing w:val="0"/>
          <w:position w:val="0"/>
          <w:sz w:val="24"/>
          <w:highlight w:val="none"/>
        </w:rPr>
        <w:t>注：</w:t>
      </w:r>
      <w:r>
        <w:rPr>
          <w:rFonts w:hint="eastAsia" w:ascii="宋体" w:hAnsi="宋体"/>
          <w:b/>
          <w:color w:val="auto"/>
          <w:spacing w:val="0"/>
          <w:position w:val="0"/>
          <w:sz w:val="24"/>
          <w:highlight w:val="none"/>
        </w:rPr>
        <w:t>如为联合体竞标，盖章处须加盖联合体牵头人电子签章并由联合体牵头人法定代表人分别签字或者盖章或者电子签名，否则响应文件按无效处理。</w:t>
      </w:r>
    </w:p>
    <w:p w14:paraId="5C592231">
      <w:pPr>
        <w:spacing w:line="360" w:lineRule="auto"/>
        <w:contextualSpacing/>
        <w:jc w:val="left"/>
        <w:rPr>
          <w:rFonts w:hint="eastAsia" w:ascii="宋体" w:hAnsi="宋体" w:cs="宋体"/>
          <w:color w:val="auto"/>
          <w:spacing w:val="0"/>
          <w:position w:val="0"/>
          <w:szCs w:val="21"/>
          <w:highlight w:val="none"/>
        </w:rPr>
      </w:pPr>
    </w:p>
    <w:p w14:paraId="0F9845E4">
      <w:pPr>
        <w:spacing w:line="360" w:lineRule="auto"/>
        <w:ind w:firstLine="1800" w:firstLineChars="750"/>
        <w:contextualSpacing/>
        <w:rPr>
          <w:rFonts w:hint="eastAsia"/>
          <w:color w:val="auto"/>
          <w:spacing w:val="0"/>
          <w:position w:val="0"/>
          <w:sz w:val="24"/>
          <w:szCs w:val="24"/>
          <w:highlight w:val="none"/>
        </w:rPr>
      </w:pPr>
      <w:r>
        <w:rPr>
          <w:rFonts w:hint="eastAsia" w:ascii="宋体" w:hAnsi="宋体" w:eastAsia="宋体" w:cs="Times New Roman"/>
          <w:color w:val="auto"/>
          <w:spacing w:val="0"/>
          <w:position w:val="0"/>
          <w:sz w:val="24"/>
          <w:szCs w:val="24"/>
          <w:highlight w:val="none"/>
        </w:rPr>
        <w:t>法定代表人（签字或者盖章</w:t>
      </w:r>
      <w:r>
        <w:rPr>
          <w:rFonts w:hint="eastAsia" w:ascii="宋体" w:hAnsi="宋体"/>
          <w:color w:val="auto"/>
          <w:spacing w:val="0"/>
          <w:position w:val="0"/>
          <w:sz w:val="24"/>
          <w:szCs w:val="24"/>
          <w:highlight w:val="none"/>
        </w:rPr>
        <w:t>或者电子签名</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u w:val="single"/>
          <w:lang w:val="en-US" w:eastAsia="zh-CN"/>
        </w:rPr>
        <w:t xml:space="preserve">      </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p>
    <w:p w14:paraId="73B3BD45">
      <w:pPr>
        <w:spacing w:line="360" w:lineRule="auto"/>
        <w:ind w:firstLine="4320" w:firstLineChars="1800"/>
        <w:contextualSpacing/>
        <w:rPr>
          <w:rFonts w:hint="eastAsia" w:ascii="宋体" w:hAnsi="宋体" w:cs="宋体"/>
          <w:color w:val="auto"/>
          <w:spacing w:val="0"/>
          <w:position w:val="0"/>
          <w:sz w:val="24"/>
          <w:szCs w:val="24"/>
          <w:highlight w:val="none"/>
          <w:u w:val="single"/>
        </w:rPr>
      </w:pPr>
      <w:r>
        <w:rPr>
          <w:rFonts w:hint="eastAsia" w:ascii="宋体" w:hAnsi="宋体" w:eastAsia="宋体" w:cs="Times New Roman"/>
          <w:color w:val="auto"/>
          <w:spacing w:val="0"/>
          <w:position w:val="0"/>
          <w:sz w:val="24"/>
          <w:szCs w:val="24"/>
          <w:highlight w:val="none"/>
        </w:rPr>
        <w:t>供应商（电子签章）</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 xml:space="preserve">    </w:t>
      </w:r>
    </w:p>
    <w:p w14:paraId="533594A3">
      <w:pPr>
        <w:pStyle w:val="12"/>
        <w:tabs>
          <w:tab w:val="left" w:pos="939"/>
        </w:tabs>
        <w:spacing w:line="360" w:lineRule="auto"/>
        <w:ind w:left="0" w:leftChars="0" w:firstLine="480" w:firstLineChars="200"/>
        <w:rPr>
          <w:rFonts w:hint="eastAsia"/>
          <w:color w:val="auto"/>
          <w:spacing w:val="0"/>
          <w:position w:val="0"/>
          <w:sz w:val="24"/>
          <w:szCs w:val="24"/>
          <w:highlight w:val="none"/>
        </w:rPr>
      </w:pPr>
      <w:r>
        <w:rPr>
          <w:rFonts w:hint="eastAsia" w:ascii="宋体" w:hAnsi="宋体" w:cs="宋体"/>
          <w:color w:val="auto"/>
          <w:spacing w:val="0"/>
          <w:position w:val="0"/>
          <w:sz w:val="24"/>
          <w:szCs w:val="24"/>
          <w:highlight w:val="none"/>
        </w:rPr>
        <w:t xml:space="preserve">                                                        </w:t>
      </w:r>
      <w:r>
        <w:rPr>
          <w:rFonts w:hint="eastAsia"/>
          <w:color w:val="auto"/>
          <w:spacing w:val="0"/>
          <w:position w:val="0"/>
          <w:sz w:val="24"/>
          <w:szCs w:val="24"/>
          <w:highlight w:val="none"/>
        </w:rPr>
        <w:t xml:space="preserve"> 年    月    日</w:t>
      </w:r>
    </w:p>
    <w:p w14:paraId="49EA2AA6">
      <w:pPr>
        <w:spacing w:line="320" w:lineRule="exact"/>
        <w:jc w:val="left"/>
        <w:rPr>
          <w:rFonts w:hint="eastAsia" w:ascii="宋体" w:hAnsi="宋体"/>
          <w:color w:val="auto"/>
          <w:spacing w:val="0"/>
          <w:position w:val="0"/>
          <w:szCs w:val="21"/>
          <w:highlight w:val="none"/>
        </w:rPr>
      </w:pPr>
    </w:p>
    <w:p w14:paraId="509CA9E1">
      <w:pPr>
        <w:spacing w:line="320" w:lineRule="exact"/>
        <w:jc w:val="center"/>
        <w:rPr>
          <w:rFonts w:hint="eastAsia" w:ascii="宋体" w:hAnsi="宋体"/>
          <w:b/>
          <w:color w:val="auto"/>
          <w:spacing w:val="0"/>
          <w:position w:val="0"/>
          <w:sz w:val="32"/>
          <w:szCs w:val="32"/>
          <w:highlight w:val="none"/>
        </w:rPr>
      </w:pPr>
    </w:p>
    <w:p w14:paraId="096748A7">
      <w:pPr>
        <w:spacing w:line="320" w:lineRule="exact"/>
        <w:jc w:val="center"/>
        <w:rPr>
          <w:rFonts w:hint="eastAsia" w:ascii="宋体" w:hAnsi="宋体"/>
          <w:b/>
          <w:color w:val="auto"/>
          <w:spacing w:val="0"/>
          <w:position w:val="0"/>
          <w:sz w:val="32"/>
          <w:szCs w:val="32"/>
          <w:highlight w:val="none"/>
        </w:rPr>
      </w:pPr>
    </w:p>
    <w:p w14:paraId="70345927">
      <w:pPr>
        <w:spacing w:line="320" w:lineRule="exact"/>
        <w:jc w:val="center"/>
        <w:rPr>
          <w:rFonts w:hint="eastAsia" w:ascii="宋体" w:hAnsi="宋体"/>
          <w:b/>
          <w:color w:val="auto"/>
          <w:spacing w:val="0"/>
          <w:position w:val="0"/>
          <w:sz w:val="32"/>
          <w:szCs w:val="32"/>
          <w:highlight w:val="none"/>
        </w:rPr>
      </w:pPr>
    </w:p>
    <w:p w14:paraId="1F43F84D">
      <w:pPr>
        <w:spacing w:line="320" w:lineRule="exact"/>
        <w:jc w:val="center"/>
        <w:rPr>
          <w:rFonts w:hint="eastAsia" w:ascii="宋体" w:hAnsi="宋体"/>
          <w:b/>
          <w:color w:val="auto"/>
          <w:spacing w:val="0"/>
          <w:position w:val="0"/>
          <w:sz w:val="32"/>
          <w:szCs w:val="32"/>
          <w:highlight w:val="none"/>
        </w:rPr>
      </w:pPr>
    </w:p>
    <w:p w14:paraId="5FC644F7">
      <w:pPr>
        <w:spacing w:line="320" w:lineRule="exact"/>
        <w:jc w:val="center"/>
        <w:rPr>
          <w:rFonts w:hint="eastAsia" w:ascii="宋体" w:hAnsi="宋体"/>
          <w:b/>
          <w:color w:val="auto"/>
          <w:spacing w:val="0"/>
          <w:position w:val="0"/>
          <w:sz w:val="32"/>
          <w:szCs w:val="32"/>
          <w:highlight w:val="none"/>
        </w:rPr>
      </w:pPr>
    </w:p>
    <w:p w14:paraId="232F13B1">
      <w:pPr>
        <w:spacing w:line="320" w:lineRule="exact"/>
        <w:jc w:val="center"/>
        <w:rPr>
          <w:rFonts w:hint="eastAsia" w:ascii="宋体" w:hAnsi="宋体"/>
          <w:b/>
          <w:color w:val="auto"/>
          <w:spacing w:val="0"/>
          <w:position w:val="0"/>
          <w:sz w:val="32"/>
          <w:szCs w:val="32"/>
          <w:highlight w:val="none"/>
        </w:rPr>
      </w:pPr>
    </w:p>
    <w:p w14:paraId="4775ACEF">
      <w:pPr>
        <w:spacing w:line="320" w:lineRule="exact"/>
        <w:jc w:val="center"/>
        <w:rPr>
          <w:rFonts w:hint="eastAsia" w:ascii="宋体" w:hAnsi="宋体"/>
          <w:b/>
          <w:color w:val="auto"/>
          <w:spacing w:val="0"/>
          <w:position w:val="0"/>
          <w:sz w:val="32"/>
          <w:szCs w:val="32"/>
          <w:highlight w:val="none"/>
        </w:rPr>
      </w:pPr>
    </w:p>
    <w:p w14:paraId="40936E65">
      <w:pPr>
        <w:spacing w:line="320" w:lineRule="exact"/>
        <w:jc w:val="center"/>
        <w:rPr>
          <w:rFonts w:hint="eastAsia" w:ascii="宋体" w:hAnsi="宋体"/>
          <w:b/>
          <w:color w:val="auto"/>
          <w:spacing w:val="0"/>
          <w:position w:val="0"/>
          <w:sz w:val="32"/>
          <w:szCs w:val="32"/>
          <w:highlight w:val="none"/>
        </w:rPr>
      </w:pPr>
    </w:p>
    <w:p w14:paraId="65A47A0D">
      <w:pPr>
        <w:spacing w:line="320" w:lineRule="exact"/>
        <w:jc w:val="center"/>
        <w:rPr>
          <w:rFonts w:hint="eastAsia" w:ascii="宋体" w:hAnsi="宋体"/>
          <w:b/>
          <w:color w:val="auto"/>
          <w:spacing w:val="0"/>
          <w:position w:val="0"/>
          <w:sz w:val="32"/>
          <w:szCs w:val="32"/>
          <w:highlight w:val="none"/>
        </w:rPr>
      </w:pPr>
    </w:p>
    <w:p w14:paraId="5811E340">
      <w:pPr>
        <w:spacing w:line="320" w:lineRule="exact"/>
        <w:jc w:val="center"/>
        <w:rPr>
          <w:rFonts w:hint="eastAsia" w:ascii="宋体" w:hAnsi="宋体"/>
          <w:b/>
          <w:color w:val="auto"/>
          <w:spacing w:val="0"/>
          <w:position w:val="0"/>
          <w:sz w:val="32"/>
          <w:szCs w:val="32"/>
          <w:highlight w:val="none"/>
        </w:rPr>
      </w:pPr>
    </w:p>
    <w:p w14:paraId="1C187CE6">
      <w:pPr>
        <w:spacing w:line="320" w:lineRule="exact"/>
        <w:jc w:val="center"/>
        <w:rPr>
          <w:rFonts w:hint="eastAsia" w:ascii="宋体" w:hAnsi="宋体"/>
          <w:b/>
          <w:color w:val="auto"/>
          <w:spacing w:val="0"/>
          <w:position w:val="0"/>
          <w:sz w:val="32"/>
          <w:szCs w:val="32"/>
          <w:highlight w:val="none"/>
        </w:rPr>
      </w:pPr>
    </w:p>
    <w:p w14:paraId="07166E0E">
      <w:pPr>
        <w:spacing w:line="320" w:lineRule="exact"/>
        <w:jc w:val="center"/>
        <w:rPr>
          <w:rFonts w:hint="eastAsia" w:ascii="宋体" w:hAnsi="宋体"/>
          <w:b/>
          <w:color w:val="auto"/>
          <w:spacing w:val="0"/>
          <w:position w:val="0"/>
          <w:sz w:val="32"/>
          <w:szCs w:val="32"/>
          <w:highlight w:val="none"/>
        </w:rPr>
      </w:pPr>
    </w:p>
    <w:p w14:paraId="1E377BE8">
      <w:pPr>
        <w:spacing w:line="320" w:lineRule="exact"/>
        <w:jc w:val="center"/>
        <w:rPr>
          <w:rFonts w:hint="eastAsia" w:ascii="宋体" w:hAnsi="宋体"/>
          <w:b/>
          <w:color w:val="auto"/>
          <w:spacing w:val="0"/>
          <w:position w:val="0"/>
          <w:sz w:val="32"/>
          <w:szCs w:val="32"/>
          <w:highlight w:val="none"/>
        </w:rPr>
      </w:pPr>
    </w:p>
    <w:p w14:paraId="00CB6F30">
      <w:pPr>
        <w:spacing w:line="320" w:lineRule="exact"/>
        <w:jc w:val="center"/>
        <w:rPr>
          <w:rFonts w:hint="eastAsia" w:ascii="宋体" w:hAnsi="宋体"/>
          <w:b/>
          <w:color w:val="auto"/>
          <w:spacing w:val="0"/>
          <w:position w:val="0"/>
          <w:sz w:val="32"/>
          <w:szCs w:val="32"/>
          <w:highlight w:val="none"/>
        </w:rPr>
      </w:pPr>
    </w:p>
    <w:p w14:paraId="5F67C4BE">
      <w:pPr>
        <w:spacing w:line="320" w:lineRule="exact"/>
        <w:jc w:val="center"/>
        <w:rPr>
          <w:rFonts w:hint="eastAsia" w:ascii="宋体" w:hAnsi="宋体"/>
          <w:b/>
          <w:color w:val="auto"/>
          <w:spacing w:val="0"/>
          <w:position w:val="0"/>
          <w:sz w:val="32"/>
          <w:szCs w:val="32"/>
          <w:highlight w:val="none"/>
        </w:rPr>
      </w:pPr>
    </w:p>
    <w:p w14:paraId="088B3672">
      <w:pPr>
        <w:spacing w:line="320" w:lineRule="exact"/>
        <w:jc w:val="center"/>
        <w:rPr>
          <w:rFonts w:hint="eastAsia" w:ascii="宋体" w:hAnsi="宋体"/>
          <w:b/>
          <w:color w:val="auto"/>
          <w:spacing w:val="0"/>
          <w:position w:val="0"/>
          <w:sz w:val="32"/>
          <w:szCs w:val="32"/>
          <w:highlight w:val="none"/>
        </w:rPr>
      </w:pPr>
    </w:p>
    <w:p w14:paraId="75D2F723">
      <w:pPr>
        <w:spacing w:line="320" w:lineRule="exact"/>
        <w:jc w:val="center"/>
        <w:rPr>
          <w:rFonts w:hint="eastAsia" w:ascii="宋体" w:hAnsi="宋体"/>
          <w:b/>
          <w:color w:val="auto"/>
          <w:spacing w:val="0"/>
          <w:position w:val="0"/>
          <w:sz w:val="32"/>
          <w:szCs w:val="32"/>
          <w:highlight w:val="none"/>
        </w:rPr>
      </w:pPr>
    </w:p>
    <w:p w14:paraId="74AAE3CF">
      <w:pPr>
        <w:spacing w:line="320" w:lineRule="exact"/>
        <w:jc w:val="center"/>
        <w:rPr>
          <w:rFonts w:hint="eastAsia" w:ascii="宋体" w:hAnsi="宋体"/>
          <w:b/>
          <w:color w:val="auto"/>
          <w:spacing w:val="0"/>
          <w:position w:val="0"/>
          <w:sz w:val="32"/>
          <w:szCs w:val="32"/>
          <w:highlight w:val="none"/>
        </w:rPr>
      </w:pPr>
    </w:p>
    <w:p w14:paraId="513B0424">
      <w:pPr>
        <w:spacing w:line="320" w:lineRule="exact"/>
        <w:jc w:val="center"/>
        <w:rPr>
          <w:rFonts w:hint="eastAsia" w:ascii="宋体" w:hAnsi="宋体"/>
          <w:b/>
          <w:color w:val="auto"/>
          <w:spacing w:val="0"/>
          <w:position w:val="0"/>
          <w:sz w:val="32"/>
          <w:szCs w:val="32"/>
          <w:highlight w:val="none"/>
        </w:rPr>
      </w:pPr>
    </w:p>
    <w:p w14:paraId="37AE3098">
      <w:pPr>
        <w:spacing w:line="320" w:lineRule="exact"/>
        <w:jc w:val="center"/>
        <w:rPr>
          <w:rFonts w:hint="eastAsia" w:ascii="宋体" w:hAnsi="宋体"/>
          <w:b/>
          <w:color w:val="auto"/>
          <w:spacing w:val="0"/>
          <w:position w:val="0"/>
          <w:sz w:val="32"/>
          <w:szCs w:val="32"/>
          <w:highlight w:val="none"/>
        </w:rPr>
      </w:pPr>
    </w:p>
    <w:p w14:paraId="2E5EAE59">
      <w:pPr>
        <w:spacing w:line="320" w:lineRule="exact"/>
        <w:jc w:val="center"/>
        <w:rPr>
          <w:rFonts w:hint="eastAsia" w:ascii="宋体" w:hAnsi="宋体"/>
          <w:b/>
          <w:color w:val="auto"/>
          <w:spacing w:val="0"/>
          <w:position w:val="0"/>
          <w:sz w:val="32"/>
          <w:szCs w:val="32"/>
          <w:highlight w:val="none"/>
        </w:rPr>
      </w:pPr>
    </w:p>
    <w:p w14:paraId="7DF6E2BE">
      <w:pPr>
        <w:spacing w:line="320" w:lineRule="exact"/>
        <w:jc w:val="center"/>
        <w:rPr>
          <w:rFonts w:hint="eastAsia" w:ascii="宋体" w:hAnsi="宋体"/>
          <w:b/>
          <w:color w:val="auto"/>
          <w:spacing w:val="0"/>
          <w:position w:val="0"/>
          <w:sz w:val="32"/>
          <w:szCs w:val="32"/>
          <w:highlight w:val="none"/>
        </w:rPr>
      </w:pPr>
    </w:p>
    <w:p w14:paraId="28EE83D2">
      <w:pPr>
        <w:spacing w:line="320" w:lineRule="exact"/>
        <w:jc w:val="center"/>
        <w:rPr>
          <w:rFonts w:hint="eastAsia" w:ascii="宋体" w:hAnsi="宋体"/>
          <w:b/>
          <w:color w:val="auto"/>
          <w:spacing w:val="0"/>
          <w:position w:val="0"/>
          <w:sz w:val="32"/>
          <w:szCs w:val="32"/>
          <w:highlight w:val="none"/>
        </w:rPr>
      </w:pPr>
    </w:p>
    <w:p w14:paraId="14D04CC0">
      <w:pPr>
        <w:spacing w:line="320" w:lineRule="exact"/>
        <w:jc w:val="center"/>
        <w:rPr>
          <w:rFonts w:hint="eastAsia" w:ascii="宋体" w:hAnsi="宋体"/>
          <w:b/>
          <w:color w:val="auto"/>
          <w:spacing w:val="0"/>
          <w:position w:val="0"/>
          <w:sz w:val="32"/>
          <w:szCs w:val="32"/>
          <w:highlight w:val="none"/>
        </w:rPr>
      </w:pPr>
    </w:p>
    <w:p w14:paraId="5A7573A8">
      <w:pPr>
        <w:spacing w:line="320" w:lineRule="exact"/>
        <w:jc w:val="center"/>
        <w:rPr>
          <w:rFonts w:hint="eastAsia" w:ascii="宋体" w:hAnsi="宋体"/>
          <w:b/>
          <w:color w:val="auto"/>
          <w:spacing w:val="0"/>
          <w:position w:val="0"/>
          <w:sz w:val="32"/>
          <w:szCs w:val="32"/>
          <w:highlight w:val="none"/>
        </w:rPr>
      </w:pPr>
    </w:p>
    <w:p w14:paraId="3BE0AB27">
      <w:pPr>
        <w:spacing w:line="320" w:lineRule="exact"/>
        <w:jc w:val="center"/>
        <w:rPr>
          <w:rFonts w:hint="eastAsia" w:ascii="宋体" w:hAnsi="宋体" w:eastAsia="宋体"/>
          <w:b/>
          <w:color w:val="auto"/>
          <w:spacing w:val="0"/>
          <w:position w:val="0"/>
          <w:sz w:val="32"/>
          <w:szCs w:val="32"/>
          <w:highlight w:val="none"/>
          <w:lang w:eastAsia="zh-CN"/>
        </w:rPr>
      </w:pPr>
      <w:r>
        <w:rPr>
          <w:rFonts w:hint="eastAsia" w:ascii="宋体" w:hAnsi="宋体"/>
          <w:b/>
          <w:color w:val="auto"/>
          <w:spacing w:val="0"/>
          <w:position w:val="0"/>
          <w:sz w:val="32"/>
          <w:szCs w:val="32"/>
          <w:highlight w:val="none"/>
        </w:rPr>
        <w:t>供应商直接控股、管理关系信息表</w:t>
      </w:r>
      <w:r>
        <w:rPr>
          <w:rFonts w:hint="eastAsia" w:ascii="宋体" w:hAnsi="宋体"/>
          <w:b/>
          <w:color w:val="auto"/>
          <w:spacing w:val="0"/>
          <w:position w:val="0"/>
          <w:sz w:val="32"/>
          <w:szCs w:val="32"/>
          <w:highlight w:val="none"/>
          <w:lang w:eastAsia="zh-CN"/>
        </w:rPr>
        <w:t>（格式）</w:t>
      </w:r>
    </w:p>
    <w:p w14:paraId="60651CAB">
      <w:pPr>
        <w:spacing w:line="360" w:lineRule="auto"/>
        <w:contextualSpacing/>
        <w:jc w:val="center"/>
        <w:rPr>
          <w:rFonts w:hint="eastAsia" w:ascii="宋体" w:hAnsi="宋体"/>
          <w:b/>
          <w:color w:val="auto"/>
          <w:spacing w:val="0"/>
          <w:position w:val="0"/>
          <w:sz w:val="32"/>
          <w:szCs w:val="32"/>
          <w:highlight w:val="none"/>
        </w:rPr>
      </w:pPr>
    </w:p>
    <w:p w14:paraId="779F702C">
      <w:pPr>
        <w:spacing w:line="360" w:lineRule="auto"/>
        <w:contextualSpacing/>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供应商直接控股股东信息表</w:t>
      </w:r>
      <w:r>
        <w:rPr>
          <w:rFonts w:hint="eastAsia" w:ascii="宋体" w:hAnsi="宋体"/>
          <w:b/>
          <w:color w:val="auto"/>
          <w:spacing w:val="0"/>
          <w:position w:val="0"/>
          <w:sz w:val="32"/>
          <w:szCs w:val="32"/>
          <w:highlight w:val="none"/>
          <w:lang w:eastAsia="zh-CN"/>
        </w:rPr>
        <w:t>（格式）</w:t>
      </w:r>
    </w:p>
    <w:p w14:paraId="151E956B">
      <w:pPr>
        <w:spacing w:line="360" w:lineRule="auto"/>
        <w:contextualSpacing/>
        <w:jc w:val="center"/>
        <w:rPr>
          <w:rFonts w:hint="eastAsia" w:ascii="宋体" w:hAnsi="宋体"/>
          <w:b/>
          <w:color w:val="auto"/>
          <w:spacing w:val="0"/>
          <w:position w:val="0"/>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9D9A14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DF7542">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E6AA2D">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27824A">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74FF4B">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2DD6E9">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备注</w:t>
            </w:r>
          </w:p>
        </w:tc>
      </w:tr>
      <w:tr w14:paraId="726630F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E2CB68">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6A67EB">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34D7E4">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EDDF32">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AE4024">
            <w:pPr>
              <w:widowControl/>
              <w:spacing w:line="360" w:lineRule="auto"/>
              <w:contextualSpacing/>
              <w:jc w:val="center"/>
              <w:rPr>
                <w:rFonts w:hint="eastAsia" w:ascii="宋体" w:hAnsi="宋体" w:cs="宋体"/>
                <w:color w:val="auto"/>
                <w:spacing w:val="0"/>
                <w:kern w:val="0"/>
                <w:position w:val="0"/>
                <w:sz w:val="24"/>
                <w:highlight w:val="none"/>
              </w:rPr>
            </w:pPr>
          </w:p>
        </w:tc>
      </w:tr>
      <w:tr w14:paraId="0228648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2B1251">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3BC2F5">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38B89B">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A16A86">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72E311">
            <w:pPr>
              <w:widowControl/>
              <w:spacing w:line="360" w:lineRule="auto"/>
              <w:contextualSpacing/>
              <w:jc w:val="center"/>
              <w:rPr>
                <w:rFonts w:hint="eastAsia" w:ascii="宋体" w:hAnsi="宋体" w:cs="宋体"/>
                <w:color w:val="auto"/>
                <w:spacing w:val="0"/>
                <w:kern w:val="0"/>
                <w:position w:val="0"/>
                <w:sz w:val="24"/>
                <w:highlight w:val="none"/>
              </w:rPr>
            </w:pPr>
          </w:p>
        </w:tc>
      </w:tr>
      <w:tr w14:paraId="22AAFC8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BA0F6F">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C67403">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18EE2D">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24CEBE">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5D7766">
            <w:pPr>
              <w:widowControl/>
              <w:spacing w:line="360" w:lineRule="auto"/>
              <w:contextualSpacing/>
              <w:jc w:val="center"/>
              <w:rPr>
                <w:rFonts w:hint="eastAsia" w:ascii="宋体" w:hAnsi="宋体" w:cs="宋体"/>
                <w:color w:val="auto"/>
                <w:spacing w:val="0"/>
                <w:kern w:val="0"/>
                <w:position w:val="0"/>
                <w:sz w:val="24"/>
                <w:highlight w:val="none"/>
              </w:rPr>
            </w:pPr>
          </w:p>
        </w:tc>
      </w:tr>
      <w:tr w14:paraId="4E8FC35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694BC6">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6DC1B9">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0E5523">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DB0835">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2F6331">
            <w:pPr>
              <w:widowControl/>
              <w:spacing w:line="360" w:lineRule="auto"/>
              <w:contextualSpacing/>
              <w:jc w:val="center"/>
              <w:rPr>
                <w:rFonts w:hint="eastAsia" w:ascii="宋体" w:hAnsi="宋体" w:cs="宋体"/>
                <w:color w:val="auto"/>
                <w:spacing w:val="0"/>
                <w:kern w:val="0"/>
                <w:position w:val="0"/>
                <w:sz w:val="24"/>
                <w:highlight w:val="none"/>
              </w:rPr>
            </w:pPr>
          </w:p>
        </w:tc>
      </w:tr>
    </w:tbl>
    <w:p w14:paraId="4740E7F6">
      <w:pPr>
        <w:spacing w:line="360" w:lineRule="auto"/>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注：</w:t>
      </w:r>
    </w:p>
    <w:p w14:paraId="3EF59109">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39148FC">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2.本表所指的控股关系仅限于直接控股关系，不包括间接的控股关系。公司实际控制人与公司之间的关系不属于本表所指的直接控股关系。</w:t>
      </w:r>
    </w:p>
    <w:p w14:paraId="7A535877">
      <w:pPr>
        <w:spacing w:line="360" w:lineRule="auto"/>
        <w:ind w:firstLine="480" w:firstLineChars="200"/>
        <w:contextualSpacing/>
        <w:jc w:val="left"/>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3.供应商不存在直接控股股东的，</w:t>
      </w:r>
      <w:r>
        <w:rPr>
          <w:rFonts w:hint="eastAsia" w:ascii="宋体" w:hAnsi="宋体"/>
          <w:color w:val="auto"/>
          <w:spacing w:val="0"/>
          <w:position w:val="0"/>
          <w:sz w:val="24"/>
          <w:highlight w:val="none"/>
        </w:rPr>
        <w:t>则在“直接控股股东名称”填“无”</w:t>
      </w:r>
      <w:r>
        <w:rPr>
          <w:rFonts w:hint="eastAsia" w:ascii="宋体" w:hAnsi="宋体" w:cs="宋体"/>
          <w:color w:val="auto"/>
          <w:spacing w:val="0"/>
          <w:position w:val="0"/>
          <w:sz w:val="24"/>
          <w:highlight w:val="none"/>
        </w:rPr>
        <w:t>。</w:t>
      </w:r>
    </w:p>
    <w:p w14:paraId="2E117195">
      <w:pPr>
        <w:spacing w:line="360" w:lineRule="auto"/>
        <w:ind w:firstLine="420" w:firstLineChars="200"/>
        <w:contextualSpacing/>
        <w:jc w:val="left"/>
        <w:rPr>
          <w:rFonts w:ascii="宋体" w:hAnsi="宋体" w:cs="宋体"/>
          <w:color w:val="auto"/>
          <w:spacing w:val="0"/>
          <w:position w:val="0"/>
          <w:szCs w:val="21"/>
          <w:highlight w:val="none"/>
        </w:rPr>
      </w:pPr>
    </w:p>
    <w:p w14:paraId="3927C59B">
      <w:pPr>
        <w:spacing w:line="360" w:lineRule="auto"/>
        <w:ind w:firstLine="560" w:firstLineChars="200"/>
        <w:contextualSpacing/>
        <w:jc w:val="left"/>
        <w:rPr>
          <w:rFonts w:hint="eastAsia" w:ascii="宋体" w:hAnsi="宋体" w:cs="宋体"/>
          <w:color w:val="auto"/>
          <w:spacing w:val="0"/>
          <w:position w:val="0"/>
          <w:sz w:val="28"/>
          <w:szCs w:val="28"/>
          <w:highlight w:val="none"/>
        </w:rPr>
      </w:pPr>
    </w:p>
    <w:p w14:paraId="3634EB29">
      <w:pPr>
        <w:spacing w:line="360" w:lineRule="auto"/>
        <w:ind w:right="480"/>
        <w:contextualSpacing/>
        <w:jc w:val="center"/>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highlight w:val="none"/>
        </w:rPr>
        <w:t xml:space="preserve"> </w:t>
      </w:r>
      <w:r>
        <w:rPr>
          <w:rFonts w:ascii="宋体" w:hAnsi="宋体" w:cs="宋体"/>
          <w:color w:val="auto"/>
          <w:spacing w:val="0"/>
          <w:position w:val="0"/>
          <w:sz w:val="24"/>
          <w:highlight w:val="none"/>
        </w:rPr>
        <w:t xml:space="preserve">     </w:t>
      </w:r>
      <w:r>
        <w:rPr>
          <w:rFonts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法定代表人或者委托代理人</w:t>
      </w:r>
      <w:r>
        <w:rPr>
          <w:rFonts w:hint="eastAsia" w:ascii="宋体" w:hAnsi="宋体"/>
          <w:color w:val="auto"/>
          <w:spacing w:val="0"/>
          <w:position w:val="0"/>
          <w:sz w:val="24"/>
          <w:szCs w:val="24"/>
          <w:highlight w:val="none"/>
        </w:rPr>
        <w:t>（签字或者电子签名）</w:t>
      </w:r>
      <w:r>
        <w:rPr>
          <w:rFonts w:hint="eastAsia" w:ascii="宋体" w:hAnsi="宋体" w:cs="宋体"/>
          <w:color w:val="auto"/>
          <w:spacing w:val="0"/>
          <w:position w:val="0"/>
          <w:sz w:val="24"/>
          <w:szCs w:val="24"/>
          <w:highlight w:val="none"/>
        </w:rPr>
        <w:t>：</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u w:val="single"/>
        </w:rPr>
        <w:t xml:space="preserve">                   </w:t>
      </w:r>
    </w:p>
    <w:p w14:paraId="12E05EBA">
      <w:pPr>
        <w:spacing w:line="360" w:lineRule="auto"/>
        <w:ind w:right="480" w:firstLine="3000" w:firstLineChars="1250"/>
        <w:contextualSpacing/>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szCs w:val="24"/>
          <w:highlight w:val="none"/>
        </w:rPr>
        <w:t>供应商</w:t>
      </w:r>
      <w:r>
        <w:rPr>
          <w:rFonts w:hint="eastAsia" w:ascii="宋体" w:hAnsi="宋体"/>
          <w:color w:val="auto"/>
          <w:spacing w:val="0"/>
          <w:position w:val="0"/>
          <w:sz w:val="24"/>
          <w:szCs w:val="24"/>
          <w:highlight w:val="none"/>
        </w:rPr>
        <w:t>（电子签章）</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p>
    <w:p w14:paraId="140A3397">
      <w:pPr>
        <w:spacing w:line="360" w:lineRule="auto"/>
        <w:ind w:firstLine="480" w:firstLineChars="200"/>
        <w:contextualSpacing/>
        <w:jc w:val="center"/>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 xml:space="preserve">                        </w:t>
      </w:r>
      <w:r>
        <w:rPr>
          <w:rFonts w:hint="eastAsia" w:ascii="宋体" w:hAnsi="宋体" w:cs="宋体"/>
          <w:color w:val="auto"/>
          <w:spacing w:val="0"/>
          <w:position w:val="0"/>
          <w:sz w:val="24"/>
          <w:szCs w:val="24"/>
          <w:highlight w:val="none"/>
        </w:rPr>
        <w:t>年    月    日</w:t>
      </w:r>
    </w:p>
    <w:p w14:paraId="5F0A5C7D">
      <w:pPr>
        <w:snapToGrid w:val="0"/>
        <w:jc w:val="center"/>
        <w:rPr>
          <w:rFonts w:hint="eastAsia" w:ascii="宋体" w:hAnsi="宋体"/>
          <w:b/>
          <w:color w:val="auto"/>
          <w:spacing w:val="0"/>
          <w:position w:val="0"/>
          <w:sz w:val="28"/>
          <w:szCs w:val="28"/>
          <w:highlight w:val="none"/>
        </w:rPr>
      </w:pPr>
      <w:r>
        <w:rPr>
          <w:rFonts w:ascii="宋体" w:hAnsi="宋体"/>
          <w:b/>
          <w:color w:val="auto"/>
          <w:spacing w:val="0"/>
          <w:position w:val="0"/>
          <w:sz w:val="28"/>
          <w:szCs w:val="28"/>
          <w:highlight w:val="none"/>
        </w:rPr>
        <w:br w:type="page"/>
      </w:r>
    </w:p>
    <w:p w14:paraId="7D246258">
      <w:pPr>
        <w:spacing w:line="320" w:lineRule="exact"/>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供应商直接管理关系信息表</w:t>
      </w:r>
      <w:r>
        <w:rPr>
          <w:rFonts w:hint="eastAsia" w:ascii="宋体" w:hAnsi="宋体"/>
          <w:b/>
          <w:color w:val="auto"/>
          <w:spacing w:val="0"/>
          <w:position w:val="0"/>
          <w:sz w:val="32"/>
          <w:szCs w:val="32"/>
          <w:highlight w:val="none"/>
          <w:lang w:eastAsia="zh-CN"/>
        </w:rPr>
        <w:t>（格式）</w:t>
      </w:r>
    </w:p>
    <w:p w14:paraId="63E3A74D">
      <w:pPr>
        <w:snapToGrid w:val="0"/>
        <w:spacing w:line="360" w:lineRule="auto"/>
        <w:jc w:val="center"/>
        <w:rPr>
          <w:rFonts w:hint="eastAsia" w:ascii="宋体" w:hAnsi="宋体"/>
          <w:b/>
          <w:color w:val="auto"/>
          <w:spacing w:val="0"/>
          <w:position w:val="0"/>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D4B128D">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22F930">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F7EDFE">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26697E">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60E0D4">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相互关系</w:t>
            </w:r>
          </w:p>
        </w:tc>
      </w:tr>
      <w:tr w14:paraId="518FCBA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A414BB">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06AF18">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DE3A40">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733A2E">
            <w:pPr>
              <w:widowControl/>
              <w:spacing w:line="360" w:lineRule="auto"/>
              <w:contextualSpacing/>
              <w:jc w:val="center"/>
              <w:rPr>
                <w:rFonts w:ascii="宋体" w:hAnsi="宋体" w:cs="宋体"/>
                <w:color w:val="auto"/>
                <w:spacing w:val="0"/>
                <w:kern w:val="0"/>
                <w:position w:val="0"/>
                <w:sz w:val="24"/>
                <w:highlight w:val="none"/>
              </w:rPr>
            </w:pPr>
          </w:p>
        </w:tc>
      </w:tr>
      <w:tr w14:paraId="4305BFD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B888BA">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CED4FB">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7A96F1">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134365">
            <w:pPr>
              <w:widowControl/>
              <w:spacing w:line="360" w:lineRule="auto"/>
              <w:contextualSpacing/>
              <w:jc w:val="center"/>
              <w:rPr>
                <w:rFonts w:ascii="宋体" w:hAnsi="宋体" w:cs="宋体"/>
                <w:color w:val="auto"/>
                <w:spacing w:val="0"/>
                <w:kern w:val="0"/>
                <w:position w:val="0"/>
                <w:sz w:val="24"/>
                <w:highlight w:val="none"/>
              </w:rPr>
            </w:pPr>
          </w:p>
        </w:tc>
      </w:tr>
      <w:tr w14:paraId="12262B7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0D083B">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551398">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714708">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054A3E">
            <w:pPr>
              <w:widowControl/>
              <w:spacing w:line="360" w:lineRule="auto"/>
              <w:contextualSpacing/>
              <w:jc w:val="center"/>
              <w:rPr>
                <w:rFonts w:ascii="宋体" w:hAnsi="宋体" w:cs="宋体"/>
                <w:color w:val="auto"/>
                <w:spacing w:val="0"/>
                <w:kern w:val="0"/>
                <w:position w:val="0"/>
                <w:sz w:val="24"/>
                <w:highlight w:val="none"/>
              </w:rPr>
            </w:pPr>
          </w:p>
        </w:tc>
      </w:tr>
      <w:tr w14:paraId="7D670F4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4FF86D">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22BB60">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DA6F86">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C98E9A">
            <w:pPr>
              <w:widowControl/>
              <w:spacing w:line="360" w:lineRule="auto"/>
              <w:contextualSpacing/>
              <w:jc w:val="center"/>
              <w:rPr>
                <w:rFonts w:ascii="宋体" w:hAnsi="宋体" w:cs="宋体"/>
                <w:color w:val="auto"/>
                <w:spacing w:val="0"/>
                <w:kern w:val="0"/>
                <w:position w:val="0"/>
                <w:sz w:val="24"/>
                <w:highlight w:val="none"/>
              </w:rPr>
            </w:pPr>
          </w:p>
        </w:tc>
      </w:tr>
    </w:tbl>
    <w:p w14:paraId="2636A3F0">
      <w:pPr>
        <w:spacing w:line="360" w:lineRule="auto"/>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注：</w:t>
      </w:r>
    </w:p>
    <w:p w14:paraId="53E3A0C2">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1.管理关系：是指不具有出资持股关系的其他单位之间存在的管理与被管理关系，如一些上下级关系的事业单位和团体组织。</w:t>
      </w:r>
    </w:p>
    <w:p w14:paraId="3519E298">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2.本表所指的管理关系仅限于直接管理关系，不包括间接的管理关系。</w:t>
      </w:r>
    </w:p>
    <w:p w14:paraId="4259DF7B">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3.供应商不存在直接管理关系的，则在“直接管理关系单位名称”填“无”。</w:t>
      </w:r>
    </w:p>
    <w:p w14:paraId="5AF32528">
      <w:pPr>
        <w:spacing w:line="360" w:lineRule="auto"/>
        <w:contextualSpacing/>
        <w:jc w:val="left"/>
        <w:rPr>
          <w:rFonts w:hint="eastAsia" w:ascii="宋体" w:hAnsi="宋体"/>
          <w:color w:val="auto"/>
          <w:spacing w:val="0"/>
          <w:position w:val="0"/>
          <w:sz w:val="28"/>
          <w:szCs w:val="28"/>
          <w:highlight w:val="none"/>
        </w:rPr>
      </w:pPr>
    </w:p>
    <w:p w14:paraId="1A73FBF0">
      <w:pPr>
        <w:spacing w:line="360" w:lineRule="auto"/>
        <w:contextualSpacing/>
        <w:jc w:val="left"/>
        <w:rPr>
          <w:rFonts w:hint="eastAsia" w:ascii="宋体" w:hAnsi="宋体"/>
          <w:color w:val="auto"/>
          <w:spacing w:val="0"/>
          <w:position w:val="0"/>
          <w:sz w:val="28"/>
          <w:szCs w:val="28"/>
          <w:highlight w:val="none"/>
        </w:rPr>
      </w:pPr>
    </w:p>
    <w:p w14:paraId="68D3C518">
      <w:pPr>
        <w:spacing w:line="360" w:lineRule="auto"/>
        <w:contextualSpacing/>
        <w:jc w:val="left"/>
        <w:rPr>
          <w:rFonts w:hint="eastAsia"/>
          <w:color w:val="auto"/>
          <w:spacing w:val="0"/>
          <w:position w:val="0"/>
          <w:sz w:val="28"/>
          <w:szCs w:val="28"/>
          <w:highlight w:val="none"/>
        </w:rPr>
      </w:pPr>
    </w:p>
    <w:p w14:paraId="5D2B3540">
      <w:pPr>
        <w:spacing w:line="360" w:lineRule="auto"/>
        <w:contextualSpacing/>
        <w:jc w:val="left"/>
        <w:rPr>
          <w:rFonts w:hint="eastAsia" w:ascii="宋体" w:hAnsi="宋体"/>
          <w:color w:val="auto"/>
          <w:spacing w:val="0"/>
          <w:position w:val="0"/>
          <w:sz w:val="28"/>
          <w:szCs w:val="28"/>
          <w:highlight w:val="none"/>
        </w:rPr>
      </w:pPr>
    </w:p>
    <w:p w14:paraId="5AE1C7BE">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46F83318">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5743B21C">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3F7C029B">
      <w:pPr>
        <w:pStyle w:val="12"/>
        <w:tabs>
          <w:tab w:val="left" w:pos="939"/>
        </w:tabs>
        <w:spacing w:line="360" w:lineRule="auto"/>
        <w:ind w:left="0" w:leftChars="0" w:firstLine="560" w:firstLineChars="200"/>
        <w:rPr>
          <w:rFonts w:ascii="宋体" w:hAnsi="宋体"/>
          <w:color w:val="auto"/>
          <w:spacing w:val="0"/>
          <w:position w:val="0"/>
          <w:sz w:val="28"/>
          <w:szCs w:val="28"/>
          <w:highlight w:val="none"/>
        </w:rPr>
      </w:pPr>
    </w:p>
    <w:p w14:paraId="4D80D57B">
      <w:pPr>
        <w:pStyle w:val="12"/>
        <w:tabs>
          <w:tab w:val="left" w:pos="939"/>
        </w:tabs>
        <w:spacing w:line="360" w:lineRule="auto"/>
        <w:rPr>
          <w:rFonts w:ascii="宋体" w:hAnsi="宋体"/>
          <w:color w:val="auto"/>
          <w:spacing w:val="0"/>
          <w:position w:val="0"/>
          <w:sz w:val="28"/>
          <w:szCs w:val="28"/>
          <w:highlight w:val="none"/>
        </w:rPr>
      </w:pPr>
    </w:p>
    <w:p w14:paraId="560208FA">
      <w:pPr>
        <w:pStyle w:val="12"/>
        <w:tabs>
          <w:tab w:val="left" w:pos="939"/>
        </w:tabs>
        <w:spacing w:line="360" w:lineRule="auto"/>
        <w:rPr>
          <w:rFonts w:ascii="宋体" w:hAnsi="宋体"/>
          <w:color w:val="auto"/>
          <w:spacing w:val="0"/>
          <w:position w:val="0"/>
          <w:sz w:val="28"/>
          <w:szCs w:val="28"/>
          <w:highlight w:val="none"/>
        </w:rPr>
      </w:pPr>
    </w:p>
    <w:p w14:paraId="422EF017">
      <w:pPr>
        <w:pStyle w:val="12"/>
        <w:tabs>
          <w:tab w:val="left" w:pos="939"/>
        </w:tabs>
        <w:spacing w:line="360" w:lineRule="auto"/>
        <w:rPr>
          <w:rFonts w:ascii="宋体" w:hAnsi="宋体"/>
          <w:color w:val="auto"/>
          <w:spacing w:val="0"/>
          <w:position w:val="0"/>
          <w:sz w:val="28"/>
          <w:szCs w:val="28"/>
          <w:highlight w:val="none"/>
        </w:rPr>
      </w:pPr>
    </w:p>
    <w:p w14:paraId="2DB4DD30">
      <w:pPr>
        <w:pStyle w:val="12"/>
        <w:tabs>
          <w:tab w:val="left" w:pos="939"/>
        </w:tabs>
        <w:spacing w:line="360" w:lineRule="auto"/>
        <w:rPr>
          <w:rFonts w:ascii="宋体" w:hAnsi="宋体"/>
          <w:color w:val="auto"/>
          <w:spacing w:val="0"/>
          <w:position w:val="0"/>
          <w:sz w:val="28"/>
          <w:szCs w:val="28"/>
          <w:highlight w:val="none"/>
        </w:rPr>
      </w:pPr>
    </w:p>
    <w:p w14:paraId="63FE773D">
      <w:pPr>
        <w:pStyle w:val="12"/>
        <w:tabs>
          <w:tab w:val="left" w:pos="939"/>
        </w:tabs>
        <w:spacing w:line="360" w:lineRule="auto"/>
        <w:rPr>
          <w:rFonts w:ascii="宋体" w:hAnsi="宋体"/>
          <w:color w:val="auto"/>
          <w:spacing w:val="0"/>
          <w:position w:val="0"/>
          <w:sz w:val="28"/>
          <w:szCs w:val="28"/>
          <w:highlight w:val="none"/>
        </w:rPr>
      </w:pPr>
    </w:p>
    <w:p w14:paraId="0DFEC8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auto"/>
          <w:spacing w:val="0"/>
          <w:position w:val="0"/>
          <w:sz w:val="32"/>
          <w:szCs w:val="32"/>
          <w:highlight w:val="none"/>
        </w:rPr>
      </w:pPr>
      <w:bookmarkStart w:id="74" w:name="_Toc71365926"/>
      <w:r>
        <w:rPr>
          <w:rFonts w:hint="eastAsia" w:ascii="宋体" w:hAnsi="宋体" w:eastAsia="宋体" w:cs="Times New Roman"/>
          <w:b/>
          <w:color w:val="auto"/>
          <w:spacing w:val="0"/>
          <w:position w:val="0"/>
          <w:sz w:val="32"/>
          <w:szCs w:val="32"/>
          <w:highlight w:val="none"/>
        </w:rPr>
        <w:t>中小企业声明函（工程）</w:t>
      </w:r>
      <w:bookmarkEnd w:id="74"/>
    </w:p>
    <w:p w14:paraId="3B17FFF3">
      <w:pPr>
        <w:pStyle w:val="10"/>
        <w:spacing w:line="500" w:lineRule="exact"/>
        <w:ind w:right="142" w:firstLine="705" w:firstLineChars="294"/>
        <w:rPr>
          <w:rFonts w:ascii="宋体" w:hAnsi="宋体"/>
          <w:color w:val="auto"/>
          <w:spacing w:val="0"/>
          <w:position w:val="0"/>
          <w:sz w:val="24"/>
          <w:highlight w:val="none"/>
        </w:rPr>
      </w:pPr>
    </w:p>
    <w:p w14:paraId="17A372BF">
      <w:pPr>
        <w:pStyle w:val="10"/>
        <w:spacing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本公司（联合体）郑重声明，根据《政府采购促进中小企业发展管理办法》（财库﹝2020﹞46号）的规定，本公司（联合体）参加</w:t>
      </w:r>
      <w:r>
        <w:rPr>
          <w:rFonts w:ascii="宋体" w:hAnsi="宋体"/>
          <w:color w:val="auto"/>
          <w:spacing w:val="0"/>
          <w:position w:val="0"/>
          <w:sz w:val="24"/>
          <w:highlight w:val="none"/>
          <w:u w:val="single"/>
        </w:rPr>
        <w:t>（单位名称）</w:t>
      </w:r>
      <w:r>
        <w:rPr>
          <w:rFonts w:ascii="宋体" w:hAnsi="宋体"/>
          <w:color w:val="auto"/>
          <w:spacing w:val="0"/>
          <w:position w:val="0"/>
          <w:sz w:val="24"/>
          <w:highlight w:val="none"/>
        </w:rPr>
        <w:t>的</w:t>
      </w:r>
      <w:r>
        <w:rPr>
          <w:rFonts w:ascii="宋体" w:hAnsi="宋体"/>
          <w:color w:val="auto"/>
          <w:spacing w:val="0"/>
          <w:position w:val="0"/>
          <w:sz w:val="24"/>
          <w:highlight w:val="none"/>
          <w:u w:val="single"/>
        </w:rPr>
        <w:t>（项目名称）</w:t>
      </w:r>
      <w:r>
        <w:rPr>
          <w:rFonts w:ascii="宋体" w:hAnsi="宋体"/>
          <w:color w:val="auto"/>
          <w:spacing w:val="0"/>
          <w:position w:val="0"/>
          <w:sz w:val="24"/>
          <w:highlight w:val="none"/>
        </w:rPr>
        <w:t>采购活动，</w:t>
      </w:r>
      <w:r>
        <w:rPr>
          <w:rFonts w:hint="eastAsia" w:ascii="宋体" w:hAnsi="宋体"/>
          <w:color w:val="auto"/>
          <w:spacing w:val="0"/>
          <w:position w:val="0"/>
          <w:sz w:val="24"/>
          <w:highlight w:val="none"/>
        </w:rPr>
        <w:t>工程的施工单位全部为符合政策要求的中小企业。相关企业（含联合体中的中小企业、签订分包意向协议的中小企业）的具体情况如下：</w:t>
      </w:r>
    </w:p>
    <w:p w14:paraId="1C07D3D2">
      <w:pPr>
        <w:tabs>
          <w:tab w:val="left" w:pos="1384"/>
          <w:tab w:val="left" w:pos="4562"/>
          <w:tab w:val="left" w:pos="6803"/>
        </w:tabs>
        <w:spacing w:before="13"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1.</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w:t>
      </w:r>
      <w:r>
        <w:rPr>
          <w:rFonts w:ascii="宋体" w:hAnsi="宋体"/>
          <w:color w:val="auto"/>
          <w:spacing w:val="0"/>
          <w:position w:val="0"/>
          <w:sz w:val="24"/>
          <w:highlight w:val="none"/>
          <w:u w:val="single"/>
        </w:rPr>
        <w:t>业）</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4CC3FA20">
      <w:pPr>
        <w:tabs>
          <w:tab w:val="left" w:pos="1065"/>
          <w:tab w:val="left" w:pos="4262"/>
          <w:tab w:val="left" w:pos="6477"/>
        </w:tabs>
        <w:spacing w:before="20" w:line="500" w:lineRule="exact"/>
        <w:ind w:right="84" w:firstLine="480" w:firstLineChars="200"/>
        <w:rPr>
          <w:rFonts w:ascii="宋体" w:hAnsi="宋体"/>
          <w:color w:val="auto"/>
          <w:spacing w:val="0"/>
          <w:position w:val="0"/>
          <w:sz w:val="24"/>
          <w:highlight w:val="none"/>
          <w:u w:val="single"/>
        </w:rPr>
      </w:pPr>
      <w:r>
        <w:rPr>
          <w:rFonts w:ascii="宋体" w:hAnsi="宋体"/>
          <w:color w:val="auto"/>
          <w:spacing w:val="0"/>
          <w:position w:val="0"/>
          <w:sz w:val="24"/>
          <w:highlight w:val="none"/>
        </w:rPr>
        <w:t>2.</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行业</w:t>
      </w:r>
      <w:r>
        <w:rPr>
          <w:rFonts w:ascii="宋体" w:hAnsi="宋体"/>
          <w:color w:val="auto"/>
          <w:spacing w:val="0"/>
          <w:position w:val="0"/>
          <w:sz w:val="24"/>
          <w:highlight w:val="none"/>
          <w:u w:val="single"/>
        </w:rPr>
        <w:t>）</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74E2B370">
      <w:pPr>
        <w:pStyle w:val="10"/>
        <w:spacing w:before="34"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 xml:space="preserve">…… </w:t>
      </w:r>
    </w:p>
    <w:p w14:paraId="41B640FB">
      <w:pPr>
        <w:pStyle w:val="10"/>
        <w:spacing w:before="34" w:line="500" w:lineRule="exact"/>
        <w:ind w:right="142" w:firstLine="723" w:firstLineChars="200"/>
        <w:rPr>
          <w:rFonts w:ascii="宋体" w:hAnsi="宋体"/>
          <w:b/>
          <w:bCs/>
          <w:color w:val="auto"/>
          <w:spacing w:val="0"/>
          <w:position w:val="0"/>
          <w:sz w:val="36"/>
          <w:szCs w:val="24"/>
          <w:highlight w:val="none"/>
        </w:rPr>
      </w:pPr>
      <w:r>
        <w:rPr>
          <w:rFonts w:ascii="宋体" w:hAnsi="宋体"/>
          <w:b/>
          <w:bCs/>
          <w:color w:val="auto"/>
          <w:spacing w:val="0"/>
          <w:position w:val="0"/>
          <w:sz w:val="36"/>
          <w:szCs w:val="24"/>
          <w:highlight w:val="none"/>
        </w:rPr>
        <w:t>以上企业，不属于大企业的分支机构，不存在控股股东为大企业的情形，也不存在与大企业的负责人为同一人的情形。</w:t>
      </w:r>
    </w:p>
    <w:p w14:paraId="7ED952CF">
      <w:pPr>
        <w:pStyle w:val="10"/>
        <w:spacing w:before="25"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本企业对上述声明内容的真实性负责。如有虚假，将依法承担相应责任。</w:t>
      </w:r>
    </w:p>
    <w:p w14:paraId="333A5A2C">
      <w:pPr>
        <w:pStyle w:val="10"/>
        <w:spacing w:before="56" w:line="500" w:lineRule="exact"/>
        <w:ind w:right="1808" w:firstLine="705" w:firstLineChars="294"/>
        <w:rPr>
          <w:rFonts w:hint="eastAsia" w:ascii="宋体" w:hAnsi="宋体"/>
          <w:color w:val="auto"/>
          <w:spacing w:val="0"/>
          <w:position w:val="0"/>
          <w:sz w:val="24"/>
          <w:highlight w:val="none"/>
        </w:rPr>
      </w:pPr>
    </w:p>
    <w:p w14:paraId="0BA958A4">
      <w:pPr>
        <w:pStyle w:val="10"/>
        <w:spacing w:before="56" w:line="500" w:lineRule="exact"/>
        <w:ind w:right="650"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企业名称（</w:t>
      </w:r>
      <w:r>
        <w:rPr>
          <w:rFonts w:hint="eastAsia" w:ascii="宋体" w:hAnsi="宋体"/>
          <w:color w:val="auto"/>
          <w:spacing w:val="0"/>
          <w:position w:val="0"/>
          <w:sz w:val="24"/>
          <w:szCs w:val="24"/>
          <w:highlight w:val="none"/>
        </w:rPr>
        <w:t>电子签章</w:t>
      </w:r>
      <w:r>
        <w:rPr>
          <w:rFonts w:ascii="宋体" w:hAnsi="宋体"/>
          <w:color w:val="auto"/>
          <w:spacing w:val="0"/>
          <w:position w:val="0"/>
          <w:sz w:val="24"/>
          <w:highlight w:val="none"/>
        </w:rPr>
        <w:t xml:space="preserve">）： </w:t>
      </w:r>
    </w:p>
    <w:p w14:paraId="1D0FD209">
      <w:pPr>
        <w:pStyle w:val="10"/>
        <w:spacing w:before="56" w:line="500" w:lineRule="exact"/>
        <w:ind w:right="1808"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日 期：</w:t>
      </w:r>
    </w:p>
    <w:p w14:paraId="04CD52BB">
      <w:pPr>
        <w:pStyle w:val="10"/>
        <w:spacing w:before="56" w:line="500" w:lineRule="exact"/>
        <w:ind w:right="1808" w:firstLine="5625" w:firstLineChars="2344"/>
        <w:rPr>
          <w:rFonts w:ascii="宋体" w:hAnsi="宋体"/>
          <w:color w:val="auto"/>
          <w:spacing w:val="0"/>
          <w:position w:val="0"/>
          <w:sz w:val="24"/>
          <w:highlight w:val="none"/>
        </w:rPr>
      </w:pPr>
    </w:p>
    <w:p w14:paraId="5594A3DB">
      <w:pPr>
        <w:spacing w:line="520" w:lineRule="exact"/>
        <w:ind w:firstLine="480" w:firstLineChars="200"/>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3E9D046">
      <w:pPr>
        <w:spacing w:line="520" w:lineRule="exact"/>
        <w:jc w:val="center"/>
        <w:rPr>
          <w:rFonts w:hint="eastAsia" w:ascii="仿宋_GB2312" w:hAnsi="仿宋_GB2312" w:eastAsia="仿宋_GB2312" w:cs="仿宋_GB2312"/>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方正小标宋简体" w:hAnsi="方正小标宋简体" w:eastAsia="方正小标宋简体" w:cs="方正小标宋简体"/>
          <w:color w:val="auto"/>
          <w:spacing w:val="0"/>
          <w:position w:val="0"/>
          <w:sz w:val="40"/>
          <w:szCs w:val="40"/>
          <w:highlight w:val="none"/>
        </w:rPr>
        <w:t>残疾人福利性单位声明函</w:t>
      </w:r>
    </w:p>
    <w:p w14:paraId="3C3F30A6">
      <w:pPr>
        <w:spacing w:line="360" w:lineRule="auto"/>
        <w:contextualSpacing/>
        <w:rPr>
          <w:rFonts w:hint="eastAsia" w:ascii="仿宋_GB2312" w:hAnsi="仿宋_GB2312" w:eastAsia="仿宋_GB2312" w:cs="仿宋_GB2312"/>
          <w:color w:val="auto"/>
          <w:spacing w:val="0"/>
          <w:position w:val="0"/>
          <w:sz w:val="32"/>
          <w:szCs w:val="32"/>
          <w:highlight w:val="none"/>
        </w:rPr>
      </w:pPr>
    </w:p>
    <w:p w14:paraId="2D96730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单位的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项目采购活动提供本单位制造的货物（由本单位承担工程/提供服务），或者提供其他残疾人福利性单位制造的货物（不包括使用非残疾人福利性单位注册商标的货物）。</w:t>
      </w:r>
    </w:p>
    <w:p w14:paraId="0053198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本单位对上述声明的真实性负责。如有虚假，将依法承担相应责任。</w:t>
      </w:r>
    </w:p>
    <w:p w14:paraId="26BDC79D">
      <w:pPr>
        <w:spacing w:line="360" w:lineRule="auto"/>
        <w:contextualSpacing/>
        <w:rPr>
          <w:rFonts w:hint="eastAsia" w:ascii="宋体" w:hAnsi="宋体" w:cs="仿宋_GB2312"/>
          <w:color w:val="auto"/>
          <w:spacing w:val="0"/>
          <w:position w:val="0"/>
          <w:sz w:val="24"/>
          <w:highlight w:val="none"/>
        </w:rPr>
      </w:pPr>
    </w:p>
    <w:p w14:paraId="4755F1A0">
      <w:pPr>
        <w:spacing w:line="360" w:lineRule="auto"/>
        <w:contextualSpacing/>
        <w:rPr>
          <w:rFonts w:hint="eastAsia" w:ascii="宋体" w:hAnsi="宋体" w:cs="仿宋_GB2312"/>
          <w:color w:val="auto"/>
          <w:spacing w:val="0"/>
          <w:position w:val="0"/>
          <w:sz w:val="24"/>
          <w:highlight w:val="none"/>
        </w:rPr>
      </w:pPr>
    </w:p>
    <w:p w14:paraId="394F42E5">
      <w:pPr>
        <w:spacing w:line="360" w:lineRule="auto"/>
        <w:contextualSpacing/>
        <w:rPr>
          <w:rFonts w:hint="eastAsia" w:ascii="宋体" w:hAnsi="宋体" w:cs="仿宋_GB2312"/>
          <w:color w:val="auto"/>
          <w:spacing w:val="0"/>
          <w:position w:val="0"/>
          <w:sz w:val="24"/>
          <w:highlight w:val="none"/>
        </w:rPr>
      </w:pPr>
    </w:p>
    <w:p w14:paraId="6776DD35">
      <w:pPr>
        <w:spacing w:line="360" w:lineRule="auto"/>
        <w:ind w:firstLine="4560" w:firstLineChars="19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单位名称（</w:t>
      </w:r>
      <w:r>
        <w:rPr>
          <w:rFonts w:hint="eastAsia" w:ascii="宋体" w:hAnsi="宋体"/>
          <w:color w:val="auto"/>
          <w:spacing w:val="0"/>
          <w:position w:val="0"/>
          <w:sz w:val="24"/>
          <w:szCs w:val="24"/>
          <w:highlight w:val="none"/>
        </w:rPr>
        <w:t>电子签章</w:t>
      </w:r>
      <w:r>
        <w:rPr>
          <w:rFonts w:hint="eastAsia" w:ascii="宋体" w:hAnsi="宋体" w:cs="仿宋_GB2312"/>
          <w:color w:val="auto"/>
          <w:spacing w:val="0"/>
          <w:position w:val="0"/>
          <w:sz w:val="24"/>
          <w:highlight w:val="none"/>
        </w:rPr>
        <w:t>）：</w:t>
      </w:r>
    </w:p>
    <w:p w14:paraId="7331F1BA">
      <w:pPr>
        <w:spacing w:line="360" w:lineRule="auto"/>
        <w:ind w:firstLine="5040" w:firstLineChars="2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  期：</w:t>
      </w:r>
    </w:p>
    <w:p w14:paraId="02E5241C">
      <w:pPr>
        <w:spacing w:line="360" w:lineRule="auto"/>
        <w:contextualSpacing/>
        <w:rPr>
          <w:rFonts w:hint="eastAsia" w:ascii="宋体" w:hAnsi="宋体" w:cs="仿宋_GB2312"/>
          <w:color w:val="auto"/>
          <w:spacing w:val="0"/>
          <w:position w:val="0"/>
          <w:sz w:val="24"/>
          <w:highlight w:val="none"/>
        </w:rPr>
      </w:pPr>
    </w:p>
    <w:p w14:paraId="28D4FCA2">
      <w:pPr>
        <w:spacing w:line="360" w:lineRule="auto"/>
        <w:contextualSpacing/>
        <w:rPr>
          <w:rFonts w:hint="eastAsia" w:ascii="宋体" w:hAnsi="宋体" w:cs="仿宋_GB2312"/>
          <w:color w:val="auto"/>
          <w:spacing w:val="0"/>
          <w:position w:val="0"/>
          <w:sz w:val="24"/>
          <w:highlight w:val="none"/>
        </w:rPr>
      </w:pPr>
    </w:p>
    <w:p w14:paraId="4C21F208">
      <w:pPr>
        <w:spacing w:line="360" w:lineRule="auto"/>
        <w:contextualSpacing/>
        <w:rPr>
          <w:rFonts w:hint="eastAsia" w:ascii="宋体" w:hAnsi="宋体" w:cs="仿宋_GB2312"/>
          <w:color w:val="auto"/>
          <w:spacing w:val="0"/>
          <w:position w:val="0"/>
          <w:sz w:val="24"/>
          <w:highlight w:val="none"/>
        </w:rPr>
      </w:pPr>
    </w:p>
    <w:p w14:paraId="45F901AE">
      <w:pPr>
        <w:pStyle w:val="12"/>
        <w:tabs>
          <w:tab w:val="left" w:pos="939"/>
        </w:tabs>
        <w:spacing w:line="360" w:lineRule="auto"/>
        <w:ind w:left="0" w:leftChars="0" w:firstLine="720" w:firstLineChars="300"/>
        <w:rPr>
          <w:rFonts w:hint="eastAsia"/>
          <w:color w:val="auto"/>
          <w:spacing w:val="0"/>
          <w:position w:val="0"/>
          <w:sz w:val="24"/>
          <w:szCs w:val="24"/>
          <w:highlight w:val="none"/>
        </w:rPr>
      </w:pPr>
      <w:r>
        <w:rPr>
          <w:rFonts w:hint="eastAsia" w:ascii="宋体" w:hAnsi="宋体" w:cs="仿宋_GB2312"/>
          <w:color w:val="auto"/>
          <w:spacing w:val="0"/>
          <w:position w:val="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pacing w:val="0"/>
          <w:position w:val="0"/>
          <w:sz w:val="28"/>
          <w:szCs w:val="28"/>
          <w:highlight w:val="none"/>
        </w:rPr>
        <w:br w:type="page"/>
      </w:r>
    </w:p>
    <w:p w14:paraId="1AF10B00">
      <w:pPr>
        <w:spacing w:line="360" w:lineRule="auto"/>
        <w:ind w:right="420"/>
        <w:contextualSpacing/>
        <w:jc w:val="left"/>
        <w:rPr>
          <w:rFonts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二、</w:t>
      </w:r>
      <w:r>
        <w:rPr>
          <w:rFonts w:hint="eastAsia" w:ascii="宋体" w:hAnsi="宋体"/>
          <w:b/>
          <w:color w:val="auto"/>
          <w:spacing w:val="0"/>
          <w:position w:val="0"/>
          <w:sz w:val="32"/>
          <w:szCs w:val="32"/>
          <w:highlight w:val="none"/>
        </w:rPr>
        <w:t xml:space="preserve">报价文件格式 </w:t>
      </w:r>
    </w:p>
    <w:p w14:paraId="592A7E8E">
      <w:pPr>
        <w:snapToGrid w:val="0"/>
        <w:spacing w:before="156" w:beforeLines="50" w:after="50" w:line="360" w:lineRule="auto"/>
        <w:jc w:val="left"/>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1.报价文件封面格式</w:t>
      </w:r>
    </w:p>
    <w:p w14:paraId="5B0BA796">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0BAB5834">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48D71979">
      <w:pPr>
        <w:snapToGrid w:val="0"/>
        <w:spacing w:before="156" w:beforeLines="50" w:after="50"/>
        <w:rPr>
          <w:rFonts w:hint="eastAsia" w:ascii="宋体" w:hAnsi="宋体"/>
          <w:color w:val="auto"/>
          <w:spacing w:val="0"/>
          <w:position w:val="0"/>
          <w:sz w:val="24"/>
          <w:szCs w:val="20"/>
          <w:highlight w:val="none"/>
        </w:rPr>
      </w:pPr>
    </w:p>
    <w:p w14:paraId="71913CD5">
      <w:pPr>
        <w:snapToGrid w:val="0"/>
        <w:spacing w:before="156" w:beforeLines="50" w:after="50"/>
        <w:rPr>
          <w:rFonts w:hint="eastAsia" w:ascii="宋体" w:hAnsi="宋体"/>
          <w:color w:val="auto"/>
          <w:spacing w:val="0"/>
          <w:position w:val="0"/>
          <w:sz w:val="24"/>
          <w:szCs w:val="20"/>
          <w:highlight w:val="none"/>
        </w:rPr>
      </w:pPr>
    </w:p>
    <w:p w14:paraId="21DEFAD9">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报  价  文  件</w:t>
      </w:r>
    </w:p>
    <w:p w14:paraId="2DD27E22">
      <w:pPr>
        <w:snapToGrid w:val="0"/>
        <w:spacing w:before="156" w:beforeLines="50" w:after="50"/>
        <w:rPr>
          <w:rFonts w:hint="eastAsia" w:ascii="宋体" w:hAnsi="宋体"/>
          <w:bCs/>
          <w:color w:val="auto"/>
          <w:spacing w:val="0"/>
          <w:position w:val="0"/>
          <w:sz w:val="24"/>
          <w:szCs w:val="20"/>
          <w:highlight w:val="none"/>
        </w:rPr>
      </w:pPr>
    </w:p>
    <w:p w14:paraId="68FE0833">
      <w:pPr>
        <w:snapToGrid w:val="0"/>
        <w:spacing w:before="156" w:beforeLines="50" w:after="50"/>
        <w:rPr>
          <w:rFonts w:hint="eastAsia" w:ascii="宋体" w:hAnsi="宋体"/>
          <w:bCs/>
          <w:color w:val="auto"/>
          <w:spacing w:val="0"/>
          <w:position w:val="0"/>
          <w:sz w:val="24"/>
          <w:szCs w:val="20"/>
          <w:highlight w:val="none"/>
        </w:rPr>
      </w:pPr>
    </w:p>
    <w:p w14:paraId="7E208030">
      <w:pPr>
        <w:snapToGrid w:val="0"/>
        <w:spacing w:before="156" w:beforeLines="50" w:after="50"/>
        <w:rPr>
          <w:rFonts w:hint="eastAsia" w:ascii="宋体" w:hAnsi="宋体"/>
          <w:bCs/>
          <w:color w:val="auto"/>
          <w:spacing w:val="0"/>
          <w:position w:val="0"/>
          <w:sz w:val="24"/>
          <w:szCs w:val="20"/>
          <w:highlight w:val="none"/>
        </w:rPr>
      </w:pPr>
    </w:p>
    <w:p w14:paraId="582EA25F">
      <w:pPr>
        <w:snapToGrid w:val="0"/>
        <w:spacing w:before="156" w:beforeLines="50" w:after="50"/>
        <w:rPr>
          <w:rFonts w:hint="eastAsia" w:ascii="宋体" w:hAnsi="宋体"/>
          <w:bCs/>
          <w:color w:val="auto"/>
          <w:spacing w:val="0"/>
          <w:position w:val="0"/>
          <w:sz w:val="24"/>
          <w:szCs w:val="20"/>
          <w:highlight w:val="none"/>
        </w:rPr>
      </w:pPr>
    </w:p>
    <w:p w14:paraId="482248ED">
      <w:pPr>
        <w:snapToGrid w:val="0"/>
        <w:spacing w:before="156" w:beforeLines="50" w:after="50"/>
        <w:rPr>
          <w:rFonts w:hint="eastAsia" w:ascii="宋体" w:hAnsi="宋体"/>
          <w:bCs/>
          <w:color w:val="auto"/>
          <w:spacing w:val="0"/>
          <w:position w:val="0"/>
          <w:sz w:val="24"/>
          <w:szCs w:val="20"/>
          <w:highlight w:val="none"/>
        </w:rPr>
      </w:pPr>
    </w:p>
    <w:p w14:paraId="41CCCE5A">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58FFD6BE">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2F4F95E0">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637B76BF">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3B2DA3E0">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74F393D2">
      <w:pPr>
        <w:pStyle w:val="8"/>
        <w:snapToGrid w:val="0"/>
        <w:spacing w:before="50" w:after="50"/>
        <w:rPr>
          <w:rFonts w:hint="eastAsia" w:ascii="宋体" w:hAnsi="宋体" w:cs="仿宋_GB2312"/>
          <w:bCs/>
          <w:color w:val="auto"/>
          <w:spacing w:val="0"/>
          <w:position w:val="0"/>
          <w:sz w:val="32"/>
          <w:szCs w:val="32"/>
          <w:highlight w:val="none"/>
        </w:rPr>
      </w:pPr>
    </w:p>
    <w:p w14:paraId="649CCB81">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49B006C7">
      <w:pPr>
        <w:pStyle w:val="8"/>
        <w:snapToGrid w:val="0"/>
        <w:spacing w:before="50" w:after="50"/>
        <w:ind w:firstLine="640" w:firstLineChars="200"/>
        <w:rPr>
          <w:rFonts w:hint="eastAsia" w:ascii="宋体" w:hAnsi="宋体" w:cs="仿宋_GB2312"/>
          <w:bCs/>
          <w:color w:val="auto"/>
          <w:spacing w:val="0"/>
          <w:position w:val="0"/>
          <w:sz w:val="32"/>
          <w:szCs w:val="32"/>
          <w:highlight w:val="none"/>
        </w:rPr>
      </w:pPr>
    </w:p>
    <w:p w14:paraId="06B7CEB7">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1A1506AE">
      <w:pPr>
        <w:pStyle w:val="8"/>
        <w:snapToGrid w:val="0"/>
        <w:spacing w:before="50" w:after="50"/>
        <w:ind w:firstLine="0"/>
        <w:rPr>
          <w:rFonts w:hint="eastAsia" w:ascii="宋体" w:hAnsi="宋体" w:cs="仿宋_GB2312"/>
          <w:bCs/>
          <w:color w:val="auto"/>
          <w:spacing w:val="0"/>
          <w:position w:val="0"/>
          <w:sz w:val="32"/>
          <w:szCs w:val="32"/>
          <w:highlight w:val="none"/>
        </w:rPr>
      </w:pPr>
    </w:p>
    <w:p w14:paraId="01D5E6ED">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2F23A0FC">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6A352268">
      <w:pPr>
        <w:snapToGrid w:val="0"/>
        <w:spacing w:before="156" w:beforeLines="50" w:after="50" w:line="360" w:lineRule="auto"/>
        <w:ind w:left="142"/>
        <w:jc w:val="left"/>
        <w:rPr>
          <w:rFonts w:hint="eastAsia" w:ascii="宋体" w:hAnsi="宋体"/>
          <w:b/>
          <w:bCs/>
          <w:color w:val="auto"/>
          <w:spacing w:val="0"/>
          <w:position w:val="0"/>
          <w:sz w:val="24"/>
          <w:highlight w:val="none"/>
        </w:rPr>
      </w:pPr>
      <w:r>
        <w:rPr>
          <w:rFonts w:hint="eastAsia" w:ascii="宋体" w:hAnsi="宋体"/>
          <w:color w:val="auto"/>
          <w:spacing w:val="0"/>
          <w:position w:val="0"/>
          <w:szCs w:val="21"/>
          <w:highlight w:val="none"/>
        </w:rPr>
        <w:br w:type="page"/>
      </w:r>
      <w:r>
        <w:rPr>
          <w:rFonts w:hint="eastAsia" w:ascii="宋体" w:hAnsi="宋体"/>
          <w:b/>
          <w:bCs/>
          <w:color w:val="auto"/>
          <w:spacing w:val="0"/>
          <w:position w:val="0"/>
          <w:sz w:val="32"/>
          <w:szCs w:val="32"/>
          <w:highlight w:val="none"/>
        </w:rPr>
        <w:t>2.报价文件目录</w:t>
      </w:r>
    </w:p>
    <w:p w14:paraId="7C565E17">
      <w:pPr>
        <w:autoSpaceDE w:val="0"/>
        <w:autoSpaceDN w:val="0"/>
        <w:adjustRightInd w:val="0"/>
        <w:spacing w:line="360" w:lineRule="auto"/>
        <w:ind w:firstLine="640" w:firstLineChars="200"/>
        <w:rPr>
          <w:rFonts w:ascii="宋体" w:hAnsi="宋体"/>
          <w:b/>
          <w:bCs/>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r>
        <w:rPr>
          <w:rFonts w:ascii="宋体" w:hAnsi="宋体"/>
          <w:b/>
          <w:bCs/>
          <w:color w:val="auto"/>
          <w:spacing w:val="0"/>
          <w:position w:val="0"/>
          <w:sz w:val="32"/>
          <w:szCs w:val="32"/>
          <w:highlight w:val="none"/>
        </w:rPr>
        <w:br w:type="page"/>
      </w:r>
    </w:p>
    <w:p w14:paraId="4E7D0E8B">
      <w:pPr>
        <w:pStyle w:val="39"/>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pacing w:val="0"/>
          <w:position w:val="0"/>
          <w:sz w:val="32"/>
          <w:szCs w:val="32"/>
          <w:highlight w:val="none"/>
          <w:lang w:eastAsia="zh-CN"/>
        </w:rPr>
      </w:pPr>
      <w:r>
        <w:rPr>
          <w:rFonts w:hint="eastAsia" w:asciiTheme="majorEastAsia" w:hAnsiTheme="majorEastAsia" w:eastAsiaTheme="majorEastAsia" w:cstheme="majorEastAsia"/>
          <w:b/>
          <w:bCs/>
          <w:color w:val="auto"/>
          <w:spacing w:val="0"/>
          <w:position w:val="0"/>
          <w:sz w:val="32"/>
          <w:szCs w:val="32"/>
          <w:highlight w:val="none"/>
        </w:rPr>
        <w:t>磋商函</w:t>
      </w:r>
      <w:r>
        <w:rPr>
          <w:rFonts w:hint="eastAsia" w:asciiTheme="majorEastAsia" w:hAnsiTheme="majorEastAsia" w:eastAsiaTheme="majorEastAsia" w:cstheme="majorEastAsia"/>
          <w:b/>
          <w:bCs/>
          <w:color w:val="auto"/>
          <w:spacing w:val="0"/>
          <w:position w:val="0"/>
          <w:sz w:val="32"/>
          <w:szCs w:val="32"/>
          <w:highlight w:val="none"/>
          <w:lang w:eastAsia="zh-CN"/>
        </w:rPr>
        <w:t>（格式）</w:t>
      </w:r>
    </w:p>
    <w:p w14:paraId="4FA6AB13">
      <w:pPr>
        <w:pStyle w:val="39"/>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07FFBCBD">
      <w:pPr>
        <w:spacing w:line="360" w:lineRule="auto"/>
        <w:contextualSpacing/>
        <w:rPr>
          <w:rFonts w:hint="eastAsia" w:ascii="宋体" w:hAnsi="宋体" w:cs="宋体"/>
          <w:color w:val="auto"/>
          <w:spacing w:val="0"/>
          <w:position w:val="0"/>
          <w:sz w:val="22"/>
          <w:szCs w:val="22"/>
          <w:highlight w:val="none"/>
        </w:rPr>
      </w:pPr>
      <w:r>
        <w:rPr>
          <w:rFonts w:hint="eastAsia" w:ascii="宋体" w:hAnsi="宋体" w:cs="宋体"/>
          <w:color w:val="auto"/>
          <w:spacing w:val="0"/>
          <w:position w:val="0"/>
          <w:sz w:val="22"/>
          <w:szCs w:val="22"/>
          <w:highlight w:val="none"/>
        </w:rPr>
        <w:t>致：</w:t>
      </w:r>
      <w:r>
        <w:rPr>
          <w:rFonts w:hint="eastAsia" w:ascii="宋体" w:hAnsi="宋体" w:cs="宋体"/>
          <w:color w:val="auto"/>
          <w:spacing w:val="0"/>
          <w:position w:val="0"/>
          <w:sz w:val="22"/>
          <w:szCs w:val="22"/>
          <w:highlight w:val="none"/>
          <w:u w:val="single"/>
        </w:rPr>
        <w:t>（采购人名称）</w:t>
      </w:r>
    </w:p>
    <w:p w14:paraId="78B66869">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1、根据你方项目编号为</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项目编号</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的</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项目名称</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工程竞争性磋商文件，遵照《中华人民共和国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采购法实施条例》、《</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采购竞争性磋商采购方式管理暂行办法》等有关规定，经研究上述竞争性磋商文件的磋商须知、合同条款、图纸</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及其他有关文件后，我方愿以人民币</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大 写</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default" w:ascii="Arial" w:hAnsi="Arial" w:cs="Arial" w:eastAsiaTheme="majorEastAsia"/>
          <w:b w:val="0"/>
          <w:bCs w:val="0"/>
          <w:color w:val="auto"/>
          <w:spacing w:val="0"/>
          <w:position w:val="0"/>
          <w:sz w:val="21"/>
          <w:szCs w:val="24"/>
          <w:highlight w:val="none"/>
          <w:u w:val="single"/>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元</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的磋商报价并按上述图纸、合同条款和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等级。</w:t>
      </w:r>
    </w:p>
    <w:p w14:paraId="0540AC8D">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2、我方已详细审核全部竞争性磋商文件，包括修改文件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及有关附件。</w:t>
      </w:r>
    </w:p>
    <w:p w14:paraId="4CCBD48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3、我方承认磋商函附录是我方磋商函的组成部分。</w:t>
      </w:r>
    </w:p>
    <w:p w14:paraId="71F5E3DA">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4、我方承诺已经具备《</w:t>
      </w:r>
      <w:r>
        <w:rPr>
          <w:rFonts w:hint="eastAsia" w:asciiTheme="majorEastAsia" w:hAnsiTheme="majorEastAsia" w:eastAsiaTheme="majorEastAsia" w:cstheme="majorEastAsia"/>
          <w:b w:val="0"/>
          <w:bCs w:val="0"/>
          <w:color w:val="auto"/>
          <w:spacing w:val="0"/>
          <w:position w:val="0"/>
          <w:sz w:val="21"/>
          <w:szCs w:val="24"/>
          <w:highlight w:val="none"/>
          <w:lang w:eastAsia="zh-CN"/>
        </w:rPr>
        <w:t>中华人民共和国政府采购法</w:t>
      </w:r>
      <w:r>
        <w:rPr>
          <w:rFonts w:hint="eastAsia" w:asciiTheme="majorEastAsia" w:hAnsiTheme="majorEastAsia" w:eastAsiaTheme="majorEastAsia" w:cstheme="majorEastAsia"/>
          <w:b w:val="0"/>
          <w:bCs w:val="0"/>
          <w:color w:val="auto"/>
          <w:spacing w:val="0"/>
          <w:position w:val="0"/>
          <w:sz w:val="21"/>
          <w:szCs w:val="24"/>
          <w:highlight w:val="none"/>
        </w:rPr>
        <w:t>》中规定的参加招标投标采购活动的供应商应当具备的条件：</w:t>
      </w:r>
    </w:p>
    <w:p w14:paraId="4AEC53E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1</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具有独立承担民事责任的能力；</w:t>
      </w:r>
    </w:p>
    <w:p w14:paraId="1B46CA47">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2</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具有良好的商业信誉和健全的财务会计制度；</w:t>
      </w:r>
    </w:p>
    <w:p w14:paraId="2EF11833">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3</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具有履行合同所必需的设备和专业技术能力；</w:t>
      </w:r>
    </w:p>
    <w:p w14:paraId="35414712">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4</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有依法缴纳税收和社会保障资金的良好记录；</w:t>
      </w:r>
    </w:p>
    <w:p w14:paraId="7E17FB4F">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5</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参加招标投标采购活动前三年内，在经营活动中没有重大违法记录；</w:t>
      </w:r>
    </w:p>
    <w:p w14:paraId="6E062A6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6</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法律、行政法规规定的其他条件。</w:t>
      </w:r>
    </w:p>
    <w:p w14:paraId="7182124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5、一旦我方成交，我方保证按合同书中规定的工期</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none"/>
        </w:rPr>
        <w:t>日</w:t>
      </w:r>
      <w:r>
        <w:rPr>
          <w:rFonts w:hint="eastAsia" w:asciiTheme="majorEastAsia" w:hAnsiTheme="majorEastAsia" w:eastAsiaTheme="majorEastAsia" w:cstheme="majorEastAsia"/>
          <w:b w:val="0"/>
          <w:bCs w:val="0"/>
          <w:color w:val="auto"/>
          <w:spacing w:val="0"/>
          <w:position w:val="0"/>
          <w:sz w:val="21"/>
          <w:szCs w:val="24"/>
          <w:highlight w:val="none"/>
        </w:rPr>
        <w:t>历天内完成并移交全部工程。</w:t>
      </w:r>
    </w:p>
    <w:p w14:paraId="26E0BC03">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6、如果我方成交，我方将按照文件规定提交履约保证金作为履约担保。</w:t>
      </w:r>
    </w:p>
    <w:p w14:paraId="32ACE5FC">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7、我方同意所提交的响应文件在竞争性磋商文件的“磋商须知”中第 11 条规定的响应文件有效期内有效，在此期间内如果成交，我方将受此约束。</w:t>
      </w:r>
    </w:p>
    <w:p w14:paraId="613F7FCF">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8、除非另外达成协议并生效，你方的成交通知书和本响应文件将成为约束双方的合同文件的组成部分。</w:t>
      </w:r>
    </w:p>
    <w:p w14:paraId="7379528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025C58A2">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供 应 商（电子签章）：</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p>
    <w:p w14:paraId="7CFE3E3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法定代表人或其委托代理人</w:t>
      </w:r>
      <w:r>
        <w:rPr>
          <w:rFonts w:hint="eastAsia" w:ascii="宋体" w:hAnsi="宋体"/>
          <w:color w:val="auto"/>
          <w:spacing w:val="0"/>
          <w:position w:val="0"/>
          <w:sz w:val="24"/>
          <w:szCs w:val="24"/>
          <w:highlight w:val="none"/>
        </w:rPr>
        <w:t>（签字或者电子签名）</w:t>
      </w:r>
      <w:r>
        <w:rPr>
          <w:rFonts w:hint="eastAsia" w:asciiTheme="majorEastAsia" w:hAnsiTheme="majorEastAsia" w:eastAsiaTheme="majorEastAsia" w:cstheme="majorEastAsia"/>
          <w:b w:val="0"/>
          <w:bCs w:val="0"/>
          <w:color w:val="auto"/>
          <w:spacing w:val="0"/>
          <w:position w:val="0"/>
          <w:sz w:val="21"/>
          <w:szCs w:val="24"/>
          <w:highlight w:val="none"/>
        </w:rPr>
        <w:t xml:space="preserve">：    </w:t>
      </w:r>
    </w:p>
    <w:p w14:paraId="2FA591D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单位地址：     </w:t>
      </w:r>
    </w:p>
    <w:p w14:paraId="17A8A02C">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邮政编码：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电话：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传真：</w:t>
      </w:r>
    </w:p>
    <w:p w14:paraId="47AD956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开户银行名称：</w:t>
      </w:r>
    </w:p>
    <w:p w14:paraId="530C64DB">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开户银行账号：</w:t>
      </w:r>
    </w:p>
    <w:p w14:paraId="0F6E0CB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开户银行地址：</w:t>
      </w:r>
    </w:p>
    <w:p w14:paraId="4081E3C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日期：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年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月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日</w:t>
      </w:r>
    </w:p>
    <w:p w14:paraId="7C15A28D">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040486A2">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r>
        <w:rPr>
          <w:rFonts w:hint="eastAsia" w:asciiTheme="majorEastAsia" w:hAnsiTheme="majorEastAsia" w:eastAsiaTheme="majorEastAsia" w:cstheme="majorEastAsia"/>
          <w:b/>
          <w:bCs/>
          <w:color w:val="auto"/>
          <w:spacing w:val="0"/>
          <w:position w:val="0"/>
          <w:sz w:val="28"/>
          <w:szCs w:val="28"/>
          <w:highlight w:val="none"/>
        </w:rPr>
        <w:t>磋商函附录</w:t>
      </w:r>
      <w:r>
        <w:rPr>
          <w:rFonts w:hint="eastAsia" w:asciiTheme="majorEastAsia" w:hAnsiTheme="majorEastAsia" w:eastAsiaTheme="majorEastAsia" w:cstheme="majorEastAsia"/>
          <w:b/>
          <w:bCs/>
          <w:color w:val="auto"/>
          <w:spacing w:val="0"/>
          <w:position w:val="0"/>
          <w:sz w:val="28"/>
          <w:szCs w:val="28"/>
          <w:highlight w:val="none"/>
          <w:lang w:eastAsia="zh-CN"/>
        </w:rPr>
        <w:t>（格式）</w:t>
      </w:r>
    </w:p>
    <w:p w14:paraId="77E8DC85">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06F6C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76BD4265">
            <w:pPr>
              <w:spacing w:before="181" w:line="230" w:lineRule="auto"/>
              <w:ind w:left="29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序号</w:t>
            </w:r>
          </w:p>
        </w:tc>
        <w:tc>
          <w:tcPr>
            <w:tcW w:w="3424" w:type="dxa"/>
            <w:vAlign w:val="top"/>
          </w:tcPr>
          <w:p w14:paraId="04EC9700">
            <w:pPr>
              <w:spacing w:before="181" w:line="228" w:lineRule="auto"/>
              <w:ind w:left="1298"/>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条款内容</w:t>
            </w:r>
          </w:p>
        </w:tc>
        <w:tc>
          <w:tcPr>
            <w:tcW w:w="2818" w:type="dxa"/>
            <w:vAlign w:val="top"/>
          </w:tcPr>
          <w:p w14:paraId="7B30390B">
            <w:pPr>
              <w:spacing w:before="181" w:line="228" w:lineRule="auto"/>
              <w:ind w:left="10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约定内容</w:t>
            </w:r>
          </w:p>
        </w:tc>
        <w:tc>
          <w:tcPr>
            <w:tcW w:w="1696" w:type="dxa"/>
            <w:vAlign w:val="top"/>
          </w:tcPr>
          <w:p w14:paraId="7A638F4C">
            <w:pPr>
              <w:spacing w:before="181" w:line="230" w:lineRule="auto"/>
              <w:ind w:left="64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w:t>
            </w:r>
          </w:p>
        </w:tc>
      </w:tr>
      <w:tr w14:paraId="55AA8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34DCC99">
            <w:pPr>
              <w:spacing w:before="211" w:line="193" w:lineRule="auto"/>
              <w:ind w:left="46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p>
        </w:tc>
        <w:tc>
          <w:tcPr>
            <w:tcW w:w="3424" w:type="dxa"/>
            <w:vAlign w:val="top"/>
          </w:tcPr>
          <w:p w14:paraId="6EE7BD07">
            <w:pPr>
              <w:spacing w:before="180" w:line="229" w:lineRule="auto"/>
              <w:ind w:left="13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项目经理</w:t>
            </w:r>
          </w:p>
        </w:tc>
        <w:tc>
          <w:tcPr>
            <w:tcW w:w="2818" w:type="dxa"/>
            <w:vAlign w:val="top"/>
          </w:tcPr>
          <w:p w14:paraId="5C4CDCD0">
            <w:pPr>
              <w:spacing w:before="180" w:line="228" w:lineRule="auto"/>
              <w:ind w:left="0" w:leftChars="0" w:firstLine="0" w:firstLineChars="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姓名：</w:t>
            </w:r>
          </w:p>
        </w:tc>
        <w:tc>
          <w:tcPr>
            <w:tcW w:w="1696" w:type="dxa"/>
            <w:vAlign w:val="top"/>
          </w:tcPr>
          <w:p w14:paraId="3F893156">
            <w:pPr>
              <w:rPr>
                <w:rFonts w:hint="eastAsia" w:ascii="宋体" w:hAnsi="宋体" w:eastAsia="宋体" w:cs="宋体"/>
                <w:color w:val="auto"/>
                <w:spacing w:val="0"/>
                <w:position w:val="0"/>
                <w:sz w:val="21"/>
                <w:szCs w:val="21"/>
                <w:highlight w:val="none"/>
              </w:rPr>
            </w:pPr>
          </w:p>
        </w:tc>
      </w:tr>
      <w:tr w14:paraId="040CF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70DE936F">
            <w:pPr>
              <w:spacing w:before="211" w:line="192" w:lineRule="auto"/>
              <w:ind w:left="454"/>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w:t>
            </w:r>
          </w:p>
        </w:tc>
        <w:tc>
          <w:tcPr>
            <w:tcW w:w="3424" w:type="dxa"/>
            <w:vAlign w:val="top"/>
          </w:tcPr>
          <w:p w14:paraId="0199B1AA">
            <w:pPr>
              <w:spacing w:before="179" w:line="228" w:lineRule="auto"/>
              <w:ind w:left="99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eastAsia="zh-CN"/>
              </w:rPr>
              <w:t>竞标</w:t>
            </w:r>
            <w:r>
              <w:rPr>
                <w:rFonts w:hint="eastAsia" w:ascii="宋体" w:hAnsi="宋体" w:eastAsia="宋体" w:cs="宋体"/>
                <w:color w:val="auto"/>
                <w:spacing w:val="0"/>
                <w:position w:val="0"/>
                <w:sz w:val="21"/>
                <w:szCs w:val="21"/>
                <w:highlight w:val="none"/>
              </w:rPr>
              <w:t>有效期</w:t>
            </w:r>
          </w:p>
        </w:tc>
        <w:tc>
          <w:tcPr>
            <w:tcW w:w="2818" w:type="dxa"/>
            <w:vAlign w:val="top"/>
          </w:tcPr>
          <w:p w14:paraId="1AAB33E3">
            <w:pPr>
              <w:rPr>
                <w:rFonts w:hint="eastAsia" w:ascii="宋体" w:hAnsi="宋体" w:eastAsia="宋体" w:cs="宋体"/>
                <w:color w:val="auto"/>
                <w:spacing w:val="0"/>
                <w:position w:val="0"/>
                <w:sz w:val="21"/>
                <w:szCs w:val="21"/>
                <w:highlight w:val="none"/>
              </w:rPr>
            </w:pPr>
          </w:p>
        </w:tc>
        <w:tc>
          <w:tcPr>
            <w:tcW w:w="1696" w:type="dxa"/>
            <w:vAlign w:val="top"/>
          </w:tcPr>
          <w:p w14:paraId="702D76A7">
            <w:pPr>
              <w:rPr>
                <w:rFonts w:hint="eastAsia" w:ascii="宋体" w:hAnsi="宋体" w:eastAsia="宋体" w:cs="宋体"/>
                <w:color w:val="auto"/>
                <w:spacing w:val="0"/>
                <w:position w:val="0"/>
                <w:sz w:val="21"/>
                <w:szCs w:val="21"/>
                <w:highlight w:val="none"/>
              </w:rPr>
            </w:pPr>
          </w:p>
        </w:tc>
      </w:tr>
      <w:tr w14:paraId="35E20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56038CF6">
            <w:pPr>
              <w:spacing w:before="212" w:line="190"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w:t>
            </w:r>
          </w:p>
        </w:tc>
        <w:tc>
          <w:tcPr>
            <w:tcW w:w="3424" w:type="dxa"/>
            <w:vAlign w:val="top"/>
          </w:tcPr>
          <w:p w14:paraId="23D1C7A3">
            <w:pPr>
              <w:spacing w:before="179" w:line="229" w:lineRule="auto"/>
              <w:ind w:left="151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工期</w:t>
            </w:r>
          </w:p>
        </w:tc>
        <w:tc>
          <w:tcPr>
            <w:tcW w:w="2818" w:type="dxa"/>
            <w:vAlign w:val="top"/>
          </w:tcPr>
          <w:p w14:paraId="61E8D6FD">
            <w:pPr>
              <w:tabs>
                <w:tab w:val="left" w:pos="1506"/>
              </w:tabs>
              <w:spacing w:before="179" w:line="229" w:lineRule="auto"/>
              <w:ind w:left="83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u w:val="single" w:color="auto"/>
              </w:rPr>
              <w:tab/>
            </w:r>
            <w:r>
              <w:rPr>
                <w:rFonts w:hint="eastAsia" w:ascii="宋体" w:hAnsi="宋体" w:eastAsia="宋体" w:cs="宋体"/>
                <w:color w:val="auto"/>
                <w:spacing w:val="0"/>
                <w:position w:val="0"/>
                <w:sz w:val="21"/>
                <w:szCs w:val="21"/>
                <w:highlight w:val="none"/>
              </w:rPr>
              <w:t>日历天</w:t>
            </w:r>
          </w:p>
        </w:tc>
        <w:tc>
          <w:tcPr>
            <w:tcW w:w="1696" w:type="dxa"/>
            <w:vAlign w:val="top"/>
          </w:tcPr>
          <w:p w14:paraId="6CFD5ED1">
            <w:pPr>
              <w:rPr>
                <w:rFonts w:hint="eastAsia" w:ascii="宋体" w:hAnsi="宋体" w:eastAsia="宋体" w:cs="宋体"/>
                <w:color w:val="auto"/>
                <w:spacing w:val="0"/>
                <w:position w:val="0"/>
                <w:sz w:val="21"/>
                <w:szCs w:val="21"/>
                <w:highlight w:val="none"/>
              </w:rPr>
            </w:pPr>
          </w:p>
        </w:tc>
      </w:tr>
      <w:tr w14:paraId="3CD7A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36091F85">
            <w:pPr>
              <w:spacing w:before="215" w:line="189"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w:t>
            </w:r>
          </w:p>
        </w:tc>
        <w:tc>
          <w:tcPr>
            <w:tcW w:w="3424" w:type="dxa"/>
            <w:vAlign w:val="top"/>
          </w:tcPr>
          <w:p w14:paraId="042594B0">
            <w:pPr>
              <w:spacing w:before="181" w:line="229" w:lineRule="auto"/>
              <w:ind w:left="129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质量标准</w:t>
            </w:r>
          </w:p>
        </w:tc>
        <w:tc>
          <w:tcPr>
            <w:tcW w:w="2818" w:type="dxa"/>
            <w:vAlign w:val="top"/>
          </w:tcPr>
          <w:p w14:paraId="38EE9BEF">
            <w:pPr>
              <w:rPr>
                <w:rFonts w:hint="eastAsia" w:ascii="宋体" w:hAnsi="宋体" w:eastAsia="宋体" w:cs="宋体"/>
                <w:color w:val="auto"/>
                <w:spacing w:val="0"/>
                <w:position w:val="0"/>
                <w:sz w:val="21"/>
                <w:szCs w:val="21"/>
                <w:highlight w:val="none"/>
              </w:rPr>
            </w:pPr>
          </w:p>
        </w:tc>
        <w:tc>
          <w:tcPr>
            <w:tcW w:w="1696" w:type="dxa"/>
            <w:vAlign w:val="top"/>
          </w:tcPr>
          <w:p w14:paraId="3BADAD05">
            <w:pPr>
              <w:rPr>
                <w:rFonts w:hint="eastAsia" w:ascii="宋体" w:hAnsi="宋体" w:eastAsia="宋体" w:cs="宋体"/>
                <w:color w:val="auto"/>
                <w:spacing w:val="0"/>
                <w:position w:val="0"/>
                <w:sz w:val="21"/>
                <w:szCs w:val="21"/>
                <w:highlight w:val="none"/>
              </w:rPr>
            </w:pPr>
          </w:p>
        </w:tc>
      </w:tr>
      <w:tr w14:paraId="21962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5445BF7E">
            <w:pPr>
              <w:spacing w:before="215" w:line="189" w:lineRule="auto"/>
              <w:ind w:left="456"/>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6</w:t>
            </w:r>
          </w:p>
        </w:tc>
        <w:tc>
          <w:tcPr>
            <w:tcW w:w="3424" w:type="dxa"/>
            <w:vAlign w:val="top"/>
          </w:tcPr>
          <w:p w14:paraId="549ACEE6">
            <w:pPr>
              <w:spacing w:before="181" w:line="229" w:lineRule="auto"/>
              <w:ind w:left="1297"/>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付款</w:t>
            </w:r>
            <w:r>
              <w:rPr>
                <w:rFonts w:hint="eastAsia" w:ascii="宋体" w:hAnsi="宋体" w:cs="宋体"/>
                <w:color w:val="auto"/>
                <w:spacing w:val="0"/>
                <w:position w:val="0"/>
                <w:sz w:val="21"/>
                <w:szCs w:val="21"/>
                <w:highlight w:val="none"/>
                <w:lang w:val="en-US" w:eastAsia="zh-CN"/>
              </w:rPr>
              <w:t>方式</w:t>
            </w:r>
          </w:p>
        </w:tc>
        <w:tc>
          <w:tcPr>
            <w:tcW w:w="2818" w:type="dxa"/>
            <w:vAlign w:val="top"/>
          </w:tcPr>
          <w:p w14:paraId="7053E802">
            <w:pPr>
              <w:rPr>
                <w:rFonts w:hint="eastAsia" w:ascii="宋体" w:hAnsi="宋体" w:eastAsia="宋体" w:cs="宋体"/>
                <w:color w:val="auto"/>
                <w:spacing w:val="0"/>
                <w:position w:val="0"/>
                <w:sz w:val="21"/>
                <w:szCs w:val="21"/>
                <w:highlight w:val="none"/>
              </w:rPr>
            </w:pPr>
          </w:p>
        </w:tc>
        <w:tc>
          <w:tcPr>
            <w:tcW w:w="1696" w:type="dxa"/>
            <w:vAlign w:val="top"/>
          </w:tcPr>
          <w:p w14:paraId="34B7D95A">
            <w:pPr>
              <w:rPr>
                <w:rFonts w:hint="eastAsia" w:ascii="宋体" w:hAnsi="宋体" w:eastAsia="宋体" w:cs="宋体"/>
                <w:color w:val="auto"/>
                <w:spacing w:val="0"/>
                <w:position w:val="0"/>
                <w:sz w:val="21"/>
                <w:szCs w:val="21"/>
                <w:highlight w:val="none"/>
              </w:rPr>
            </w:pPr>
          </w:p>
        </w:tc>
      </w:tr>
      <w:tr w14:paraId="66436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2FA74E0E">
            <w:pPr>
              <w:spacing w:before="181" w:line="325" w:lineRule="exact"/>
              <w:ind w:left="30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3424" w:type="dxa"/>
            <w:vAlign w:val="top"/>
          </w:tcPr>
          <w:p w14:paraId="347CAFD7">
            <w:pPr>
              <w:spacing w:before="181" w:line="325" w:lineRule="exact"/>
              <w:ind w:left="152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2818" w:type="dxa"/>
            <w:vAlign w:val="top"/>
          </w:tcPr>
          <w:p w14:paraId="364E3190">
            <w:pPr>
              <w:rPr>
                <w:rFonts w:hint="eastAsia" w:ascii="宋体" w:hAnsi="宋体" w:eastAsia="宋体" w:cs="宋体"/>
                <w:color w:val="auto"/>
                <w:spacing w:val="0"/>
                <w:position w:val="0"/>
                <w:sz w:val="21"/>
                <w:szCs w:val="21"/>
                <w:highlight w:val="none"/>
              </w:rPr>
            </w:pPr>
          </w:p>
        </w:tc>
        <w:tc>
          <w:tcPr>
            <w:tcW w:w="1696" w:type="dxa"/>
            <w:vAlign w:val="top"/>
          </w:tcPr>
          <w:p w14:paraId="7CE0AAAC">
            <w:pPr>
              <w:rPr>
                <w:rFonts w:hint="eastAsia" w:ascii="宋体" w:hAnsi="宋体" w:eastAsia="宋体" w:cs="宋体"/>
                <w:color w:val="auto"/>
                <w:spacing w:val="0"/>
                <w:position w:val="0"/>
                <w:sz w:val="21"/>
                <w:szCs w:val="21"/>
                <w:highlight w:val="none"/>
              </w:rPr>
            </w:pPr>
          </w:p>
        </w:tc>
      </w:tr>
      <w:tr w14:paraId="0C71A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351DEEA1">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备注：供应商在响应竞争性磋商文件中规定的实质性要求和条件的基础上，可做出其他有利于采购单位的承诺。此类承诺可在本表中予以补充填写。</w:t>
            </w:r>
          </w:p>
        </w:tc>
      </w:tr>
    </w:tbl>
    <w:p w14:paraId="38FB8390">
      <w:pPr>
        <w:pStyle w:val="39"/>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pacing w:val="0"/>
          <w:position w:val="0"/>
          <w:sz w:val="24"/>
          <w:szCs w:val="32"/>
          <w:highlight w:val="none"/>
        </w:rPr>
      </w:pPr>
    </w:p>
    <w:p w14:paraId="3A1DE026">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3D6E1226">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43772B90">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51363EF6">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98080CF">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E30BA33">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64420FD">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9AE004B">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3F5EA653">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731630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28DB46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69F4632">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E0DF698">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346504FA">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auto"/>
          <w:spacing w:val="0"/>
          <w:kern w:val="2"/>
          <w:position w:val="0"/>
          <w:sz w:val="32"/>
          <w:szCs w:val="32"/>
          <w:highlight w:val="none"/>
          <w:lang w:val="en-US" w:eastAsia="zh-CN" w:bidi="ar-SA"/>
        </w:rPr>
      </w:pPr>
    </w:p>
    <w:p w14:paraId="35F450BF">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eastAsia="宋体" w:cs="方正小标宋简体"/>
          <w:b/>
          <w:bCs/>
          <w:color w:val="auto"/>
          <w:spacing w:val="0"/>
          <w:kern w:val="2"/>
          <w:position w:val="0"/>
          <w:sz w:val="32"/>
          <w:szCs w:val="32"/>
          <w:highlight w:val="none"/>
          <w:lang w:val="en-US" w:eastAsia="zh-CN" w:bidi="ar-SA"/>
        </w:rPr>
        <w:t>竞标报价表（格式）</w:t>
      </w:r>
    </w:p>
    <w:p w14:paraId="74EB8D41">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20C325E2">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15B4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2A5E78E">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1576212">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A21617C">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40836BC5">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D3BC1A9">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08EA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59F43913">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454B6CA">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9CEED65">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9F60D30">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DCB02E6">
            <w:pPr>
              <w:spacing w:line="360" w:lineRule="auto"/>
              <w:contextualSpacing/>
              <w:rPr>
                <w:rFonts w:ascii="宋体" w:hAnsi="宋体" w:cs="仿宋_GB2312"/>
                <w:color w:val="auto"/>
                <w:spacing w:val="0"/>
                <w:position w:val="0"/>
                <w:sz w:val="24"/>
                <w:highlight w:val="none"/>
              </w:rPr>
            </w:pPr>
          </w:p>
        </w:tc>
      </w:tr>
      <w:tr w14:paraId="5184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8CF8B98">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8A66DE9">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591627A0">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C0D5073">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68C76F3">
            <w:pPr>
              <w:spacing w:line="360" w:lineRule="auto"/>
              <w:contextualSpacing/>
              <w:rPr>
                <w:rFonts w:ascii="宋体" w:hAnsi="宋体" w:cs="仿宋_GB2312"/>
                <w:color w:val="auto"/>
                <w:spacing w:val="0"/>
                <w:position w:val="0"/>
                <w:sz w:val="24"/>
                <w:highlight w:val="none"/>
              </w:rPr>
            </w:pPr>
          </w:p>
        </w:tc>
      </w:tr>
      <w:tr w14:paraId="7AAA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604F0AB8">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0F68B62D">
      <w:pPr>
        <w:spacing w:line="360" w:lineRule="auto"/>
        <w:contextualSpacing/>
        <w:jc w:val="left"/>
        <w:rPr>
          <w:rFonts w:hint="eastAsia" w:ascii="宋体" w:hAnsi="宋体" w:cs="仿宋_GB2312"/>
          <w:color w:val="auto"/>
          <w:spacing w:val="0"/>
          <w:position w:val="0"/>
          <w:sz w:val="24"/>
          <w:highlight w:val="none"/>
        </w:rPr>
      </w:pPr>
    </w:p>
    <w:p w14:paraId="530205B9">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23BE9C8B">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4C304878">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0CF2A74A">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lang w:val="en-US" w:eastAsia="zh-CN"/>
        </w:rPr>
        <w:t>供应商提交的</w:t>
      </w:r>
      <w:r>
        <w:rPr>
          <w:rFonts w:hint="eastAsia" w:ascii="宋体" w:hAnsi="宋体" w:cs="仿宋_GB2312"/>
          <w:b/>
          <w:bCs/>
          <w:color w:val="auto"/>
          <w:spacing w:val="0"/>
          <w:position w:val="0"/>
          <w:sz w:val="32"/>
          <w:szCs w:val="32"/>
          <w:highlight w:val="none"/>
        </w:rPr>
        <w:t>最后报价与首次报价相比有调整的</w:t>
      </w:r>
      <w:r>
        <w:rPr>
          <w:rFonts w:hint="eastAsia" w:ascii="宋体" w:hAnsi="宋体" w:cs="仿宋_GB2312"/>
          <w:b/>
          <w:bCs/>
          <w:color w:val="auto"/>
          <w:spacing w:val="0"/>
          <w:position w:val="0"/>
          <w:sz w:val="32"/>
          <w:szCs w:val="32"/>
          <w:highlight w:val="none"/>
          <w:lang w:eastAsia="zh-CN"/>
        </w:rPr>
        <w:t>，必须同时上传相对应的“已标价的工程量清单”作为附件，</w:t>
      </w:r>
      <w:r>
        <w:rPr>
          <w:rFonts w:hint="eastAsia" w:ascii="宋体" w:hAnsi="宋体" w:cs="仿宋_GB2312"/>
          <w:b/>
          <w:bCs/>
          <w:color w:val="auto"/>
          <w:spacing w:val="0"/>
          <w:position w:val="0"/>
          <w:sz w:val="32"/>
          <w:szCs w:val="32"/>
          <w:highlight w:val="none"/>
        </w:rPr>
        <w:t>否则其响应文件按无效处理。</w:t>
      </w:r>
    </w:p>
    <w:p w14:paraId="5F88B3AA">
      <w:pPr>
        <w:spacing w:line="360" w:lineRule="auto"/>
        <w:ind w:right="-817" w:rightChars="-389"/>
        <w:contextualSpacing/>
        <w:rPr>
          <w:rFonts w:hint="eastAsia" w:ascii="宋体" w:hAnsi="宋体" w:cs="仿宋_GB2312"/>
          <w:color w:val="auto"/>
          <w:spacing w:val="0"/>
          <w:position w:val="0"/>
          <w:sz w:val="24"/>
          <w:highlight w:val="none"/>
        </w:rPr>
      </w:pPr>
    </w:p>
    <w:p w14:paraId="656FDEA4">
      <w:pPr>
        <w:spacing w:line="360" w:lineRule="auto"/>
        <w:ind w:right="-817" w:rightChars="-389"/>
        <w:contextualSpacing/>
        <w:rPr>
          <w:rFonts w:hint="eastAsia" w:ascii="宋体" w:hAnsi="宋体" w:cs="仿宋_GB2312"/>
          <w:color w:val="auto"/>
          <w:spacing w:val="0"/>
          <w:position w:val="0"/>
          <w:sz w:val="24"/>
          <w:highlight w:val="none"/>
        </w:rPr>
      </w:pPr>
    </w:p>
    <w:p w14:paraId="03734993">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631192F7">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1974F746">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408365F5">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63A8AC0">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3177E8F">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0FFEB76">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p>
    <w:p w14:paraId="4F02EF82">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lang w:eastAsia="zh-CN"/>
        </w:rPr>
      </w:pPr>
      <w:r>
        <w:rPr>
          <w:rFonts w:hint="eastAsia" w:ascii="宋体" w:hAnsi="宋体" w:eastAsia="宋体" w:cs="宋体"/>
          <w:b/>
          <w:bCs/>
          <w:color w:val="auto"/>
          <w:spacing w:val="0"/>
          <w:position w:val="0"/>
          <w:sz w:val="32"/>
          <w:szCs w:val="40"/>
          <w:highlight w:val="none"/>
        </w:rPr>
        <w:t>已标价</w:t>
      </w:r>
      <w:r>
        <w:rPr>
          <w:rFonts w:hint="eastAsia" w:ascii="宋体" w:hAnsi="宋体" w:eastAsia="宋体" w:cs="宋体"/>
          <w:b/>
          <w:bCs/>
          <w:color w:val="auto"/>
          <w:spacing w:val="0"/>
          <w:position w:val="0"/>
          <w:sz w:val="32"/>
          <w:szCs w:val="40"/>
          <w:highlight w:val="none"/>
          <w:lang w:eastAsia="zh-CN"/>
        </w:rPr>
        <w:t>工程量清单</w:t>
      </w:r>
    </w:p>
    <w:p w14:paraId="31B92A97">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14:paraId="2EF9F3CB">
      <w:pPr>
        <w:pStyle w:val="3"/>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1、已标价工程量清单按照第三章发放的“工程量清单”相关内容填写。</w:t>
      </w:r>
    </w:p>
    <w:p w14:paraId="288AC0EB">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招标人提供的</w:t>
      </w:r>
      <w:r>
        <w:rPr>
          <w:rFonts w:hint="eastAsia" w:ascii="宋体" w:hAnsi="宋体" w:eastAsia="宋体" w:cs="宋体"/>
          <w:b w:val="0"/>
          <w:bCs w:val="0"/>
          <w:color w:val="auto"/>
          <w:sz w:val="24"/>
          <w:szCs w:val="24"/>
          <w:highlight w:val="none"/>
          <w:lang w:eastAsia="zh-CN"/>
        </w:rPr>
        <w:t>工程量清单</w:t>
      </w:r>
      <w:r>
        <w:rPr>
          <w:rFonts w:hint="eastAsia" w:ascii="宋体" w:hAnsi="宋体" w:eastAsia="宋体" w:cs="宋体"/>
          <w:b w:val="0"/>
          <w:bCs w:val="0"/>
          <w:color w:val="auto"/>
          <w:sz w:val="24"/>
          <w:szCs w:val="24"/>
          <w:highlight w:val="none"/>
        </w:rPr>
        <w:t>（由投标人自行</w:t>
      </w:r>
      <w:r>
        <w:rPr>
          <w:rFonts w:hint="eastAsia" w:ascii="宋体" w:hAnsi="宋体" w:eastAsia="宋体" w:cs="宋体"/>
          <w:b w:val="0"/>
          <w:bCs w:val="0"/>
          <w:color w:val="auto"/>
          <w:sz w:val="24"/>
          <w:szCs w:val="24"/>
          <w:highlight w:val="none"/>
          <w:lang w:eastAsia="zh-CN"/>
        </w:rPr>
        <w:t>在网上</w:t>
      </w:r>
      <w:r>
        <w:rPr>
          <w:rFonts w:hint="eastAsia" w:ascii="宋体" w:hAnsi="宋体" w:eastAsia="宋体" w:cs="宋体"/>
          <w:b w:val="0"/>
          <w:bCs w:val="0"/>
          <w:color w:val="auto"/>
          <w:sz w:val="24"/>
          <w:szCs w:val="24"/>
          <w:highlight w:val="none"/>
        </w:rPr>
        <w:t>下载）</w:t>
      </w:r>
    </w:p>
    <w:p w14:paraId="37474971">
      <w:pPr>
        <w:autoSpaceDE w:val="0"/>
        <w:autoSpaceDN w:val="0"/>
        <w:adjustRightInd w:val="0"/>
        <w:spacing w:line="360" w:lineRule="auto"/>
        <w:rPr>
          <w:rFonts w:ascii="宋体" w:hAnsi="宋体"/>
          <w:b/>
          <w:bCs/>
          <w:color w:val="auto"/>
          <w:spacing w:val="0"/>
          <w:position w:val="0"/>
          <w:sz w:val="32"/>
          <w:szCs w:val="32"/>
          <w:highlight w:val="none"/>
          <w:lang w:val="zh-CN"/>
        </w:rPr>
      </w:pPr>
    </w:p>
    <w:p w14:paraId="6511DCA5">
      <w:pPr>
        <w:autoSpaceDE w:val="0"/>
        <w:autoSpaceDN w:val="0"/>
        <w:adjustRightInd w:val="0"/>
        <w:spacing w:line="360" w:lineRule="auto"/>
        <w:rPr>
          <w:rFonts w:ascii="宋体" w:hAnsi="宋体"/>
          <w:b/>
          <w:bCs/>
          <w:color w:val="auto"/>
          <w:spacing w:val="0"/>
          <w:position w:val="0"/>
          <w:sz w:val="32"/>
          <w:szCs w:val="32"/>
          <w:highlight w:val="none"/>
          <w:lang w:val="zh-CN"/>
        </w:rPr>
      </w:pPr>
    </w:p>
    <w:p w14:paraId="59F5048C">
      <w:pPr>
        <w:autoSpaceDE w:val="0"/>
        <w:autoSpaceDN w:val="0"/>
        <w:adjustRightInd w:val="0"/>
        <w:spacing w:line="360" w:lineRule="auto"/>
        <w:rPr>
          <w:rFonts w:ascii="宋体" w:hAnsi="宋体"/>
          <w:b/>
          <w:bCs/>
          <w:color w:val="auto"/>
          <w:spacing w:val="0"/>
          <w:position w:val="0"/>
          <w:sz w:val="32"/>
          <w:szCs w:val="32"/>
          <w:highlight w:val="none"/>
          <w:lang w:val="zh-CN"/>
        </w:rPr>
      </w:pPr>
    </w:p>
    <w:p w14:paraId="6CADA912">
      <w:pPr>
        <w:autoSpaceDE w:val="0"/>
        <w:autoSpaceDN w:val="0"/>
        <w:adjustRightInd w:val="0"/>
        <w:spacing w:line="360" w:lineRule="auto"/>
        <w:rPr>
          <w:rFonts w:ascii="宋体" w:hAnsi="宋体"/>
          <w:b/>
          <w:bCs/>
          <w:color w:val="auto"/>
          <w:spacing w:val="0"/>
          <w:position w:val="0"/>
          <w:sz w:val="32"/>
          <w:szCs w:val="32"/>
          <w:highlight w:val="none"/>
          <w:lang w:val="zh-CN"/>
        </w:rPr>
      </w:pPr>
    </w:p>
    <w:p w14:paraId="15516619">
      <w:pPr>
        <w:autoSpaceDE w:val="0"/>
        <w:autoSpaceDN w:val="0"/>
        <w:adjustRightInd w:val="0"/>
        <w:spacing w:line="360" w:lineRule="auto"/>
        <w:rPr>
          <w:rFonts w:ascii="宋体" w:hAnsi="宋体"/>
          <w:b/>
          <w:bCs/>
          <w:color w:val="auto"/>
          <w:spacing w:val="0"/>
          <w:position w:val="0"/>
          <w:sz w:val="32"/>
          <w:szCs w:val="32"/>
          <w:highlight w:val="none"/>
          <w:lang w:val="zh-CN"/>
        </w:rPr>
      </w:pPr>
    </w:p>
    <w:p w14:paraId="700E5292">
      <w:pPr>
        <w:autoSpaceDE w:val="0"/>
        <w:autoSpaceDN w:val="0"/>
        <w:adjustRightInd w:val="0"/>
        <w:spacing w:line="360" w:lineRule="auto"/>
        <w:rPr>
          <w:rFonts w:ascii="宋体" w:hAnsi="宋体"/>
          <w:b/>
          <w:bCs/>
          <w:color w:val="auto"/>
          <w:spacing w:val="0"/>
          <w:position w:val="0"/>
          <w:sz w:val="32"/>
          <w:szCs w:val="32"/>
          <w:highlight w:val="none"/>
          <w:lang w:val="zh-CN"/>
        </w:rPr>
      </w:pPr>
    </w:p>
    <w:p w14:paraId="00BA6DE4">
      <w:pPr>
        <w:autoSpaceDE w:val="0"/>
        <w:autoSpaceDN w:val="0"/>
        <w:adjustRightInd w:val="0"/>
        <w:spacing w:line="360" w:lineRule="auto"/>
        <w:rPr>
          <w:rFonts w:ascii="宋体" w:hAnsi="宋体"/>
          <w:b/>
          <w:bCs/>
          <w:color w:val="auto"/>
          <w:spacing w:val="0"/>
          <w:position w:val="0"/>
          <w:sz w:val="32"/>
          <w:szCs w:val="32"/>
          <w:highlight w:val="none"/>
          <w:lang w:val="zh-CN"/>
        </w:rPr>
      </w:pPr>
    </w:p>
    <w:p w14:paraId="059C6ED2">
      <w:pPr>
        <w:autoSpaceDE w:val="0"/>
        <w:autoSpaceDN w:val="0"/>
        <w:adjustRightInd w:val="0"/>
        <w:spacing w:line="360" w:lineRule="auto"/>
        <w:rPr>
          <w:rFonts w:ascii="宋体" w:hAnsi="宋体"/>
          <w:b/>
          <w:bCs/>
          <w:color w:val="auto"/>
          <w:spacing w:val="0"/>
          <w:position w:val="0"/>
          <w:sz w:val="32"/>
          <w:szCs w:val="32"/>
          <w:highlight w:val="none"/>
          <w:lang w:val="zh-CN"/>
        </w:rPr>
      </w:pPr>
    </w:p>
    <w:p w14:paraId="1FB34BEC">
      <w:pPr>
        <w:autoSpaceDE w:val="0"/>
        <w:autoSpaceDN w:val="0"/>
        <w:adjustRightInd w:val="0"/>
        <w:spacing w:line="360" w:lineRule="auto"/>
        <w:rPr>
          <w:rFonts w:ascii="宋体" w:hAnsi="宋体"/>
          <w:b/>
          <w:bCs/>
          <w:color w:val="auto"/>
          <w:spacing w:val="0"/>
          <w:position w:val="0"/>
          <w:sz w:val="32"/>
          <w:szCs w:val="32"/>
          <w:highlight w:val="none"/>
          <w:lang w:val="zh-CN"/>
        </w:rPr>
      </w:pPr>
    </w:p>
    <w:p w14:paraId="475AA976">
      <w:pPr>
        <w:autoSpaceDE w:val="0"/>
        <w:autoSpaceDN w:val="0"/>
        <w:adjustRightInd w:val="0"/>
        <w:spacing w:line="360" w:lineRule="auto"/>
        <w:rPr>
          <w:rFonts w:ascii="宋体" w:hAnsi="宋体"/>
          <w:b/>
          <w:bCs/>
          <w:color w:val="auto"/>
          <w:spacing w:val="0"/>
          <w:position w:val="0"/>
          <w:sz w:val="32"/>
          <w:szCs w:val="32"/>
          <w:highlight w:val="none"/>
          <w:lang w:val="zh-CN"/>
        </w:rPr>
      </w:pPr>
    </w:p>
    <w:p w14:paraId="50302D6F">
      <w:pPr>
        <w:autoSpaceDE w:val="0"/>
        <w:autoSpaceDN w:val="0"/>
        <w:adjustRightInd w:val="0"/>
        <w:spacing w:line="360" w:lineRule="auto"/>
        <w:rPr>
          <w:rFonts w:ascii="宋体" w:hAnsi="宋体"/>
          <w:b/>
          <w:bCs/>
          <w:color w:val="auto"/>
          <w:spacing w:val="0"/>
          <w:position w:val="0"/>
          <w:sz w:val="32"/>
          <w:szCs w:val="32"/>
          <w:highlight w:val="none"/>
          <w:lang w:val="zh-CN"/>
        </w:rPr>
      </w:pPr>
    </w:p>
    <w:p w14:paraId="12565619">
      <w:pPr>
        <w:autoSpaceDE w:val="0"/>
        <w:autoSpaceDN w:val="0"/>
        <w:adjustRightInd w:val="0"/>
        <w:spacing w:line="360" w:lineRule="auto"/>
        <w:rPr>
          <w:rFonts w:ascii="宋体" w:hAnsi="宋体"/>
          <w:b/>
          <w:bCs/>
          <w:color w:val="auto"/>
          <w:spacing w:val="0"/>
          <w:position w:val="0"/>
          <w:sz w:val="32"/>
          <w:szCs w:val="32"/>
          <w:highlight w:val="none"/>
          <w:lang w:val="zh-CN"/>
        </w:rPr>
      </w:pPr>
    </w:p>
    <w:p w14:paraId="149ED0F7">
      <w:pPr>
        <w:autoSpaceDE w:val="0"/>
        <w:autoSpaceDN w:val="0"/>
        <w:adjustRightInd w:val="0"/>
        <w:spacing w:line="360" w:lineRule="auto"/>
        <w:rPr>
          <w:rFonts w:ascii="宋体" w:hAnsi="宋体"/>
          <w:b/>
          <w:bCs/>
          <w:color w:val="auto"/>
          <w:spacing w:val="0"/>
          <w:position w:val="0"/>
          <w:sz w:val="32"/>
          <w:szCs w:val="32"/>
          <w:highlight w:val="none"/>
          <w:lang w:val="zh-CN"/>
        </w:rPr>
      </w:pPr>
    </w:p>
    <w:p w14:paraId="55635E05">
      <w:pPr>
        <w:autoSpaceDE w:val="0"/>
        <w:autoSpaceDN w:val="0"/>
        <w:adjustRightInd w:val="0"/>
        <w:spacing w:line="360" w:lineRule="auto"/>
        <w:rPr>
          <w:rFonts w:ascii="宋体" w:hAnsi="宋体"/>
          <w:b/>
          <w:bCs/>
          <w:color w:val="auto"/>
          <w:spacing w:val="0"/>
          <w:position w:val="0"/>
          <w:sz w:val="32"/>
          <w:szCs w:val="32"/>
          <w:highlight w:val="none"/>
          <w:lang w:val="zh-CN"/>
        </w:rPr>
      </w:pPr>
    </w:p>
    <w:p w14:paraId="2D743938">
      <w:pPr>
        <w:autoSpaceDE w:val="0"/>
        <w:autoSpaceDN w:val="0"/>
        <w:adjustRightInd w:val="0"/>
        <w:spacing w:line="360" w:lineRule="auto"/>
        <w:rPr>
          <w:rFonts w:ascii="宋体" w:hAnsi="宋体"/>
          <w:b/>
          <w:bCs/>
          <w:color w:val="auto"/>
          <w:spacing w:val="0"/>
          <w:position w:val="0"/>
          <w:sz w:val="32"/>
          <w:szCs w:val="32"/>
          <w:highlight w:val="none"/>
          <w:lang w:val="zh-CN"/>
        </w:rPr>
      </w:pPr>
    </w:p>
    <w:p w14:paraId="22DBB4FF">
      <w:pPr>
        <w:autoSpaceDE w:val="0"/>
        <w:autoSpaceDN w:val="0"/>
        <w:adjustRightInd w:val="0"/>
        <w:spacing w:line="360" w:lineRule="auto"/>
        <w:rPr>
          <w:rFonts w:ascii="宋体" w:hAnsi="宋体"/>
          <w:b/>
          <w:bCs/>
          <w:color w:val="auto"/>
          <w:spacing w:val="0"/>
          <w:position w:val="0"/>
          <w:sz w:val="32"/>
          <w:szCs w:val="32"/>
          <w:highlight w:val="none"/>
          <w:lang w:val="zh-CN"/>
        </w:rPr>
      </w:pPr>
    </w:p>
    <w:p w14:paraId="7F238AF8">
      <w:pPr>
        <w:autoSpaceDE w:val="0"/>
        <w:autoSpaceDN w:val="0"/>
        <w:adjustRightInd w:val="0"/>
        <w:spacing w:line="360" w:lineRule="auto"/>
        <w:rPr>
          <w:rFonts w:ascii="宋体" w:hAnsi="宋体"/>
          <w:b/>
          <w:bCs/>
          <w:color w:val="auto"/>
          <w:spacing w:val="0"/>
          <w:position w:val="0"/>
          <w:sz w:val="32"/>
          <w:szCs w:val="32"/>
          <w:highlight w:val="none"/>
          <w:lang w:val="zh-CN"/>
        </w:rPr>
      </w:pPr>
    </w:p>
    <w:p w14:paraId="5825B274">
      <w:pPr>
        <w:autoSpaceDE w:val="0"/>
        <w:autoSpaceDN w:val="0"/>
        <w:adjustRightInd w:val="0"/>
        <w:spacing w:line="360" w:lineRule="auto"/>
        <w:rPr>
          <w:rFonts w:ascii="宋体" w:hAnsi="宋体"/>
          <w:b/>
          <w:bCs/>
          <w:color w:val="auto"/>
          <w:spacing w:val="0"/>
          <w:position w:val="0"/>
          <w:sz w:val="32"/>
          <w:szCs w:val="32"/>
          <w:highlight w:val="none"/>
          <w:lang w:val="zh-CN"/>
        </w:rPr>
      </w:pPr>
    </w:p>
    <w:p w14:paraId="0329B387">
      <w:pPr>
        <w:autoSpaceDE w:val="0"/>
        <w:autoSpaceDN w:val="0"/>
        <w:adjustRightInd w:val="0"/>
        <w:spacing w:line="360" w:lineRule="auto"/>
        <w:rPr>
          <w:rFonts w:ascii="宋体" w:hAnsi="宋体"/>
          <w:b/>
          <w:bCs/>
          <w:color w:val="auto"/>
          <w:spacing w:val="0"/>
          <w:position w:val="0"/>
          <w:sz w:val="32"/>
          <w:szCs w:val="32"/>
          <w:highlight w:val="none"/>
          <w:lang w:val="zh-CN"/>
        </w:rPr>
      </w:pPr>
    </w:p>
    <w:p w14:paraId="53273E85">
      <w:pPr>
        <w:spacing w:line="360" w:lineRule="auto"/>
        <w:contextualSpacing/>
        <w:jc w:val="both"/>
        <w:rPr>
          <w:rFonts w:hint="eastAsia"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三、</w:t>
      </w:r>
      <w:r>
        <w:rPr>
          <w:rFonts w:hint="eastAsia" w:ascii="宋体" w:hAnsi="宋体"/>
          <w:b/>
          <w:color w:val="auto"/>
          <w:spacing w:val="0"/>
          <w:position w:val="0"/>
          <w:sz w:val="32"/>
          <w:szCs w:val="32"/>
          <w:highlight w:val="none"/>
        </w:rPr>
        <w:t>商务技术文件格式</w:t>
      </w:r>
    </w:p>
    <w:p w14:paraId="5D24042B">
      <w:pPr>
        <w:snapToGrid w:val="0"/>
        <w:spacing w:before="156" w:beforeLines="50" w:after="50" w:line="360" w:lineRule="auto"/>
        <w:jc w:val="left"/>
        <w:rPr>
          <w:rFonts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1.商务技术文件封面格式</w:t>
      </w:r>
    </w:p>
    <w:p w14:paraId="0D253ADD">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12690A9C">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31D6523A">
      <w:pPr>
        <w:snapToGrid w:val="0"/>
        <w:spacing w:before="156" w:beforeLines="50" w:after="50"/>
        <w:rPr>
          <w:rFonts w:hint="eastAsia" w:ascii="宋体" w:hAnsi="宋体"/>
          <w:color w:val="auto"/>
          <w:spacing w:val="0"/>
          <w:position w:val="0"/>
          <w:sz w:val="24"/>
          <w:szCs w:val="20"/>
          <w:highlight w:val="none"/>
        </w:rPr>
      </w:pPr>
    </w:p>
    <w:p w14:paraId="2AA51D08">
      <w:pPr>
        <w:snapToGrid w:val="0"/>
        <w:spacing w:before="156" w:beforeLines="50" w:after="50"/>
        <w:rPr>
          <w:rFonts w:hint="eastAsia" w:ascii="宋体" w:hAnsi="宋体"/>
          <w:color w:val="auto"/>
          <w:spacing w:val="0"/>
          <w:position w:val="0"/>
          <w:sz w:val="24"/>
          <w:szCs w:val="20"/>
          <w:highlight w:val="none"/>
        </w:rPr>
      </w:pPr>
    </w:p>
    <w:p w14:paraId="64C4DD79">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商  务  技  术  文  件</w:t>
      </w:r>
    </w:p>
    <w:p w14:paraId="7BCFFA80">
      <w:pPr>
        <w:snapToGrid w:val="0"/>
        <w:spacing w:before="156" w:beforeLines="50" w:after="50"/>
        <w:rPr>
          <w:rFonts w:hint="eastAsia" w:ascii="宋体" w:hAnsi="宋体"/>
          <w:bCs/>
          <w:color w:val="auto"/>
          <w:spacing w:val="0"/>
          <w:position w:val="0"/>
          <w:sz w:val="24"/>
          <w:szCs w:val="20"/>
          <w:highlight w:val="none"/>
        </w:rPr>
      </w:pPr>
    </w:p>
    <w:p w14:paraId="17DC23A1">
      <w:pPr>
        <w:snapToGrid w:val="0"/>
        <w:spacing w:before="156" w:beforeLines="50" w:after="50"/>
        <w:rPr>
          <w:rFonts w:hint="eastAsia" w:ascii="宋体" w:hAnsi="宋体"/>
          <w:bCs/>
          <w:color w:val="auto"/>
          <w:spacing w:val="0"/>
          <w:position w:val="0"/>
          <w:sz w:val="24"/>
          <w:szCs w:val="20"/>
          <w:highlight w:val="none"/>
        </w:rPr>
      </w:pPr>
    </w:p>
    <w:p w14:paraId="49DEEB0D">
      <w:pPr>
        <w:snapToGrid w:val="0"/>
        <w:spacing w:before="156" w:beforeLines="50" w:after="50"/>
        <w:rPr>
          <w:rFonts w:hint="eastAsia" w:ascii="宋体" w:hAnsi="宋体"/>
          <w:bCs/>
          <w:color w:val="auto"/>
          <w:spacing w:val="0"/>
          <w:position w:val="0"/>
          <w:sz w:val="24"/>
          <w:szCs w:val="20"/>
          <w:highlight w:val="none"/>
        </w:rPr>
      </w:pPr>
    </w:p>
    <w:p w14:paraId="63D72A8D">
      <w:pPr>
        <w:snapToGrid w:val="0"/>
        <w:spacing w:before="156" w:beforeLines="50" w:after="50"/>
        <w:rPr>
          <w:rFonts w:hint="eastAsia" w:ascii="宋体" w:hAnsi="宋体"/>
          <w:bCs/>
          <w:color w:val="auto"/>
          <w:spacing w:val="0"/>
          <w:position w:val="0"/>
          <w:sz w:val="24"/>
          <w:szCs w:val="20"/>
          <w:highlight w:val="none"/>
        </w:rPr>
      </w:pPr>
    </w:p>
    <w:p w14:paraId="6E6B2B6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1B381BDC">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5A9F5CC5">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026D82C5">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27A7A173">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1EA428B0">
      <w:pPr>
        <w:pStyle w:val="8"/>
        <w:snapToGrid w:val="0"/>
        <w:spacing w:before="50" w:after="50"/>
        <w:rPr>
          <w:rFonts w:hint="eastAsia" w:ascii="宋体" w:hAnsi="宋体" w:cs="仿宋_GB2312"/>
          <w:bCs/>
          <w:color w:val="auto"/>
          <w:spacing w:val="0"/>
          <w:position w:val="0"/>
          <w:sz w:val="32"/>
          <w:szCs w:val="32"/>
          <w:highlight w:val="none"/>
        </w:rPr>
      </w:pPr>
    </w:p>
    <w:p w14:paraId="297673D9">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0975DFA8">
      <w:pPr>
        <w:pStyle w:val="8"/>
        <w:snapToGrid w:val="0"/>
        <w:spacing w:before="50" w:after="50"/>
        <w:ind w:firstLine="640" w:firstLineChars="200"/>
        <w:rPr>
          <w:rFonts w:hint="eastAsia" w:ascii="宋体" w:hAnsi="宋体" w:cs="仿宋_GB2312"/>
          <w:bCs/>
          <w:color w:val="auto"/>
          <w:spacing w:val="0"/>
          <w:position w:val="0"/>
          <w:sz w:val="32"/>
          <w:szCs w:val="32"/>
          <w:highlight w:val="none"/>
        </w:rPr>
      </w:pPr>
    </w:p>
    <w:p w14:paraId="1E7BFAC3">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6896155E">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26E8F477">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32B7327C">
      <w:pPr>
        <w:snapToGrid w:val="0"/>
        <w:spacing w:before="156" w:beforeLines="50" w:after="50" w:line="360" w:lineRule="auto"/>
        <w:ind w:right="480" w:firstLine="240" w:firstLineChars="100"/>
        <w:jc w:val="left"/>
        <w:rPr>
          <w:rFonts w:hint="eastAsia" w:ascii="宋体" w:hAnsi="宋体"/>
          <w:b/>
          <w:bCs/>
          <w:color w:val="auto"/>
          <w:spacing w:val="0"/>
          <w:position w:val="0"/>
          <w:sz w:val="24"/>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2.商务技术文件目录</w:t>
      </w:r>
    </w:p>
    <w:p w14:paraId="40FE48A4">
      <w:pPr>
        <w:snapToGrid w:val="0"/>
        <w:spacing w:before="156" w:beforeLines="50" w:after="50" w:line="360" w:lineRule="auto"/>
        <w:ind w:firstLine="640" w:firstLineChars="200"/>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5AD5BA8C">
      <w:pPr>
        <w:spacing w:line="400" w:lineRule="exact"/>
        <w:rPr>
          <w:rFonts w:hint="eastAsia" w:ascii="仿宋_GB2312" w:hAnsi="仿宋_GB2312" w:eastAsia="仿宋_GB2312" w:cs="仿宋_GB2312"/>
          <w:color w:val="auto"/>
          <w:spacing w:val="0"/>
          <w:position w:val="0"/>
          <w:sz w:val="32"/>
          <w:szCs w:val="32"/>
          <w:highlight w:val="none"/>
        </w:rPr>
      </w:pPr>
    </w:p>
    <w:p w14:paraId="6308C27E">
      <w:pPr>
        <w:spacing w:line="520" w:lineRule="exact"/>
        <w:jc w:val="center"/>
        <w:rPr>
          <w:rFonts w:hint="eastAsia" w:ascii="仿宋_GB2312" w:hAnsi="仿宋_GB2312" w:eastAsia="方正小标宋简体" w:cs="仿宋_GB2312"/>
          <w:color w:val="auto"/>
          <w:spacing w:val="0"/>
          <w:position w:val="0"/>
          <w:sz w:val="24"/>
          <w:szCs w:val="24"/>
          <w:highlight w:val="none"/>
          <w:lang w:eastAsia="zh-CN"/>
        </w:rPr>
      </w:pPr>
      <w:r>
        <w:rPr>
          <w:rFonts w:hint="eastAsia" w:ascii="方正小标宋简体" w:hAnsi="方正小标宋简体" w:eastAsia="方正小标宋简体" w:cs="方正小标宋简体"/>
          <w:color w:val="auto"/>
          <w:spacing w:val="0"/>
          <w:position w:val="0"/>
          <w:sz w:val="44"/>
          <w:szCs w:val="44"/>
          <w:highlight w:val="none"/>
        </w:rPr>
        <w:br w:type="page"/>
      </w:r>
      <w:r>
        <w:rPr>
          <w:rFonts w:hint="eastAsia" w:ascii="方正小标宋简体" w:hAnsi="方正小标宋简体" w:eastAsia="方正小标宋简体" w:cs="方正小标宋简体"/>
          <w:color w:val="auto"/>
          <w:spacing w:val="0"/>
          <w:position w:val="0"/>
          <w:sz w:val="36"/>
          <w:szCs w:val="36"/>
          <w:highlight w:val="none"/>
        </w:rPr>
        <w:t>无串通竞标行为的承诺函</w:t>
      </w:r>
      <w:r>
        <w:rPr>
          <w:rFonts w:hint="eastAsia" w:ascii="方正小标宋简体" w:hAnsi="方正小标宋简体" w:eastAsia="方正小标宋简体" w:cs="方正小标宋简体"/>
          <w:color w:val="auto"/>
          <w:spacing w:val="0"/>
          <w:position w:val="0"/>
          <w:sz w:val="36"/>
          <w:szCs w:val="36"/>
          <w:highlight w:val="none"/>
          <w:lang w:eastAsia="zh-CN"/>
        </w:rPr>
        <w:t>（格式）</w:t>
      </w:r>
    </w:p>
    <w:p w14:paraId="6C6ADD6A">
      <w:pPr>
        <w:spacing w:line="360" w:lineRule="auto"/>
        <w:ind w:firstLine="640" w:firstLineChars="200"/>
        <w:contextualSpacing/>
        <w:rPr>
          <w:rFonts w:hint="eastAsia" w:ascii="仿宋_GB2312" w:hAnsi="仿宋_GB2312" w:eastAsia="仿宋_GB2312" w:cs="仿宋_GB2312"/>
          <w:color w:val="auto"/>
          <w:spacing w:val="0"/>
          <w:position w:val="0"/>
          <w:sz w:val="32"/>
          <w:szCs w:val="32"/>
          <w:highlight w:val="none"/>
        </w:rPr>
      </w:pPr>
    </w:p>
    <w:p w14:paraId="045C1F4F">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一、我方承诺无下列相互串通竞标的情形：</w:t>
      </w:r>
    </w:p>
    <w:p w14:paraId="178A3BF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1.不同供应商的响应文件由同一单位或者个人编制； </w:t>
      </w:r>
    </w:p>
    <w:p w14:paraId="55D6C38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2.不同供应商委托同一单位或者个人办理竞标事宜；</w:t>
      </w:r>
    </w:p>
    <w:p w14:paraId="34CEC55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3.不同供应商的响应文件载明的项目管理员为同一个人；</w:t>
      </w:r>
    </w:p>
    <w:p w14:paraId="111633E0">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4.不同供应商的响应文件异常一致或者竞标报价呈规律性差异；</w:t>
      </w:r>
    </w:p>
    <w:p w14:paraId="342BE5BC">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5.不同供应商的响应文件相互混装；</w:t>
      </w:r>
    </w:p>
    <w:p w14:paraId="6FA757CD">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6.不同供应商的磋商保证金从同一单位或者个人账户转出。</w:t>
      </w:r>
    </w:p>
    <w:p w14:paraId="7119AC6E">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二、我方承诺无下列恶意串通的情形：</w:t>
      </w:r>
    </w:p>
    <w:p w14:paraId="1251D47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1.供应商直接或者间接从采购人或者采购代理机构处获得其他供应商的相关信息并修改其响应文件；</w:t>
      </w:r>
    </w:p>
    <w:p w14:paraId="42011CBA">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2.供应商按照采购人或者采购代理机构的授意撤换、修改响应文件；</w:t>
      </w:r>
    </w:p>
    <w:p w14:paraId="6404582C">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3.供应商之间协商报价、技术方案等响应文件的实质性内容；</w:t>
      </w:r>
    </w:p>
    <w:p w14:paraId="2EFD411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4.属于同一集团、协会、商会等组织成员的供应商按照该组织要求协同参加政府采购活动；</w:t>
      </w:r>
    </w:p>
    <w:p w14:paraId="1B102CF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5.供应商之间事先约定一致抬高或者压低竞标报价，或者在竞争性磋商项目中事先约定轮流以高价位或者低价位成交，或者事先约定由某一特定供应商成交，然后再参加竞标；</w:t>
      </w:r>
    </w:p>
    <w:p w14:paraId="1EED807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6.供应商之间商定部分供应商放弃参加政府采购活动或者放弃成交；</w:t>
      </w:r>
    </w:p>
    <w:p w14:paraId="2E948E7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7.供应商与采购人或者采购代理机构之间、供应商相互之间，为谋求特定供应商成交或者排斥其他供应商的其他串通行为。</w:t>
      </w:r>
    </w:p>
    <w:p w14:paraId="68C60779">
      <w:pPr>
        <w:spacing w:line="360" w:lineRule="auto"/>
        <w:ind w:firstLine="480" w:firstLineChars="200"/>
        <w:contextualSpacing/>
        <w:rPr>
          <w:rFonts w:hint="eastAsia" w:ascii="宋体" w:hAnsi="宋体" w:cs="仿宋_GB2312"/>
          <w:color w:val="auto"/>
          <w:spacing w:val="0"/>
          <w:position w:val="0"/>
          <w:sz w:val="24"/>
          <w:highlight w:val="none"/>
        </w:rPr>
      </w:pPr>
    </w:p>
    <w:p w14:paraId="546947B7">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以上情形一经核查属实，我方愿意承担一切后果，并不再寻求任何旨在减轻或者免除法律责任的辩解。</w:t>
      </w:r>
    </w:p>
    <w:p w14:paraId="60CE3286">
      <w:pPr>
        <w:spacing w:line="360" w:lineRule="auto"/>
        <w:contextualSpacing/>
        <w:rPr>
          <w:rFonts w:hint="eastAsia" w:ascii="宋体" w:hAnsi="宋体" w:cs="仿宋_GB2312"/>
          <w:color w:val="auto"/>
          <w:spacing w:val="0"/>
          <w:position w:val="0"/>
          <w:sz w:val="24"/>
          <w:highlight w:val="none"/>
        </w:rPr>
      </w:pPr>
    </w:p>
    <w:p w14:paraId="105ECDFF">
      <w:pPr>
        <w:spacing w:line="360" w:lineRule="auto"/>
        <w:contextualSpacing/>
        <w:rPr>
          <w:rFonts w:hint="eastAsia" w:ascii="宋体" w:hAnsi="宋体" w:cs="仿宋_GB2312"/>
          <w:color w:val="auto"/>
          <w:spacing w:val="0"/>
          <w:position w:val="0"/>
          <w:sz w:val="24"/>
          <w:highlight w:val="none"/>
        </w:rPr>
      </w:pPr>
    </w:p>
    <w:p w14:paraId="2754B1DD">
      <w:pPr>
        <w:spacing w:line="360" w:lineRule="auto"/>
        <w:ind w:firstLine="3600" w:firstLineChars="15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p>
    <w:p w14:paraId="76251AC0">
      <w:pPr>
        <w:spacing w:line="360" w:lineRule="auto"/>
        <w:ind w:firstLine="480" w:firstLineChars="200"/>
        <w:contextualSpacing/>
        <w:jc w:val="center"/>
        <w:rPr>
          <w:rFonts w:hint="eastAsia" w:ascii="仿宋_GB2312" w:hAnsi="仿宋_GB2312" w:eastAsia="仿宋_GB2312" w:cs="仿宋_GB2312"/>
          <w:color w:val="auto"/>
          <w:spacing w:val="0"/>
          <w:position w:val="0"/>
          <w:sz w:val="32"/>
          <w:szCs w:val="32"/>
          <w:highlight w:val="none"/>
        </w:rPr>
      </w:pPr>
      <w:r>
        <w:rPr>
          <w:rFonts w:hint="eastAsia" w:ascii="宋体" w:hAnsi="宋体" w:cs="仿宋_GB2312"/>
          <w:color w:val="auto"/>
          <w:spacing w:val="0"/>
          <w:position w:val="0"/>
          <w:sz w:val="24"/>
          <w:highlight w:val="none"/>
        </w:rPr>
        <w:t xml:space="preserve">                               年   月   日</w:t>
      </w:r>
    </w:p>
    <w:p w14:paraId="5FFDAC9E">
      <w:pPr>
        <w:spacing w:line="520" w:lineRule="exact"/>
        <w:jc w:val="center"/>
        <w:rPr>
          <w:rFonts w:hint="eastAsia" w:ascii="仿宋_GB2312" w:hAnsi="仿宋_GB2312" w:eastAsia="仿宋_GB2312" w:cs="仿宋_GB2312"/>
          <w:color w:val="auto"/>
          <w:spacing w:val="0"/>
          <w:position w:val="0"/>
          <w:sz w:val="32"/>
          <w:szCs w:val="32"/>
          <w:highlight w:val="none"/>
        </w:rPr>
      </w:pPr>
      <w:r>
        <w:rPr>
          <w:rFonts w:hint="eastAsia"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44"/>
          <w:szCs w:val="44"/>
          <w:highlight w:val="none"/>
        </w:rPr>
        <w:t>法定代表人证明书</w:t>
      </w:r>
    </w:p>
    <w:p w14:paraId="20A52E56">
      <w:pPr>
        <w:spacing w:line="360" w:lineRule="auto"/>
        <w:ind w:left="540"/>
        <w:contextualSpacing/>
        <w:rPr>
          <w:rFonts w:hint="eastAsia" w:ascii="仿宋_GB2312" w:hAnsi="仿宋_GB2312" w:eastAsia="仿宋_GB2312" w:cs="仿宋_GB2312"/>
          <w:color w:val="auto"/>
          <w:spacing w:val="0"/>
          <w:position w:val="0"/>
          <w:sz w:val="32"/>
          <w:szCs w:val="32"/>
          <w:highlight w:val="none"/>
        </w:rPr>
      </w:pPr>
    </w:p>
    <w:p w14:paraId="18827A46">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供应商名称：</w:t>
      </w:r>
      <w:r>
        <w:rPr>
          <w:rFonts w:hint="eastAsia" w:ascii="宋体" w:hAnsi="宋体" w:cs="仿宋_GB2312"/>
          <w:color w:val="auto"/>
          <w:spacing w:val="0"/>
          <w:position w:val="0"/>
          <w:sz w:val="24"/>
          <w:highlight w:val="none"/>
          <w:u w:val="single"/>
        </w:rPr>
        <w:t xml:space="preserve">                                         </w:t>
      </w:r>
    </w:p>
    <w:p w14:paraId="3615B1DB">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地    址：</w:t>
      </w:r>
      <w:r>
        <w:rPr>
          <w:rFonts w:hint="eastAsia" w:ascii="宋体" w:hAnsi="宋体" w:cs="仿宋_GB2312"/>
          <w:color w:val="auto"/>
          <w:spacing w:val="0"/>
          <w:position w:val="0"/>
          <w:sz w:val="24"/>
          <w:highlight w:val="none"/>
          <w:u w:val="single"/>
        </w:rPr>
        <w:t xml:space="preserve">                                           </w:t>
      </w:r>
    </w:p>
    <w:p w14:paraId="3C07E8AB">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姓    名：</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性     别：</w:t>
      </w:r>
      <w:r>
        <w:rPr>
          <w:rFonts w:hint="eastAsia" w:ascii="宋体" w:hAnsi="宋体" w:cs="仿宋_GB2312"/>
          <w:color w:val="auto"/>
          <w:spacing w:val="0"/>
          <w:position w:val="0"/>
          <w:sz w:val="24"/>
          <w:highlight w:val="none"/>
          <w:u w:val="single"/>
        </w:rPr>
        <w:t xml:space="preserve">                </w:t>
      </w:r>
    </w:p>
    <w:p w14:paraId="31DA3BC7">
      <w:pPr>
        <w:spacing w:line="360" w:lineRule="auto"/>
        <w:ind w:left="540"/>
        <w:contextualSpacing/>
        <w:rPr>
          <w:rFonts w:hint="eastAsia" w:ascii="宋体" w:hAnsi="宋体" w:cs="仿宋_GB2312"/>
          <w:color w:val="auto"/>
          <w:spacing w:val="0"/>
          <w:position w:val="0"/>
          <w:sz w:val="24"/>
          <w:highlight w:val="none"/>
          <w:u w:val="single"/>
        </w:rPr>
      </w:pPr>
      <w:r>
        <w:rPr>
          <w:rFonts w:hint="eastAsia" w:ascii="宋体" w:hAnsi="宋体" w:cs="仿宋_GB2312"/>
          <w:color w:val="auto"/>
          <w:spacing w:val="0"/>
          <w:position w:val="0"/>
          <w:sz w:val="24"/>
          <w:highlight w:val="none"/>
        </w:rPr>
        <w:t>年    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职     务：</w:t>
      </w:r>
      <w:r>
        <w:rPr>
          <w:rFonts w:hint="eastAsia" w:ascii="宋体" w:hAnsi="宋体" w:cs="仿宋_GB2312"/>
          <w:color w:val="auto"/>
          <w:spacing w:val="0"/>
          <w:position w:val="0"/>
          <w:sz w:val="24"/>
          <w:highlight w:val="none"/>
          <w:u w:val="single"/>
        </w:rPr>
        <w:t xml:space="preserve">                </w:t>
      </w:r>
    </w:p>
    <w:p w14:paraId="5E9F552D">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身份证号码：</w:t>
      </w:r>
      <w:r>
        <w:rPr>
          <w:rFonts w:hint="eastAsia" w:ascii="宋体" w:hAnsi="宋体" w:cs="仿宋_GB2312"/>
          <w:color w:val="auto"/>
          <w:spacing w:val="0"/>
          <w:position w:val="0"/>
          <w:sz w:val="24"/>
          <w:highlight w:val="none"/>
          <w:u w:val="single"/>
        </w:rPr>
        <w:t xml:space="preserve">                                        </w:t>
      </w:r>
    </w:p>
    <w:p w14:paraId="368D25A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rPr>
        <w:t>的法定代表人。</w:t>
      </w:r>
    </w:p>
    <w:p w14:paraId="2722C2CC">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特此证明。</w:t>
      </w:r>
    </w:p>
    <w:p w14:paraId="5B6CDCE0">
      <w:pPr>
        <w:spacing w:line="360" w:lineRule="auto"/>
        <w:ind w:left="540"/>
        <w:contextualSpacing/>
        <w:rPr>
          <w:rFonts w:hint="eastAsia" w:ascii="宋体" w:hAnsi="宋体" w:cs="仿宋_GB2312"/>
          <w:color w:val="auto"/>
          <w:spacing w:val="0"/>
          <w:position w:val="0"/>
          <w:sz w:val="24"/>
          <w:highlight w:val="none"/>
        </w:rPr>
      </w:pPr>
    </w:p>
    <w:p w14:paraId="0AE629DC">
      <w:pPr>
        <w:spacing w:line="360" w:lineRule="auto"/>
        <w:ind w:left="540"/>
        <w:contextualSpacing/>
        <w:rPr>
          <w:rFonts w:hint="eastAsia" w:ascii="宋体" w:hAnsi="宋体" w:cs="仿宋_GB2312"/>
          <w:color w:val="auto"/>
          <w:spacing w:val="0"/>
          <w:position w:val="0"/>
          <w:sz w:val="24"/>
          <w:highlight w:val="none"/>
        </w:rPr>
      </w:pPr>
    </w:p>
    <w:p w14:paraId="6FC59092">
      <w:pPr>
        <w:spacing w:line="360" w:lineRule="auto"/>
        <w:ind w:left="540"/>
        <w:contextualSpacing/>
        <w:rPr>
          <w:rFonts w:hint="eastAsia" w:ascii="宋体" w:hAnsi="宋体" w:cs="仿宋_GB2312"/>
          <w:color w:val="auto"/>
          <w:spacing w:val="0"/>
          <w:position w:val="0"/>
          <w:sz w:val="24"/>
          <w:highlight w:val="none"/>
        </w:rPr>
      </w:pPr>
    </w:p>
    <w:p w14:paraId="43E236BC">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附件：法定代表人有效身份证正反面复印件</w:t>
      </w:r>
    </w:p>
    <w:p w14:paraId="6D7CFBF4">
      <w:pPr>
        <w:spacing w:line="360" w:lineRule="auto"/>
        <w:ind w:left="540"/>
        <w:contextualSpacing/>
        <w:rPr>
          <w:rFonts w:hint="eastAsia" w:ascii="宋体" w:hAnsi="宋体" w:cs="仿宋_GB2312"/>
          <w:color w:val="auto"/>
          <w:spacing w:val="0"/>
          <w:position w:val="0"/>
          <w:sz w:val="24"/>
          <w:highlight w:val="none"/>
        </w:rPr>
      </w:pPr>
    </w:p>
    <w:p w14:paraId="74236BF2">
      <w:pPr>
        <w:spacing w:line="360" w:lineRule="auto"/>
        <w:ind w:left="540"/>
        <w:contextualSpacing/>
        <w:rPr>
          <w:rFonts w:hint="eastAsia" w:ascii="宋体" w:hAnsi="宋体" w:cs="仿宋_GB2312"/>
          <w:color w:val="auto"/>
          <w:spacing w:val="0"/>
          <w:position w:val="0"/>
          <w:sz w:val="24"/>
          <w:highlight w:val="none"/>
        </w:rPr>
      </w:pPr>
    </w:p>
    <w:p w14:paraId="71C5DAB8">
      <w:pPr>
        <w:spacing w:line="360" w:lineRule="auto"/>
        <w:ind w:left="540" w:firstLine="3000" w:firstLineChars="125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r>
        <w:rPr>
          <w:rFonts w:hint="eastAsia" w:ascii="宋体" w:hAnsi="宋体" w:cs="仿宋_GB2312"/>
          <w:color w:val="auto"/>
          <w:spacing w:val="0"/>
          <w:position w:val="0"/>
          <w:sz w:val="24"/>
          <w:highlight w:val="none"/>
          <w:u w:val="single"/>
        </w:rPr>
        <w:t xml:space="preserve">               </w:t>
      </w:r>
    </w:p>
    <w:p w14:paraId="6EAB5AE2">
      <w:pPr>
        <w:spacing w:line="360" w:lineRule="auto"/>
        <w:ind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年</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月</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日</w:t>
      </w:r>
    </w:p>
    <w:p w14:paraId="641B9E56">
      <w:pPr>
        <w:spacing w:line="360" w:lineRule="auto"/>
        <w:contextualSpacing/>
        <w:jc w:val="center"/>
        <w:rPr>
          <w:rFonts w:hint="eastAsia" w:ascii="宋体" w:hAnsi="宋体" w:cs="仿宋_GB2312"/>
          <w:b/>
          <w:color w:val="auto"/>
          <w:spacing w:val="0"/>
          <w:position w:val="0"/>
          <w:sz w:val="24"/>
          <w:highlight w:val="none"/>
        </w:rPr>
      </w:pPr>
    </w:p>
    <w:p w14:paraId="686DC534">
      <w:pPr>
        <w:adjustRightInd w:val="0"/>
        <w:snapToGrid w:val="0"/>
        <w:spacing w:line="300" w:lineRule="auto"/>
        <w:jc w:val="left"/>
        <w:rPr>
          <w:rFonts w:hint="eastAsia" w:ascii="宋体" w:hAnsi="宋体"/>
          <w:b/>
          <w:color w:val="auto"/>
          <w:spacing w:val="0"/>
          <w:position w:val="0"/>
          <w:szCs w:val="21"/>
          <w:highlight w:val="none"/>
        </w:rPr>
      </w:pPr>
    </w:p>
    <w:p w14:paraId="6CBC212C">
      <w:pPr>
        <w:spacing w:line="50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44"/>
          <w:szCs w:val="44"/>
          <w:highlight w:val="none"/>
        </w:rPr>
        <w:br w:type="page"/>
      </w:r>
      <w:bookmarkStart w:id="75" w:name="_Hlk65853643"/>
      <w:r>
        <w:rPr>
          <w:rFonts w:hint="eastAsia" w:ascii="方正小标宋简体" w:hAnsi="方正小标宋简体" w:eastAsia="方正小标宋简体" w:cs="方正小标宋简体"/>
          <w:color w:val="auto"/>
          <w:spacing w:val="0"/>
          <w:position w:val="0"/>
          <w:sz w:val="44"/>
          <w:szCs w:val="44"/>
          <w:highlight w:val="none"/>
        </w:rPr>
        <w:t>授权委托书</w:t>
      </w:r>
    </w:p>
    <w:p w14:paraId="2153ED7D">
      <w:pPr>
        <w:spacing w:line="52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32"/>
          <w:szCs w:val="32"/>
          <w:highlight w:val="none"/>
        </w:rPr>
        <w:t>（如有委托时）</w:t>
      </w:r>
    </w:p>
    <w:p w14:paraId="5B0BC7D1">
      <w:pPr>
        <w:spacing w:line="520" w:lineRule="exact"/>
        <w:rPr>
          <w:rFonts w:hint="eastAsia" w:ascii="仿宋_GB2312" w:hAnsi="仿宋_GB2312" w:eastAsia="仿宋_GB2312" w:cs="仿宋_GB2312"/>
          <w:color w:val="auto"/>
          <w:spacing w:val="0"/>
          <w:position w:val="0"/>
          <w:sz w:val="32"/>
          <w:szCs w:val="32"/>
          <w:highlight w:val="none"/>
        </w:rPr>
      </w:pPr>
    </w:p>
    <w:p w14:paraId="420D72F1">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致：</w:t>
      </w:r>
      <w:r>
        <w:rPr>
          <w:rFonts w:hint="eastAsia" w:ascii="宋体" w:hAnsi="宋体" w:cs="仿宋_GB2312"/>
          <w:color w:val="auto"/>
          <w:spacing w:val="0"/>
          <w:position w:val="0"/>
          <w:sz w:val="24"/>
          <w:highlight w:val="none"/>
          <w:u w:val="single"/>
        </w:rPr>
        <w:t>（采购人名称）</w:t>
      </w:r>
      <w:r>
        <w:rPr>
          <w:rFonts w:hint="eastAsia" w:ascii="宋体" w:hAnsi="宋体" w:cs="仿宋_GB2312"/>
          <w:color w:val="auto"/>
          <w:spacing w:val="0"/>
          <w:position w:val="0"/>
          <w:sz w:val="24"/>
          <w:highlight w:val="none"/>
        </w:rPr>
        <w:t>：</w:t>
      </w:r>
    </w:p>
    <w:p w14:paraId="6E1D1032">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我</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的（</w:t>
      </w:r>
      <w:r>
        <w:rPr>
          <w:rFonts w:hint="eastAsia" w:ascii="宋体" w:hAnsi="宋体" w:cs="仿宋_GB2312"/>
          <w:color w:val="auto"/>
          <w:spacing w:val="0"/>
          <w:position w:val="0"/>
          <w:sz w:val="24"/>
          <w:highlight w:val="none"/>
          <w:u w:val="single"/>
        </w:rPr>
        <w:t>□法定代表人/□负责人</w:t>
      </w:r>
      <w:r>
        <w:rPr>
          <w:rFonts w:hint="eastAsia" w:ascii="宋体" w:hAnsi="宋体" w:cs="仿宋_GB2312"/>
          <w:color w:val="auto"/>
          <w:spacing w:val="0"/>
          <w:position w:val="0"/>
          <w:sz w:val="24"/>
          <w:highlight w:val="none"/>
        </w:rPr>
        <w:t>），现授权</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rPr>
        <w:t>以我方的名义参加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项目的竞标活动，并代表我方全权办理针对上述项目的所有采购程序和环节的具体事务和签署相关文件。</w:t>
      </w:r>
    </w:p>
    <w:p w14:paraId="17A03BF4">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我方对委托代理人的签字</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事项负全部责任。</w:t>
      </w:r>
    </w:p>
    <w:p w14:paraId="52F50179">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本授权书自签署之日起生效，在撤销授权的书面通知以前，本授权书一直有效。委托代理人在授权书有效期内签署的所有文件不因授权的撤销而失效。</w:t>
      </w:r>
    </w:p>
    <w:p w14:paraId="6F67AFB4">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委托代理人无转委托权，特此委托。</w:t>
      </w:r>
    </w:p>
    <w:p w14:paraId="3245FC75">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附：法定代表人身份证明书及委托代理人有效身份证正反面复印件</w:t>
      </w:r>
    </w:p>
    <w:p w14:paraId="68E20702">
      <w:pPr>
        <w:spacing w:line="360" w:lineRule="auto"/>
        <w:rPr>
          <w:rFonts w:hint="eastAsia" w:ascii="宋体" w:hAnsi="宋体" w:cs="仿宋_GB2312"/>
          <w:color w:val="auto"/>
          <w:spacing w:val="0"/>
          <w:position w:val="0"/>
          <w:sz w:val="24"/>
          <w:highlight w:val="none"/>
        </w:rPr>
      </w:pPr>
    </w:p>
    <w:p w14:paraId="677D6BE8">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w:t>
      </w:r>
      <w:r>
        <w:rPr>
          <w:rFonts w:hint="eastAsia" w:ascii="宋体" w:hAnsi="宋体"/>
          <w:color w:val="auto"/>
          <w:spacing w:val="0"/>
          <w:position w:val="0"/>
          <w:sz w:val="24"/>
          <w:highlight w:val="none"/>
        </w:rPr>
        <w:t>签字或者电子签名</w:t>
      </w:r>
      <w:r>
        <w:rPr>
          <w:rFonts w:hint="eastAsia" w:ascii="宋体" w:hAnsi="宋体" w:cs="仿宋_GB2312"/>
          <w:color w:val="auto"/>
          <w:spacing w:val="0"/>
          <w:position w:val="0"/>
          <w:sz w:val="24"/>
          <w:highlight w:val="none"/>
        </w:rPr>
        <w:t xml:space="preserve">）：     法定代表人（签字或者盖章或者电子签名）：                    </w:t>
      </w:r>
    </w:p>
    <w:p w14:paraId="69254602">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委托代理人身份证号码：                              </w:t>
      </w:r>
    </w:p>
    <w:p w14:paraId="2F4C7DF9">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p>
    <w:p w14:paraId="25AB525B">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供应商（电子签章）：                      </w:t>
      </w:r>
    </w:p>
    <w:p w14:paraId="526E111C">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年    月    日</w:t>
      </w:r>
    </w:p>
    <w:p w14:paraId="000E16EA">
      <w:pPr>
        <w:spacing w:line="360" w:lineRule="auto"/>
        <w:rPr>
          <w:rFonts w:hint="eastAsia" w:ascii="宋体" w:hAnsi="宋体" w:cs="仿宋_GB2312"/>
          <w:color w:val="auto"/>
          <w:spacing w:val="0"/>
          <w:position w:val="0"/>
          <w:sz w:val="24"/>
          <w:highlight w:val="none"/>
        </w:rPr>
      </w:pPr>
    </w:p>
    <w:p w14:paraId="24EFECAE">
      <w:pPr>
        <w:spacing w:line="360" w:lineRule="auto"/>
        <w:rPr>
          <w:rFonts w:hint="eastAsia" w:ascii="宋体" w:hAnsi="宋体" w:cs="仿宋_GB2312"/>
          <w:color w:val="auto"/>
          <w:spacing w:val="0"/>
          <w:position w:val="0"/>
          <w:sz w:val="24"/>
          <w:highlight w:val="none"/>
        </w:rPr>
      </w:pPr>
    </w:p>
    <w:p w14:paraId="5CA91CB1">
      <w:pPr>
        <w:spacing w:line="360" w:lineRule="auto"/>
        <w:rPr>
          <w:rFonts w:hint="eastAsia" w:ascii="宋体" w:hAnsi="宋体" w:cs="仿宋_GB2312"/>
          <w:color w:val="auto"/>
          <w:spacing w:val="0"/>
          <w:position w:val="0"/>
          <w:sz w:val="24"/>
          <w:highlight w:val="none"/>
        </w:rPr>
      </w:pPr>
    </w:p>
    <w:p w14:paraId="242C818D">
      <w:pPr>
        <w:spacing w:line="360" w:lineRule="auto"/>
        <w:rPr>
          <w:rFonts w:hint="eastAsia" w:ascii="宋体" w:hAnsi="宋体" w:cs="仿宋_GB2312"/>
          <w:color w:val="auto"/>
          <w:spacing w:val="0"/>
          <w:position w:val="0"/>
          <w:sz w:val="24"/>
          <w:highlight w:val="none"/>
        </w:rPr>
      </w:pPr>
    </w:p>
    <w:p w14:paraId="52D2141A">
      <w:pPr>
        <w:spacing w:line="360" w:lineRule="auto"/>
        <w:rPr>
          <w:rFonts w:hint="eastAsia" w:ascii="宋体" w:hAnsi="宋体" w:cs="仿宋_GB2312"/>
          <w:color w:val="auto"/>
          <w:spacing w:val="0"/>
          <w:position w:val="0"/>
          <w:sz w:val="24"/>
          <w:highlight w:val="none"/>
        </w:rPr>
      </w:pPr>
    </w:p>
    <w:p w14:paraId="6670044B">
      <w:pPr>
        <w:spacing w:line="360" w:lineRule="auto"/>
        <w:ind w:firstLine="480" w:firstLineChars="200"/>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注：法定代表人必须在授权委托书上签字或者盖章</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，委托代理人必须在授权委托书上签字或者电子签名，</w:t>
      </w:r>
      <w:r>
        <w:rPr>
          <w:rFonts w:hint="eastAsia" w:ascii="宋体" w:hAnsi="宋体" w:cs="仿宋_GB2312"/>
          <w:b/>
          <w:color w:val="auto"/>
          <w:spacing w:val="0"/>
          <w:position w:val="0"/>
          <w:sz w:val="24"/>
          <w:highlight w:val="none"/>
        </w:rPr>
        <w:t>否则其响应文件按无效处理。</w:t>
      </w:r>
    </w:p>
    <w:p w14:paraId="674D54A4">
      <w:pPr>
        <w:spacing w:line="360" w:lineRule="auto"/>
        <w:ind w:firstLine="420" w:firstLineChars="200"/>
        <w:jc w:val="left"/>
        <w:rPr>
          <w:rFonts w:hint="eastAsia" w:ascii="仿宋_GB2312" w:hAnsi="仿宋_GB2312" w:eastAsia="仿宋_GB2312" w:cs="仿宋_GB2312"/>
          <w:color w:val="auto"/>
          <w:spacing w:val="0"/>
          <w:position w:val="0"/>
          <w:szCs w:val="21"/>
          <w:highlight w:val="none"/>
        </w:rPr>
      </w:pPr>
    </w:p>
    <w:p w14:paraId="528A7A83">
      <w:pPr>
        <w:spacing w:line="500" w:lineRule="exact"/>
        <w:jc w:val="center"/>
        <w:rPr>
          <w:rFonts w:hint="eastAsia" w:ascii="方正小标宋简体" w:hAnsi="方正小标宋简体" w:eastAsia="方正小标宋简体" w:cs="方正小标宋简体"/>
          <w:bCs/>
          <w:color w:val="auto"/>
          <w:spacing w:val="0"/>
          <w:position w:val="0"/>
          <w:sz w:val="44"/>
          <w:szCs w:val="44"/>
          <w:highlight w:val="none"/>
        </w:rPr>
      </w:pPr>
      <w:r>
        <w:rPr>
          <w:rFonts w:ascii="仿宋_GB2312" w:hAnsi="仿宋_GB2312" w:eastAsia="仿宋_GB2312" w:cs="仿宋_GB2312"/>
          <w:color w:val="auto"/>
          <w:spacing w:val="0"/>
          <w:position w:val="0"/>
          <w:szCs w:val="21"/>
          <w:highlight w:val="none"/>
        </w:rPr>
        <w:br w:type="page"/>
      </w:r>
      <w:bookmarkEnd w:id="75"/>
      <w:r>
        <w:rPr>
          <w:rFonts w:hint="eastAsia" w:ascii="方正小标宋简体" w:hAnsi="方正小标宋简体" w:eastAsia="方正小标宋简体" w:cs="方正小标宋简体"/>
          <w:bCs/>
          <w:color w:val="auto"/>
          <w:spacing w:val="0"/>
          <w:position w:val="0"/>
          <w:sz w:val="44"/>
          <w:szCs w:val="44"/>
          <w:highlight w:val="none"/>
        </w:rPr>
        <w:t>施工组织设计</w:t>
      </w:r>
    </w:p>
    <w:p w14:paraId="752D9EDC">
      <w:pPr>
        <w:spacing w:line="500" w:lineRule="exact"/>
        <w:jc w:val="center"/>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64B393A4">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eastAsia="zh-CN"/>
        </w:rPr>
      </w:pPr>
      <w:r>
        <w:rPr>
          <w:rFonts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36"/>
          <w:szCs w:val="36"/>
          <w:highlight w:val="none"/>
        </w:rPr>
        <w:t>项目管理机构配备情况表</w:t>
      </w:r>
      <w:r>
        <w:rPr>
          <w:rFonts w:hint="eastAsia" w:ascii="方正小标宋简体" w:hAnsi="方正小标宋简体" w:eastAsia="方正小标宋简体" w:cs="方正小标宋简体"/>
          <w:bCs/>
          <w:color w:val="auto"/>
          <w:spacing w:val="0"/>
          <w:position w:val="0"/>
          <w:sz w:val="36"/>
          <w:szCs w:val="36"/>
          <w:highlight w:val="none"/>
          <w:lang w:eastAsia="zh-CN"/>
        </w:rPr>
        <w:t>（格式）</w:t>
      </w:r>
    </w:p>
    <w:p w14:paraId="596090A4">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p>
    <w:p w14:paraId="2F43FE42">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0C6FA5F4">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val="en-US" w:eastAsia="zh-CN"/>
        </w:rPr>
      </w:pPr>
    </w:p>
    <w:p w14:paraId="2DA0C668">
      <w:pPr>
        <w:pStyle w:val="3"/>
        <w:rPr>
          <w:rFonts w:hint="eastAsia"/>
          <w:color w:val="auto"/>
          <w:highlight w:val="none"/>
          <w:lang w:val="en-US" w:eastAsia="zh-CN"/>
        </w:rPr>
      </w:pPr>
    </w:p>
    <w:p w14:paraId="50B453D9">
      <w:pPr>
        <w:spacing w:line="360" w:lineRule="auto"/>
        <w:ind w:firstLine="480" w:firstLineChars="200"/>
        <w:contextualSpacing/>
        <w:jc w:val="left"/>
        <w:rPr>
          <w:rFonts w:hint="eastAsia" w:ascii="宋体" w:hAnsi="宋体"/>
          <w:color w:val="auto"/>
          <w:spacing w:val="0"/>
          <w:position w:val="0"/>
          <w:sz w:val="24"/>
          <w:szCs w:val="20"/>
          <w:highlight w:val="none"/>
        </w:rPr>
      </w:pPr>
    </w:p>
    <w:p w14:paraId="353B9A16">
      <w:pPr>
        <w:pStyle w:val="3"/>
        <w:rPr>
          <w:rFonts w:hint="eastAsia" w:ascii="宋体" w:hAnsi="宋体"/>
          <w:color w:val="auto"/>
          <w:spacing w:val="0"/>
          <w:position w:val="0"/>
          <w:sz w:val="24"/>
          <w:szCs w:val="20"/>
          <w:highlight w:val="none"/>
        </w:rPr>
      </w:pPr>
    </w:p>
    <w:p w14:paraId="65F16746">
      <w:pPr>
        <w:rPr>
          <w:rFonts w:hint="eastAsia" w:ascii="宋体" w:hAnsi="宋体"/>
          <w:color w:val="auto"/>
          <w:spacing w:val="0"/>
          <w:position w:val="0"/>
          <w:sz w:val="24"/>
          <w:szCs w:val="20"/>
          <w:highlight w:val="none"/>
        </w:rPr>
      </w:pPr>
    </w:p>
    <w:p w14:paraId="33D6D104">
      <w:pPr>
        <w:pStyle w:val="3"/>
        <w:rPr>
          <w:rFonts w:hint="eastAsia" w:ascii="宋体" w:hAnsi="宋体"/>
          <w:color w:val="auto"/>
          <w:spacing w:val="0"/>
          <w:position w:val="0"/>
          <w:sz w:val="24"/>
          <w:szCs w:val="20"/>
          <w:highlight w:val="none"/>
        </w:rPr>
      </w:pPr>
    </w:p>
    <w:p w14:paraId="0928F2EA">
      <w:pPr>
        <w:rPr>
          <w:rFonts w:hint="eastAsia" w:ascii="宋体" w:hAnsi="宋体"/>
          <w:color w:val="auto"/>
          <w:spacing w:val="0"/>
          <w:position w:val="0"/>
          <w:sz w:val="24"/>
          <w:szCs w:val="20"/>
          <w:highlight w:val="none"/>
        </w:rPr>
      </w:pPr>
    </w:p>
    <w:p w14:paraId="512933D8">
      <w:pPr>
        <w:pStyle w:val="3"/>
        <w:rPr>
          <w:rFonts w:hint="eastAsia"/>
          <w:color w:val="auto"/>
          <w:highlight w:val="none"/>
        </w:rPr>
      </w:pPr>
    </w:p>
    <w:p w14:paraId="1D1A0E25">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61BBCA17">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52D2EFDA">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52B23F30">
      <w:pPr>
        <w:spacing w:before="100" w:line="225" w:lineRule="auto"/>
        <w:ind w:left="16"/>
        <w:outlineLvl w:val="1"/>
        <w:rPr>
          <w:rFonts w:ascii="Cambria" w:hAnsi="Cambria" w:eastAsia="Cambria" w:cs="Cambria"/>
          <w:color w:val="auto"/>
          <w:spacing w:val="0"/>
          <w:position w:val="0"/>
          <w:sz w:val="31"/>
          <w:szCs w:val="31"/>
          <w:highlight w:val="none"/>
        </w:rPr>
      </w:pPr>
      <w:r>
        <w:rPr>
          <w:rFonts w:ascii="宋体" w:hAnsi="宋体"/>
          <w:b/>
          <w:color w:val="auto"/>
          <w:spacing w:val="0"/>
          <w:position w:val="0"/>
          <w:sz w:val="32"/>
          <w:szCs w:val="32"/>
          <w:highlight w:val="none"/>
        </w:rPr>
        <w:br w:type="page"/>
      </w:r>
    </w:p>
    <w:p w14:paraId="306270A6">
      <w:pPr>
        <w:pStyle w:val="39"/>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附：大型、 中型和小型、微型企业划型标准</w:t>
      </w:r>
    </w:p>
    <w:p w14:paraId="4E2AACC9">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根据</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工信部联企业[2011]300 号</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352C0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3A193121">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32A7E35D">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指标名称</w:t>
            </w:r>
          </w:p>
        </w:tc>
        <w:tc>
          <w:tcPr>
            <w:tcW w:w="900" w:type="dxa"/>
            <w:vAlign w:val="top"/>
          </w:tcPr>
          <w:p w14:paraId="777C51C5">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单位</w:t>
            </w:r>
          </w:p>
        </w:tc>
        <w:tc>
          <w:tcPr>
            <w:tcW w:w="1399" w:type="dxa"/>
            <w:vAlign w:val="top"/>
          </w:tcPr>
          <w:p w14:paraId="7148006A">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大型</w:t>
            </w:r>
          </w:p>
        </w:tc>
        <w:tc>
          <w:tcPr>
            <w:tcW w:w="1535" w:type="dxa"/>
            <w:vAlign w:val="top"/>
          </w:tcPr>
          <w:p w14:paraId="683DAC9A">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中型</w:t>
            </w:r>
          </w:p>
        </w:tc>
        <w:tc>
          <w:tcPr>
            <w:tcW w:w="1295" w:type="dxa"/>
            <w:vAlign w:val="top"/>
          </w:tcPr>
          <w:p w14:paraId="6B893BAB">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小型</w:t>
            </w:r>
          </w:p>
        </w:tc>
        <w:tc>
          <w:tcPr>
            <w:tcW w:w="1004" w:type="dxa"/>
            <w:vAlign w:val="top"/>
          </w:tcPr>
          <w:p w14:paraId="077FA5A8">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微型</w:t>
            </w:r>
          </w:p>
        </w:tc>
      </w:tr>
      <w:tr w14:paraId="78155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68AF1FB1">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农林牧渔</w:t>
            </w:r>
          </w:p>
        </w:tc>
        <w:tc>
          <w:tcPr>
            <w:tcW w:w="1187" w:type="dxa"/>
            <w:vAlign w:val="top"/>
          </w:tcPr>
          <w:p w14:paraId="1A95BF18">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3F57227">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56CCFF88">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114243AE">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23B925DE">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50-500</w:t>
            </w:r>
          </w:p>
        </w:tc>
        <w:tc>
          <w:tcPr>
            <w:tcW w:w="1004" w:type="dxa"/>
            <w:vAlign w:val="top"/>
          </w:tcPr>
          <w:p w14:paraId="36ED87EB">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5A84C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656A2E4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9CD1EF3">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工业</w:t>
            </w:r>
          </w:p>
        </w:tc>
        <w:tc>
          <w:tcPr>
            <w:tcW w:w="1187" w:type="dxa"/>
            <w:vAlign w:val="top"/>
          </w:tcPr>
          <w:p w14:paraId="756986DF">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B522131">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1B987D13">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1DB26C8E">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5D7FDB25">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7DBCE323">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1CEB6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3A3C537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3AC8C59">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40CC582">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5C74DBAD">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7F38D86C">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2000-40000</w:t>
            </w:r>
          </w:p>
        </w:tc>
        <w:tc>
          <w:tcPr>
            <w:tcW w:w="1295" w:type="dxa"/>
            <w:vAlign w:val="top"/>
          </w:tcPr>
          <w:p w14:paraId="2D81C005">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300-2000</w:t>
            </w:r>
          </w:p>
        </w:tc>
        <w:tc>
          <w:tcPr>
            <w:tcW w:w="1004" w:type="dxa"/>
            <w:vAlign w:val="top"/>
          </w:tcPr>
          <w:p w14:paraId="4C92BA88">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052BE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7DC8A2E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66672D15">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建筑业</w:t>
            </w:r>
          </w:p>
        </w:tc>
        <w:tc>
          <w:tcPr>
            <w:tcW w:w="1187" w:type="dxa"/>
            <w:vAlign w:val="top"/>
          </w:tcPr>
          <w:p w14:paraId="44823EA6">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E304048">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AFD2E12">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07D0DE9A">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6000-80000</w:t>
            </w:r>
          </w:p>
        </w:tc>
        <w:tc>
          <w:tcPr>
            <w:tcW w:w="1295" w:type="dxa"/>
            <w:vAlign w:val="top"/>
          </w:tcPr>
          <w:p w14:paraId="52BBA050">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300-6000</w:t>
            </w:r>
          </w:p>
        </w:tc>
        <w:tc>
          <w:tcPr>
            <w:tcW w:w="1004" w:type="dxa"/>
            <w:vAlign w:val="top"/>
          </w:tcPr>
          <w:p w14:paraId="7F7CFEF9">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592C8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3BE6C1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2BD03E3">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22519507">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DAD6ECC">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6F7319A6">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5000-80000</w:t>
            </w:r>
          </w:p>
        </w:tc>
        <w:tc>
          <w:tcPr>
            <w:tcW w:w="1295" w:type="dxa"/>
            <w:vAlign w:val="top"/>
          </w:tcPr>
          <w:p w14:paraId="524E75B7">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300-5000</w:t>
            </w:r>
          </w:p>
        </w:tc>
        <w:tc>
          <w:tcPr>
            <w:tcW w:w="1004" w:type="dxa"/>
            <w:vAlign w:val="top"/>
          </w:tcPr>
          <w:p w14:paraId="7B1FCC80">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0A77C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7673C44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77272806">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批发业</w:t>
            </w:r>
          </w:p>
        </w:tc>
        <w:tc>
          <w:tcPr>
            <w:tcW w:w="1187" w:type="dxa"/>
            <w:vAlign w:val="top"/>
          </w:tcPr>
          <w:p w14:paraId="2FB53D7A">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B189D98">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FF12646">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4D25371E">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20-200</w:t>
            </w:r>
          </w:p>
        </w:tc>
        <w:tc>
          <w:tcPr>
            <w:tcW w:w="1295" w:type="dxa"/>
            <w:vAlign w:val="top"/>
          </w:tcPr>
          <w:p w14:paraId="36175B69">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5-20</w:t>
            </w:r>
          </w:p>
        </w:tc>
        <w:tc>
          <w:tcPr>
            <w:tcW w:w="1004" w:type="dxa"/>
            <w:vAlign w:val="top"/>
          </w:tcPr>
          <w:p w14:paraId="66B889C2">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w:t>
            </w:r>
          </w:p>
        </w:tc>
      </w:tr>
      <w:tr w14:paraId="08C42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658DD4D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2EFE940A">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E4C0C4B">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0F0DF17">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328041C6">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5000-40000</w:t>
            </w:r>
          </w:p>
        </w:tc>
        <w:tc>
          <w:tcPr>
            <w:tcW w:w="1295" w:type="dxa"/>
            <w:vAlign w:val="top"/>
          </w:tcPr>
          <w:p w14:paraId="173F17B1">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004" w:type="dxa"/>
            <w:vAlign w:val="top"/>
          </w:tcPr>
          <w:p w14:paraId="166A0808">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r>
      <w:tr w14:paraId="5A7AB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4C68363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74632441">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零售业</w:t>
            </w:r>
          </w:p>
        </w:tc>
        <w:tc>
          <w:tcPr>
            <w:tcW w:w="1187" w:type="dxa"/>
            <w:vAlign w:val="top"/>
          </w:tcPr>
          <w:p w14:paraId="7C688458">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ADAEFBC">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3546C64">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579A62E5">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50-300</w:t>
            </w:r>
          </w:p>
        </w:tc>
        <w:tc>
          <w:tcPr>
            <w:tcW w:w="1295" w:type="dxa"/>
            <w:vAlign w:val="top"/>
          </w:tcPr>
          <w:p w14:paraId="7A2D5B45">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10-50</w:t>
            </w:r>
          </w:p>
        </w:tc>
        <w:tc>
          <w:tcPr>
            <w:tcW w:w="1004" w:type="dxa"/>
            <w:vAlign w:val="top"/>
          </w:tcPr>
          <w:p w14:paraId="7C721948">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1951C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309670F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538E23A">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F277482">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591700A">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0548B92E">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721E44A2">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100-500</w:t>
            </w:r>
          </w:p>
        </w:tc>
        <w:tc>
          <w:tcPr>
            <w:tcW w:w="1004" w:type="dxa"/>
            <w:vAlign w:val="top"/>
          </w:tcPr>
          <w:p w14:paraId="6FE8972D">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65ED5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54F0252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6215FDB5">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交通运输</w:t>
            </w:r>
          </w:p>
        </w:tc>
        <w:tc>
          <w:tcPr>
            <w:tcW w:w="1187" w:type="dxa"/>
            <w:vAlign w:val="top"/>
          </w:tcPr>
          <w:p w14:paraId="00A99ED0">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B9AFF32">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02BFE76">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598D32C9">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68FAA704">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7D6DB1DB">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4B34B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690FF96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02310FD">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1671C86">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272FF506">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42FE52F3">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3000-30000</w:t>
            </w:r>
          </w:p>
        </w:tc>
        <w:tc>
          <w:tcPr>
            <w:tcW w:w="1295" w:type="dxa"/>
            <w:vAlign w:val="top"/>
          </w:tcPr>
          <w:p w14:paraId="3E99F6FD">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200-3000</w:t>
            </w:r>
          </w:p>
        </w:tc>
        <w:tc>
          <w:tcPr>
            <w:tcW w:w="1004" w:type="dxa"/>
            <w:vAlign w:val="top"/>
          </w:tcPr>
          <w:p w14:paraId="222B85E0">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r>
      <w:tr w14:paraId="6FB40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2A0FD4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DD7FDEE">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仓储</w:t>
            </w:r>
          </w:p>
        </w:tc>
        <w:tc>
          <w:tcPr>
            <w:tcW w:w="1187" w:type="dxa"/>
            <w:vAlign w:val="top"/>
          </w:tcPr>
          <w:p w14:paraId="22D9A8D3">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B817635">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5F1E22D5">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205B7052">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09902DA6">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20-100</w:t>
            </w:r>
          </w:p>
        </w:tc>
        <w:tc>
          <w:tcPr>
            <w:tcW w:w="1004" w:type="dxa"/>
            <w:vAlign w:val="top"/>
          </w:tcPr>
          <w:p w14:paraId="6C71CE34">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63171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6BE190D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96D469B">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DF5170B">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FD32BA0">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2840C9A8">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1000-30000</w:t>
            </w:r>
          </w:p>
        </w:tc>
        <w:tc>
          <w:tcPr>
            <w:tcW w:w="1295" w:type="dxa"/>
            <w:vAlign w:val="top"/>
          </w:tcPr>
          <w:p w14:paraId="1D63DB47">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32F3F36B">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7B77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2873852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C1B6F24">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邮政业</w:t>
            </w:r>
          </w:p>
        </w:tc>
        <w:tc>
          <w:tcPr>
            <w:tcW w:w="1187" w:type="dxa"/>
            <w:vAlign w:val="top"/>
          </w:tcPr>
          <w:p w14:paraId="4E821824">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634B51B">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07A8FFC">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7A8BB8DF">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300- 1000</w:t>
            </w:r>
          </w:p>
        </w:tc>
        <w:tc>
          <w:tcPr>
            <w:tcW w:w="1295" w:type="dxa"/>
            <w:vAlign w:val="top"/>
          </w:tcPr>
          <w:p w14:paraId="00AE30FD">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52EE8C58">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42EED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5D32BAB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7707031">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5C83A39">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AF97559">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726EF00E">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2000-30000</w:t>
            </w:r>
          </w:p>
        </w:tc>
        <w:tc>
          <w:tcPr>
            <w:tcW w:w="1295" w:type="dxa"/>
            <w:vAlign w:val="top"/>
          </w:tcPr>
          <w:p w14:paraId="5A54C46B">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2DE538E4">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6A266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59D0C8B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49DE3466">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住宿餐饮</w:t>
            </w:r>
          </w:p>
        </w:tc>
        <w:tc>
          <w:tcPr>
            <w:tcW w:w="1187" w:type="dxa"/>
            <w:vAlign w:val="top"/>
          </w:tcPr>
          <w:p w14:paraId="5FC6E526">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EF4B8A4">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C160FC7">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34F06686">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55C5EE8B">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1435E8A8">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1DAEB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76C760F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E2FC0E5">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B72A2A0">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3EB422D">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6245ADAB">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2000-10000</w:t>
            </w:r>
          </w:p>
        </w:tc>
        <w:tc>
          <w:tcPr>
            <w:tcW w:w="1295" w:type="dxa"/>
            <w:vAlign w:val="top"/>
          </w:tcPr>
          <w:p w14:paraId="14AE4CA6">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38D99DFB">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047B8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60D0CCE7">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房地产 开发经营</w:t>
            </w:r>
          </w:p>
        </w:tc>
        <w:tc>
          <w:tcPr>
            <w:tcW w:w="1187" w:type="dxa"/>
            <w:vAlign w:val="top"/>
          </w:tcPr>
          <w:p w14:paraId="527747BF">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71EEAA7F">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C22B241">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07507173">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5000-10000</w:t>
            </w:r>
          </w:p>
        </w:tc>
        <w:tc>
          <w:tcPr>
            <w:tcW w:w="1295" w:type="dxa"/>
            <w:vAlign w:val="top"/>
          </w:tcPr>
          <w:p w14:paraId="6CC3B6B5">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2000&lt;5000</w:t>
            </w:r>
          </w:p>
        </w:tc>
        <w:tc>
          <w:tcPr>
            <w:tcW w:w="1004" w:type="dxa"/>
            <w:vAlign w:val="top"/>
          </w:tcPr>
          <w:p w14:paraId="684110AF">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r>
      <w:tr w14:paraId="19D69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3CB93CD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AD7AA5A">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F9F8BC2">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B808052">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≥200000</w:t>
            </w:r>
          </w:p>
        </w:tc>
        <w:tc>
          <w:tcPr>
            <w:tcW w:w="1535" w:type="dxa"/>
            <w:vAlign w:val="top"/>
          </w:tcPr>
          <w:p w14:paraId="5ACD7BD4">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1000-200000</w:t>
            </w:r>
          </w:p>
        </w:tc>
        <w:tc>
          <w:tcPr>
            <w:tcW w:w="1295" w:type="dxa"/>
            <w:vAlign w:val="top"/>
          </w:tcPr>
          <w:p w14:paraId="790C8E7D">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100&lt;10000</w:t>
            </w:r>
          </w:p>
        </w:tc>
        <w:tc>
          <w:tcPr>
            <w:tcW w:w="1004" w:type="dxa"/>
            <w:vAlign w:val="top"/>
          </w:tcPr>
          <w:p w14:paraId="5EFED313">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59403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027D718B">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物业管理</w:t>
            </w:r>
          </w:p>
        </w:tc>
        <w:tc>
          <w:tcPr>
            <w:tcW w:w="1187" w:type="dxa"/>
            <w:vAlign w:val="top"/>
          </w:tcPr>
          <w:p w14:paraId="2A2E805E">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47CAA596">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F0E23A9">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113A5C51">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338453C0">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004" w:type="dxa"/>
            <w:vAlign w:val="top"/>
          </w:tcPr>
          <w:p w14:paraId="5240E416">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B038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20F6EC3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F311A88">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F092097">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4929230">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w:t>
            </w:r>
          </w:p>
        </w:tc>
        <w:tc>
          <w:tcPr>
            <w:tcW w:w="1535" w:type="dxa"/>
            <w:vAlign w:val="top"/>
          </w:tcPr>
          <w:p w14:paraId="52802876">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295" w:type="dxa"/>
            <w:vAlign w:val="top"/>
          </w:tcPr>
          <w:p w14:paraId="316AD0C8">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500- 1000</w:t>
            </w:r>
          </w:p>
        </w:tc>
        <w:tc>
          <w:tcPr>
            <w:tcW w:w="1004" w:type="dxa"/>
            <w:vAlign w:val="top"/>
          </w:tcPr>
          <w:p w14:paraId="4A8DBA1F">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w:t>
            </w:r>
          </w:p>
        </w:tc>
      </w:tr>
      <w:tr w14:paraId="2265A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6721671D">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信息传输</w:t>
            </w:r>
          </w:p>
        </w:tc>
        <w:tc>
          <w:tcPr>
            <w:tcW w:w="1187" w:type="dxa"/>
            <w:vAlign w:val="top"/>
          </w:tcPr>
          <w:p w14:paraId="563AB03E">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63FD8E10">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3B87609">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c>
          <w:tcPr>
            <w:tcW w:w="1535" w:type="dxa"/>
            <w:vAlign w:val="top"/>
          </w:tcPr>
          <w:p w14:paraId="609B68D1">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4C131F01">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06760222">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66032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7F50E67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586C1C0">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06C54BD">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0B86CE7">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≥100000</w:t>
            </w:r>
          </w:p>
        </w:tc>
        <w:tc>
          <w:tcPr>
            <w:tcW w:w="1535" w:type="dxa"/>
            <w:vAlign w:val="top"/>
          </w:tcPr>
          <w:p w14:paraId="1A463D65">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1000-100000</w:t>
            </w:r>
          </w:p>
        </w:tc>
        <w:tc>
          <w:tcPr>
            <w:tcW w:w="1295" w:type="dxa"/>
            <w:vAlign w:val="top"/>
          </w:tcPr>
          <w:p w14:paraId="1576B1FA">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2FA822EB">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28BE4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28A10EB8">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软件和 信息技术</w:t>
            </w:r>
          </w:p>
        </w:tc>
        <w:tc>
          <w:tcPr>
            <w:tcW w:w="1187" w:type="dxa"/>
            <w:vAlign w:val="top"/>
          </w:tcPr>
          <w:p w14:paraId="760376B5">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66E8A2DD">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1F434F80">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179183EA">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49EDA01D">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631FDFC7">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36BF4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45EB757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86A86DA">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316D67D">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F64A14D">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10763E0B">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w:t>
            </w:r>
          </w:p>
        </w:tc>
        <w:tc>
          <w:tcPr>
            <w:tcW w:w="1295" w:type="dxa"/>
            <w:vAlign w:val="top"/>
          </w:tcPr>
          <w:p w14:paraId="0CD56B6D">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50-1000</w:t>
            </w:r>
          </w:p>
        </w:tc>
        <w:tc>
          <w:tcPr>
            <w:tcW w:w="1004" w:type="dxa"/>
            <w:vAlign w:val="top"/>
          </w:tcPr>
          <w:p w14:paraId="26E1AC9D">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25179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61DE2000">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租赁和 商务服务</w:t>
            </w:r>
          </w:p>
        </w:tc>
        <w:tc>
          <w:tcPr>
            <w:tcW w:w="1187" w:type="dxa"/>
            <w:vAlign w:val="top"/>
          </w:tcPr>
          <w:p w14:paraId="7FA0388D">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36F2286">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1B5A74A2">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2AA2D4AC">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714C67D7">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3D6E7E7E">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4D61D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2309554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30463EE">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74D05357">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3DBFE35">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≥120000</w:t>
            </w:r>
          </w:p>
        </w:tc>
        <w:tc>
          <w:tcPr>
            <w:tcW w:w="1535" w:type="dxa"/>
            <w:vAlign w:val="top"/>
          </w:tcPr>
          <w:p w14:paraId="0A9699CF">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8000-120000</w:t>
            </w:r>
          </w:p>
        </w:tc>
        <w:tc>
          <w:tcPr>
            <w:tcW w:w="1295" w:type="dxa"/>
            <w:vAlign w:val="top"/>
          </w:tcPr>
          <w:p w14:paraId="175936F4">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100-8000</w:t>
            </w:r>
          </w:p>
        </w:tc>
        <w:tc>
          <w:tcPr>
            <w:tcW w:w="1004" w:type="dxa"/>
            <w:vAlign w:val="top"/>
          </w:tcPr>
          <w:p w14:paraId="55BA4862">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4CEAA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75E941FE">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其他未列 明行业</w:t>
            </w:r>
          </w:p>
        </w:tc>
        <w:tc>
          <w:tcPr>
            <w:tcW w:w="1187" w:type="dxa"/>
            <w:vAlign w:val="top"/>
          </w:tcPr>
          <w:p w14:paraId="3D89157F">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5DAFA3F">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9920D2C">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1E032039">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1B327A97">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1F1B4C57">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bl>
    <w:p w14:paraId="7B987B72">
      <w:pPr>
        <w:widowControl/>
        <w:spacing w:line="360" w:lineRule="auto"/>
        <w:ind w:left="420" w:hanging="420" w:hangingChars="200"/>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说明：</w:t>
      </w:r>
    </w:p>
    <w:p w14:paraId="4BD49B44">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1.大型、中型和小型企业须同时满足所列指标的下限，否则下划一档；微型企业只须满足所列指标中的一项即可。</w:t>
      </w:r>
    </w:p>
    <w:p w14:paraId="33413375">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E81FC6E">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pacing w:val="0"/>
          <w:kern w:val="0"/>
          <w:positio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EFA4F62">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auto"/>
          <w:spacing w:val="0"/>
          <w:w w:val="100"/>
          <w:kern w:val="2"/>
          <w:sz w:val="32"/>
          <w:szCs w:val="32"/>
          <w:highlight w:val="none"/>
          <w:lang w:val="en-US" w:eastAsia="zh-CN" w:bidi="ar"/>
        </w:rPr>
      </w:pPr>
      <w:r>
        <w:rPr>
          <w:rFonts w:hint="eastAsia" w:ascii="宋体" w:hAnsi="宋体" w:eastAsia="宋体" w:cs="宋体"/>
          <w:b/>
          <w:bCs/>
          <w:color w:val="auto"/>
          <w:spacing w:val="0"/>
          <w:w w:val="100"/>
          <w:kern w:val="2"/>
          <w:sz w:val="32"/>
          <w:szCs w:val="32"/>
          <w:highlight w:val="none"/>
          <w:lang w:val="en-US" w:eastAsia="zh-CN" w:bidi="ar"/>
        </w:rPr>
        <w:t>其他文书、文件格式</w:t>
      </w:r>
    </w:p>
    <w:p w14:paraId="51B79F2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pacing w:val="0"/>
          <w:w w:val="100"/>
          <w:kern w:val="2"/>
          <w:sz w:val="32"/>
          <w:szCs w:val="32"/>
          <w:highlight w:val="none"/>
        </w:rPr>
      </w:pPr>
      <w:r>
        <w:rPr>
          <w:rFonts w:hint="eastAsia" w:ascii="宋体" w:hAnsi="宋体" w:eastAsia="宋体" w:cs="宋体"/>
          <w:b/>
          <w:bCs/>
          <w:color w:val="auto"/>
          <w:spacing w:val="0"/>
          <w:w w:val="100"/>
          <w:kern w:val="2"/>
          <w:sz w:val="32"/>
          <w:szCs w:val="32"/>
          <w:highlight w:val="none"/>
          <w:lang w:val="en-US" w:eastAsia="zh-CN" w:bidi="ar"/>
        </w:rPr>
        <w:t>质疑函（格式）</w:t>
      </w:r>
    </w:p>
    <w:p w14:paraId="28C13EAE">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一、质疑供应商基本信息：</w:t>
      </w:r>
    </w:p>
    <w:p w14:paraId="71067EFF">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质疑供应商：</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17F0DB75">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5D1709BB">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联系人：</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57F38F0">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授权代表：</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E282F3C">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47ED7C9B">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609F1C1C">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二、质疑项目基本情况：</w:t>
      </w:r>
    </w:p>
    <w:p w14:paraId="39FC0A50">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372F1E7">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项目的编号：</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1187C0AA">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采购人名称：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7DD9AD18">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w:t>
      </w:r>
    </w:p>
    <w:p w14:paraId="568E9DC3">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□采购文件   采购文件获取日期：</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B998182">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□采购过程   </w:t>
      </w:r>
    </w:p>
    <w:p w14:paraId="7E90BA50">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lang w:val="en-US" w:eastAsia="zh-CN" w:bidi="ar"/>
        </w:rPr>
        <w:t xml:space="preserve">□成交结果   </w:t>
      </w:r>
    </w:p>
    <w:p w14:paraId="30814D94">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三、质疑事项具体内容</w:t>
      </w:r>
    </w:p>
    <w:p w14:paraId="6152D59A">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质疑事项1：</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50318FC">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事实依据：</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4EE9AA0">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法律依据：</w:t>
      </w:r>
      <w:r>
        <w:rPr>
          <w:rFonts w:hint="eastAsia" w:ascii="宋体" w:hAnsi="宋体" w:eastAsia="宋体" w:cs="宋体"/>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62B6A835">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质疑事项2</w:t>
      </w:r>
    </w:p>
    <w:p w14:paraId="75049CE2">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w:t>
      </w:r>
    </w:p>
    <w:p w14:paraId="045368C8">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lang w:val="en-US" w:eastAsia="zh-CN" w:bidi="ar"/>
        </w:rPr>
      </w:pPr>
      <w:r>
        <w:rPr>
          <w:rFonts w:hint="eastAsia" w:ascii="宋体" w:hAnsi="宋体" w:eastAsia="宋体" w:cs="宋体"/>
          <w:b/>
          <w:bCs w:val="0"/>
          <w:color w:val="auto"/>
          <w:spacing w:val="0"/>
          <w:w w:val="100"/>
          <w:kern w:val="0"/>
          <w:sz w:val="24"/>
          <w:szCs w:val="24"/>
          <w:highlight w:val="none"/>
          <w:lang w:val="en-US" w:eastAsia="zh-CN" w:bidi="ar"/>
        </w:rPr>
        <w:t>四、与质疑事项相关的质疑请求：</w:t>
      </w:r>
    </w:p>
    <w:p w14:paraId="371F509B">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请求：</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127EA5DA">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74288669">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签字（签章）：                                       公章：</w:t>
      </w:r>
    </w:p>
    <w:p w14:paraId="0CC2A4E6">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17DD1AD1">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日期：</w:t>
      </w:r>
    </w:p>
    <w:p w14:paraId="6BB8D9E9">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 xml:space="preserve"> </w:t>
      </w:r>
    </w:p>
    <w:p w14:paraId="524E48F5">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lang w:val="en-US" w:eastAsia="zh-CN" w:bidi="ar"/>
        </w:rPr>
      </w:pPr>
    </w:p>
    <w:p w14:paraId="225B2B78">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说明：</w:t>
      </w:r>
    </w:p>
    <w:p w14:paraId="2AC102D5">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1.供应商提出质疑时，应提交质疑函和必要的证明材料</w:t>
      </w:r>
      <w:r>
        <w:rPr>
          <w:rFonts w:hint="eastAsia" w:ascii="宋体" w:hAnsi="宋体" w:eastAsia="宋体" w:cs="宋体"/>
          <w:b/>
          <w:bCs/>
          <w:color w:val="auto"/>
          <w:spacing w:val="0"/>
          <w:w w:val="100"/>
          <w:kern w:val="0"/>
          <w:sz w:val="24"/>
          <w:szCs w:val="24"/>
          <w:highlight w:val="none"/>
          <w:lang w:val="en-US" w:eastAsia="zh-CN" w:bidi="ar"/>
        </w:rPr>
        <w:t>。</w:t>
      </w:r>
    </w:p>
    <w:p w14:paraId="704ACA45">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F90AB91">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3.质疑函的质疑事项应具体、明确，并有必要的事实依据和法律依据。</w:t>
      </w:r>
    </w:p>
    <w:p w14:paraId="155397DE">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4.质疑函的质疑请求应与质疑事项相关。</w:t>
      </w:r>
    </w:p>
    <w:p w14:paraId="24EAE2F0">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0"/>
          <w:szCs w:val="20"/>
          <w:highlight w:val="none"/>
        </w:rPr>
      </w:pPr>
      <w:r>
        <w:rPr>
          <w:rFonts w:hint="eastAsia" w:ascii="宋体" w:hAnsi="宋体" w:eastAsia="宋体" w:cs="宋体"/>
          <w:b/>
          <w:bCs w:val="0"/>
          <w:color w:val="auto"/>
          <w:spacing w:val="0"/>
          <w:w w:val="100"/>
          <w:kern w:val="0"/>
          <w:sz w:val="24"/>
          <w:szCs w:val="24"/>
          <w:highlight w:val="none"/>
          <w:lang w:val="en-US" w:eastAsia="zh-CN" w:bidi="ar"/>
        </w:rPr>
        <w:t>5.质疑供应商为法人或者其他组织的，质疑函应由法定代表人、主要负责人，或者其授权代表签字或者盖章，并加盖公章。</w:t>
      </w:r>
    </w:p>
    <w:p w14:paraId="37694387">
      <w:pPr>
        <w:pStyle w:val="2"/>
        <w:numPr>
          <w:ilvl w:val="0"/>
          <w:numId w:val="0"/>
        </w:numPr>
        <w:spacing w:line="600" w:lineRule="auto"/>
        <w:ind w:firstLine="843" w:firstLineChars="300"/>
        <w:jc w:val="both"/>
        <w:outlineLvl w:val="9"/>
        <w:rPr>
          <w:rFonts w:hint="eastAsia" w:ascii="宋体" w:hAnsi="宋体" w:eastAsia="宋体" w:cs="宋体"/>
          <w:color w:val="auto"/>
          <w:spacing w:val="0"/>
          <w:w w:val="100"/>
          <w:highlight w:val="none"/>
          <w:lang w:eastAsia="zh-CN"/>
        </w:rPr>
      </w:pPr>
    </w:p>
    <w:p w14:paraId="604D8519">
      <w:pPr>
        <w:rPr>
          <w:rFonts w:hint="eastAsia" w:ascii="宋体" w:hAnsi="宋体" w:eastAsia="宋体" w:cs="宋体"/>
          <w:color w:val="auto"/>
          <w:spacing w:val="0"/>
          <w:w w:val="100"/>
          <w:highlight w:val="none"/>
          <w:lang w:eastAsia="zh-CN"/>
        </w:rPr>
      </w:pPr>
    </w:p>
    <w:p w14:paraId="6400B01D">
      <w:pPr>
        <w:pStyle w:val="10"/>
        <w:rPr>
          <w:rFonts w:hint="eastAsia" w:ascii="宋体" w:hAnsi="宋体" w:eastAsia="宋体" w:cs="宋体"/>
          <w:color w:val="auto"/>
          <w:spacing w:val="0"/>
          <w:w w:val="100"/>
          <w:highlight w:val="none"/>
          <w:lang w:eastAsia="zh-CN"/>
        </w:rPr>
      </w:pPr>
    </w:p>
    <w:p w14:paraId="07BD40B1">
      <w:pPr>
        <w:pStyle w:val="10"/>
        <w:rPr>
          <w:rFonts w:hint="eastAsia" w:ascii="宋体" w:hAnsi="宋体" w:eastAsia="宋体" w:cs="宋体"/>
          <w:color w:val="auto"/>
          <w:spacing w:val="0"/>
          <w:w w:val="100"/>
          <w:highlight w:val="none"/>
          <w:lang w:eastAsia="zh-CN"/>
        </w:rPr>
      </w:pPr>
    </w:p>
    <w:p w14:paraId="50A8226F">
      <w:pPr>
        <w:pStyle w:val="10"/>
        <w:rPr>
          <w:rFonts w:hint="eastAsia" w:ascii="宋体" w:hAnsi="宋体" w:eastAsia="宋体" w:cs="宋体"/>
          <w:color w:val="auto"/>
          <w:spacing w:val="0"/>
          <w:w w:val="100"/>
          <w:highlight w:val="none"/>
          <w:lang w:eastAsia="zh-CN"/>
        </w:rPr>
      </w:pPr>
    </w:p>
    <w:p w14:paraId="14FAFB02">
      <w:pPr>
        <w:pStyle w:val="10"/>
        <w:rPr>
          <w:rFonts w:hint="eastAsia" w:ascii="宋体" w:hAnsi="宋体" w:eastAsia="宋体" w:cs="宋体"/>
          <w:color w:val="auto"/>
          <w:spacing w:val="0"/>
          <w:w w:val="100"/>
          <w:highlight w:val="none"/>
          <w:lang w:eastAsia="zh-CN"/>
        </w:rPr>
      </w:pPr>
    </w:p>
    <w:p w14:paraId="78801225">
      <w:pPr>
        <w:pStyle w:val="10"/>
        <w:rPr>
          <w:rFonts w:hint="eastAsia" w:ascii="宋体" w:hAnsi="宋体" w:eastAsia="宋体" w:cs="宋体"/>
          <w:color w:val="auto"/>
          <w:spacing w:val="0"/>
          <w:w w:val="100"/>
          <w:highlight w:val="none"/>
          <w:lang w:eastAsia="zh-CN"/>
        </w:rPr>
      </w:pPr>
    </w:p>
    <w:p w14:paraId="103122EF">
      <w:pPr>
        <w:pStyle w:val="10"/>
        <w:rPr>
          <w:rFonts w:hint="eastAsia" w:ascii="宋体" w:hAnsi="宋体" w:eastAsia="宋体" w:cs="宋体"/>
          <w:color w:val="auto"/>
          <w:spacing w:val="0"/>
          <w:w w:val="100"/>
          <w:highlight w:val="none"/>
          <w:lang w:eastAsia="zh-CN"/>
        </w:rPr>
      </w:pPr>
    </w:p>
    <w:p w14:paraId="099B31AB">
      <w:pPr>
        <w:pStyle w:val="10"/>
        <w:rPr>
          <w:rFonts w:hint="eastAsia" w:ascii="宋体" w:hAnsi="宋体" w:eastAsia="宋体" w:cs="宋体"/>
          <w:color w:val="auto"/>
          <w:spacing w:val="0"/>
          <w:w w:val="100"/>
          <w:highlight w:val="none"/>
          <w:lang w:eastAsia="zh-CN"/>
        </w:rPr>
      </w:pPr>
    </w:p>
    <w:p w14:paraId="20E93146">
      <w:pPr>
        <w:pStyle w:val="10"/>
        <w:rPr>
          <w:rFonts w:hint="eastAsia" w:ascii="宋体" w:hAnsi="宋体" w:eastAsia="宋体" w:cs="宋体"/>
          <w:color w:val="auto"/>
          <w:spacing w:val="0"/>
          <w:w w:val="100"/>
          <w:highlight w:val="none"/>
          <w:lang w:eastAsia="zh-CN"/>
        </w:rPr>
      </w:pPr>
    </w:p>
    <w:p w14:paraId="3CD67082">
      <w:pPr>
        <w:pStyle w:val="10"/>
        <w:rPr>
          <w:rFonts w:hint="eastAsia" w:ascii="宋体" w:hAnsi="宋体" w:eastAsia="宋体" w:cs="宋体"/>
          <w:color w:val="auto"/>
          <w:spacing w:val="0"/>
          <w:w w:val="100"/>
          <w:highlight w:val="none"/>
          <w:lang w:eastAsia="zh-CN"/>
        </w:rPr>
      </w:pPr>
    </w:p>
    <w:p w14:paraId="4E7610CE">
      <w:pPr>
        <w:pStyle w:val="10"/>
        <w:rPr>
          <w:rFonts w:hint="eastAsia" w:ascii="宋体" w:hAnsi="宋体" w:eastAsia="宋体" w:cs="宋体"/>
          <w:color w:val="auto"/>
          <w:spacing w:val="0"/>
          <w:w w:val="100"/>
          <w:highlight w:val="none"/>
          <w:lang w:eastAsia="zh-CN"/>
        </w:rPr>
      </w:pPr>
    </w:p>
    <w:p w14:paraId="65581CFF">
      <w:pPr>
        <w:spacing w:beforeLines="0" w:afterLines="0" w:line="360" w:lineRule="auto"/>
        <w:jc w:val="center"/>
        <w:rPr>
          <w:rFonts w:hint="eastAsia" w:ascii="宋体" w:hAnsi="宋体" w:eastAsia="宋体" w:cs="宋体"/>
          <w:b/>
          <w:color w:val="auto"/>
          <w:spacing w:val="0"/>
          <w:w w:val="100"/>
          <w:sz w:val="32"/>
          <w:szCs w:val="24"/>
          <w:highlight w:val="none"/>
        </w:rPr>
      </w:pPr>
      <w:r>
        <w:rPr>
          <w:rFonts w:hint="eastAsia" w:ascii="宋体" w:hAnsi="宋体" w:eastAsia="宋体" w:cs="宋体"/>
          <w:b/>
          <w:color w:val="auto"/>
          <w:spacing w:val="0"/>
          <w:w w:val="100"/>
          <w:sz w:val="32"/>
          <w:szCs w:val="24"/>
          <w:highlight w:val="none"/>
        </w:rPr>
        <w:br w:type="page"/>
      </w:r>
      <w:r>
        <w:rPr>
          <w:rFonts w:hint="eastAsia" w:ascii="宋体" w:hAnsi="宋体" w:eastAsia="宋体" w:cs="宋体"/>
          <w:b/>
          <w:color w:val="auto"/>
          <w:spacing w:val="0"/>
          <w:w w:val="100"/>
          <w:sz w:val="32"/>
          <w:szCs w:val="24"/>
          <w:highlight w:val="none"/>
        </w:rPr>
        <w:t>投诉书（格式）</w:t>
      </w:r>
    </w:p>
    <w:p w14:paraId="6943ACD9">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一、投诉相关主体基本情况：</w:t>
      </w:r>
    </w:p>
    <w:p w14:paraId="6C45D301">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供应商：</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6F74B60F">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6E1CEE02">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法定代表人/主要负责人：</w:t>
      </w:r>
      <w:r>
        <w:rPr>
          <w:rFonts w:hint="eastAsia" w:ascii="宋体" w:hAnsi="宋体" w:eastAsia="宋体" w:cs="宋体"/>
          <w:color w:val="auto"/>
          <w:spacing w:val="0"/>
          <w:w w:val="100"/>
          <w:kern w:val="0"/>
          <w:sz w:val="24"/>
          <w:szCs w:val="24"/>
          <w:highlight w:val="none"/>
          <w:u w:val="single"/>
        </w:rPr>
        <w:t xml:space="preserve">                                                         </w:t>
      </w:r>
    </w:p>
    <w:p w14:paraId="46ABF00D">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2AD657ED">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授权代表：</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025E043C">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6AE3047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6D4EC50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被投诉人1：</w:t>
      </w:r>
    </w:p>
    <w:p w14:paraId="31D646CD">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67B3973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0A9ED28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3EFF8DC0">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被投诉人2：</w:t>
      </w:r>
    </w:p>
    <w:p w14:paraId="4AB99B80">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2413D5D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相关供应商：</w:t>
      </w:r>
      <w:r>
        <w:rPr>
          <w:rFonts w:hint="eastAsia" w:ascii="宋体" w:hAnsi="宋体" w:eastAsia="宋体" w:cs="宋体"/>
          <w:color w:val="auto"/>
          <w:spacing w:val="0"/>
          <w:w w:val="100"/>
          <w:kern w:val="0"/>
          <w:sz w:val="24"/>
          <w:szCs w:val="24"/>
          <w:highlight w:val="none"/>
          <w:u w:val="single"/>
        </w:rPr>
        <w:t xml:space="preserve">                                                                       </w:t>
      </w:r>
    </w:p>
    <w:p w14:paraId="0073CBFF">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p>
    <w:p w14:paraId="27FB35E4">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09773F06">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二、投诉项目基本情况：</w:t>
      </w:r>
    </w:p>
    <w:p w14:paraId="59F5020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采购项目的名称：</w:t>
      </w:r>
      <w:r>
        <w:rPr>
          <w:rFonts w:hint="eastAsia" w:ascii="宋体" w:hAnsi="宋体" w:eastAsia="宋体" w:cs="宋体"/>
          <w:color w:val="auto"/>
          <w:spacing w:val="0"/>
          <w:w w:val="100"/>
          <w:kern w:val="0"/>
          <w:sz w:val="24"/>
          <w:szCs w:val="24"/>
          <w:highlight w:val="none"/>
          <w:u w:val="single"/>
        </w:rPr>
        <w:t xml:space="preserve">                                                                   </w:t>
      </w:r>
    </w:p>
    <w:p w14:paraId="409CA0B3">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采购项目的编号：</w:t>
      </w:r>
      <w:r>
        <w:rPr>
          <w:rFonts w:hint="eastAsia" w:ascii="宋体" w:hAnsi="宋体" w:eastAsia="宋体" w:cs="宋体"/>
          <w:color w:val="auto"/>
          <w:spacing w:val="0"/>
          <w:w w:val="100"/>
          <w:kern w:val="0"/>
          <w:sz w:val="24"/>
          <w:szCs w:val="24"/>
          <w:highlight w:val="none"/>
          <w:u w:val="single"/>
        </w:rPr>
        <w:t xml:space="preserve">                                          </w:t>
      </w:r>
    </w:p>
    <w:p w14:paraId="50D74C57">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采购人名称：</w:t>
      </w:r>
      <w:r>
        <w:rPr>
          <w:rFonts w:hint="eastAsia" w:ascii="宋体" w:hAnsi="宋体" w:eastAsia="宋体" w:cs="宋体"/>
          <w:color w:val="auto"/>
          <w:spacing w:val="0"/>
          <w:w w:val="100"/>
          <w:kern w:val="0"/>
          <w:sz w:val="24"/>
          <w:szCs w:val="24"/>
          <w:highlight w:val="none"/>
          <w:u w:val="single"/>
        </w:rPr>
        <w:t xml:space="preserve">                                                                        </w:t>
      </w:r>
    </w:p>
    <w:p w14:paraId="68C89466">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代理机构名称：</w:t>
      </w:r>
      <w:r>
        <w:rPr>
          <w:rFonts w:hint="eastAsia" w:ascii="宋体" w:hAnsi="宋体" w:eastAsia="宋体" w:cs="宋体"/>
          <w:color w:val="auto"/>
          <w:spacing w:val="0"/>
          <w:w w:val="100"/>
          <w:kern w:val="0"/>
          <w:sz w:val="24"/>
          <w:szCs w:val="24"/>
          <w:highlight w:val="none"/>
          <w:u w:val="single"/>
        </w:rPr>
        <w:t xml:space="preserve">                                                                      </w:t>
      </w:r>
    </w:p>
    <w:p w14:paraId="5D4E88CC">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招标文件公告：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24FD5143">
      <w:pPr>
        <w:spacing w:beforeLines="0" w:afterLines="0" w:line="360" w:lineRule="auto"/>
        <w:ind w:left="25" w:leftChars="12" w:firstLine="472" w:firstLineChars="197"/>
        <w:rPr>
          <w:rFonts w:hint="eastAsia" w:ascii="宋体" w:hAnsi="宋体" w:eastAsia="宋体" w:cs="宋体"/>
          <w:b/>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采购结果公告：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0DCEEAD3">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三、质疑基本情况</w:t>
      </w:r>
    </w:p>
    <w:p w14:paraId="5537609A">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投诉人于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日，向</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提出质疑，质疑事项为：</w:t>
      </w:r>
    </w:p>
    <w:p w14:paraId="627BC195">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6A0C980E">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70625B9B">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采购人/代理机构</w:t>
      </w:r>
      <w:r>
        <w:rPr>
          <w:rFonts w:hint="eastAsia" w:ascii="宋体" w:hAnsi="宋体" w:eastAsia="宋体" w:cs="宋体"/>
          <w:color w:val="auto"/>
          <w:spacing w:val="0"/>
          <w:w w:val="100"/>
          <w:kern w:val="0"/>
          <w:sz w:val="24"/>
          <w:szCs w:val="24"/>
          <w:highlight w:val="none"/>
        </w:rPr>
        <w:t>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日，就质疑事项作出了答复/没有在法定期限内作出答复。                                                                                             </w:t>
      </w:r>
    </w:p>
    <w:p w14:paraId="59C750E5">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四、投诉事项具体内容</w:t>
      </w:r>
    </w:p>
    <w:p w14:paraId="5C71E48B">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投诉事项1：</w:t>
      </w:r>
      <w:r>
        <w:rPr>
          <w:rFonts w:hint="eastAsia" w:ascii="宋体" w:hAnsi="宋体" w:eastAsia="宋体" w:cs="宋体"/>
          <w:color w:val="auto"/>
          <w:spacing w:val="0"/>
          <w:w w:val="100"/>
          <w:kern w:val="0"/>
          <w:sz w:val="24"/>
          <w:szCs w:val="24"/>
          <w:highlight w:val="none"/>
          <w:u w:val="single"/>
        </w:rPr>
        <w:t xml:space="preserve">                                                                           </w:t>
      </w:r>
    </w:p>
    <w:p w14:paraId="7EDF9356">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事实依据： </w:t>
      </w:r>
      <w:r>
        <w:rPr>
          <w:rFonts w:hint="eastAsia" w:ascii="宋体" w:hAnsi="宋体" w:eastAsia="宋体" w:cs="宋体"/>
          <w:color w:val="auto"/>
          <w:spacing w:val="0"/>
          <w:w w:val="100"/>
          <w:kern w:val="0"/>
          <w:sz w:val="24"/>
          <w:szCs w:val="24"/>
          <w:highlight w:val="none"/>
          <w:u w:val="single"/>
        </w:rPr>
        <w:t xml:space="preserve">                                                                                      </w:t>
      </w:r>
    </w:p>
    <w:p w14:paraId="5077E204">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 xml:space="preserve">                                                                                        </w:t>
      </w:r>
    </w:p>
    <w:p w14:paraId="725DC4DA">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法律依据： </w:t>
      </w:r>
      <w:r>
        <w:rPr>
          <w:rFonts w:hint="eastAsia" w:ascii="宋体" w:hAnsi="宋体" w:eastAsia="宋体" w:cs="宋体"/>
          <w:color w:val="auto"/>
          <w:spacing w:val="0"/>
          <w:w w:val="100"/>
          <w:kern w:val="0"/>
          <w:sz w:val="24"/>
          <w:szCs w:val="24"/>
          <w:highlight w:val="none"/>
          <w:u w:val="single"/>
        </w:rPr>
        <w:t xml:space="preserve">                                                                                      </w:t>
      </w:r>
    </w:p>
    <w:p w14:paraId="246C5C00">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32642D1C">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投诉事项2     </w:t>
      </w:r>
    </w:p>
    <w:p w14:paraId="385FFF73">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6F4CAFB3">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五、与投诉事项相关的投诉请求：</w:t>
      </w:r>
    </w:p>
    <w:p w14:paraId="1425801C">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请求：</w:t>
      </w:r>
      <w:r>
        <w:rPr>
          <w:rFonts w:hint="eastAsia" w:ascii="宋体" w:hAnsi="宋体" w:eastAsia="宋体" w:cs="宋体"/>
          <w:color w:val="auto"/>
          <w:spacing w:val="0"/>
          <w:w w:val="100"/>
          <w:kern w:val="0"/>
          <w:sz w:val="24"/>
          <w:szCs w:val="24"/>
          <w:highlight w:val="none"/>
          <w:u w:val="single"/>
        </w:rPr>
        <w:t xml:space="preserve">                                                                                 </w:t>
      </w:r>
    </w:p>
    <w:p w14:paraId="481DE5A1">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rPr>
      </w:pPr>
    </w:p>
    <w:p w14:paraId="54AB1B98">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签字（签章）：                                       公章：</w:t>
      </w:r>
    </w:p>
    <w:p w14:paraId="46E3CFFD">
      <w:pPr>
        <w:spacing w:beforeLines="0" w:afterLines="0" w:line="360" w:lineRule="auto"/>
        <w:rPr>
          <w:rFonts w:hint="eastAsia" w:ascii="宋体" w:hAnsi="宋体" w:eastAsia="宋体" w:cs="宋体"/>
          <w:color w:val="auto"/>
          <w:spacing w:val="0"/>
          <w:w w:val="100"/>
          <w:kern w:val="0"/>
          <w:sz w:val="24"/>
          <w:szCs w:val="24"/>
          <w:highlight w:val="none"/>
        </w:rPr>
      </w:pPr>
    </w:p>
    <w:p w14:paraId="0124FF37">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日期：                                                                               </w:t>
      </w:r>
    </w:p>
    <w:p w14:paraId="7C14DEFC">
      <w:pPr>
        <w:snapToGrid w:val="0"/>
        <w:spacing w:beforeLines="0" w:afterLines="0" w:line="360" w:lineRule="auto"/>
        <w:rPr>
          <w:rFonts w:hint="eastAsia" w:ascii="宋体" w:hAnsi="宋体" w:eastAsia="宋体" w:cs="宋体"/>
          <w:b/>
          <w:color w:val="auto"/>
          <w:spacing w:val="0"/>
          <w:w w:val="100"/>
          <w:kern w:val="0"/>
          <w:sz w:val="24"/>
          <w:szCs w:val="24"/>
          <w:highlight w:val="none"/>
        </w:rPr>
      </w:pPr>
    </w:p>
    <w:p w14:paraId="6F737CD4">
      <w:pPr>
        <w:snapToGrid w:val="0"/>
        <w:spacing w:beforeLines="0" w:afterLines="0" w:line="360" w:lineRule="auto"/>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说明：</w:t>
      </w:r>
    </w:p>
    <w:p w14:paraId="4FB202A9">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1.投诉人提起投诉时，应当提交投诉书和必要的证明材料，并按照被投诉人和与投诉事项有关的供应商数量提供投诉书副本。</w:t>
      </w:r>
    </w:p>
    <w:p w14:paraId="22FAB2C2">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D53B32E">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3.投诉书应简要列明质疑事项，质疑函、质疑答复等作为附件材料提供。</w:t>
      </w:r>
    </w:p>
    <w:p w14:paraId="44940EF5">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4.投诉书的投诉事项应具体、明确，并有必要的事实依据和法律依据。</w:t>
      </w:r>
    </w:p>
    <w:p w14:paraId="1514B108">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5.投诉书的投诉请求应与投诉事项相关。</w:t>
      </w:r>
    </w:p>
    <w:p w14:paraId="5856FDF1">
      <w:pPr>
        <w:spacing w:beforeLines="0" w:afterLines="0" w:line="360" w:lineRule="auto"/>
        <w:ind w:left="25" w:leftChars="12" w:firstLine="354" w:firstLineChars="147"/>
        <w:rPr>
          <w:rFonts w:hint="eastAsia" w:ascii="宋体" w:hAnsi="宋体" w:eastAsia="宋体" w:cs="宋体"/>
          <w:b/>
          <w:bCs w:val="0"/>
          <w:color w:val="auto"/>
          <w:spacing w:val="0"/>
          <w:w w:val="100"/>
          <w:kern w:val="0"/>
          <w:sz w:val="24"/>
          <w:szCs w:val="24"/>
          <w:highlight w:val="none"/>
          <w:lang w:val="en-US" w:eastAsia="zh-CN" w:bidi="ar-SA"/>
        </w:rPr>
      </w:pPr>
      <w:r>
        <w:rPr>
          <w:rFonts w:hint="eastAsia" w:ascii="宋体" w:hAnsi="宋体" w:eastAsia="宋体" w:cs="宋体"/>
          <w:b/>
          <w:bCs w:val="0"/>
          <w:color w:val="auto"/>
          <w:spacing w:val="0"/>
          <w:w w:val="100"/>
          <w:kern w:val="0"/>
          <w:sz w:val="24"/>
          <w:szCs w:val="24"/>
          <w:highlight w:val="none"/>
          <w:lang w:val="en-US" w:eastAsia="zh-CN" w:bidi="ar-SA"/>
        </w:rPr>
        <w:t>6.投诉人为法人或者其他组织的，投诉书应由法定代表人、主要负责人，或者其授权代表签字或者盖章，并加盖公章。</w:t>
      </w:r>
    </w:p>
    <w:p w14:paraId="2FE1357A">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lang w:eastAsia="zh-CN"/>
        </w:rPr>
        <w:sectPr>
          <w:pgSz w:w="11906" w:h="16838"/>
          <w:pgMar w:top="1247" w:right="1417" w:bottom="1247" w:left="1417" w:header="851" w:footer="992" w:gutter="0"/>
          <w:cols w:space="0" w:num="1"/>
          <w:docGrid w:type="lines" w:linePitch="312" w:charSpace="0"/>
        </w:sectPr>
      </w:pPr>
    </w:p>
    <w:p w14:paraId="25EF4F9B">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08812182">
      <w:pPr>
        <w:pStyle w:val="2"/>
        <w:numPr>
          <w:ilvl w:val="0"/>
          <w:numId w:val="2"/>
        </w:numPr>
        <w:spacing w:line="560" w:lineRule="exact"/>
        <w:jc w:val="center"/>
        <w:rPr>
          <w:rFonts w:hint="eastAsia" w:ascii="宋体" w:hAnsi="宋体" w:cs="宋体"/>
          <w:color w:val="auto"/>
          <w:spacing w:val="0"/>
          <w:kern w:val="0"/>
          <w:position w:val="0"/>
          <w:sz w:val="36"/>
          <w:szCs w:val="36"/>
          <w:highlight w:val="none"/>
        </w:rPr>
      </w:pPr>
      <w:r>
        <w:rPr>
          <w:rFonts w:hint="eastAsia" w:ascii="宋体" w:hAnsi="宋体" w:cs="宋体"/>
          <w:color w:val="auto"/>
          <w:spacing w:val="0"/>
          <w:kern w:val="0"/>
          <w:position w:val="0"/>
          <w:sz w:val="36"/>
          <w:szCs w:val="36"/>
          <w:highlight w:val="none"/>
        </w:rPr>
        <w:t xml:space="preserve">   </w:t>
      </w:r>
      <w:bookmarkStart w:id="76" w:name="_Toc3612"/>
      <w:r>
        <w:rPr>
          <w:rFonts w:hint="eastAsia" w:ascii="宋体" w:hAnsi="宋体" w:cs="宋体"/>
          <w:color w:val="auto"/>
          <w:spacing w:val="0"/>
          <w:kern w:val="0"/>
          <w:position w:val="0"/>
          <w:sz w:val="36"/>
          <w:szCs w:val="36"/>
          <w:highlight w:val="none"/>
        </w:rPr>
        <w:t>合同主要条款</w:t>
      </w:r>
      <w:r>
        <w:rPr>
          <w:rFonts w:hint="eastAsia" w:ascii="宋体" w:hAnsi="宋体" w:cs="宋体"/>
          <w:color w:val="auto"/>
          <w:spacing w:val="0"/>
          <w:kern w:val="0"/>
          <w:position w:val="0"/>
          <w:sz w:val="36"/>
          <w:szCs w:val="36"/>
          <w:highlight w:val="none"/>
          <w:lang w:eastAsia="zh-CN"/>
        </w:rPr>
        <w:t>（</w:t>
      </w:r>
      <w:r>
        <w:rPr>
          <w:rFonts w:hint="eastAsia" w:ascii="宋体" w:hAnsi="宋体" w:cs="宋体"/>
          <w:color w:val="auto"/>
          <w:spacing w:val="0"/>
          <w:kern w:val="0"/>
          <w:position w:val="0"/>
          <w:sz w:val="36"/>
          <w:szCs w:val="36"/>
          <w:highlight w:val="none"/>
        </w:rPr>
        <w:t>参考格式</w:t>
      </w:r>
      <w:bookmarkEnd w:id="76"/>
      <w:r>
        <w:rPr>
          <w:rFonts w:hint="eastAsia" w:ascii="宋体" w:hAnsi="宋体" w:cs="宋体"/>
          <w:color w:val="auto"/>
          <w:spacing w:val="0"/>
          <w:kern w:val="0"/>
          <w:position w:val="0"/>
          <w:sz w:val="36"/>
          <w:szCs w:val="36"/>
          <w:highlight w:val="none"/>
          <w:lang w:eastAsia="zh-CN"/>
        </w:rPr>
        <w:t>）</w:t>
      </w:r>
    </w:p>
    <w:p w14:paraId="5E7CA605">
      <w:pPr>
        <w:pStyle w:val="2"/>
        <w:numPr>
          <w:ilvl w:val="0"/>
          <w:numId w:val="0"/>
        </w:numPr>
        <w:spacing w:line="560" w:lineRule="exact"/>
        <w:jc w:val="center"/>
        <w:rPr>
          <w:rFonts w:hint="eastAsia" w:ascii="宋体" w:hAnsi="宋体" w:eastAsia="宋体" w:cs="宋体"/>
          <w:color w:val="auto"/>
          <w:spacing w:val="0"/>
          <w:kern w:val="0"/>
          <w:position w:val="0"/>
          <w:sz w:val="32"/>
          <w:szCs w:val="32"/>
          <w:highlight w:val="none"/>
          <w:lang w:eastAsia="zh-CN"/>
        </w:rPr>
      </w:pPr>
      <w:bookmarkStart w:id="77" w:name="_Toc31567"/>
      <w:r>
        <w:rPr>
          <w:rFonts w:hint="eastAsia" w:ascii="宋体" w:hAnsi="宋体" w:cs="宋体"/>
          <w:color w:val="auto"/>
          <w:spacing w:val="0"/>
          <w:kern w:val="0"/>
          <w:position w:val="0"/>
          <w:sz w:val="32"/>
          <w:szCs w:val="32"/>
          <w:highlight w:val="none"/>
          <w:lang w:eastAsia="zh-CN"/>
        </w:rPr>
        <w:t>（</w:t>
      </w:r>
      <w:r>
        <w:rPr>
          <w:rFonts w:hint="eastAsia" w:ascii="宋体" w:hAnsi="宋体" w:cs="宋体"/>
          <w:color w:val="auto"/>
          <w:spacing w:val="0"/>
          <w:kern w:val="0"/>
          <w:position w:val="0"/>
          <w:sz w:val="32"/>
          <w:szCs w:val="32"/>
          <w:highlight w:val="none"/>
        </w:rPr>
        <w:t>仅供参考，由双方按实际情况调整</w:t>
      </w:r>
      <w:bookmarkEnd w:id="77"/>
      <w:r>
        <w:rPr>
          <w:rFonts w:hint="eastAsia" w:ascii="宋体" w:hAnsi="宋体" w:cs="宋体"/>
          <w:color w:val="auto"/>
          <w:spacing w:val="0"/>
          <w:kern w:val="0"/>
          <w:position w:val="0"/>
          <w:sz w:val="32"/>
          <w:szCs w:val="32"/>
          <w:highlight w:val="none"/>
          <w:lang w:eastAsia="zh-CN"/>
        </w:rPr>
        <w:t>）</w:t>
      </w:r>
    </w:p>
    <w:p w14:paraId="55182CD2">
      <w:pPr>
        <w:shd w:val="clear"/>
        <w:jc w:val="center"/>
        <w:rPr>
          <w:rFonts w:hint="eastAsia" w:ascii="宋体" w:hAnsi="宋体" w:eastAsia="宋体" w:cs="宋体"/>
          <w:b/>
          <w:bCs/>
          <w:color w:val="auto"/>
          <w:spacing w:val="0"/>
          <w:position w:val="0"/>
          <w:sz w:val="72"/>
          <w:szCs w:val="144"/>
          <w:highlight w:val="none"/>
        </w:rPr>
      </w:pPr>
    </w:p>
    <w:p w14:paraId="660F0D38">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56"/>
          <w:szCs w:val="96"/>
          <w:highlight w:val="none"/>
        </w:rPr>
        <w:t xml:space="preserve">                      </w:t>
      </w:r>
      <w:r>
        <w:rPr>
          <w:rFonts w:hint="eastAsia" w:ascii="宋体" w:hAnsi="宋体" w:eastAsia="宋体" w:cs="宋体"/>
          <w:b/>
          <w:bCs/>
          <w:color w:val="auto"/>
          <w:spacing w:val="20"/>
          <w:sz w:val="56"/>
          <w:szCs w:val="96"/>
          <w:highlight w:val="none"/>
          <w:lang w:eastAsia="zh-CN"/>
        </w:rPr>
        <w:t>副</w:t>
      </w:r>
      <w:r>
        <w:rPr>
          <w:rFonts w:hint="eastAsia" w:ascii="宋体" w:hAnsi="宋体" w:eastAsia="宋体" w:cs="宋体"/>
          <w:b/>
          <w:bCs/>
          <w:color w:val="auto"/>
          <w:spacing w:val="20"/>
          <w:sz w:val="56"/>
          <w:szCs w:val="96"/>
          <w:highlight w:val="none"/>
        </w:rPr>
        <w:t>本</w:t>
      </w:r>
    </w:p>
    <w:p w14:paraId="593C9407">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48"/>
          <w:szCs w:val="56"/>
          <w:highlight w:val="none"/>
        </w:rPr>
        <w:t xml:space="preserve">                         </w:t>
      </w:r>
      <w:r>
        <w:rPr>
          <w:rFonts w:hint="eastAsia" w:ascii="宋体" w:hAnsi="宋体" w:eastAsia="宋体" w:cs="宋体"/>
          <w:b/>
          <w:bCs/>
          <w:color w:val="auto"/>
          <w:spacing w:val="20"/>
          <w:sz w:val="56"/>
          <w:szCs w:val="96"/>
          <w:highlight w:val="none"/>
        </w:rPr>
        <w:t xml:space="preserve"> </w:t>
      </w:r>
    </w:p>
    <w:p w14:paraId="09779FF3">
      <w:pPr>
        <w:rPr>
          <w:rFonts w:ascii="宋体" w:hAnsi="宋体" w:eastAsia="宋体" w:cs="宋体"/>
          <w:b/>
          <w:bCs/>
          <w:color w:val="auto"/>
          <w:spacing w:val="20"/>
          <w:sz w:val="48"/>
          <w:szCs w:val="56"/>
          <w:highlight w:val="none"/>
        </w:rPr>
      </w:pPr>
    </w:p>
    <w:p w14:paraId="6B19F1E4">
      <w:pPr>
        <w:jc w:val="center"/>
        <w:rPr>
          <w:rFonts w:ascii="宋体" w:hAnsi="宋体" w:eastAsia="宋体" w:cs="宋体"/>
          <w:b/>
          <w:bCs/>
          <w:color w:val="auto"/>
          <w:spacing w:val="20"/>
          <w:sz w:val="96"/>
          <w:szCs w:val="160"/>
          <w:highlight w:val="none"/>
        </w:rPr>
      </w:pPr>
      <w:r>
        <w:rPr>
          <w:rFonts w:hint="eastAsia" w:ascii="宋体" w:hAnsi="宋体" w:eastAsia="宋体" w:cs="宋体"/>
          <w:b/>
          <w:bCs/>
          <w:color w:val="auto"/>
          <w:spacing w:val="20"/>
          <w:sz w:val="72"/>
          <w:szCs w:val="144"/>
          <w:highlight w:val="none"/>
        </w:rPr>
        <w:t>施 工 承 包 合 同 书</w:t>
      </w:r>
    </w:p>
    <w:p w14:paraId="1F967289">
      <w:pPr>
        <w:jc w:val="center"/>
        <w:rPr>
          <w:rFonts w:ascii="宋体" w:hAnsi="宋体" w:eastAsia="宋体" w:cs="宋体"/>
          <w:color w:val="auto"/>
          <w:spacing w:val="20"/>
          <w:sz w:val="32"/>
          <w:szCs w:val="40"/>
          <w:highlight w:val="none"/>
        </w:rPr>
      </w:pPr>
    </w:p>
    <w:p w14:paraId="628EEBCB">
      <w:pPr>
        <w:jc w:val="center"/>
        <w:rPr>
          <w:rFonts w:ascii="宋体" w:hAnsi="宋体" w:eastAsia="宋体" w:cs="宋体"/>
          <w:color w:val="auto"/>
          <w:spacing w:val="20"/>
          <w:sz w:val="32"/>
          <w:szCs w:val="40"/>
          <w:highlight w:val="none"/>
        </w:rPr>
      </w:pPr>
    </w:p>
    <w:p w14:paraId="6E9A6FAB">
      <w:pPr>
        <w:jc w:val="center"/>
        <w:rPr>
          <w:rFonts w:ascii="宋体" w:hAnsi="宋体" w:eastAsia="宋体" w:cs="宋体"/>
          <w:color w:val="auto"/>
          <w:spacing w:val="20"/>
          <w:sz w:val="32"/>
          <w:szCs w:val="40"/>
          <w:highlight w:val="none"/>
        </w:rPr>
      </w:pPr>
    </w:p>
    <w:p w14:paraId="0B0E36DE">
      <w:pPr>
        <w:jc w:val="center"/>
        <w:rPr>
          <w:rFonts w:ascii="宋体" w:hAnsi="宋体" w:eastAsia="宋体" w:cs="宋体"/>
          <w:color w:val="auto"/>
          <w:spacing w:val="20"/>
          <w:sz w:val="32"/>
          <w:szCs w:val="40"/>
          <w:highlight w:val="none"/>
        </w:rPr>
      </w:pPr>
    </w:p>
    <w:p w14:paraId="66E87BDB">
      <w:pPr>
        <w:jc w:val="both"/>
        <w:rPr>
          <w:rFonts w:hint="default" w:ascii="宋体" w:hAnsi="宋体" w:eastAsia="宋体" w:cs="宋体"/>
          <w:b/>
          <w:bCs/>
          <w:color w:val="auto"/>
          <w:spacing w:val="20"/>
          <w:sz w:val="48"/>
          <w:szCs w:val="56"/>
          <w:highlight w:val="none"/>
          <w:lang w:val="en-US" w:eastAsia="zh-CN"/>
        </w:rPr>
      </w:pPr>
      <w:r>
        <w:rPr>
          <w:rFonts w:hint="eastAsia" w:ascii="宋体" w:hAnsi="宋体" w:eastAsia="宋体" w:cs="宋体"/>
          <w:color w:val="auto"/>
          <w:spacing w:val="20"/>
          <w:sz w:val="28"/>
          <w:szCs w:val="28"/>
          <w:highlight w:val="none"/>
        </w:rPr>
        <w:t>工程名称：</w:t>
      </w:r>
      <w:r>
        <w:rPr>
          <w:rFonts w:hint="eastAsia" w:ascii="宋体" w:hAnsi="宋体" w:cs="宋体"/>
          <w:color w:val="auto"/>
          <w:spacing w:val="0"/>
          <w:sz w:val="28"/>
          <w:szCs w:val="28"/>
          <w:highlight w:val="none"/>
          <w:u w:val="single"/>
          <w:lang w:val="en-US" w:eastAsia="zh-CN"/>
        </w:rPr>
        <w:t xml:space="preserve">                       </w:t>
      </w:r>
    </w:p>
    <w:p w14:paraId="5EC3B6D6">
      <w:pPr>
        <w:rPr>
          <w:rFonts w:ascii="宋体" w:hAnsi="宋体" w:eastAsia="宋体" w:cs="宋体"/>
          <w:color w:val="auto"/>
          <w:spacing w:val="20"/>
          <w:sz w:val="28"/>
          <w:szCs w:val="36"/>
          <w:highlight w:val="none"/>
        </w:rPr>
      </w:pPr>
    </w:p>
    <w:p w14:paraId="02AF50CC">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发包人（甲方）：</w:t>
      </w:r>
      <w:r>
        <w:rPr>
          <w:rFonts w:hint="eastAsia" w:ascii="宋体" w:hAnsi="宋体" w:eastAsia="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val="en-US" w:eastAsia="zh-CN"/>
        </w:rPr>
        <w:t xml:space="preserve">             </w:t>
      </w:r>
      <w:r>
        <w:rPr>
          <w:rFonts w:hint="eastAsia" w:ascii="宋体" w:hAnsi="宋体" w:eastAsia="宋体" w:cs="宋体"/>
          <w:color w:val="auto"/>
          <w:spacing w:val="20"/>
          <w:sz w:val="28"/>
          <w:szCs w:val="36"/>
          <w:highlight w:val="none"/>
          <w:u w:val="single"/>
        </w:rPr>
        <w:t xml:space="preserve"> </w:t>
      </w:r>
    </w:p>
    <w:p w14:paraId="7C0FD11C">
      <w:pPr>
        <w:rPr>
          <w:rFonts w:ascii="宋体" w:hAnsi="宋体" w:eastAsia="宋体" w:cs="宋体"/>
          <w:color w:val="auto"/>
          <w:spacing w:val="20"/>
          <w:sz w:val="28"/>
          <w:szCs w:val="36"/>
          <w:highlight w:val="none"/>
        </w:rPr>
      </w:pPr>
    </w:p>
    <w:p w14:paraId="5DC01E78">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承包人（乙方）：</w:t>
      </w:r>
      <w:r>
        <w:rPr>
          <w:rFonts w:hint="eastAsia" w:ascii="宋体" w:hAnsi="宋体" w:eastAsia="宋体" w:cs="宋体"/>
          <w:color w:val="auto"/>
          <w:spacing w:val="20"/>
          <w:sz w:val="28"/>
          <w:szCs w:val="36"/>
          <w:highlight w:val="none"/>
          <w:u w:val="single"/>
        </w:rPr>
        <w:t xml:space="preserve">  </w:t>
      </w:r>
      <w:r>
        <w:rPr>
          <w:rFonts w:hint="eastAsia" w:ascii="宋体" w:hAnsi="宋体" w:eastAsia="宋体" w:cs="宋体"/>
          <w:color w:val="auto"/>
          <w:spacing w:val="20"/>
          <w:sz w:val="28"/>
          <w:szCs w:val="36"/>
          <w:highlight w:val="none"/>
          <w:u w:val="single"/>
          <w:lang w:eastAsia="zh-CN"/>
        </w:rPr>
        <w:t xml:space="preserve">                      </w:t>
      </w:r>
      <w:r>
        <w:rPr>
          <w:rFonts w:hint="eastAsia" w:ascii="宋体" w:hAnsi="宋体" w:eastAsia="宋体" w:cs="宋体"/>
          <w:color w:val="auto"/>
          <w:spacing w:val="20"/>
          <w:sz w:val="28"/>
          <w:szCs w:val="36"/>
          <w:highlight w:val="none"/>
          <w:u w:val="single"/>
        </w:rPr>
        <w:t xml:space="preserve"> </w:t>
      </w:r>
    </w:p>
    <w:p w14:paraId="299F06E0">
      <w:pPr>
        <w:rPr>
          <w:rFonts w:ascii="宋体" w:hAnsi="宋体" w:eastAsia="宋体" w:cs="宋体"/>
          <w:color w:val="auto"/>
          <w:spacing w:val="20"/>
          <w:sz w:val="28"/>
          <w:szCs w:val="36"/>
          <w:highlight w:val="none"/>
        </w:rPr>
      </w:pPr>
    </w:p>
    <w:p w14:paraId="44F1F6EE">
      <w:pPr>
        <w:rPr>
          <w:rFonts w:ascii="宋体" w:hAnsi="宋体" w:eastAsia="宋体" w:cs="宋体"/>
          <w:color w:val="auto"/>
          <w:spacing w:val="20"/>
          <w:sz w:val="32"/>
          <w:szCs w:val="40"/>
          <w:highlight w:val="none"/>
        </w:rPr>
      </w:pPr>
      <w:r>
        <w:rPr>
          <w:rFonts w:hint="eastAsia" w:ascii="宋体" w:hAnsi="宋体" w:eastAsia="宋体" w:cs="宋体"/>
          <w:color w:val="auto"/>
          <w:spacing w:val="20"/>
          <w:sz w:val="28"/>
          <w:szCs w:val="28"/>
          <w:highlight w:val="none"/>
        </w:rPr>
        <w:t>日      期：</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 年</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月 </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日</w:t>
      </w:r>
    </w:p>
    <w:p w14:paraId="0E058557">
      <w:pPr>
        <w:pStyle w:val="2"/>
        <w:numPr>
          <w:ilvl w:val="0"/>
          <w:numId w:val="0"/>
        </w:numPr>
        <w:jc w:val="both"/>
        <w:rPr>
          <w:rFonts w:ascii="宋体" w:hAnsi="宋体" w:eastAsia="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373227552"/>
      <w:bookmarkStart w:id="79" w:name="_Toc373478199"/>
      <w:bookmarkStart w:id="80" w:name="_Toc26265"/>
      <w:bookmarkStart w:id="81" w:name="_Toc351203480"/>
      <w:bookmarkStart w:id="82" w:name="_Toc296890982"/>
      <w:bookmarkStart w:id="83" w:name="_Toc389065255"/>
      <w:bookmarkStart w:id="84" w:name="_Toc296503025"/>
      <w:bookmarkStart w:id="85" w:name="_Toc12680"/>
    </w:p>
    <w:bookmarkEnd w:id="78"/>
    <w:bookmarkEnd w:id="79"/>
    <w:bookmarkEnd w:id="80"/>
    <w:bookmarkEnd w:id="81"/>
    <w:bookmarkEnd w:id="82"/>
    <w:bookmarkEnd w:id="83"/>
    <w:bookmarkEnd w:id="84"/>
    <w:bookmarkEnd w:id="85"/>
    <w:p w14:paraId="7A11B71D">
      <w:pPr>
        <w:pStyle w:val="2"/>
        <w:numPr>
          <w:ilvl w:val="0"/>
          <w:numId w:val="3"/>
        </w:numPr>
        <w:jc w:val="center"/>
        <w:rPr>
          <w:color w:val="auto"/>
          <w:highlight w:val="none"/>
        </w:rPr>
      </w:pPr>
      <w:r>
        <w:rPr>
          <w:rFonts w:hint="eastAsia" w:ascii="宋体" w:hAnsi="宋体" w:eastAsia="宋体" w:cs="宋体"/>
          <w:color w:val="auto"/>
          <w:spacing w:val="20"/>
          <w:sz w:val="36"/>
          <w:szCs w:val="48"/>
          <w:highlight w:val="none"/>
        </w:rPr>
        <w:t>合同协议书</w:t>
      </w:r>
    </w:p>
    <w:p w14:paraId="42611328">
      <w:pPr>
        <w:rPr>
          <w:color w:val="auto"/>
          <w:highlight w:val="none"/>
        </w:rPr>
      </w:pPr>
    </w:p>
    <w:p w14:paraId="2574BFE2">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12688127">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p>
    <w:p w14:paraId="5A741457">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为实施</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，根据《中华人民共和国</w:t>
      </w:r>
      <w:r>
        <w:rPr>
          <w:rFonts w:hint="eastAsia" w:ascii="宋体" w:hAnsi="宋体" w:cs="宋体"/>
          <w:color w:val="auto"/>
          <w:spacing w:val="20"/>
          <w:sz w:val="24"/>
          <w:highlight w:val="none"/>
          <w:lang w:eastAsia="zh-CN"/>
        </w:rPr>
        <w:t>民法典</w:t>
      </w:r>
      <w:r>
        <w:rPr>
          <w:rFonts w:hint="eastAsia" w:ascii="宋体" w:hAnsi="宋体" w:eastAsia="宋体" w:cs="宋体"/>
          <w:color w:val="auto"/>
          <w:spacing w:val="20"/>
          <w:sz w:val="24"/>
          <w:highlight w:val="none"/>
        </w:rPr>
        <w:t>》、《中华人民共和国建筑法》及有关法律规定，遵循平等、自愿、公平和诚实信用的原则，双方就</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工程施工及有关事项协商一致，共同达成如下协议：</w:t>
      </w:r>
      <w:bookmarkStart w:id="86" w:name="_Toc351203481"/>
    </w:p>
    <w:p w14:paraId="137333F7">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一、工程概况</w:t>
      </w:r>
      <w:bookmarkEnd w:id="86"/>
    </w:p>
    <w:p w14:paraId="181ED2C3">
      <w:pPr>
        <w:adjustRightInd w:val="0"/>
        <w:snapToGrid w:val="0"/>
        <w:spacing w:line="360" w:lineRule="auto"/>
        <w:ind w:firstLine="548" w:firstLineChars="196"/>
        <w:rPr>
          <w:rFonts w:ascii="宋体" w:hAnsi="宋体" w:eastAsia="宋体" w:cs="宋体"/>
          <w:color w:val="auto"/>
          <w:spacing w:val="20"/>
          <w:sz w:val="24"/>
          <w:highlight w:val="none"/>
          <w:u w:val="single"/>
        </w:rPr>
      </w:pPr>
      <w:r>
        <w:rPr>
          <w:rFonts w:hint="eastAsia" w:ascii="宋体" w:hAnsi="宋体" w:eastAsia="宋体" w:cs="宋体"/>
          <w:bCs/>
          <w:color w:val="auto"/>
          <w:spacing w:val="20"/>
          <w:sz w:val="24"/>
          <w:highlight w:val="none"/>
        </w:rPr>
        <w:t>1. 工程名称</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103F5B96">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工程地点：</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0210EE73">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 工程立项批准文号：</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6EC440EE">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4. 资金来源：</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74A95224">
      <w:pPr>
        <w:adjustRightInd w:val="0"/>
        <w:snapToGrid w:val="0"/>
        <w:spacing w:line="360" w:lineRule="auto"/>
        <w:ind w:firstLine="548" w:firstLineChars="196"/>
        <w:rPr>
          <w:rFonts w:hint="eastAsia" w:ascii="宋体" w:hAnsi="宋体" w:eastAsia="宋体" w:cs="宋体"/>
          <w:color w:val="auto"/>
          <w:spacing w:val="20"/>
          <w:sz w:val="24"/>
          <w:highlight w:val="none"/>
          <w:u w:val="single"/>
          <w:lang w:eastAsia="zh-CN"/>
        </w:rPr>
      </w:pPr>
      <w:r>
        <w:rPr>
          <w:rFonts w:hint="eastAsia" w:ascii="宋体" w:hAnsi="宋体" w:eastAsia="宋体" w:cs="宋体"/>
          <w:bCs/>
          <w:color w:val="auto"/>
          <w:spacing w:val="20"/>
          <w:sz w:val="24"/>
          <w:highlight w:val="none"/>
        </w:rPr>
        <w:t>5. 工程内容：</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none"/>
          <w:lang w:val="en-US" w:eastAsia="zh-CN"/>
        </w:rPr>
        <w:t xml:space="preserve"> </w:t>
      </w:r>
      <w:r>
        <w:rPr>
          <w:rFonts w:hint="eastAsia" w:ascii="宋体" w:hAnsi="宋体" w:eastAsia="宋体" w:cs="宋体"/>
          <w:color w:val="auto"/>
          <w:spacing w:val="20"/>
          <w:sz w:val="24"/>
          <w:highlight w:val="none"/>
          <w:u w:val="none"/>
          <w:lang w:val="zh-CN" w:eastAsia="zh-CN"/>
        </w:rPr>
        <w:t>等</w:t>
      </w:r>
      <w:r>
        <w:rPr>
          <w:rFonts w:hint="eastAsia" w:ascii="宋体" w:hAnsi="宋体" w:eastAsia="宋体" w:cs="宋体"/>
          <w:color w:val="auto"/>
          <w:spacing w:val="20"/>
          <w:sz w:val="24"/>
          <w:highlight w:val="none"/>
          <w:u w:val="none"/>
          <w:lang w:eastAsia="zh-CN"/>
        </w:rPr>
        <w:t>。</w:t>
      </w:r>
    </w:p>
    <w:p w14:paraId="6E9F5A10">
      <w:pPr>
        <w:adjustRightInd w:val="0"/>
        <w:snapToGrid w:val="0"/>
        <w:spacing w:line="360" w:lineRule="auto"/>
        <w:ind w:firstLine="548" w:firstLineChars="196"/>
        <w:outlineLvl w:val="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6. 工程承包范围：</w:t>
      </w:r>
      <w:r>
        <w:rPr>
          <w:rFonts w:hint="eastAsia" w:ascii="宋体" w:hAnsi="宋体" w:eastAsia="宋体" w:cs="宋体"/>
          <w:color w:val="auto"/>
          <w:spacing w:val="20"/>
          <w:sz w:val="24"/>
          <w:highlight w:val="none"/>
          <w:u w:val="single"/>
        </w:rPr>
        <w:t xml:space="preserve"> 详见工程量清单所包含内容 </w:t>
      </w:r>
      <w:r>
        <w:rPr>
          <w:rFonts w:hint="eastAsia" w:ascii="宋体" w:hAnsi="宋体" w:eastAsia="宋体" w:cs="宋体"/>
          <w:color w:val="auto"/>
          <w:spacing w:val="20"/>
          <w:sz w:val="24"/>
          <w:highlight w:val="none"/>
        </w:rPr>
        <w:t>。</w:t>
      </w:r>
    </w:p>
    <w:p w14:paraId="3B2954F1">
      <w:pPr>
        <w:adjustRightInd w:val="0"/>
        <w:snapToGrid w:val="0"/>
        <w:spacing w:line="360" w:lineRule="auto"/>
        <w:ind w:firstLine="542" w:firstLineChars="193"/>
        <w:outlineLvl w:val="0"/>
        <w:rPr>
          <w:rFonts w:ascii="宋体" w:hAnsi="宋体" w:eastAsia="宋体" w:cs="宋体"/>
          <w:b/>
          <w:bCs/>
          <w:color w:val="auto"/>
          <w:spacing w:val="20"/>
          <w:sz w:val="24"/>
          <w:highlight w:val="none"/>
        </w:rPr>
      </w:pPr>
      <w:bookmarkStart w:id="87" w:name="_Toc351203482"/>
      <w:r>
        <w:rPr>
          <w:rFonts w:hint="eastAsia" w:ascii="宋体" w:hAnsi="宋体" w:eastAsia="宋体" w:cs="宋体"/>
          <w:b/>
          <w:bCs/>
          <w:color w:val="auto"/>
          <w:spacing w:val="20"/>
          <w:sz w:val="24"/>
          <w:highlight w:val="none"/>
        </w:rPr>
        <w:t>二、合同工期</w:t>
      </w:r>
      <w:bookmarkEnd w:id="87"/>
    </w:p>
    <w:p w14:paraId="738C7510">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计划开工日期：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日。（具体以开工令为准）</w:t>
      </w:r>
    </w:p>
    <w:p w14:paraId="47AA8552">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计划竣工日期：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w:t>
      </w:r>
    </w:p>
    <w:p w14:paraId="6DBD903A">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工期总日历天数：</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b/>
          <w:bCs/>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天。工期总日历天数与根据前述计划开竣工日期计算的工期天数不一致的，以工期总日历天数为准。</w:t>
      </w:r>
    </w:p>
    <w:p w14:paraId="4C15079F">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8" w:name="_Toc351203483"/>
      <w:r>
        <w:rPr>
          <w:rFonts w:hint="eastAsia" w:ascii="宋体" w:hAnsi="宋体" w:eastAsia="宋体" w:cs="宋体"/>
          <w:b/>
          <w:bCs/>
          <w:color w:val="auto"/>
          <w:spacing w:val="20"/>
          <w:sz w:val="24"/>
          <w:highlight w:val="none"/>
        </w:rPr>
        <w:t>三、质量标准</w:t>
      </w:r>
      <w:bookmarkEnd w:id="88"/>
    </w:p>
    <w:p w14:paraId="4535262F">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工程质量符合</w:t>
      </w:r>
      <w:r>
        <w:rPr>
          <w:rFonts w:hint="eastAsia" w:ascii="宋体" w:hAnsi="宋体" w:eastAsia="宋体" w:cs="宋体"/>
          <w:color w:val="auto"/>
          <w:spacing w:val="20"/>
          <w:sz w:val="24"/>
          <w:highlight w:val="none"/>
          <w:u w:val="single"/>
        </w:rPr>
        <w:t>《工程施工质量验收规范》合格</w:t>
      </w:r>
      <w:r>
        <w:rPr>
          <w:rFonts w:hint="eastAsia" w:ascii="宋体" w:hAnsi="宋体" w:eastAsia="宋体" w:cs="宋体"/>
          <w:color w:val="auto"/>
          <w:spacing w:val="20"/>
          <w:sz w:val="24"/>
          <w:highlight w:val="none"/>
        </w:rPr>
        <w:t>标准。</w:t>
      </w:r>
    </w:p>
    <w:p w14:paraId="1C33C502">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9" w:name="_Toc351203484"/>
      <w:r>
        <w:rPr>
          <w:rFonts w:hint="eastAsia" w:ascii="宋体" w:hAnsi="宋体" w:eastAsia="宋体" w:cs="宋体"/>
          <w:b/>
          <w:bCs/>
          <w:color w:val="auto"/>
          <w:spacing w:val="20"/>
          <w:sz w:val="24"/>
          <w:highlight w:val="none"/>
        </w:rPr>
        <w:t>四、签约合同价与合同价格形式</w:t>
      </w:r>
      <w:bookmarkEnd w:id="89"/>
    </w:p>
    <w:p w14:paraId="3206A81C">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 签约合同价为：</w:t>
      </w:r>
    </w:p>
    <w:p w14:paraId="0C9FA163">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人民币（大写</w:t>
      </w:r>
      <w:r>
        <w:rPr>
          <w:rFonts w:hint="eastAsia" w:ascii="宋体" w:hAnsi="宋体" w:eastAsia="宋体" w:cs="宋体"/>
          <w:color w:val="auto"/>
          <w:spacing w:val="20"/>
          <w:sz w:val="24"/>
          <w:highlight w:val="none"/>
          <w:lang w:eastAsia="zh-CN"/>
        </w:rPr>
        <w:t>：</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w:t>
      </w:r>
    </w:p>
    <w:p w14:paraId="5F58B564">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 合同价格形式：</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固定综合单价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3490C627">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0" w:name="_Toc351203485"/>
      <w:r>
        <w:rPr>
          <w:rFonts w:hint="eastAsia" w:ascii="宋体" w:hAnsi="宋体" w:eastAsia="宋体" w:cs="宋体"/>
          <w:b/>
          <w:bCs/>
          <w:color w:val="auto"/>
          <w:spacing w:val="20"/>
          <w:sz w:val="24"/>
          <w:highlight w:val="none"/>
        </w:rPr>
        <w:t>五、</w:t>
      </w:r>
      <w:bookmarkEnd w:id="90"/>
      <w:r>
        <w:rPr>
          <w:rFonts w:hint="eastAsia" w:ascii="宋体" w:hAnsi="宋体" w:eastAsia="宋体" w:cs="宋体"/>
          <w:b/>
          <w:bCs/>
          <w:color w:val="auto"/>
          <w:spacing w:val="20"/>
          <w:sz w:val="24"/>
          <w:highlight w:val="none"/>
        </w:rPr>
        <w:t>项目经理</w:t>
      </w:r>
    </w:p>
    <w:p w14:paraId="0B145251">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承包人项目经理：</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48F47F09">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1" w:name="_Toc351203486"/>
      <w:r>
        <w:rPr>
          <w:rFonts w:hint="eastAsia" w:ascii="宋体" w:hAnsi="宋体" w:eastAsia="宋体" w:cs="宋体"/>
          <w:b/>
          <w:bCs/>
          <w:color w:val="auto"/>
          <w:spacing w:val="20"/>
          <w:sz w:val="24"/>
          <w:highlight w:val="none"/>
        </w:rPr>
        <w:t>六、合同文件构成</w:t>
      </w:r>
      <w:bookmarkEnd w:id="91"/>
    </w:p>
    <w:p w14:paraId="4A1D430B">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1.本协议书与下列文件一起构成合同文件：</w:t>
      </w:r>
    </w:p>
    <w:p w14:paraId="13839D91">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（1）中标通知书（如有）；</w:t>
      </w:r>
    </w:p>
    <w:p w14:paraId="01A4F676">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（2）投标函及其附录（如有）； </w:t>
      </w:r>
    </w:p>
    <w:p w14:paraId="4633CE40">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（3）专用合同条款及其附件；</w:t>
      </w:r>
    </w:p>
    <w:p w14:paraId="2205B667">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（4）通用合同条款；</w:t>
      </w:r>
    </w:p>
    <w:p w14:paraId="74B654D6">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（5）技术标准和要求；</w:t>
      </w:r>
    </w:p>
    <w:p w14:paraId="73F4EAB3">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（6）已标价工程量清单或预算书； </w:t>
      </w:r>
    </w:p>
    <w:p w14:paraId="6F60F27F">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（7）图纸；</w:t>
      </w:r>
    </w:p>
    <w:p w14:paraId="5C6A9525">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（8）其他合同文件。</w:t>
      </w:r>
    </w:p>
    <w:p w14:paraId="3E91A41F">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2.双方有关工程的洽商、变更等书面协议或文件视为本合同的组成部分。</w:t>
      </w:r>
    </w:p>
    <w:p w14:paraId="39C427AC">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099413BB">
      <w:pPr>
        <w:autoSpaceDE w:val="0"/>
        <w:autoSpaceDN w:val="0"/>
        <w:adjustRightInd w:val="0"/>
        <w:snapToGrid w:val="0"/>
        <w:spacing w:line="360" w:lineRule="auto"/>
        <w:ind w:firstLine="562" w:firstLineChars="200"/>
        <w:jc w:val="left"/>
        <w:outlineLvl w:val="0"/>
        <w:rPr>
          <w:rFonts w:ascii="宋体" w:hAnsi="宋体" w:eastAsia="宋体" w:cs="宋体"/>
          <w:b/>
          <w:bCs/>
          <w:color w:val="auto"/>
          <w:spacing w:val="20"/>
          <w:sz w:val="24"/>
          <w:highlight w:val="none"/>
        </w:rPr>
      </w:pPr>
      <w:bookmarkStart w:id="92" w:name="_Toc351203487"/>
      <w:r>
        <w:rPr>
          <w:rFonts w:hint="eastAsia" w:ascii="宋体" w:hAnsi="宋体" w:eastAsia="宋体" w:cs="宋体"/>
          <w:b/>
          <w:bCs/>
          <w:color w:val="auto"/>
          <w:spacing w:val="20"/>
          <w:sz w:val="24"/>
          <w:highlight w:val="none"/>
        </w:rPr>
        <w:t>七、承诺</w:t>
      </w:r>
      <w:bookmarkEnd w:id="92"/>
    </w:p>
    <w:p w14:paraId="270CDED5">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 发包人承诺按照法律规定履行项目审批手续、筹集工程建设资金并按照合同约定的期限和方式支付合同价款。</w:t>
      </w:r>
    </w:p>
    <w:p w14:paraId="1675BAAC">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4D905045">
      <w:pPr>
        <w:adjustRightInd w:val="0"/>
        <w:snapToGrid w:val="0"/>
        <w:spacing w:line="360" w:lineRule="auto"/>
        <w:ind w:firstLine="560" w:firstLineChars="200"/>
        <w:rPr>
          <w:rFonts w:hint="eastAsia"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3. 发包人和承包人签订</w:t>
      </w:r>
      <w:r>
        <w:rPr>
          <w:rFonts w:hint="eastAsia" w:ascii="宋体" w:hAnsi="宋体" w:eastAsia="宋体" w:cs="宋体"/>
          <w:bCs/>
          <w:color w:val="auto"/>
          <w:spacing w:val="20"/>
          <w:sz w:val="24"/>
          <w:highlight w:val="none"/>
          <w:lang w:eastAsia="zh-CN"/>
        </w:rPr>
        <w:t>的</w:t>
      </w:r>
      <w:r>
        <w:rPr>
          <w:rFonts w:hint="eastAsia" w:ascii="宋体" w:hAnsi="宋体" w:eastAsia="宋体" w:cs="宋体"/>
          <w:bCs/>
          <w:color w:val="auto"/>
          <w:spacing w:val="20"/>
          <w:sz w:val="24"/>
          <w:highlight w:val="none"/>
        </w:rPr>
        <w:t>合同，双方理解并承诺不再就同一工程另行签订与合同实质性内容相背离的协议。</w:t>
      </w:r>
      <w:bookmarkStart w:id="93" w:name="_Toc351203488"/>
      <w:r>
        <w:rPr>
          <w:rFonts w:hint="eastAsia" w:ascii="宋体" w:hAnsi="宋体" w:eastAsia="宋体" w:cs="宋体"/>
          <w:bCs/>
          <w:color w:val="auto"/>
          <w:spacing w:val="20"/>
          <w:sz w:val="24"/>
          <w:highlight w:val="none"/>
          <w:lang w:eastAsia="zh-CN"/>
        </w:rPr>
        <w:t>其他未说明的有关管理办法严格按浦政规〔</w:t>
      </w:r>
      <w:r>
        <w:rPr>
          <w:rFonts w:hint="eastAsia" w:ascii="宋体" w:hAnsi="宋体" w:eastAsia="宋体" w:cs="宋体"/>
          <w:bCs/>
          <w:color w:val="auto"/>
          <w:spacing w:val="20"/>
          <w:sz w:val="24"/>
          <w:highlight w:val="none"/>
          <w:lang w:val="en-US" w:eastAsia="zh-CN"/>
        </w:rPr>
        <w:t>2020</w:t>
      </w:r>
      <w:r>
        <w:rPr>
          <w:rFonts w:hint="eastAsia" w:ascii="宋体" w:hAnsi="宋体" w:eastAsia="宋体" w:cs="宋体"/>
          <w:bCs/>
          <w:color w:val="auto"/>
          <w:spacing w:val="20"/>
          <w:sz w:val="24"/>
          <w:highlight w:val="none"/>
          <w:lang w:eastAsia="zh-CN"/>
        </w:rPr>
        <w:t>〕</w:t>
      </w:r>
      <w:r>
        <w:rPr>
          <w:rFonts w:hint="eastAsia" w:ascii="宋体" w:hAnsi="宋体" w:eastAsia="宋体" w:cs="宋体"/>
          <w:bCs/>
          <w:color w:val="auto"/>
          <w:spacing w:val="20"/>
          <w:sz w:val="24"/>
          <w:highlight w:val="none"/>
          <w:lang w:val="en-US" w:eastAsia="zh-CN"/>
        </w:rPr>
        <w:t>1号及相关规范执行。</w:t>
      </w:r>
    </w:p>
    <w:p w14:paraId="18927BB7">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八、词语含义</w:t>
      </w:r>
      <w:bookmarkEnd w:id="93"/>
    </w:p>
    <w:p w14:paraId="2C2AFA2F">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本协议书中词语含义与第二部分通用合同条款中赋予的含义相同。</w:t>
      </w:r>
    </w:p>
    <w:p w14:paraId="66296675">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4" w:name="_Toc351203489"/>
      <w:r>
        <w:rPr>
          <w:rFonts w:hint="eastAsia" w:ascii="宋体" w:hAnsi="宋体" w:eastAsia="宋体" w:cs="宋体"/>
          <w:b/>
          <w:bCs/>
          <w:color w:val="auto"/>
          <w:spacing w:val="20"/>
          <w:sz w:val="24"/>
          <w:highlight w:val="none"/>
        </w:rPr>
        <w:t>九、签订时间</w:t>
      </w:r>
      <w:bookmarkEnd w:id="94"/>
    </w:p>
    <w:p w14:paraId="654982A0">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本合同于</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年</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月</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日签订。</w:t>
      </w:r>
    </w:p>
    <w:p w14:paraId="4CB38F4E">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5" w:name="_Toc351203490"/>
      <w:r>
        <w:rPr>
          <w:rFonts w:hint="eastAsia" w:ascii="宋体" w:hAnsi="宋体" w:eastAsia="宋体" w:cs="宋体"/>
          <w:b/>
          <w:bCs/>
          <w:color w:val="auto"/>
          <w:spacing w:val="20"/>
          <w:sz w:val="24"/>
          <w:highlight w:val="none"/>
        </w:rPr>
        <w:t>十、签订地点</w:t>
      </w:r>
      <w:bookmarkEnd w:id="95"/>
    </w:p>
    <w:p w14:paraId="375027AC">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本合同在</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签订。</w:t>
      </w:r>
    </w:p>
    <w:p w14:paraId="691021E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6" w:name="_Toc351203491"/>
      <w:r>
        <w:rPr>
          <w:rFonts w:hint="eastAsia" w:ascii="宋体" w:hAnsi="宋体" w:eastAsia="宋体" w:cs="宋体"/>
          <w:b/>
          <w:bCs/>
          <w:color w:val="auto"/>
          <w:spacing w:val="20"/>
          <w:sz w:val="24"/>
          <w:highlight w:val="none"/>
        </w:rPr>
        <w:t>十一、补充协议</w:t>
      </w:r>
      <w:bookmarkEnd w:id="96"/>
    </w:p>
    <w:p w14:paraId="1A95B197">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合同未尽事宜，合同当事人另行签订补充协议，补充协议是合同的组成部分。</w:t>
      </w:r>
    </w:p>
    <w:p w14:paraId="19521649">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7" w:name="_Toc351203492"/>
      <w:r>
        <w:rPr>
          <w:rFonts w:hint="eastAsia" w:ascii="宋体" w:hAnsi="宋体" w:eastAsia="宋体" w:cs="宋体"/>
          <w:b/>
          <w:bCs/>
          <w:color w:val="auto"/>
          <w:spacing w:val="20"/>
          <w:sz w:val="24"/>
          <w:highlight w:val="none"/>
        </w:rPr>
        <w:t>十二、合同生效</w:t>
      </w:r>
      <w:bookmarkEnd w:id="97"/>
    </w:p>
    <w:p w14:paraId="267DAA1F">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本合同自</w:t>
      </w:r>
      <w:r>
        <w:rPr>
          <w:rFonts w:hint="eastAsia" w:ascii="宋体" w:hAnsi="宋体" w:eastAsia="宋体" w:cs="宋体"/>
          <w:bCs/>
          <w:color w:val="auto"/>
          <w:spacing w:val="20"/>
          <w:sz w:val="24"/>
          <w:highlight w:val="none"/>
          <w:u w:val="single"/>
        </w:rPr>
        <w:t xml:space="preserve"> 双方法定代表人或其授权代理人签字并加盖单位公章之日起 </w:t>
      </w:r>
      <w:r>
        <w:rPr>
          <w:rFonts w:hint="eastAsia" w:ascii="宋体" w:hAnsi="宋体" w:eastAsia="宋体" w:cs="宋体"/>
          <w:bCs/>
          <w:color w:val="auto"/>
          <w:spacing w:val="20"/>
          <w:sz w:val="24"/>
          <w:highlight w:val="none"/>
        </w:rPr>
        <w:t>生效。</w:t>
      </w:r>
    </w:p>
    <w:p w14:paraId="1E55C4EC">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8" w:name="_Toc351203493"/>
      <w:r>
        <w:rPr>
          <w:rFonts w:hint="eastAsia" w:ascii="宋体" w:hAnsi="宋体" w:eastAsia="宋体" w:cs="宋体"/>
          <w:b/>
          <w:bCs/>
          <w:color w:val="auto"/>
          <w:spacing w:val="20"/>
          <w:sz w:val="24"/>
          <w:highlight w:val="none"/>
        </w:rPr>
        <w:t>十三、合同份数</w:t>
      </w:r>
      <w:bookmarkEnd w:id="98"/>
    </w:p>
    <w:p w14:paraId="09F5DD89">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本合同一式</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陆</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份，均具有同等法律效力，发包人执</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份，承包人执</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w:t>
      </w:r>
    </w:p>
    <w:p w14:paraId="438441AE">
      <w:pPr>
        <w:adjustRightInd w:val="0"/>
        <w:snapToGrid w:val="0"/>
        <w:spacing w:line="360" w:lineRule="auto"/>
        <w:rPr>
          <w:rFonts w:ascii="宋体" w:hAnsi="宋体" w:eastAsia="宋体" w:cs="宋体"/>
          <w:bCs/>
          <w:color w:val="auto"/>
          <w:spacing w:val="20"/>
          <w:sz w:val="24"/>
          <w:highlight w:val="none"/>
        </w:rPr>
      </w:pPr>
    </w:p>
    <w:p w14:paraId="6B8215FD">
      <w:pPr>
        <w:adjustRightInd w:val="0"/>
        <w:snapToGrid w:val="0"/>
        <w:spacing w:line="420" w:lineRule="exact"/>
        <w:rPr>
          <w:rFonts w:ascii="宋体" w:hAnsi="宋体" w:cs="宋体"/>
          <w:color w:val="auto"/>
          <w:spacing w:val="20"/>
          <w:sz w:val="24"/>
          <w:highlight w:val="none"/>
        </w:rPr>
      </w:pPr>
      <w:bookmarkStart w:id="99" w:name="_Toc21285"/>
      <w:bookmarkStart w:id="100" w:name="_Toc439779029"/>
      <w:bookmarkStart w:id="101" w:name="_Toc461982824"/>
      <w:bookmarkStart w:id="102" w:name="_Toc389065256"/>
      <w:bookmarkStart w:id="103" w:name="_Toc16007"/>
      <w:bookmarkStart w:id="104" w:name="_Toc425437329"/>
      <w:bookmarkStart w:id="105" w:name="_Toc373227691"/>
      <w:bookmarkStart w:id="106" w:name="_Toc373478338"/>
      <w:bookmarkStart w:id="107" w:name="_Toc351203632"/>
      <w:r>
        <w:rPr>
          <w:rFonts w:hint="eastAsia" w:ascii="宋体" w:hAnsi="宋体" w:cs="宋体"/>
          <w:color w:val="auto"/>
          <w:spacing w:val="20"/>
          <w:sz w:val="24"/>
          <w:highlight w:val="none"/>
        </w:rPr>
        <w:t>发包人：  （公章）              承包人：  （公章）</w:t>
      </w:r>
    </w:p>
    <w:p w14:paraId="18E97EA0">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eastAsia="zh-CN"/>
        </w:rPr>
        <w:t xml:space="preserve">                                  </w:t>
      </w:r>
      <w:r>
        <w:rPr>
          <w:rFonts w:hint="eastAsia" w:ascii="宋体" w:hAnsi="宋体" w:cs="宋体"/>
          <w:color w:val="auto"/>
          <w:spacing w:val="20"/>
          <w:sz w:val="24"/>
          <w:highlight w:val="none"/>
        </w:rPr>
        <w:t xml:space="preserve">                                                       </w:t>
      </w:r>
    </w:p>
    <w:p w14:paraId="330BCE2F">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7868B7D4">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52610851">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lang w:val="en-US" w:eastAsia="zh-CN"/>
        </w:rPr>
        <w:t xml:space="preserve">                       </w:t>
      </w:r>
    </w:p>
    <w:p w14:paraId="3EC096A5">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p>
    <w:p w14:paraId="781EDC12">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lang w:val="en-US" w:eastAsia="zh-CN"/>
        </w:rPr>
        <w:t xml:space="preserve">             </w:t>
      </w:r>
    </w:p>
    <w:p w14:paraId="33C4E785">
      <w:pPr>
        <w:adjustRightInd w:val="0"/>
        <w:snapToGrid w:val="0"/>
        <w:spacing w:line="420" w:lineRule="exact"/>
        <w:rPr>
          <w:rFonts w:hint="default" w:ascii="宋体" w:hAnsi="宋体" w:cs="宋体"/>
          <w:color w:val="auto"/>
          <w:spacing w:val="20"/>
          <w:sz w:val="24"/>
          <w:highlight w:val="none"/>
          <w:lang w:val="en-US"/>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lang w:val="en-US" w:eastAsia="zh-CN"/>
        </w:rPr>
        <w:t xml:space="preserve">                      </w:t>
      </w:r>
    </w:p>
    <w:p w14:paraId="7E2BDCEE">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lang w:eastAsia="zh-CN"/>
        </w:rPr>
        <w:t xml:space="preserve"> </w:t>
      </w:r>
      <w:r>
        <w:rPr>
          <w:rFonts w:hint="eastAsia" w:asciiTheme="minorEastAsia" w:hAnsiTheme="minorEastAsia"/>
          <w:color w:val="auto"/>
          <w:sz w:val="24"/>
          <w:highlight w:val="none"/>
          <w:u w:val="single"/>
          <w:lang w:val="en-US" w:eastAsia="zh-CN"/>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5B13F4F8">
      <w:pPr>
        <w:pStyle w:val="2"/>
        <w:keepNext w:val="0"/>
        <w:keepLines w:val="0"/>
        <w:spacing w:line="312" w:lineRule="auto"/>
        <w:jc w:val="center"/>
        <w:rPr>
          <w:rFonts w:ascii="宋体" w:hAnsi="宋体" w:eastAsia="宋体" w:cs="宋体"/>
          <w:color w:val="auto"/>
          <w:spacing w:val="20"/>
          <w:szCs w:val="32"/>
          <w:highlight w:val="none"/>
        </w:rPr>
      </w:pPr>
    </w:p>
    <w:p w14:paraId="44E5B3FB">
      <w:pPr>
        <w:rPr>
          <w:rFonts w:ascii="宋体" w:hAnsi="宋体" w:eastAsia="宋体" w:cs="宋体"/>
          <w:color w:val="auto"/>
          <w:spacing w:val="20"/>
          <w:szCs w:val="32"/>
          <w:highlight w:val="none"/>
        </w:rPr>
      </w:pPr>
    </w:p>
    <w:p w14:paraId="7265F0DF">
      <w:pPr>
        <w:rPr>
          <w:rFonts w:ascii="宋体" w:hAnsi="宋体" w:eastAsia="宋体" w:cs="宋体"/>
          <w:color w:val="auto"/>
          <w:spacing w:val="20"/>
          <w:szCs w:val="32"/>
          <w:highlight w:val="none"/>
        </w:rPr>
      </w:pPr>
    </w:p>
    <w:p w14:paraId="2622B247">
      <w:pPr>
        <w:rPr>
          <w:rFonts w:ascii="宋体" w:hAnsi="宋体" w:eastAsia="宋体" w:cs="宋体"/>
          <w:color w:val="auto"/>
          <w:spacing w:val="20"/>
          <w:szCs w:val="32"/>
          <w:highlight w:val="none"/>
        </w:rPr>
      </w:pPr>
    </w:p>
    <w:p w14:paraId="7ECB7865">
      <w:pPr>
        <w:rPr>
          <w:rFonts w:ascii="宋体" w:hAnsi="宋体" w:eastAsia="宋体" w:cs="宋体"/>
          <w:color w:val="auto"/>
          <w:spacing w:val="20"/>
          <w:szCs w:val="32"/>
          <w:highlight w:val="none"/>
        </w:rPr>
      </w:pPr>
    </w:p>
    <w:p w14:paraId="4582F479">
      <w:pPr>
        <w:rPr>
          <w:rFonts w:ascii="宋体" w:hAnsi="宋体" w:eastAsia="宋体" w:cs="宋体"/>
          <w:color w:val="auto"/>
          <w:spacing w:val="20"/>
          <w:szCs w:val="32"/>
          <w:highlight w:val="none"/>
        </w:rPr>
      </w:pPr>
    </w:p>
    <w:p w14:paraId="0CE47438">
      <w:pPr>
        <w:pStyle w:val="2"/>
        <w:keepNext w:val="0"/>
        <w:keepLines w:val="0"/>
        <w:spacing w:line="312" w:lineRule="auto"/>
        <w:jc w:val="center"/>
        <w:rPr>
          <w:rFonts w:hint="eastAsia" w:ascii="宋体" w:hAnsi="宋体" w:eastAsia="宋体" w:cs="宋体"/>
          <w:color w:val="auto"/>
          <w:spacing w:val="20"/>
          <w:szCs w:val="32"/>
          <w:highlight w:val="none"/>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14:paraId="5900C00C">
      <w:pPr>
        <w:pStyle w:val="2"/>
        <w:keepNext w:val="0"/>
        <w:keepLines w:val="0"/>
        <w:spacing w:line="312" w:lineRule="auto"/>
        <w:jc w:val="center"/>
        <w:rPr>
          <w:rFonts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第二部分 通用合同条款</w:t>
      </w:r>
      <w:bookmarkEnd w:id="99"/>
      <w:bookmarkEnd w:id="100"/>
      <w:bookmarkEnd w:id="101"/>
      <w:bookmarkEnd w:id="102"/>
      <w:bookmarkEnd w:id="103"/>
      <w:bookmarkEnd w:id="104"/>
    </w:p>
    <w:p w14:paraId="30A309E7">
      <w:pPr>
        <w:pStyle w:val="5"/>
        <w:spacing w:before="120" w:after="120" w:line="312" w:lineRule="auto"/>
        <w:rPr>
          <w:rFonts w:ascii="宋体" w:hAnsi="宋体" w:eastAsia="宋体" w:cs="宋体"/>
          <w:b w:val="0"/>
          <w:color w:val="auto"/>
          <w:sz w:val="24"/>
          <w:szCs w:val="24"/>
          <w:highlight w:val="none"/>
        </w:rPr>
      </w:pPr>
      <w:bookmarkStart w:id="108" w:name="_Toc351203495"/>
      <w:bookmarkStart w:id="109" w:name="_Toc439779030"/>
      <w:bookmarkStart w:id="110" w:name="_Toc25546"/>
      <w:bookmarkStart w:id="111" w:name="_Toc461982825"/>
      <w:bookmarkStart w:id="112" w:name="_Toc389065257"/>
      <w:bookmarkStart w:id="113" w:name="_Toc1320"/>
      <w:bookmarkStart w:id="114" w:name="_Toc425437330"/>
      <w:r>
        <w:rPr>
          <w:rFonts w:hint="eastAsia" w:ascii="宋体" w:hAnsi="宋体" w:eastAsia="宋体" w:cs="宋体"/>
          <w:b w:val="0"/>
          <w:color w:val="auto"/>
          <w:sz w:val="24"/>
          <w:szCs w:val="24"/>
          <w:highlight w:val="none"/>
        </w:rPr>
        <w:t>1.</w:t>
      </w:r>
      <w:bookmarkStart w:id="115" w:name="_Toc303538974"/>
      <w:bookmarkEnd w:id="115"/>
      <w:bookmarkStart w:id="116" w:name="_Toc303538972"/>
      <w:bookmarkEnd w:id="116"/>
      <w:bookmarkStart w:id="117" w:name="_Toc303538973"/>
      <w:bookmarkEnd w:id="117"/>
      <w:bookmarkStart w:id="118" w:name="_Toc303538976"/>
      <w:bookmarkEnd w:id="118"/>
      <w:bookmarkStart w:id="119" w:name="_Toc303538975"/>
      <w:bookmarkEnd w:id="119"/>
      <w:bookmarkStart w:id="120" w:name="_Toc296503027"/>
      <w:bookmarkStart w:id="121" w:name="_Toc296346528"/>
      <w:r>
        <w:rPr>
          <w:rFonts w:hint="eastAsia" w:ascii="宋体" w:hAnsi="宋体" w:eastAsia="宋体" w:cs="宋体"/>
          <w:b w:val="0"/>
          <w:color w:val="auto"/>
          <w:sz w:val="24"/>
          <w:szCs w:val="24"/>
          <w:highlight w:val="none"/>
        </w:rPr>
        <w:t xml:space="preserve"> 一般约定</w:t>
      </w:r>
      <w:bookmarkEnd w:id="108"/>
      <w:bookmarkEnd w:id="120"/>
      <w:bookmarkEnd w:id="121"/>
    </w:p>
    <w:p w14:paraId="25F9F3F9">
      <w:pPr>
        <w:pStyle w:val="6"/>
        <w:spacing w:before="120" w:after="120" w:line="312" w:lineRule="auto"/>
        <w:ind w:firstLine="480" w:firstLineChars="200"/>
        <w:rPr>
          <w:rFonts w:ascii="宋体" w:hAnsi="宋体" w:eastAsia="宋体" w:cs="宋体"/>
          <w:b w:val="0"/>
          <w:color w:val="auto"/>
          <w:sz w:val="24"/>
          <w:szCs w:val="24"/>
          <w:highlight w:val="none"/>
        </w:rPr>
      </w:pPr>
      <w:bookmarkStart w:id="122" w:name="_Toc296503028"/>
      <w:bookmarkStart w:id="123" w:name="_Toc337558728"/>
      <w:bookmarkStart w:id="124" w:name="_Toc296346529"/>
      <w:bookmarkStart w:id="125" w:name="_Toc351203496"/>
      <w:r>
        <w:rPr>
          <w:rFonts w:hint="eastAsia" w:ascii="宋体" w:hAnsi="宋体" w:eastAsia="宋体" w:cs="宋体"/>
          <w:b w:val="0"/>
          <w:color w:val="auto"/>
          <w:sz w:val="24"/>
          <w:szCs w:val="24"/>
          <w:highlight w:val="none"/>
        </w:rPr>
        <w:t>1.1词语定义</w:t>
      </w:r>
      <w:bookmarkEnd w:id="122"/>
      <w:bookmarkEnd w:id="123"/>
      <w:bookmarkEnd w:id="124"/>
      <w:r>
        <w:rPr>
          <w:rFonts w:hint="eastAsia" w:ascii="宋体" w:hAnsi="宋体" w:eastAsia="宋体" w:cs="宋体"/>
          <w:b w:val="0"/>
          <w:color w:val="auto"/>
          <w:sz w:val="24"/>
          <w:szCs w:val="24"/>
          <w:highlight w:val="none"/>
        </w:rPr>
        <w:t>与解释</w:t>
      </w:r>
      <w:bookmarkEnd w:id="125"/>
    </w:p>
    <w:p w14:paraId="13167A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合同协议书、通用合同条款、专用合同条款中的下列词语具有本款所赋予的含义：</w:t>
      </w:r>
    </w:p>
    <w:p w14:paraId="0961EB3F">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1.1.1 合同</w:t>
      </w:r>
    </w:p>
    <w:p w14:paraId="2852231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、通用合同条款、技术标准和要求、图纸、已标价工程量清单或预算书以及其他合同文件。</w:t>
      </w:r>
    </w:p>
    <w:p w14:paraId="18781B0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合同协议书：是指构成合同的由发包人和承包人共同签署的称为“合同协议书”的书面文件。</w:t>
      </w:r>
    </w:p>
    <w:p w14:paraId="34F954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中标通知书：是指构成合同的由发包人通知承包人中标的书面文件。</w:t>
      </w:r>
    </w:p>
    <w:p w14:paraId="7827A2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1.1.1.4 投标函：是指构成合同的由承包人填写并签署的用于投标的称为“投标函”的文件。</w:t>
      </w:r>
    </w:p>
    <w:p w14:paraId="3A96EE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1.1.1.5 投标函附录：是指构成合同的附在投标函后的称为“投标函附录”的文件。</w:t>
      </w:r>
    </w:p>
    <w:p w14:paraId="296372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1.1.1.6 技术标准和要求：是指构成合同的施工应当遵守的或指导施工的国家、行业或地方的技术标准和要求，以及合同约定的技术标准和要求。</w:t>
      </w:r>
    </w:p>
    <w:p w14:paraId="2745005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1FB0F8C4">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1.1.1.8 已标价工程量清单：是指构成合同的由承包人按照规定的格式和要求填写并标明价格的工程量清单，包括说明和表格。</w:t>
      </w:r>
    </w:p>
    <w:p w14:paraId="5CB316DF">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1.1.1.9 预算书：是指构成合同的由承包人按照发包人规定的格式和要求编制的工程预算文件。</w:t>
      </w:r>
    </w:p>
    <w:p w14:paraId="3D1D3F2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32F0EB25">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1.1.2 合同当事人及其他相关方</w:t>
      </w:r>
    </w:p>
    <w:p w14:paraId="7E4FD4F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1.1.2.1 合同当事人：是指发包人和（或）承包人。</w:t>
      </w:r>
    </w:p>
    <w:p w14:paraId="52A8B7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1.1.2.2 发包人：是指与承包人签订合同协议书的当事人及取得该当事人资格的合法继承人。</w:t>
      </w:r>
    </w:p>
    <w:p w14:paraId="698FD6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1.1.2.3 承包人：是指与发包人签订合同协议书的，具有相应工程施工承包资质的当事人及取得该当事人资格的合法继承人。</w:t>
      </w:r>
    </w:p>
    <w:p w14:paraId="2C67376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1.1.2.4 监理人：是指在专用合同条款中指明的，受发包人委托按照法律规定进行工程监督管理的法人或其他组织。</w:t>
      </w:r>
    </w:p>
    <w:p w14:paraId="41F4E6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1.1.2.5 设计人：是指在专用合同条款中指明的，受发包人委托负责工程设计并具备相应工程设计资质的法人或其他组织。</w:t>
      </w:r>
    </w:p>
    <w:p w14:paraId="2469D685">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1.1.2.6 分包人：</w:t>
      </w:r>
      <w:bookmarkStart w:id="126" w:name="#go5"/>
      <w:bookmarkEnd w:id="126"/>
      <w:r>
        <w:rPr>
          <w:rFonts w:hint="eastAsia" w:ascii="宋体" w:hAnsi="宋体" w:eastAsia="宋体" w:cs="宋体"/>
          <w:color w:val="auto"/>
          <w:kern w:val="0"/>
          <w:sz w:val="24"/>
          <w:highlight w:val="none"/>
        </w:rPr>
        <w:t>是指按照法律规定和合同约定，分包部分工程或工作，并与承包人签订分包合同的具有相应资质的法人。</w:t>
      </w:r>
    </w:p>
    <w:p w14:paraId="6871A7E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1.1.2.7 发包人代表：是指由发包人任命并派驻施工现场在发包人授权范围内行使发包人权利的人。</w:t>
      </w:r>
    </w:p>
    <w:p w14:paraId="1C0BE4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1.1.2.8 项目经理：是指由承包人任命并派驻施工现场，在承包人授权范围内负责合同履行，且按照法律规定具有相应资格的项目负责人。</w:t>
      </w:r>
    </w:p>
    <w:p w14:paraId="7B095B2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1.1.2.9 总监理工程师：是指由监理人任命并派驻施工现场进行工程监理的总负责人。</w:t>
      </w:r>
    </w:p>
    <w:p w14:paraId="6B26CE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 工程和设备</w:t>
      </w:r>
    </w:p>
    <w:p w14:paraId="1764EEA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 工程：是指与合同协议书中工程承包范围对应的永久工程和（或）临时工程。</w:t>
      </w:r>
    </w:p>
    <w:p w14:paraId="4C05C26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1.1.3.2 永久工程：是指按合同约定建造并移交给发包人的工程，包括工程设备。</w:t>
      </w:r>
    </w:p>
    <w:p w14:paraId="3BF2C54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1.1.3.3 临时工程：是指为完成合同约定的永久工程所修建的各类临时性工程，不包括施工设备。</w:t>
      </w:r>
    </w:p>
    <w:p w14:paraId="545201B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1.1.3.4 单位工程：是指在合同协议书中指明的，具备独立施工条件并能形成独立使用功能的永久工程。</w:t>
      </w:r>
    </w:p>
    <w:p w14:paraId="38F1668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1.1.3.5 工程设备：是指构成永久工程的机电设备、金属结构设备、仪器及其他类似的设备和装置。</w:t>
      </w:r>
    </w:p>
    <w:p w14:paraId="0C43724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1.1.3.6 施工设备：是指为完成合同约定的各项工作所需的设备、器具和其他物品，但不包括工程设备、临时工程和材料。</w:t>
      </w:r>
    </w:p>
    <w:p w14:paraId="786E641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1.1.3.7 施工现场：是指用于工程施工的场所，以及在专用合同条款中指明作为施工场所组成部分的其他场所，包括永久占地和临时占地。</w:t>
      </w:r>
    </w:p>
    <w:p w14:paraId="7761348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1.1.3.8临时设施：是指为完成合同约定的各项工作所服务的临时性生产和生活设施。</w:t>
      </w:r>
    </w:p>
    <w:p w14:paraId="15A815B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1.1.3.9 永久占地：是指专用合同条款中指明为实施工程需永久占用的土地。</w:t>
      </w:r>
    </w:p>
    <w:p w14:paraId="62D51FE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1.1.3.10 临时占地：是指专用合同条款中指明为实施工程需要临时占用的土地。</w:t>
      </w:r>
    </w:p>
    <w:p w14:paraId="0A48AC3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 日期和期限</w:t>
      </w:r>
    </w:p>
    <w:p w14:paraId="25B4CC7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F22A08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5B0D9F70">
      <w:pPr>
        <w:spacing w:line="312" w:lineRule="auto"/>
        <w:ind w:firstLine="487" w:firstLineChars="203"/>
        <w:rPr>
          <w:rFonts w:ascii="宋体" w:hAnsi="宋体" w:eastAsia="宋体" w:cs="宋体"/>
          <w:color w:val="auto"/>
          <w:sz w:val="24"/>
          <w:highlight w:val="none"/>
        </w:rPr>
      </w:pPr>
      <w:r>
        <w:rPr>
          <w:rFonts w:hint="eastAsia" w:ascii="宋体" w:hAnsi="宋体" w:eastAsia="宋体" w:cs="宋体"/>
          <w:color w:val="auto"/>
          <w:kern w:val="0"/>
          <w:sz w:val="24"/>
          <w:highlight w:val="none"/>
        </w:rPr>
        <w:t>1.1.4.3 工期：是指在合同协议书约定的承包人完成工程所需的期限，包括按照合同约定所作的期限变更。</w:t>
      </w:r>
    </w:p>
    <w:p w14:paraId="7541F49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1.1.4.4 缺陷责任期：是指承包人按照合同约定承担缺陷修复义务，且发包人预留质量保证金的期限，自工程实际竣工日期起计算。</w:t>
      </w:r>
    </w:p>
    <w:p w14:paraId="7282C8F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1.1.4.5 保修期：是指承包人按照合同约定对工程承担保修责任的期限，从工程竣工验收合格之日起计算。</w:t>
      </w:r>
    </w:p>
    <w:p w14:paraId="56F17A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1.1.4.6 基准日期：招标发包的工程以投标截止日前28天的日期为基准日期，直接发包的工程以合同签订日前28天的日期为基准日期。</w:t>
      </w:r>
    </w:p>
    <w:p w14:paraId="0256678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1.1.4.7 天：除特别指明外，均指日历天。合同中按天计算时间的，开始当天不计入，从次日开始计算，期限最后一天的截止时间为当天24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00时。</w:t>
      </w:r>
    </w:p>
    <w:p w14:paraId="04273C7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 合同价格和费用</w:t>
      </w:r>
    </w:p>
    <w:p w14:paraId="001DE1F8">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1.1.5.1 签约合同价：是指</w:t>
      </w:r>
      <w:r>
        <w:rPr>
          <w:rFonts w:hint="eastAsia" w:ascii="宋体" w:hAnsi="宋体" w:eastAsia="宋体" w:cs="宋体"/>
          <w:color w:val="auto"/>
          <w:sz w:val="24"/>
          <w:highlight w:val="none"/>
        </w:rPr>
        <w:t>发包人和承包人在合同协议书中确定的总金额，包括安全文明施工费、暂估价及暂列金额等。</w:t>
      </w:r>
    </w:p>
    <w:p w14:paraId="08BCD25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3623EE3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1.1.5.3 费用：是指为履行合同所发生的或将要发生的所有必需的开支，包括管理费和应分摊的其他费用，但不包括利润。</w:t>
      </w:r>
    </w:p>
    <w:p w14:paraId="69AA4E0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5B03E29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9C24E4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1F26040C">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1.1.5.7 质量保证金</w:t>
      </w:r>
      <w:bookmarkStart w:id="127" w:name="#go2"/>
      <w:bookmarkEnd w:id="127"/>
      <w:r>
        <w:rPr>
          <w:rFonts w:hint="eastAsia" w:ascii="宋体" w:hAnsi="宋体" w:eastAsia="宋体" w:cs="宋体"/>
          <w:color w:val="auto"/>
          <w:kern w:val="0"/>
          <w:sz w:val="24"/>
          <w:highlight w:val="none"/>
        </w:rPr>
        <w:t>：是指按照第15.3款〔质量保证金〕约定承包人用于保证其在缺陷责任期内履行缺陷修补义务的担保</w:t>
      </w:r>
      <w:r>
        <w:rPr>
          <w:rFonts w:hint="eastAsia" w:ascii="宋体" w:hAnsi="宋体" w:eastAsia="宋体" w:cs="宋体"/>
          <w:color w:val="auto"/>
          <w:sz w:val="24"/>
          <w:highlight w:val="none"/>
        </w:rPr>
        <w:t>。</w:t>
      </w:r>
    </w:p>
    <w:p w14:paraId="070FB25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1563B8A8">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 其他</w:t>
      </w:r>
    </w:p>
    <w:p w14:paraId="7CD9DEAA">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1.1.6.1 书面形式：是指合同文件、信函、电报、传真等可以有形地表现所载内容的形式。</w:t>
      </w:r>
    </w:p>
    <w:p w14:paraId="06534758">
      <w:pPr>
        <w:pStyle w:val="6"/>
        <w:spacing w:before="120" w:after="120" w:line="312"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28" w:name="_Toc337558729"/>
      <w:bookmarkStart w:id="129" w:name="_Toc296346530"/>
      <w:bookmarkStart w:id="130" w:name="_Toc351203497"/>
      <w:bookmarkStart w:id="131" w:name="_Toc296503029"/>
      <w:r>
        <w:rPr>
          <w:rFonts w:hint="eastAsia" w:ascii="宋体" w:hAnsi="宋体" w:eastAsia="宋体" w:cs="宋体"/>
          <w:b w:val="0"/>
          <w:color w:val="auto"/>
          <w:sz w:val="24"/>
          <w:szCs w:val="24"/>
          <w:highlight w:val="none"/>
        </w:rPr>
        <w:t>1.2语言文字</w:t>
      </w:r>
      <w:bookmarkEnd w:id="128"/>
      <w:bookmarkEnd w:id="129"/>
      <w:bookmarkEnd w:id="130"/>
      <w:bookmarkEnd w:id="131"/>
    </w:p>
    <w:p w14:paraId="187F81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合同以中国的汉语简体文字编写、解释和说明。合同当事人在专用合同条款中约定使用两种以上语言时，汉语为优先解释和说明合同的语言。</w:t>
      </w:r>
    </w:p>
    <w:p w14:paraId="57325EE6">
      <w:pPr>
        <w:pStyle w:val="6"/>
        <w:spacing w:before="120" w:after="120" w:line="312" w:lineRule="auto"/>
        <w:ind w:firstLine="480" w:firstLineChars="200"/>
        <w:rPr>
          <w:rFonts w:ascii="宋体" w:hAnsi="宋体" w:eastAsia="宋体" w:cs="宋体"/>
          <w:b w:val="0"/>
          <w:color w:val="auto"/>
          <w:sz w:val="24"/>
          <w:szCs w:val="24"/>
          <w:highlight w:val="none"/>
        </w:rPr>
      </w:pPr>
      <w:bookmarkStart w:id="132" w:name="_Toc351203498"/>
      <w:bookmarkStart w:id="133" w:name="_Toc296503030"/>
      <w:bookmarkStart w:id="134" w:name="_Toc296346531"/>
      <w:bookmarkStart w:id="135" w:name="_Toc337558730"/>
      <w:r>
        <w:rPr>
          <w:rFonts w:hint="eastAsia" w:ascii="宋体" w:hAnsi="宋体" w:eastAsia="宋体" w:cs="宋体"/>
          <w:b w:val="0"/>
          <w:color w:val="auto"/>
          <w:sz w:val="24"/>
          <w:szCs w:val="24"/>
          <w:highlight w:val="none"/>
        </w:rPr>
        <w:t>1.3法律</w:t>
      </w:r>
      <w:bookmarkEnd w:id="132"/>
      <w:bookmarkEnd w:id="133"/>
      <w:bookmarkEnd w:id="134"/>
      <w:bookmarkEnd w:id="135"/>
    </w:p>
    <w:p w14:paraId="597761E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合同所称法律是指中华人民共和国法律、行政法规、部门规章，以及工程所在地的地方性法规、自治条例、单行条例和地方政府规章等。</w:t>
      </w:r>
    </w:p>
    <w:p w14:paraId="2FC00A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合同当事人可以在专用合同条款中约定合同适用的其他规范性文件。</w:t>
      </w:r>
    </w:p>
    <w:p w14:paraId="7DC227CA">
      <w:pPr>
        <w:pStyle w:val="6"/>
        <w:spacing w:before="120" w:after="120" w:line="312" w:lineRule="auto"/>
        <w:ind w:firstLine="480" w:firstLineChars="200"/>
        <w:rPr>
          <w:rFonts w:ascii="宋体" w:hAnsi="宋体" w:eastAsia="宋体" w:cs="宋体"/>
          <w:b w:val="0"/>
          <w:color w:val="auto"/>
          <w:sz w:val="24"/>
          <w:szCs w:val="24"/>
          <w:highlight w:val="none"/>
        </w:rPr>
      </w:pPr>
      <w:bookmarkStart w:id="136" w:name="_Toc351203499"/>
      <w:r>
        <w:rPr>
          <w:rFonts w:hint="eastAsia" w:ascii="宋体" w:hAnsi="宋体" w:eastAsia="宋体" w:cs="宋体"/>
          <w:b w:val="0"/>
          <w:color w:val="auto"/>
          <w:sz w:val="24"/>
          <w:szCs w:val="24"/>
          <w:highlight w:val="none"/>
        </w:rPr>
        <w:t>1.4 标准和规范</w:t>
      </w:r>
      <w:bookmarkEnd w:id="136"/>
    </w:p>
    <w:p w14:paraId="61DE79A3">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 适用于工程的国家标准、行业标准、工程所在地的地方性标准，以及相应的规范、规程等，合同当事人有特别要求的，应在专用合同条款中约定。</w:t>
      </w:r>
    </w:p>
    <w:p w14:paraId="69EE077E">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 发包人要求使用国外标准、规范的，发包人负责提供原文版本和中文译本，并在专用合同条款中约定提供标准规范的名称、份数和时间。</w:t>
      </w:r>
    </w:p>
    <w:p w14:paraId="6285AEDA">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039EAB6">
      <w:pPr>
        <w:pStyle w:val="6"/>
        <w:spacing w:before="120" w:after="120" w:line="312" w:lineRule="auto"/>
        <w:ind w:firstLine="480" w:firstLineChars="200"/>
        <w:rPr>
          <w:rFonts w:ascii="宋体" w:hAnsi="宋体" w:eastAsia="宋体" w:cs="宋体"/>
          <w:b w:val="0"/>
          <w:color w:val="auto"/>
          <w:sz w:val="24"/>
          <w:szCs w:val="24"/>
          <w:highlight w:val="none"/>
        </w:rPr>
      </w:pPr>
      <w:bookmarkStart w:id="137" w:name="_Toc351203500"/>
      <w:r>
        <w:rPr>
          <w:rFonts w:hint="eastAsia" w:ascii="宋体" w:hAnsi="宋体" w:eastAsia="宋体" w:cs="宋体"/>
          <w:b w:val="0"/>
          <w:color w:val="auto"/>
          <w:sz w:val="24"/>
          <w:szCs w:val="24"/>
          <w:highlight w:val="none"/>
        </w:rPr>
        <w:t>1</w:t>
      </w:r>
      <w:bookmarkStart w:id="138" w:name="_Toc296346532"/>
      <w:bookmarkStart w:id="139" w:name="_Toc337558731"/>
      <w:bookmarkStart w:id="140" w:name="_Toc296503031"/>
      <w:r>
        <w:rPr>
          <w:rFonts w:hint="eastAsia" w:ascii="宋体" w:hAnsi="宋体" w:eastAsia="宋体" w:cs="宋体"/>
          <w:b w:val="0"/>
          <w:color w:val="auto"/>
          <w:sz w:val="24"/>
          <w:szCs w:val="24"/>
          <w:highlight w:val="none"/>
        </w:rPr>
        <w:t>.5 合同文件的优先顺序</w:t>
      </w:r>
      <w:bookmarkEnd w:id="137"/>
    </w:p>
    <w:bookmarkEnd w:id="138"/>
    <w:bookmarkEnd w:id="139"/>
    <w:bookmarkEnd w:id="140"/>
    <w:p w14:paraId="3DA7EFF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组成合同的各项文件应互相解释，互为说明。除专用合同条款另有约定外，解释合同文件的优先顺序如下：</w:t>
      </w:r>
    </w:p>
    <w:p w14:paraId="05954F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（1）合同协议书；</w:t>
      </w:r>
    </w:p>
    <w:p w14:paraId="0BDEC6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（2）中标通知书（如果有）；</w:t>
      </w:r>
    </w:p>
    <w:p w14:paraId="50D40F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（3）投标函及其附录（如果有）；</w:t>
      </w:r>
    </w:p>
    <w:p w14:paraId="5939535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w:t>
      </w:r>
    </w:p>
    <w:p w14:paraId="25C8DA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（5）通用合同条款；</w:t>
      </w:r>
    </w:p>
    <w:p w14:paraId="4A07B1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（6）技术标准和要求；</w:t>
      </w:r>
    </w:p>
    <w:p w14:paraId="6CD64FC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（7）图纸；</w:t>
      </w:r>
    </w:p>
    <w:p w14:paraId="662D3D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（8）已标价工程量清单或预算书；</w:t>
      </w:r>
    </w:p>
    <w:p w14:paraId="34BA1CF7">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（9）其他合同文件。</w:t>
      </w:r>
    </w:p>
    <w:p w14:paraId="38411FE1">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14:paraId="6BBAFA9C">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在合同订立及履行过程中形成的与合同有关的文件均构成合同文件组成部分，并根据其性质确定优先解释顺序。</w:t>
      </w:r>
    </w:p>
    <w:p w14:paraId="02C7B0E1">
      <w:pPr>
        <w:pStyle w:val="6"/>
        <w:spacing w:before="120" w:after="120" w:line="312" w:lineRule="auto"/>
        <w:ind w:firstLine="480" w:firstLineChars="200"/>
        <w:rPr>
          <w:rFonts w:ascii="宋体" w:hAnsi="宋体" w:eastAsia="宋体" w:cs="宋体"/>
          <w:b w:val="0"/>
          <w:color w:val="auto"/>
          <w:sz w:val="24"/>
          <w:szCs w:val="24"/>
          <w:highlight w:val="none"/>
        </w:rPr>
      </w:pPr>
      <w:bookmarkStart w:id="141" w:name="_Toc351203501"/>
      <w:r>
        <w:rPr>
          <w:rFonts w:hint="eastAsia" w:ascii="宋体" w:hAnsi="宋体" w:eastAsia="宋体" w:cs="宋体"/>
          <w:b w:val="0"/>
          <w:color w:val="auto"/>
          <w:sz w:val="24"/>
          <w:szCs w:val="24"/>
          <w:highlight w:val="none"/>
        </w:rPr>
        <w:t>1</w:t>
      </w:r>
      <w:bookmarkStart w:id="142" w:name="_Toc296346533"/>
      <w:bookmarkStart w:id="143" w:name="_Toc296503032"/>
      <w:bookmarkStart w:id="144" w:name="_Toc337558732"/>
      <w:r>
        <w:rPr>
          <w:rFonts w:hint="eastAsia" w:ascii="宋体" w:hAnsi="宋体" w:eastAsia="宋体" w:cs="宋体"/>
          <w:b w:val="0"/>
          <w:color w:val="auto"/>
          <w:sz w:val="24"/>
          <w:szCs w:val="24"/>
          <w:highlight w:val="none"/>
        </w:rPr>
        <w:t>.6图纸和承包人文件</w:t>
      </w:r>
      <w:bookmarkEnd w:id="141"/>
    </w:p>
    <w:bookmarkEnd w:id="142"/>
    <w:bookmarkEnd w:id="143"/>
    <w:bookmarkEnd w:id="144"/>
    <w:p w14:paraId="647696B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 图纸的提供和交底</w:t>
      </w:r>
    </w:p>
    <w:p w14:paraId="285982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5F195E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因发包人未按合同约定提供图纸导致承包人费用增加和（或）工期延误的，按照第7.5.1项〔因发包人原因导致工期延误〕约定办理。</w:t>
      </w:r>
    </w:p>
    <w:p w14:paraId="0EA8659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 图纸的错误</w:t>
      </w:r>
    </w:p>
    <w:p w14:paraId="051557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8F507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1.6.3 图纸的修改和补充</w:t>
      </w:r>
    </w:p>
    <w:p w14:paraId="0089AD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438A1AF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1.6.4 承包人文件</w:t>
      </w:r>
    </w:p>
    <w:p w14:paraId="23CC59E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2BE4CA2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E7DC6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1.6.5 图纸和承包人文件的保管</w:t>
      </w:r>
    </w:p>
    <w:p w14:paraId="31656D3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1DE0BF97">
      <w:pPr>
        <w:pStyle w:val="6"/>
        <w:spacing w:before="120" w:after="120" w:line="312" w:lineRule="auto"/>
        <w:ind w:firstLine="480" w:firstLineChars="200"/>
        <w:rPr>
          <w:rFonts w:ascii="宋体" w:hAnsi="宋体" w:eastAsia="宋体" w:cs="宋体"/>
          <w:b w:val="0"/>
          <w:color w:val="auto"/>
          <w:sz w:val="24"/>
          <w:szCs w:val="24"/>
          <w:highlight w:val="none"/>
        </w:rPr>
      </w:pPr>
      <w:bookmarkStart w:id="145" w:name="_Toc351203502"/>
      <w:r>
        <w:rPr>
          <w:rFonts w:hint="eastAsia" w:ascii="宋体" w:hAnsi="宋体" w:eastAsia="宋体" w:cs="宋体"/>
          <w:b w:val="0"/>
          <w:color w:val="auto"/>
          <w:sz w:val="24"/>
          <w:szCs w:val="24"/>
          <w:highlight w:val="none"/>
        </w:rPr>
        <w:t>1</w:t>
      </w:r>
      <w:bookmarkStart w:id="146" w:name="_Toc296503033"/>
      <w:bookmarkStart w:id="147" w:name="_Toc296346534"/>
      <w:bookmarkStart w:id="148" w:name="_Toc337558733"/>
      <w:r>
        <w:rPr>
          <w:rFonts w:hint="eastAsia" w:ascii="宋体" w:hAnsi="宋体" w:eastAsia="宋体" w:cs="宋体"/>
          <w:b w:val="0"/>
          <w:color w:val="auto"/>
          <w:sz w:val="24"/>
          <w:szCs w:val="24"/>
          <w:highlight w:val="none"/>
        </w:rPr>
        <w:t>.7联络</w:t>
      </w:r>
      <w:bookmarkEnd w:id="145"/>
    </w:p>
    <w:bookmarkEnd w:id="146"/>
    <w:bookmarkEnd w:id="147"/>
    <w:bookmarkEnd w:id="148"/>
    <w:p w14:paraId="03CE861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6A66BE1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1AE0FA4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6F8D7177">
      <w:pPr>
        <w:pStyle w:val="6"/>
        <w:spacing w:before="120" w:after="120" w:line="312" w:lineRule="auto"/>
        <w:ind w:firstLine="480" w:firstLineChars="200"/>
        <w:rPr>
          <w:rFonts w:ascii="宋体" w:hAnsi="宋体" w:eastAsia="宋体" w:cs="宋体"/>
          <w:b w:val="0"/>
          <w:color w:val="auto"/>
          <w:sz w:val="24"/>
          <w:szCs w:val="24"/>
          <w:highlight w:val="none"/>
        </w:rPr>
      </w:pPr>
      <w:bookmarkStart w:id="149" w:name="_Toc351203503"/>
      <w:r>
        <w:rPr>
          <w:rFonts w:hint="eastAsia" w:ascii="宋体" w:hAnsi="宋体" w:eastAsia="宋体" w:cs="宋体"/>
          <w:b w:val="0"/>
          <w:color w:val="auto"/>
          <w:sz w:val="24"/>
          <w:szCs w:val="24"/>
          <w:highlight w:val="none"/>
        </w:rPr>
        <w:t>1</w:t>
      </w:r>
      <w:bookmarkStart w:id="150" w:name="_Toc337558734"/>
      <w:bookmarkStart w:id="151" w:name="_Toc296346536"/>
      <w:bookmarkStart w:id="152" w:name="_Toc296503035"/>
      <w:r>
        <w:rPr>
          <w:rFonts w:hint="eastAsia" w:ascii="宋体" w:hAnsi="宋体" w:eastAsia="宋体" w:cs="宋体"/>
          <w:b w:val="0"/>
          <w:color w:val="auto"/>
          <w:sz w:val="24"/>
          <w:szCs w:val="24"/>
          <w:highlight w:val="none"/>
        </w:rPr>
        <w:t>.8严禁贿赂</w:t>
      </w:r>
      <w:bookmarkEnd w:id="149"/>
    </w:p>
    <w:bookmarkEnd w:id="150"/>
    <w:bookmarkEnd w:id="151"/>
    <w:bookmarkEnd w:id="152"/>
    <w:p w14:paraId="1489A9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57A987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6BC177FC">
      <w:pPr>
        <w:pStyle w:val="6"/>
        <w:spacing w:before="120" w:after="120" w:line="312" w:lineRule="auto"/>
        <w:ind w:firstLine="480" w:firstLineChars="200"/>
        <w:rPr>
          <w:rFonts w:ascii="宋体" w:hAnsi="宋体" w:eastAsia="宋体" w:cs="宋体"/>
          <w:b w:val="0"/>
          <w:color w:val="auto"/>
          <w:sz w:val="24"/>
          <w:szCs w:val="24"/>
          <w:highlight w:val="none"/>
        </w:rPr>
      </w:pPr>
      <w:bookmarkStart w:id="153" w:name="_Toc351203504"/>
      <w:r>
        <w:rPr>
          <w:rFonts w:hint="eastAsia" w:ascii="宋体" w:hAnsi="宋体" w:eastAsia="宋体" w:cs="宋体"/>
          <w:b w:val="0"/>
          <w:color w:val="auto"/>
          <w:sz w:val="24"/>
          <w:szCs w:val="24"/>
          <w:highlight w:val="none"/>
        </w:rPr>
        <w:t>1</w:t>
      </w:r>
      <w:bookmarkStart w:id="154" w:name="_Toc296503036"/>
      <w:bookmarkStart w:id="155" w:name="_Toc337558735"/>
      <w:bookmarkStart w:id="156" w:name="_Toc296346537"/>
      <w:r>
        <w:rPr>
          <w:rFonts w:hint="eastAsia" w:ascii="宋体" w:hAnsi="宋体" w:eastAsia="宋体" w:cs="宋体"/>
          <w:b w:val="0"/>
          <w:color w:val="auto"/>
          <w:sz w:val="24"/>
          <w:szCs w:val="24"/>
          <w:highlight w:val="none"/>
        </w:rPr>
        <w:t>.9化石、文物</w:t>
      </w:r>
      <w:bookmarkEnd w:id="153"/>
    </w:p>
    <w:bookmarkEnd w:id="154"/>
    <w:bookmarkEnd w:id="155"/>
    <w:bookmarkEnd w:id="156"/>
    <w:p w14:paraId="70249A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59AF93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发包人、监理人和承包人应按有关政府行政管理部门要求采取妥善的保护措施，由此增加的费用和（或）延误的工期由发包人承担。</w:t>
      </w:r>
    </w:p>
    <w:p w14:paraId="05A7879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承包人发现文物后不及时报告或隐瞒不报，致使文物丢失或损坏的，应赔偿损失，并承担相应的法律责任。</w:t>
      </w:r>
    </w:p>
    <w:p w14:paraId="0C7F5394">
      <w:pPr>
        <w:pStyle w:val="6"/>
        <w:spacing w:before="120" w:after="120" w:line="312" w:lineRule="auto"/>
        <w:ind w:firstLine="480" w:firstLineChars="200"/>
        <w:rPr>
          <w:rFonts w:ascii="宋体" w:hAnsi="宋体" w:eastAsia="宋体" w:cs="宋体"/>
          <w:b w:val="0"/>
          <w:color w:val="auto"/>
          <w:sz w:val="24"/>
          <w:szCs w:val="24"/>
          <w:highlight w:val="none"/>
        </w:rPr>
      </w:pPr>
      <w:bookmarkStart w:id="157" w:name="_Toc351203505"/>
      <w:r>
        <w:rPr>
          <w:rFonts w:hint="eastAsia" w:ascii="宋体" w:hAnsi="宋体" w:eastAsia="宋体" w:cs="宋体"/>
          <w:b w:val="0"/>
          <w:color w:val="auto"/>
          <w:sz w:val="24"/>
          <w:szCs w:val="24"/>
          <w:highlight w:val="none"/>
        </w:rPr>
        <w:t>1</w:t>
      </w:r>
      <w:bookmarkStart w:id="158" w:name="_Toc337558736"/>
      <w:r>
        <w:rPr>
          <w:rFonts w:hint="eastAsia" w:ascii="宋体" w:hAnsi="宋体" w:eastAsia="宋体" w:cs="宋体"/>
          <w:b w:val="0"/>
          <w:color w:val="auto"/>
          <w:sz w:val="24"/>
          <w:szCs w:val="24"/>
          <w:highlight w:val="none"/>
        </w:rPr>
        <w:t>.10交通运输</w:t>
      </w:r>
      <w:bookmarkEnd w:id="157"/>
    </w:p>
    <w:bookmarkEnd w:id="158"/>
    <w:p w14:paraId="1EFA39F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1.10.1 出入现场的权利</w:t>
      </w:r>
    </w:p>
    <w:p w14:paraId="4EFC063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B14D7B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8DB6FC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1.10.2 场外交通</w:t>
      </w:r>
    </w:p>
    <w:p w14:paraId="5010BEE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EC3E3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1.10.3场内交通</w:t>
      </w:r>
    </w:p>
    <w:p w14:paraId="08F36A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5F283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EA00BF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场外交通和场内交通的边界由合同当事人在专用合同条款中约定。</w:t>
      </w:r>
    </w:p>
    <w:p w14:paraId="712F78F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1.10.4 超大件和超重件的运输</w:t>
      </w:r>
    </w:p>
    <w:p w14:paraId="0CDD9DB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E462C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1.10.5 道路和桥梁的损坏责任</w:t>
      </w:r>
    </w:p>
    <w:p w14:paraId="495AA37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因承包人运输造成施工场地内外公共道路和桥梁损坏的，由承包人承担修复损坏的全部费用和可能引起的赔偿。</w:t>
      </w:r>
    </w:p>
    <w:p w14:paraId="2725843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1.10.6 水路和航空运输</w:t>
      </w:r>
    </w:p>
    <w:p w14:paraId="0A5DA21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59BFA3CD">
      <w:pPr>
        <w:pStyle w:val="6"/>
        <w:spacing w:before="120" w:after="120" w:line="312" w:lineRule="auto"/>
        <w:ind w:firstLine="480" w:firstLineChars="200"/>
        <w:rPr>
          <w:rFonts w:ascii="宋体" w:hAnsi="宋体" w:eastAsia="宋体" w:cs="宋体"/>
          <w:b w:val="0"/>
          <w:color w:val="auto"/>
          <w:sz w:val="24"/>
          <w:szCs w:val="24"/>
          <w:highlight w:val="none"/>
        </w:rPr>
      </w:pPr>
      <w:bookmarkStart w:id="159" w:name="_Toc351203506"/>
      <w:r>
        <w:rPr>
          <w:rFonts w:hint="eastAsia" w:ascii="宋体" w:hAnsi="宋体" w:eastAsia="宋体" w:cs="宋体"/>
          <w:b w:val="0"/>
          <w:color w:val="auto"/>
          <w:sz w:val="24"/>
          <w:szCs w:val="24"/>
          <w:highlight w:val="none"/>
        </w:rPr>
        <w:t>1</w:t>
      </w:r>
      <w:bookmarkStart w:id="160" w:name="_Toc337558737"/>
      <w:bookmarkStart w:id="161" w:name="_Toc296346538"/>
      <w:bookmarkStart w:id="162" w:name="_Toc296503037"/>
      <w:r>
        <w:rPr>
          <w:rFonts w:hint="eastAsia" w:ascii="宋体" w:hAnsi="宋体" w:eastAsia="宋体" w:cs="宋体"/>
          <w:b w:val="0"/>
          <w:color w:val="auto"/>
          <w:sz w:val="24"/>
          <w:szCs w:val="24"/>
          <w:highlight w:val="none"/>
        </w:rPr>
        <w:t>.11知识产权</w:t>
      </w:r>
      <w:bookmarkEnd w:id="159"/>
      <w:r>
        <w:rPr>
          <w:rFonts w:hint="eastAsia" w:ascii="宋体" w:hAnsi="宋体" w:eastAsia="宋体" w:cs="宋体"/>
          <w:b w:val="0"/>
          <w:color w:val="auto"/>
          <w:sz w:val="24"/>
          <w:szCs w:val="24"/>
          <w:highlight w:val="none"/>
        </w:rPr>
        <w:t xml:space="preserve"> </w:t>
      </w:r>
      <w:bookmarkEnd w:id="160"/>
    </w:p>
    <w:bookmarkEnd w:id="161"/>
    <w:bookmarkEnd w:id="162"/>
    <w:p w14:paraId="2A6E4F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76D3F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5E090C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04F2578">
      <w:pPr>
        <w:spacing w:line="312" w:lineRule="auto"/>
        <w:rPr>
          <w:rFonts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1.11.4 除专用合同条款另有约定外，承包人在合同签订前和签订时已确定采用的专利、专有技术、技术秘密的使用费已包含在签约合同价中。</w:t>
      </w:r>
    </w:p>
    <w:p w14:paraId="7AF800A3">
      <w:pPr>
        <w:pStyle w:val="6"/>
        <w:spacing w:before="120" w:after="120" w:line="312" w:lineRule="auto"/>
        <w:ind w:firstLine="480" w:firstLineChars="200"/>
        <w:rPr>
          <w:rFonts w:ascii="宋体" w:hAnsi="宋体" w:eastAsia="宋体" w:cs="宋体"/>
          <w:b w:val="0"/>
          <w:color w:val="auto"/>
          <w:sz w:val="24"/>
          <w:szCs w:val="24"/>
          <w:highlight w:val="none"/>
        </w:rPr>
      </w:pPr>
      <w:bookmarkStart w:id="163" w:name="_Toc351203507"/>
      <w:r>
        <w:rPr>
          <w:rFonts w:hint="eastAsia" w:ascii="宋体" w:hAnsi="宋体" w:eastAsia="宋体" w:cs="宋体"/>
          <w:b w:val="0"/>
          <w:color w:val="auto"/>
          <w:sz w:val="24"/>
          <w:szCs w:val="24"/>
          <w:highlight w:val="none"/>
        </w:rPr>
        <w:t>1</w:t>
      </w:r>
      <w:bookmarkStart w:id="164" w:name="_Toc337558738"/>
      <w:r>
        <w:rPr>
          <w:rFonts w:hint="eastAsia" w:ascii="宋体" w:hAnsi="宋体" w:eastAsia="宋体" w:cs="宋体"/>
          <w:b w:val="0"/>
          <w:color w:val="auto"/>
          <w:sz w:val="24"/>
          <w:szCs w:val="24"/>
          <w:highlight w:val="none"/>
        </w:rPr>
        <w:t>.12保密</w:t>
      </w:r>
      <w:bookmarkEnd w:id="163"/>
    </w:p>
    <w:bookmarkEnd w:id="164"/>
    <w:p w14:paraId="47BC5E9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6373B6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78F40504">
      <w:pPr>
        <w:pStyle w:val="6"/>
        <w:spacing w:before="120" w:after="120" w:line="312" w:lineRule="auto"/>
        <w:ind w:firstLine="480" w:firstLineChars="200"/>
        <w:rPr>
          <w:rFonts w:ascii="宋体" w:hAnsi="宋体" w:eastAsia="宋体" w:cs="宋体"/>
          <w:b w:val="0"/>
          <w:color w:val="auto"/>
          <w:sz w:val="24"/>
          <w:szCs w:val="24"/>
          <w:highlight w:val="none"/>
        </w:rPr>
      </w:pPr>
      <w:bookmarkStart w:id="165" w:name="_Toc351203508"/>
      <w:r>
        <w:rPr>
          <w:rFonts w:hint="eastAsia" w:ascii="宋体" w:hAnsi="宋体" w:eastAsia="宋体" w:cs="宋体"/>
          <w:b w:val="0"/>
          <w:color w:val="auto"/>
          <w:sz w:val="24"/>
          <w:szCs w:val="24"/>
          <w:highlight w:val="none"/>
        </w:rPr>
        <w:t>1.13工程量清单错误的修正</w:t>
      </w:r>
      <w:bookmarkEnd w:id="165"/>
    </w:p>
    <w:p w14:paraId="100E61C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0165859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（1）工程量清单存在缺项、漏项的；</w:t>
      </w:r>
    </w:p>
    <w:p w14:paraId="6801FF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（2）工程量清单偏差超出专用合同条款约定的工程量偏差范围的；</w:t>
      </w:r>
    </w:p>
    <w:p w14:paraId="71C2485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（3）未按照国家现行计量规范强制性规定计量的。</w:t>
      </w:r>
    </w:p>
    <w:p w14:paraId="1D913C84">
      <w:pPr>
        <w:pStyle w:val="5"/>
        <w:spacing w:before="120" w:after="120" w:line="312" w:lineRule="auto"/>
        <w:rPr>
          <w:rFonts w:ascii="宋体" w:hAnsi="宋体" w:eastAsia="宋体" w:cs="宋体"/>
          <w:b w:val="0"/>
          <w:color w:val="auto"/>
          <w:sz w:val="24"/>
          <w:szCs w:val="24"/>
          <w:highlight w:val="none"/>
        </w:rPr>
      </w:pPr>
      <w:bookmarkStart w:id="166" w:name="_Toc351203509"/>
      <w:r>
        <w:rPr>
          <w:rFonts w:hint="eastAsia" w:ascii="宋体" w:hAnsi="宋体" w:eastAsia="宋体" w:cs="宋体"/>
          <w:b w:val="0"/>
          <w:color w:val="auto"/>
          <w:sz w:val="24"/>
          <w:szCs w:val="24"/>
          <w:highlight w:val="none"/>
        </w:rPr>
        <w:t>2</w:t>
      </w:r>
      <w:bookmarkStart w:id="167" w:name="_Toc337558739"/>
      <w:bookmarkStart w:id="168" w:name="_Toc296346539"/>
      <w:bookmarkStart w:id="169" w:name="_Toc296503038"/>
      <w:bookmarkStart w:id="170" w:name="OLE_LINK2"/>
      <w:bookmarkStart w:id="171" w:name="OLE_LINK1"/>
      <w:r>
        <w:rPr>
          <w:rFonts w:hint="eastAsia" w:ascii="宋体" w:hAnsi="宋体" w:eastAsia="宋体" w:cs="宋体"/>
          <w:b w:val="0"/>
          <w:color w:val="auto"/>
          <w:sz w:val="24"/>
          <w:szCs w:val="24"/>
          <w:highlight w:val="none"/>
        </w:rPr>
        <w:t>. 发包人</w:t>
      </w:r>
      <w:bookmarkEnd w:id="166"/>
    </w:p>
    <w:bookmarkEnd w:id="167"/>
    <w:bookmarkEnd w:id="168"/>
    <w:bookmarkEnd w:id="169"/>
    <w:p w14:paraId="77B29891">
      <w:pPr>
        <w:pStyle w:val="6"/>
        <w:spacing w:before="120" w:after="120" w:line="312" w:lineRule="auto"/>
        <w:ind w:firstLine="480" w:firstLineChars="200"/>
        <w:rPr>
          <w:rFonts w:ascii="宋体" w:hAnsi="宋体" w:eastAsia="宋体" w:cs="宋体"/>
          <w:b w:val="0"/>
          <w:color w:val="auto"/>
          <w:sz w:val="24"/>
          <w:szCs w:val="24"/>
          <w:highlight w:val="none"/>
        </w:rPr>
      </w:pPr>
      <w:bookmarkStart w:id="172" w:name="_Toc351203510"/>
      <w:r>
        <w:rPr>
          <w:rFonts w:hint="eastAsia" w:ascii="宋体" w:hAnsi="宋体" w:eastAsia="宋体" w:cs="宋体"/>
          <w:b w:val="0"/>
          <w:color w:val="auto"/>
          <w:sz w:val="24"/>
          <w:szCs w:val="24"/>
          <w:highlight w:val="none"/>
        </w:rPr>
        <w:t>2</w:t>
      </w:r>
      <w:bookmarkStart w:id="173" w:name="_Toc337558740"/>
      <w:bookmarkStart w:id="174" w:name="_Toc296503039"/>
      <w:bookmarkStart w:id="175" w:name="_Toc296346540"/>
      <w:r>
        <w:rPr>
          <w:rFonts w:hint="eastAsia" w:ascii="宋体" w:hAnsi="宋体" w:eastAsia="宋体" w:cs="宋体"/>
          <w:b w:val="0"/>
          <w:color w:val="auto"/>
          <w:sz w:val="24"/>
          <w:szCs w:val="24"/>
          <w:highlight w:val="none"/>
        </w:rPr>
        <w:t>.1 许可或批准</w:t>
      </w:r>
      <w:bookmarkEnd w:id="172"/>
    </w:p>
    <w:p w14:paraId="2D8A2B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D15FD9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因发包人原因未能及时办理完毕前述许可、批准或备案，由发包人承担由此增加的费用和（或）延误的工期，并支付承包人合理的利润。</w:t>
      </w:r>
    </w:p>
    <w:p w14:paraId="1095F048">
      <w:pPr>
        <w:pStyle w:val="6"/>
        <w:spacing w:before="120" w:after="120" w:line="312" w:lineRule="auto"/>
        <w:ind w:firstLine="480" w:firstLineChars="200"/>
        <w:rPr>
          <w:rFonts w:ascii="宋体" w:hAnsi="宋体" w:eastAsia="宋体" w:cs="宋体"/>
          <w:b w:val="0"/>
          <w:color w:val="auto"/>
          <w:sz w:val="24"/>
          <w:szCs w:val="24"/>
          <w:highlight w:val="none"/>
        </w:rPr>
      </w:pPr>
      <w:bookmarkStart w:id="176" w:name="_Toc351203511"/>
      <w:r>
        <w:rPr>
          <w:rFonts w:hint="eastAsia" w:ascii="宋体" w:hAnsi="宋体" w:eastAsia="宋体" w:cs="宋体"/>
          <w:b w:val="0"/>
          <w:color w:val="auto"/>
          <w:sz w:val="24"/>
          <w:szCs w:val="24"/>
          <w:highlight w:val="none"/>
        </w:rPr>
        <w:t>2.2 发包人代表</w:t>
      </w:r>
      <w:bookmarkEnd w:id="176"/>
    </w:p>
    <w:p w14:paraId="512181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63E013F">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发包人代表不能按照合同约定履行其职责及义务，并导致合同无法继续正常履行的，承包人可以要求发包人撤换发包人代表。</w:t>
      </w:r>
    </w:p>
    <w:p w14:paraId="68DCF9C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不属于法定必须监理的工程，监理人的职权可以由发包人代表或发包人指定的其他人员行使。</w:t>
      </w:r>
    </w:p>
    <w:p w14:paraId="74C1DC7C">
      <w:pPr>
        <w:pStyle w:val="6"/>
        <w:spacing w:before="120" w:after="120" w:line="312" w:lineRule="auto"/>
        <w:ind w:firstLine="480" w:firstLineChars="200"/>
        <w:rPr>
          <w:rFonts w:ascii="宋体" w:hAnsi="宋体" w:eastAsia="宋体" w:cs="宋体"/>
          <w:b w:val="0"/>
          <w:color w:val="auto"/>
          <w:sz w:val="24"/>
          <w:szCs w:val="24"/>
          <w:highlight w:val="none"/>
        </w:rPr>
      </w:pPr>
      <w:bookmarkStart w:id="177" w:name="_Toc351203512"/>
      <w:r>
        <w:rPr>
          <w:rFonts w:hint="eastAsia" w:ascii="宋体" w:hAnsi="宋体" w:eastAsia="宋体" w:cs="宋体"/>
          <w:b w:val="0"/>
          <w:color w:val="auto"/>
          <w:sz w:val="24"/>
          <w:szCs w:val="24"/>
          <w:highlight w:val="none"/>
        </w:rPr>
        <w:t>2.3 发包人人员</w:t>
      </w:r>
      <w:bookmarkEnd w:id="177"/>
    </w:p>
    <w:p w14:paraId="2585802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47D2DA00">
      <w:pPr>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发包人人员包括发包人代表及其他由发包人派驻施工现场的人员。</w:t>
      </w:r>
      <w:bookmarkEnd w:id="173"/>
      <w:bookmarkEnd w:id="174"/>
      <w:bookmarkEnd w:id="175"/>
    </w:p>
    <w:p w14:paraId="2A41E5ED">
      <w:pPr>
        <w:pStyle w:val="6"/>
        <w:spacing w:before="120" w:after="120" w:line="312" w:lineRule="auto"/>
        <w:ind w:firstLine="480" w:firstLineChars="200"/>
        <w:rPr>
          <w:rFonts w:ascii="宋体" w:hAnsi="宋体" w:eastAsia="宋体" w:cs="宋体"/>
          <w:b w:val="0"/>
          <w:color w:val="auto"/>
          <w:sz w:val="24"/>
          <w:szCs w:val="24"/>
          <w:highlight w:val="none"/>
        </w:rPr>
      </w:pPr>
      <w:bookmarkStart w:id="178" w:name="_Toc351203513"/>
      <w:r>
        <w:rPr>
          <w:rFonts w:hint="eastAsia" w:ascii="宋体" w:hAnsi="宋体" w:eastAsia="宋体" w:cs="宋体"/>
          <w:b w:val="0"/>
          <w:color w:val="auto"/>
          <w:sz w:val="24"/>
          <w:szCs w:val="24"/>
          <w:highlight w:val="none"/>
        </w:rPr>
        <w:t>2</w:t>
      </w:r>
      <w:bookmarkStart w:id="179" w:name="_Toc296346541"/>
      <w:bookmarkStart w:id="180" w:name="_Toc296503040"/>
      <w:bookmarkStart w:id="181" w:name="_Toc337558741"/>
      <w:r>
        <w:rPr>
          <w:rFonts w:hint="eastAsia" w:ascii="宋体" w:hAnsi="宋体" w:eastAsia="宋体" w:cs="宋体"/>
          <w:b w:val="0"/>
          <w:color w:val="auto"/>
          <w:sz w:val="24"/>
          <w:szCs w:val="24"/>
          <w:highlight w:val="none"/>
        </w:rPr>
        <w:t>.4 施工现场、施工条件和基础资料的提供</w:t>
      </w:r>
      <w:bookmarkEnd w:id="178"/>
      <w:r>
        <w:rPr>
          <w:rFonts w:hint="eastAsia" w:ascii="宋体" w:hAnsi="宋体" w:eastAsia="宋体" w:cs="宋体"/>
          <w:b w:val="0"/>
          <w:color w:val="auto"/>
          <w:sz w:val="24"/>
          <w:szCs w:val="24"/>
          <w:highlight w:val="none"/>
        </w:rPr>
        <w:t xml:space="preserve"> </w:t>
      </w:r>
      <w:bookmarkEnd w:id="179"/>
      <w:bookmarkEnd w:id="180"/>
      <w:bookmarkEnd w:id="181"/>
      <w:r>
        <w:rPr>
          <w:rFonts w:hint="eastAsia" w:ascii="宋体" w:hAnsi="宋体" w:eastAsia="宋体" w:cs="宋体"/>
          <w:b w:val="0"/>
          <w:color w:val="auto"/>
          <w:sz w:val="24"/>
          <w:szCs w:val="24"/>
          <w:highlight w:val="none"/>
        </w:rPr>
        <w:t xml:space="preserve"> </w:t>
      </w:r>
    </w:p>
    <w:p w14:paraId="5324AE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2.4.1 提供施工现场</w:t>
      </w:r>
    </w:p>
    <w:p w14:paraId="0D2F494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w:t>
      </w:r>
      <w:bookmarkEnd w:id="170"/>
      <w:bookmarkEnd w:id="171"/>
      <w:r>
        <w:rPr>
          <w:rFonts w:hint="eastAsia" w:ascii="宋体" w:hAnsi="宋体" w:eastAsia="宋体" w:cs="宋体"/>
          <w:color w:val="auto"/>
          <w:kern w:val="0"/>
          <w:sz w:val="24"/>
          <w:highlight w:val="none"/>
        </w:rPr>
        <w:t>专用合同条款另有约定外，发包人应最迟于开工日期7天前向承包人移交施工现场。</w:t>
      </w:r>
    </w:p>
    <w:p w14:paraId="0FC7C90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2.4.2 提供施工条件</w:t>
      </w:r>
    </w:p>
    <w:p w14:paraId="423E8F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除专用合同条款另有约定外，发包人应负责提供施工所需要的条件，包括：</w:t>
      </w:r>
    </w:p>
    <w:p w14:paraId="37EB6C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（1）将施工用水、电力、通讯线路等施工所必需的条件接至施工现场内；</w:t>
      </w:r>
    </w:p>
    <w:p w14:paraId="153A4D7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（2）保证向承包人提供正常施工所需要的进入施工现场的交通条件；</w:t>
      </w:r>
    </w:p>
    <w:p w14:paraId="1CC498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（3）协调处理施工现场周围地下管线和邻近建筑物、构筑物、古树名木的保护工作，并承担相关费用；</w:t>
      </w:r>
    </w:p>
    <w:p w14:paraId="1137CCB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（4）按照专用合同条款约定应提供的其他设施和条件。</w:t>
      </w:r>
    </w:p>
    <w:p w14:paraId="429BFACD">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2.4.3 提供基础资料</w:t>
      </w:r>
    </w:p>
    <w:p w14:paraId="6279CB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40676C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0F4ABC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2.4.4 逾期提供的责任</w:t>
      </w:r>
    </w:p>
    <w:p w14:paraId="098456A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因发包人原因未能按合同约定及时向承包人提供施工现场、施工条件、基础资料的，由发包人承担由此增加的费用和（或）延误的工期。</w:t>
      </w:r>
    </w:p>
    <w:p w14:paraId="7DF1AB88">
      <w:pPr>
        <w:pStyle w:val="6"/>
        <w:spacing w:before="120" w:after="120" w:line="312" w:lineRule="auto"/>
        <w:ind w:firstLine="480" w:firstLineChars="200"/>
        <w:rPr>
          <w:rFonts w:ascii="宋体" w:hAnsi="宋体" w:eastAsia="宋体" w:cs="宋体"/>
          <w:b w:val="0"/>
          <w:color w:val="auto"/>
          <w:sz w:val="24"/>
          <w:szCs w:val="24"/>
          <w:highlight w:val="none"/>
        </w:rPr>
      </w:pPr>
      <w:bookmarkStart w:id="182" w:name="_Toc351203514"/>
      <w:r>
        <w:rPr>
          <w:rFonts w:hint="eastAsia" w:ascii="宋体" w:hAnsi="宋体" w:eastAsia="宋体" w:cs="宋体"/>
          <w:b w:val="0"/>
          <w:color w:val="auto"/>
          <w:sz w:val="24"/>
          <w:szCs w:val="24"/>
          <w:highlight w:val="none"/>
        </w:rPr>
        <w:t>2</w:t>
      </w:r>
      <w:bookmarkStart w:id="183" w:name="_Toc337558745"/>
      <w:bookmarkStart w:id="184" w:name="_Toc296346543"/>
      <w:bookmarkStart w:id="185" w:name="_Toc296503042"/>
      <w:r>
        <w:rPr>
          <w:rFonts w:hint="eastAsia" w:ascii="宋体" w:hAnsi="宋体" w:eastAsia="宋体" w:cs="宋体"/>
          <w:b w:val="0"/>
          <w:color w:val="auto"/>
          <w:sz w:val="24"/>
          <w:szCs w:val="24"/>
          <w:highlight w:val="none"/>
        </w:rPr>
        <w:t>.5 资</w:t>
      </w:r>
      <w:bookmarkEnd w:id="183"/>
      <w:bookmarkEnd w:id="184"/>
      <w:bookmarkEnd w:id="185"/>
      <w:r>
        <w:rPr>
          <w:rFonts w:hint="eastAsia" w:ascii="宋体" w:hAnsi="宋体" w:eastAsia="宋体" w:cs="宋体"/>
          <w:b w:val="0"/>
          <w:color w:val="auto"/>
          <w:sz w:val="24"/>
          <w:szCs w:val="24"/>
          <w:highlight w:val="none"/>
        </w:rPr>
        <w:t>金来源证明及支付担保</w:t>
      </w:r>
      <w:bookmarkEnd w:id="182"/>
    </w:p>
    <w:p w14:paraId="08D4054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56DE607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08CD0509">
      <w:pPr>
        <w:pStyle w:val="6"/>
        <w:spacing w:before="120" w:after="120" w:line="312" w:lineRule="auto"/>
        <w:ind w:firstLine="480" w:firstLineChars="200"/>
        <w:rPr>
          <w:rFonts w:ascii="宋体" w:hAnsi="宋体" w:eastAsia="宋体" w:cs="宋体"/>
          <w:b w:val="0"/>
          <w:color w:val="auto"/>
          <w:sz w:val="24"/>
          <w:szCs w:val="24"/>
          <w:highlight w:val="none"/>
        </w:rPr>
      </w:pPr>
      <w:bookmarkStart w:id="186" w:name="_Toc351203515"/>
      <w:r>
        <w:rPr>
          <w:rFonts w:hint="eastAsia" w:ascii="宋体" w:hAnsi="宋体" w:eastAsia="宋体" w:cs="宋体"/>
          <w:b w:val="0"/>
          <w:color w:val="auto"/>
          <w:sz w:val="24"/>
          <w:szCs w:val="24"/>
          <w:highlight w:val="none"/>
        </w:rPr>
        <w:t>2.6 支付合同价款</w:t>
      </w:r>
      <w:bookmarkEnd w:id="186"/>
    </w:p>
    <w:p w14:paraId="547B25F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发包人应按合同约定向承包人及时支付合同价款。</w:t>
      </w:r>
    </w:p>
    <w:p w14:paraId="6BC94BB2">
      <w:pPr>
        <w:pStyle w:val="6"/>
        <w:spacing w:before="120" w:after="120" w:line="312" w:lineRule="auto"/>
        <w:ind w:firstLine="480" w:firstLineChars="200"/>
        <w:rPr>
          <w:rFonts w:ascii="宋体" w:hAnsi="宋体" w:eastAsia="宋体" w:cs="宋体"/>
          <w:b w:val="0"/>
          <w:color w:val="auto"/>
          <w:sz w:val="24"/>
          <w:szCs w:val="24"/>
          <w:highlight w:val="none"/>
        </w:rPr>
      </w:pPr>
      <w:bookmarkStart w:id="187" w:name="_Toc351203516"/>
      <w:r>
        <w:rPr>
          <w:rFonts w:hint="eastAsia" w:ascii="宋体" w:hAnsi="宋体" w:eastAsia="宋体" w:cs="宋体"/>
          <w:b w:val="0"/>
          <w:color w:val="auto"/>
          <w:sz w:val="24"/>
          <w:szCs w:val="24"/>
          <w:highlight w:val="none"/>
        </w:rPr>
        <w:t>2.7 组织竣工验收</w:t>
      </w:r>
      <w:bookmarkEnd w:id="187"/>
    </w:p>
    <w:p w14:paraId="38360E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发包人应按合同约定及时组织竣工验收。</w:t>
      </w:r>
    </w:p>
    <w:p w14:paraId="187BB775">
      <w:pPr>
        <w:pStyle w:val="6"/>
        <w:spacing w:before="120" w:after="120" w:line="312" w:lineRule="auto"/>
        <w:ind w:firstLine="480" w:firstLineChars="200"/>
        <w:rPr>
          <w:rFonts w:ascii="宋体" w:hAnsi="宋体" w:eastAsia="宋体" w:cs="宋体"/>
          <w:b w:val="0"/>
          <w:color w:val="auto"/>
          <w:sz w:val="24"/>
          <w:szCs w:val="24"/>
          <w:highlight w:val="none"/>
        </w:rPr>
      </w:pPr>
      <w:bookmarkStart w:id="188" w:name="_Toc351203517"/>
      <w:r>
        <w:rPr>
          <w:rFonts w:hint="eastAsia" w:ascii="宋体" w:hAnsi="宋体" w:eastAsia="宋体" w:cs="宋体"/>
          <w:b w:val="0"/>
          <w:color w:val="auto"/>
          <w:sz w:val="24"/>
          <w:szCs w:val="24"/>
          <w:highlight w:val="none"/>
        </w:rPr>
        <w:t>2.8 现场统一管理协议</w:t>
      </w:r>
      <w:bookmarkEnd w:id="188"/>
    </w:p>
    <w:p w14:paraId="14FDC6F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3F50003D">
      <w:pPr>
        <w:pStyle w:val="5"/>
        <w:spacing w:before="120" w:after="120" w:line="312" w:lineRule="auto"/>
        <w:rPr>
          <w:rFonts w:ascii="宋体" w:hAnsi="宋体" w:eastAsia="宋体" w:cs="宋体"/>
          <w:b w:val="0"/>
          <w:color w:val="auto"/>
          <w:sz w:val="24"/>
          <w:szCs w:val="24"/>
          <w:highlight w:val="none"/>
        </w:rPr>
      </w:pPr>
      <w:bookmarkStart w:id="189" w:name="_Toc351203518"/>
      <w:r>
        <w:rPr>
          <w:rFonts w:hint="eastAsia" w:ascii="宋体" w:hAnsi="宋体" w:eastAsia="宋体" w:cs="宋体"/>
          <w:b w:val="0"/>
          <w:color w:val="auto"/>
          <w:sz w:val="24"/>
          <w:szCs w:val="24"/>
          <w:highlight w:val="none"/>
        </w:rPr>
        <w:t>3</w:t>
      </w:r>
      <w:bookmarkStart w:id="190" w:name="_Toc296346546"/>
      <w:bookmarkStart w:id="191" w:name="_Toc337558746"/>
      <w:bookmarkStart w:id="192" w:name="_Toc296503045"/>
      <w:r>
        <w:rPr>
          <w:rFonts w:hint="eastAsia" w:ascii="宋体" w:hAnsi="宋体" w:eastAsia="宋体" w:cs="宋体"/>
          <w:b w:val="0"/>
          <w:color w:val="auto"/>
          <w:sz w:val="24"/>
          <w:szCs w:val="24"/>
          <w:highlight w:val="none"/>
        </w:rPr>
        <w:t>. 承包人</w:t>
      </w:r>
      <w:bookmarkEnd w:id="189"/>
    </w:p>
    <w:bookmarkEnd w:id="190"/>
    <w:bookmarkEnd w:id="191"/>
    <w:bookmarkEnd w:id="192"/>
    <w:p w14:paraId="7FA930CF">
      <w:pPr>
        <w:pStyle w:val="6"/>
        <w:spacing w:before="120" w:after="120" w:line="312" w:lineRule="auto"/>
        <w:ind w:firstLine="480" w:firstLineChars="200"/>
        <w:rPr>
          <w:rFonts w:ascii="宋体" w:hAnsi="宋体" w:eastAsia="宋体" w:cs="宋体"/>
          <w:b w:val="0"/>
          <w:color w:val="auto"/>
          <w:sz w:val="24"/>
          <w:szCs w:val="24"/>
          <w:highlight w:val="none"/>
        </w:rPr>
      </w:pPr>
      <w:bookmarkStart w:id="193" w:name="_Toc351203519"/>
      <w:r>
        <w:rPr>
          <w:rFonts w:hint="eastAsia" w:ascii="宋体" w:hAnsi="宋体" w:eastAsia="宋体" w:cs="宋体"/>
          <w:b w:val="0"/>
          <w:color w:val="auto"/>
          <w:sz w:val="24"/>
          <w:szCs w:val="24"/>
          <w:highlight w:val="none"/>
        </w:rPr>
        <w:t>3</w:t>
      </w:r>
      <w:bookmarkStart w:id="194" w:name="_Toc296346547"/>
      <w:bookmarkStart w:id="195" w:name="_Toc337558747"/>
      <w:bookmarkStart w:id="196" w:name="_Toc296503046"/>
      <w:r>
        <w:rPr>
          <w:rFonts w:hint="eastAsia" w:ascii="宋体" w:hAnsi="宋体" w:eastAsia="宋体" w:cs="宋体"/>
          <w:b w:val="0"/>
          <w:color w:val="auto"/>
          <w:sz w:val="24"/>
          <w:szCs w:val="24"/>
          <w:highlight w:val="none"/>
        </w:rPr>
        <w:t>.1 承包人的一般义务</w:t>
      </w:r>
      <w:bookmarkEnd w:id="193"/>
    </w:p>
    <w:bookmarkEnd w:id="194"/>
    <w:bookmarkEnd w:id="195"/>
    <w:bookmarkEnd w:id="196"/>
    <w:p w14:paraId="39C9732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承包人在履行合同过程中应遵守法律和工程建设标准规范，并履行以下义务：</w:t>
      </w:r>
    </w:p>
    <w:p w14:paraId="66E446C2">
      <w:pPr>
        <w:numPr>
          <w:ilvl w:val="0"/>
          <w:numId w:val="4"/>
        </w:num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办理法律规定应由承包人办理的许可和批准，并将办理结果书面报送发包人留存；</w:t>
      </w:r>
    </w:p>
    <w:p w14:paraId="724D841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（2）按法律规定和合同约定完成工程，并在保修期内承担保修义务；</w:t>
      </w:r>
    </w:p>
    <w:p w14:paraId="5E80E78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（3）按法律规定和合同约定采取施工安全和环境保护措施，办理工伤保险，确保工程及人员、材料、设备和设施的安全；</w:t>
      </w:r>
    </w:p>
    <w:p w14:paraId="3C8A8D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（4）按合同约定的工作内容和施工进度要求，编制施工组织设计和施工措施计划，并对所有施工作业和施工方法的完备性和安全可靠性负责；</w:t>
      </w:r>
    </w:p>
    <w:p w14:paraId="2594118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00ACA0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（6）按照第6.3款〔环境保护〕约定负责施工场地及其周边环境与生态的保护工作；</w:t>
      </w:r>
    </w:p>
    <w:p w14:paraId="0BB2A2E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（7）按第6.1款〔安全文明施工〕约定采取施工安全措施，确保工程及其人员、材料、设备和设施的安全，防止因工程施工造成的人身伤害和财产损失；</w:t>
      </w:r>
    </w:p>
    <w:p w14:paraId="3D6EAD1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（8）将发包人按合同约定支付的各项价款专用于合同工程，且应及时支付其雇用人员工资，并及时向分包人支付合同价款；</w:t>
      </w:r>
    </w:p>
    <w:p w14:paraId="12416BF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（9）按照法律规定和合同约定编制竣工资料，完成竣工资料立卷及归档，并按专用合同条款约定的竣工资料的套数、内容、时间等要求移交发包人；</w:t>
      </w:r>
    </w:p>
    <w:p w14:paraId="3B444AA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（10）应履行的其他义务。</w:t>
      </w:r>
    </w:p>
    <w:p w14:paraId="1C41E8D6">
      <w:pPr>
        <w:pStyle w:val="6"/>
        <w:spacing w:before="120" w:after="120" w:line="312" w:lineRule="auto"/>
        <w:ind w:firstLine="480" w:firstLineChars="200"/>
        <w:rPr>
          <w:rFonts w:ascii="宋体" w:hAnsi="宋体" w:eastAsia="宋体" w:cs="宋体"/>
          <w:b w:val="0"/>
          <w:color w:val="auto"/>
          <w:sz w:val="24"/>
          <w:szCs w:val="24"/>
          <w:highlight w:val="none"/>
        </w:rPr>
      </w:pPr>
      <w:bookmarkStart w:id="197" w:name="_Toc351203520"/>
      <w:r>
        <w:rPr>
          <w:rFonts w:hint="eastAsia" w:ascii="宋体" w:hAnsi="宋体" w:eastAsia="宋体" w:cs="宋体"/>
          <w:b w:val="0"/>
          <w:color w:val="auto"/>
          <w:sz w:val="24"/>
          <w:szCs w:val="24"/>
          <w:highlight w:val="none"/>
        </w:rPr>
        <w:t>3</w:t>
      </w:r>
      <w:bookmarkStart w:id="198" w:name="_Toc337558748"/>
      <w:bookmarkStart w:id="199" w:name="_Toc296346548"/>
      <w:bookmarkStart w:id="200" w:name="_Toc296503047"/>
      <w:r>
        <w:rPr>
          <w:rFonts w:hint="eastAsia" w:ascii="宋体" w:hAnsi="宋体" w:eastAsia="宋体" w:cs="宋体"/>
          <w:b w:val="0"/>
          <w:color w:val="auto"/>
          <w:sz w:val="24"/>
          <w:szCs w:val="24"/>
          <w:highlight w:val="none"/>
        </w:rPr>
        <w:t xml:space="preserve">.2 </w:t>
      </w:r>
      <w:bookmarkEnd w:id="197"/>
      <w:r>
        <w:rPr>
          <w:rFonts w:hint="eastAsia" w:ascii="宋体" w:hAnsi="宋体" w:eastAsia="宋体" w:cs="宋体"/>
          <w:b w:val="0"/>
          <w:color w:val="auto"/>
          <w:sz w:val="24"/>
          <w:szCs w:val="24"/>
          <w:highlight w:val="none"/>
        </w:rPr>
        <w:t>项目经理</w:t>
      </w:r>
    </w:p>
    <w:bookmarkEnd w:id="198"/>
    <w:bookmarkEnd w:id="199"/>
    <w:bookmarkEnd w:id="200"/>
    <w:p w14:paraId="6C7DA32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BC0ADE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E442C4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承包人违反上述约定的，应按照专用合同条款的约定，承担违约责任。</w:t>
      </w:r>
    </w:p>
    <w:p w14:paraId="77308C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35FE74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3F520D6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A9F67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0B248752">
      <w:pPr>
        <w:pStyle w:val="6"/>
        <w:spacing w:before="120" w:after="120" w:line="312" w:lineRule="auto"/>
        <w:ind w:firstLine="480" w:firstLineChars="200"/>
        <w:rPr>
          <w:rFonts w:ascii="宋体" w:hAnsi="宋体" w:eastAsia="宋体" w:cs="宋体"/>
          <w:b w:val="0"/>
          <w:color w:val="auto"/>
          <w:sz w:val="24"/>
          <w:szCs w:val="24"/>
          <w:highlight w:val="none"/>
        </w:rPr>
      </w:pPr>
      <w:bookmarkStart w:id="201" w:name="_Toc351203521"/>
      <w:r>
        <w:rPr>
          <w:rFonts w:hint="eastAsia" w:ascii="宋体" w:hAnsi="宋体" w:eastAsia="宋体" w:cs="宋体"/>
          <w:b w:val="0"/>
          <w:color w:val="auto"/>
          <w:sz w:val="24"/>
          <w:szCs w:val="24"/>
          <w:highlight w:val="none"/>
        </w:rPr>
        <w:t>3</w:t>
      </w:r>
      <w:bookmarkStart w:id="202" w:name="_Toc296346549"/>
      <w:bookmarkStart w:id="203" w:name="_Toc296503048"/>
      <w:bookmarkStart w:id="204" w:name="_Toc337558749"/>
      <w:r>
        <w:rPr>
          <w:rFonts w:hint="eastAsia" w:ascii="宋体" w:hAnsi="宋体" w:eastAsia="宋体" w:cs="宋体"/>
          <w:b w:val="0"/>
          <w:color w:val="auto"/>
          <w:sz w:val="24"/>
          <w:szCs w:val="24"/>
          <w:highlight w:val="none"/>
        </w:rPr>
        <w:t xml:space="preserve">.3 </w:t>
      </w:r>
      <w:bookmarkEnd w:id="202"/>
      <w:bookmarkEnd w:id="203"/>
      <w:r>
        <w:rPr>
          <w:rFonts w:hint="eastAsia" w:ascii="宋体" w:hAnsi="宋体" w:eastAsia="宋体" w:cs="宋体"/>
          <w:b w:val="0"/>
          <w:color w:val="auto"/>
          <w:sz w:val="24"/>
          <w:szCs w:val="24"/>
          <w:highlight w:val="none"/>
        </w:rPr>
        <w:t>承包人人员</w:t>
      </w:r>
      <w:bookmarkEnd w:id="201"/>
    </w:p>
    <w:bookmarkEnd w:id="204"/>
    <w:p w14:paraId="2A6C59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C232B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4C133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特殊工种作业人员均应持有相应的资格证明，监理人可以随时检查。</w:t>
      </w:r>
    </w:p>
    <w:p w14:paraId="16794A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BF93A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639322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3.3.5 承包人擅自更换主要施工管理人员，或前述人员未经监理人或发包人同意擅自离开施工现场的，应按照专用合同条款约定承担违约责任。</w:t>
      </w:r>
    </w:p>
    <w:p w14:paraId="13B32909">
      <w:pPr>
        <w:pStyle w:val="6"/>
        <w:spacing w:before="120" w:after="120" w:line="312" w:lineRule="auto"/>
        <w:ind w:firstLine="480" w:firstLineChars="200"/>
        <w:rPr>
          <w:rFonts w:ascii="宋体" w:hAnsi="宋体" w:eastAsia="宋体" w:cs="宋体"/>
          <w:b w:val="0"/>
          <w:color w:val="auto"/>
          <w:sz w:val="24"/>
          <w:szCs w:val="24"/>
          <w:highlight w:val="none"/>
        </w:rPr>
      </w:pPr>
      <w:bookmarkStart w:id="205" w:name="_Toc351203522"/>
      <w:r>
        <w:rPr>
          <w:rFonts w:hint="eastAsia" w:ascii="宋体" w:hAnsi="宋体" w:eastAsia="宋体" w:cs="宋体"/>
          <w:b w:val="0"/>
          <w:color w:val="auto"/>
          <w:sz w:val="24"/>
          <w:szCs w:val="24"/>
          <w:highlight w:val="none"/>
        </w:rPr>
        <w:t>3</w:t>
      </w:r>
      <w:bookmarkStart w:id="206" w:name="_Toc337558750"/>
      <w:bookmarkStart w:id="207" w:name="_Toc296503050"/>
      <w:bookmarkStart w:id="208" w:name="_Toc296346551"/>
      <w:r>
        <w:rPr>
          <w:rFonts w:hint="eastAsia" w:ascii="宋体" w:hAnsi="宋体" w:eastAsia="宋体" w:cs="宋体"/>
          <w:b w:val="0"/>
          <w:color w:val="auto"/>
          <w:sz w:val="24"/>
          <w:szCs w:val="24"/>
          <w:highlight w:val="none"/>
        </w:rPr>
        <w:t>.4 承包人现场查勘</w:t>
      </w:r>
      <w:bookmarkEnd w:id="205"/>
    </w:p>
    <w:bookmarkEnd w:id="206"/>
    <w:bookmarkEnd w:id="207"/>
    <w:bookmarkEnd w:id="208"/>
    <w:p w14:paraId="081FFC20">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45ADD2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948C75A">
      <w:pPr>
        <w:pStyle w:val="6"/>
        <w:spacing w:before="120" w:after="120" w:line="312" w:lineRule="auto"/>
        <w:ind w:firstLine="480" w:firstLineChars="200"/>
        <w:rPr>
          <w:rFonts w:ascii="宋体" w:hAnsi="宋体" w:eastAsia="宋体" w:cs="宋体"/>
          <w:b w:val="0"/>
          <w:color w:val="auto"/>
          <w:sz w:val="24"/>
          <w:szCs w:val="24"/>
          <w:highlight w:val="none"/>
        </w:rPr>
      </w:pPr>
      <w:bookmarkStart w:id="209" w:name="_Toc351203523"/>
      <w:r>
        <w:rPr>
          <w:rFonts w:hint="eastAsia" w:ascii="宋体" w:hAnsi="宋体" w:eastAsia="宋体" w:cs="宋体"/>
          <w:b w:val="0"/>
          <w:color w:val="auto"/>
          <w:sz w:val="24"/>
          <w:szCs w:val="24"/>
          <w:highlight w:val="none"/>
        </w:rPr>
        <w:t>3</w:t>
      </w:r>
      <w:bookmarkStart w:id="210" w:name="_Toc337558751"/>
      <w:bookmarkStart w:id="211" w:name="_Toc296346552"/>
      <w:bookmarkStart w:id="212" w:name="_Toc296503051"/>
      <w:r>
        <w:rPr>
          <w:rFonts w:hint="eastAsia" w:ascii="宋体" w:hAnsi="宋体" w:eastAsia="宋体" w:cs="宋体"/>
          <w:b w:val="0"/>
          <w:color w:val="auto"/>
          <w:sz w:val="24"/>
          <w:szCs w:val="24"/>
          <w:highlight w:val="none"/>
        </w:rPr>
        <w:t>.5 分包</w:t>
      </w:r>
      <w:bookmarkEnd w:id="209"/>
    </w:p>
    <w:bookmarkEnd w:id="210"/>
    <w:bookmarkEnd w:id="211"/>
    <w:bookmarkEnd w:id="212"/>
    <w:p w14:paraId="25FFB8F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3.5.1 分包的一般约定</w:t>
      </w:r>
    </w:p>
    <w:p w14:paraId="6C224FD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19D76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承包人不得以劳务分包的名义转包或违法分包工程。</w:t>
      </w:r>
    </w:p>
    <w:p w14:paraId="0ABDDC6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3.5.2 分包的确定</w:t>
      </w:r>
    </w:p>
    <w:p w14:paraId="6E90AB5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E5CA7F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3.5.3 分包管理</w:t>
      </w:r>
    </w:p>
    <w:p w14:paraId="79D693B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4C5C001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3.5.4 分包合同价款</w:t>
      </w:r>
    </w:p>
    <w:p w14:paraId="4D1461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70B4C3E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（2）生效法律文书要求发包人向分包人支付分包合同价款的，发包人有权从应付承包人工程款中扣除该部分款项。</w:t>
      </w:r>
    </w:p>
    <w:p w14:paraId="55971D8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3.5.5 分包合同权益的转让</w:t>
      </w:r>
    </w:p>
    <w:p w14:paraId="252D7F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7769C57A">
      <w:pPr>
        <w:pStyle w:val="6"/>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213"/>
    </w:p>
    <w:p w14:paraId="50AFDEF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0B02F38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（2）在承包人负责照管期间，因承包人原因造成工程、材料、工程设备损坏的，由承包人负责修复或更换，并承担由此增加的费用和（或）延误的工期。</w:t>
      </w:r>
    </w:p>
    <w:p w14:paraId="73DDCA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6404C268">
      <w:pPr>
        <w:pStyle w:val="6"/>
        <w:spacing w:before="120" w:after="120" w:line="312" w:lineRule="auto"/>
        <w:ind w:firstLine="480" w:firstLineChars="200"/>
        <w:rPr>
          <w:rFonts w:ascii="宋体" w:hAnsi="宋体" w:eastAsia="宋体" w:cs="宋体"/>
          <w:b w:val="0"/>
          <w:color w:val="auto"/>
          <w:sz w:val="24"/>
          <w:szCs w:val="24"/>
          <w:highlight w:val="none"/>
        </w:rPr>
      </w:pPr>
      <w:bookmarkStart w:id="214" w:name="_Toc351203525"/>
      <w:r>
        <w:rPr>
          <w:rFonts w:hint="eastAsia" w:ascii="宋体" w:hAnsi="宋体" w:eastAsia="宋体" w:cs="宋体"/>
          <w:b w:val="0"/>
          <w:color w:val="auto"/>
          <w:sz w:val="24"/>
          <w:szCs w:val="24"/>
          <w:highlight w:val="none"/>
        </w:rPr>
        <w:t>3</w:t>
      </w:r>
      <w:bookmarkStart w:id="215" w:name="_Toc296346553"/>
      <w:bookmarkStart w:id="216" w:name="_Toc337558752"/>
      <w:bookmarkStart w:id="217" w:name="_Toc296503052"/>
      <w:r>
        <w:rPr>
          <w:rFonts w:hint="eastAsia" w:ascii="宋体" w:hAnsi="宋体" w:eastAsia="宋体" w:cs="宋体"/>
          <w:b w:val="0"/>
          <w:color w:val="auto"/>
          <w:sz w:val="24"/>
          <w:szCs w:val="24"/>
          <w:highlight w:val="none"/>
        </w:rPr>
        <w:t>.7 履约担保</w:t>
      </w:r>
      <w:bookmarkEnd w:id="214"/>
    </w:p>
    <w:bookmarkEnd w:id="215"/>
    <w:bookmarkEnd w:id="216"/>
    <w:bookmarkEnd w:id="217"/>
    <w:p w14:paraId="34E411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229177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16478E24">
      <w:pPr>
        <w:pStyle w:val="6"/>
        <w:spacing w:before="120" w:after="120" w:line="312" w:lineRule="auto"/>
        <w:ind w:firstLine="480" w:firstLineChars="200"/>
        <w:rPr>
          <w:rFonts w:ascii="宋体" w:hAnsi="宋体" w:eastAsia="宋体" w:cs="宋体"/>
          <w:b w:val="0"/>
          <w:color w:val="auto"/>
          <w:sz w:val="24"/>
          <w:szCs w:val="24"/>
          <w:highlight w:val="none"/>
        </w:rPr>
      </w:pPr>
      <w:bookmarkStart w:id="218" w:name="_Toc351203526"/>
      <w:r>
        <w:rPr>
          <w:rFonts w:hint="eastAsia" w:ascii="宋体" w:hAnsi="宋体" w:eastAsia="宋体" w:cs="宋体"/>
          <w:b w:val="0"/>
          <w:color w:val="auto"/>
          <w:sz w:val="24"/>
          <w:szCs w:val="24"/>
          <w:highlight w:val="none"/>
        </w:rPr>
        <w:t>3.8 联合体</w:t>
      </w:r>
      <w:bookmarkEnd w:id="218"/>
    </w:p>
    <w:p w14:paraId="242000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3.8.1 联合体各方应共同与发包人签订合同协议书。联合体各方应为履行合同向发包人承担连带责任。</w:t>
      </w:r>
    </w:p>
    <w:p w14:paraId="0382C0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3.8.2 联合体协议经发包人确认后作为合同附件。在履行合同过程中，未经发包人同意，不得修改联合体协议。</w:t>
      </w:r>
    </w:p>
    <w:p w14:paraId="4940E7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3.8.3 联合体牵头人负责与发包人和监理人联系，并接受指示，负责组织联合体各成员全面履行合同。</w:t>
      </w:r>
    </w:p>
    <w:p w14:paraId="18507F12">
      <w:pPr>
        <w:pStyle w:val="5"/>
        <w:spacing w:before="120" w:after="120" w:line="312" w:lineRule="auto"/>
        <w:rPr>
          <w:rFonts w:ascii="宋体" w:hAnsi="宋体" w:eastAsia="宋体" w:cs="宋体"/>
          <w:b w:val="0"/>
          <w:color w:val="auto"/>
          <w:sz w:val="24"/>
          <w:szCs w:val="24"/>
          <w:highlight w:val="none"/>
        </w:rPr>
      </w:pPr>
      <w:bookmarkStart w:id="219" w:name="_Toc351203527"/>
      <w:r>
        <w:rPr>
          <w:rFonts w:hint="eastAsia" w:ascii="宋体" w:hAnsi="宋体" w:eastAsia="宋体" w:cs="宋体"/>
          <w:b w:val="0"/>
          <w:color w:val="auto"/>
          <w:sz w:val="24"/>
          <w:szCs w:val="24"/>
          <w:highlight w:val="none"/>
        </w:rPr>
        <w:t>4</w:t>
      </w:r>
      <w:bookmarkStart w:id="220" w:name="_Toc296503053"/>
      <w:bookmarkStart w:id="221" w:name="_Toc296346554"/>
      <w:bookmarkStart w:id="222" w:name="_Toc337558753"/>
      <w:r>
        <w:rPr>
          <w:rFonts w:hint="eastAsia" w:ascii="宋体" w:hAnsi="宋体" w:eastAsia="宋体" w:cs="宋体"/>
          <w:b w:val="0"/>
          <w:color w:val="auto"/>
          <w:sz w:val="24"/>
          <w:szCs w:val="24"/>
          <w:highlight w:val="none"/>
        </w:rPr>
        <w:t>. 监</w:t>
      </w:r>
      <w:bookmarkEnd w:id="220"/>
      <w:bookmarkEnd w:id="221"/>
      <w:r>
        <w:rPr>
          <w:rFonts w:hint="eastAsia" w:ascii="宋体" w:hAnsi="宋体" w:eastAsia="宋体" w:cs="宋体"/>
          <w:b w:val="0"/>
          <w:color w:val="auto"/>
          <w:sz w:val="24"/>
          <w:szCs w:val="24"/>
          <w:highlight w:val="none"/>
        </w:rPr>
        <w:t>理人</w:t>
      </w:r>
      <w:bookmarkEnd w:id="219"/>
    </w:p>
    <w:bookmarkEnd w:id="222"/>
    <w:p w14:paraId="76899015">
      <w:pPr>
        <w:pStyle w:val="6"/>
        <w:spacing w:before="120" w:after="120" w:line="312" w:lineRule="auto"/>
        <w:ind w:firstLine="480" w:firstLineChars="200"/>
        <w:rPr>
          <w:rFonts w:ascii="宋体" w:hAnsi="宋体" w:eastAsia="宋体" w:cs="宋体"/>
          <w:b w:val="0"/>
          <w:color w:val="auto"/>
          <w:sz w:val="24"/>
          <w:szCs w:val="24"/>
          <w:highlight w:val="none"/>
        </w:rPr>
      </w:pPr>
      <w:bookmarkStart w:id="223" w:name="_Toc351203528"/>
      <w:r>
        <w:rPr>
          <w:rFonts w:hint="eastAsia" w:ascii="宋体" w:hAnsi="宋体" w:eastAsia="宋体" w:cs="宋体"/>
          <w:b w:val="0"/>
          <w:color w:val="auto"/>
          <w:sz w:val="24"/>
          <w:szCs w:val="24"/>
          <w:highlight w:val="none"/>
        </w:rPr>
        <w:t>4</w:t>
      </w:r>
      <w:bookmarkStart w:id="224" w:name="_Toc337558754"/>
      <w:bookmarkStart w:id="225" w:name="_Toc296346555"/>
      <w:bookmarkStart w:id="226" w:name="_Toc296503054"/>
      <w:r>
        <w:rPr>
          <w:rFonts w:hint="eastAsia" w:ascii="宋体" w:hAnsi="宋体" w:eastAsia="宋体" w:cs="宋体"/>
          <w:b w:val="0"/>
          <w:color w:val="auto"/>
          <w:sz w:val="24"/>
          <w:szCs w:val="24"/>
          <w:highlight w:val="none"/>
        </w:rPr>
        <w:t>.1监理人的一般规定</w:t>
      </w:r>
      <w:bookmarkEnd w:id="223"/>
    </w:p>
    <w:bookmarkEnd w:id="224"/>
    <w:bookmarkEnd w:id="225"/>
    <w:bookmarkEnd w:id="226"/>
    <w:p w14:paraId="1F3EF0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94811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除专用合同条款另有约定外，监理人在施工现场的办公场所、生活场所由承包人提供，所发生的费用由发包人承担。</w:t>
      </w:r>
    </w:p>
    <w:p w14:paraId="54A03AA3">
      <w:pPr>
        <w:pStyle w:val="6"/>
        <w:spacing w:before="120" w:after="120" w:line="312" w:lineRule="auto"/>
        <w:ind w:firstLine="480" w:firstLineChars="200"/>
        <w:rPr>
          <w:rFonts w:ascii="宋体" w:hAnsi="宋体" w:eastAsia="宋体" w:cs="宋体"/>
          <w:b w:val="0"/>
          <w:color w:val="auto"/>
          <w:sz w:val="24"/>
          <w:szCs w:val="24"/>
          <w:highlight w:val="none"/>
        </w:rPr>
      </w:pPr>
      <w:bookmarkStart w:id="227" w:name="_Toc351203529"/>
      <w:r>
        <w:rPr>
          <w:rFonts w:hint="eastAsia" w:ascii="宋体" w:hAnsi="宋体" w:eastAsia="宋体" w:cs="宋体"/>
          <w:b w:val="0"/>
          <w:color w:val="auto"/>
          <w:sz w:val="24"/>
          <w:szCs w:val="24"/>
          <w:highlight w:val="none"/>
        </w:rPr>
        <w:t>4</w:t>
      </w:r>
      <w:bookmarkStart w:id="228" w:name="_Toc337558755"/>
      <w:r>
        <w:rPr>
          <w:rFonts w:hint="eastAsia" w:ascii="宋体" w:hAnsi="宋体" w:eastAsia="宋体" w:cs="宋体"/>
          <w:b w:val="0"/>
          <w:color w:val="auto"/>
          <w:sz w:val="24"/>
          <w:szCs w:val="24"/>
          <w:highlight w:val="none"/>
        </w:rPr>
        <w:t>.2监理人员</w:t>
      </w:r>
      <w:bookmarkEnd w:id="227"/>
    </w:p>
    <w:bookmarkEnd w:id="228"/>
    <w:p w14:paraId="54F3C1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56E4FEF6">
      <w:pPr>
        <w:pStyle w:val="6"/>
        <w:spacing w:before="120" w:after="120" w:line="312" w:lineRule="auto"/>
        <w:ind w:firstLine="480" w:firstLineChars="200"/>
        <w:rPr>
          <w:rFonts w:ascii="宋体" w:hAnsi="宋体" w:eastAsia="宋体" w:cs="宋体"/>
          <w:b w:val="0"/>
          <w:color w:val="auto"/>
          <w:sz w:val="24"/>
          <w:szCs w:val="24"/>
          <w:highlight w:val="none"/>
        </w:rPr>
      </w:pPr>
      <w:bookmarkStart w:id="229" w:name="_Toc351203530"/>
      <w:r>
        <w:rPr>
          <w:rFonts w:hint="eastAsia" w:ascii="宋体" w:hAnsi="宋体" w:eastAsia="宋体" w:cs="宋体"/>
          <w:b w:val="0"/>
          <w:color w:val="auto"/>
          <w:sz w:val="24"/>
          <w:szCs w:val="24"/>
          <w:highlight w:val="none"/>
        </w:rPr>
        <w:t>4</w:t>
      </w:r>
      <w:bookmarkStart w:id="230" w:name="_Toc296346556"/>
      <w:bookmarkStart w:id="231" w:name="_Toc296503055"/>
      <w:bookmarkStart w:id="232" w:name="_Toc337558756"/>
      <w:r>
        <w:rPr>
          <w:rFonts w:hint="eastAsia" w:ascii="宋体" w:hAnsi="宋体" w:eastAsia="宋体" w:cs="宋体"/>
          <w:b w:val="0"/>
          <w:color w:val="auto"/>
          <w:sz w:val="24"/>
          <w:szCs w:val="24"/>
          <w:highlight w:val="none"/>
        </w:rPr>
        <w:t>.3</w:t>
      </w:r>
      <w:bookmarkEnd w:id="230"/>
      <w:bookmarkEnd w:id="231"/>
      <w:r>
        <w:rPr>
          <w:rFonts w:hint="eastAsia" w:ascii="宋体" w:hAnsi="宋体" w:eastAsia="宋体" w:cs="宋体"/>
          <w:b w:val="0"/>
          <w:color w:val="auto"/>
          <w:sz w:val="24"/>
          <w:szCs w:val="24"/>
          <w:highlight w:val="none"/>
        </w:rPr>
        <w:t>监理人的指</w:t>
      </w:r>
      <w:bookmarkEnd w:id="232"/>
      <w:r>
        <w:rPr>
          <w:rFonts w:hint="eastAsia" w:ascii="宋体" w:hAnsi="宋体" w:eastAsia="宋体" w:cs="宋体"/>
          <w:b w:val="0"/>
          <w:color w:val="auto"/>
          <w:sz w:val="24"/>
          <w:szCs w:val="24"/>
          <w:highlight w:val="none"/>
        </w:rPr>
        <w:t>示</w:t>
      </w:r>
      <w:bookmarkEnd w:id="229"/>
    </w:p>
    <w:p w14:paraId="4FF963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8E7D9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024AEF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6158AB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384266E2">
      <w:pPr>
        <w:pStyle w:val="5"/>
        <w:spacing w:before="120" w:after="120" w:line="312" w:lineRule="auto"/>
        <w:ind w:firstLine="480" w:firstLineChars="200"/>
        <w:rPr>
          <w:rFonts w:ascii="宋体" w:hAnsi="宋体" w:eastAsia="宋体" w:cs="宋体"/>
          <w:b w:val="0"/>
          <w:color w:val="auto"/>
          <w:sz w:val="24"/>
          <w:szCs w:val="24"/>
          <w:highlight w:val="none"/>
        </w:rPr>
      </w:pPr>
      <w:bookmarkStart w:id="233" w:name="_Toc351203531"/>
      <w:r>
        <w:rPr>
          <w:rFonts w:hint="eastAsia" w:ascii="宋体" w:hAnsi="宋体" w:eastAsia="宋体" w:cs="宋体"/>
          <w:b w:val="0"/>
          <w:color w:val="auto"/>
          <w:sz w:val="24"/>
          <w:szCs w:val="24"/>
          <w:highlight w:val="none"/>
        </w:rPr>
        <w:t>4</w:t>
      </w:r>
      <w:bookmarkStart w:id="234" w:name="_Toc296503057"/>
      <w:bookmarkStart w:id="235" w:name="_Toc337558757"/>
      <w:bookmarkStart w:id="236" w:name="_Toc296346558"/>
      <w:r>
        <w:rPr>
          <w:rFonts w:hint="eastAsia" w:ascii="宋体" w:hAnsi="宋体" w:eastAsia="宋体" w:cs="宋体"/>
          <w:b w:val="0"/>
          <w:color w:val="auto"/>
          <w:sz w:val="24"/>
          <w:szCs w:val="24"/>
          <w:highlight w:val="none"/>
        </w:rPr>
        <w:t>.4 商定或确定</w:t>
      </w:r>
      <w:bookmarkEnd w:id="233"/>
    </w:p>
    <w:bookmarkEnd w:id="234"/>
    <w:bookmarkEnd w:id="235"/>
    <w:bookmarkEnd w:id="236"/>
    <w:p w14:paraId="5ECCAD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16D93A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7D62D3A">
      <w:pPr>
        <w:pStyle w:val="5"/>
        <w:spacing w:before="120" w:after="120" w:line="312" w:lineRule="auto"/>
        <w:rPr>
          <w:rFonts w:ascii="宋体" w:hAnsi="宋体" w:eastAsia="宋体" w:cs="宋体"/>
          <w:b w:val="0"/>
          <w:color w:val="auto"/>
          <w:sz w:val="24"/>
          <w:szCs w:val="24"/>
          <w:highlight w:val="none"/>
        </w:rPr>
      </w:pPr>
      <w:bookmarkStart w:id="237" w:name="_Toc351203532"/>
      <w:r>
        <w:rPr>
          <w:rFonts w:hint="eastAsia" w:ascii="宋体" w:hAnsi="宋体" w:eastAsia="宋体" w:cs="宋体"/>
          <w:b w:val="0"/>
          <w:color w:val="auto"/>
          <w:sz w:val="24"/>
          <w:szCs w:val="24"/>
          <w:highlight w:val="none"/>
        </w:rPr>
        <w:t>5</w:t>
      </w:r>
      <w:bookmarkStart w:id="238" w:name="_Toc337558758"/>
      <w:r>
        <w:rPr>
          <w:rFonts w:hint="eastAsia" w:ascii="宋体" w:hAnsi="宋体" w:eastAsia="宋体" w:cs="宋体"/>
          <w:b w:val="0"/>
          <w:color w:val="auto"/>
          <w:sz w:val="24"/>
          <w:szCs w:val="24"/>
          <w:highlight w:val="none"/>
        </w:rPr>
        <w:t>. 工程质量</w:t>
      </w:r>
      <w:bookmarkEnd w:id="237"/>
    </w:p>
    <w:bookmarkEnd w:id="238"/>
    <w:p w14:paraId="4300323D">
      <w:pPr>
        <w:pStyle w:val="6"/>
        <w:spacing w:before="120" w:after="120" w:line="312" w:lineRule="auto"/>
        <w:ind w:firstLine="480" w:firstLineChars="200"/>
        <w:rPr>
          <w:rFonts w:ascii="宋体" w:hAnsi="宋体" w:eastAsia="宋体" w:cs="宋体"/>
          <w:b w:val="0"/>
          <w:color w:val="auto"/>
          <w:sz w:val="24"/>
          <w:szCs w:val="24"/>
          <w:highlight w:val="none"/>
        </w:rPr>
      </w:pPr>
      <w:bookmarkStart w:id="239" w:name="_Toc351203533"/>
      <w:r>
        <w:rPr>
          <w:rFonts w:hint="eastAsia" w:ascii="宋体" w:hAnsi="宋体" w:eastAsia="宋体" w:cs="宋体"/>
          <w:b w:val="0"/>
          <w:color w:val="auto"/>
          <w:sz w:val="24"/>
          <w:szCs w:val="24"/>
          <w:highlight w:val="none"/>
        </w:rPr>
        <w:t>5</w:t>
      </w:r>
      <w:bookmarkStart w:id="240" w:name="_Toc337558759"/>
      <w:r>
        <w:rPr>
          <w:rFonts w:hint="eastAsia" w:ascii="宋体" w:hAnsi="宋体" w:eastAsia="宋体" w:cs="宋体"/>
          <w:b w:val="0"/>
          <w:color w:val="auto"/>
          <w:sz w:val="24"/>
          <w:szCs w:val="24"/>
          <w:highlight w:val="none"/>
        </w:rPr>
        <w:t>.1质量要求</w:t>
      </w:r>
      <w:bookmarkEnd w:id="239"/>
    </w:p>
    <w:bookmarkEnd w:id="240"/>
    <w:p w14:paraId="7F8601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56BEAC9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5.1.2 因发包人原因造成工程质量未达到合同约定标准的，由发包人承担由此增加的费用和（或）延误的工期，并支付承包人合理的利润。</w:t>
      </w:r>
    </w:p>
    <w:p w14:paraId="2261956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1581D5B5">
      <w:pPr>
        <w:pStyle w:val="6"/>
        <w:spacing w:before="120" w:after="120" w:line="312" w:lineRule="auto"/>
        <w:ind w:firstLine="480" w:firstLineChars="200"/>
        <w:rPr>
          <w:rFonts w:ascii="宋体" w:hAnsi="宋体" w:eastAsia="宋体" w:cs="宋体"/>
          <w:b w:val="0"/>
          <w:color w:val="auto"/>
          <w:sz w:val="24"/>
          <w:szCs w:val="24"/>
          <w:highlight w:val="none"/>
        </w:rPr>
      </w:pPr>
      <w:bookmarkStart w:id="241" w:name="_Toc351203534"/>
      <w:r>
        <w:rPr>
          <w:rFonts w:hint="eastAsia" w:ascii="宋体" w:hAnsi="宋体" w:eastAsia="宋体" w:cs="宋体"/>
          <w:b w:val="0"/>
          <w:color w:val="auto"/>
          <w:sz w:val="24"/>
          <w:szCs w:val="24"/>
          <w:highlight w:val="none"/>
        </w:rPr>
        <w:t>5</w:t>
      </w:r>
      <w:bookmarkStart w:id="242" w:name="_Toc337558760"/>
      <w:r>
        <w:rPr>
          <w:rFonts w:hint="eastAsia" w:ascii="宋体" w:hAnsi="宋体" w:eastAsia="宋体" w:cs="宋体"/>
          <w:b w:val="0"/>
          <w:color w:val="auto"/>
          <w:sz w:val="24"/>
          <w:szCs w:val="24"/>
          <w:highlight w:val="none"/>
        </w:rPr>
        <w:t>.2质量保证措施</w:t>
      </w:r>
      <w:bookmarkEnd w:id="241"/>
    </w:p>
    <w:bookmarkEnd w:id="242"/>
    <w:p w14:paraId="43D7E8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5.2.1 发包人的质量管理</w:t>
      </w:r>
    </w:p>
    <w:p w14:paraId="0EBFF4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发包人应按照法律规定及合同约定完成与工程质量有关的各项工作。</w:t>
      </w:r>
    </w:p>
    <w:p w14:paraId="687538C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5.2.2 承包人的质量管理</w:t>
      </w:r>
    </w:p>
    <w:p w14:paraId="2622F0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D448C2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承包人应对施工人员进行质量教育和技术培训，定期考核施工人员的劳动技能，严格执行施工规范和操作规程。</w:t>
      </w:r>
    </w:p>
    <w:p w14:paraId="648B1F9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241F648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5.2.3 监理人的质量检查和检验</w:t>
      </w:r>
    </w:p>
    <w:p w14:paraId="5EEA09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BEE5B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CB6F0E5">
      <w:pPr>
        <w:pStyle w:val="6"/>
        <w:spacing w:before="120" w:after="120" w:line="312" w:lineRule="auto"/>
        <w:ind w:firstLine="480" w:firstLineChars="200"/>
        <w:rPr>
          <w:rFonts w:ascii="宋体" w:hAnsi="宋体" w:eastAsia="宋体" w:cs="宋体"/>
          <w:b w:val="0"/>
          <w:color w:val="auto"/>
          <w:sz w:val="24"/>
          <w:szCs w:val="24"/>
          <w:highlight w:val="none"/>
        </w:rPr>
      </w:pPr>
      <w:bookmarkStart w:id="243" w:name="_Toc351203535"/>
      <w:r>
        <w:rPr>
          <w:rFonts w:hint="eastAsia" w:ascii="宋体" w:hAnsi="宋体" w:eastAsia="宋体" w:cs="宋体"/>
          <w:b w:val="0"/>
          <w:color w:val="auto"/>
          <w:sz w:val="24"/>
          <w:szCs w:val="24"/>
          <w:highlight w:val="none"/>
        </w:rPr>
        <w:t>5</w:t>
      </w:r>
      <w:bookmarkStart w:id="244" w:name="_Toc337558761"/>
      <w:r>
        <w:rPr>
          <w:rFonts w:hint="eastAsia" w:ascii="宋体" w:hAnsi="宋体" w:eastAsia="宋体" w:cs="宋体"/>
          <w:b w:val="0"/>
          <w:color w:val="auto"/>
          <w:sz w:val="24"/>
          <w:szCs w:val="24"/>
          <w:highlight w:val="none"/>
        </w:rPr>
        <w:t>.3 隐蔽工程检查</w:t>
      </w:r>
      <w:bookmarkEnd w:id="243"/>
    </w:p>
    <w:bookmarkEnd w:id="244"/>
    <w:p w14:paraId="413645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5.3.1承包人自检</w:t>
      </w:r>
    </w:p>
    <w:p w14:paraId="622DC9A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承包人应当对工程隐蔽部位进行自检，并经自检确认是否具备覆盖条件。</w:t>
      </w:r>
    </w:p>
    <w:p w14:paraId="7050DC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5.3.2检查程序</w:t>
      </w:r>
    </w:p>
    <w:p w14:paraId="133ABC0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0793D2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AB796B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B575AB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5.3.3 重新检查</w:t>
      </w:r>
    </w:p>
    <w:p w14:paraId="68C63B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DC1106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5.3.4 承包人私自覆盖</w:t>
      </w:r>
    </w:p>
    <w:p w14:paraId="0F62C607">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E5A71C9">
      <w:pPr>
        <w:pStyle w:val="6"/>
        <w:spacing w:before="120" w:after="120" w:line="312" w:lineRule="auto"/>
        <w:ind w:firstLine="480" w:firstLineChars="200"/>
        <w:rPr>
          <w:rFonts w:ascii="宋体" w:hAnsi="宋体" w:eastAsia="宋体" w:cs="宋体"/>
          <w:b w:val="0"/>
          <w:color w:val="auto"/>
          <w:sz w:val="24"/>
          <w:szCs w:val="24"/>
          <w:highlight w:val="none"/>
        </w:rPr>
      </w:pPr>
      <w:bookmarkStart w:id="245" w:name="_Toc351203536"/>
      <w:r>
        <w:rPr>
          <w:rFonts w:hint="eastAsia" w:ascii="宋体" w:hAnsi="宋体" w:eastAsia="宋体" w:cs="宋体"/>
          <w:b w:val="0"/>
          <w:color w:val="auto"/>
          <w:sz w:val="24"/>
          <w:szCs w:val="24"/>
          <w:highlight w:val="none"/>
        </w:rPr>
        <w:t>5</w:t>
      </w:r>
      <w:bookmarkStart w:id="246" w:name="_Toc337558762"/>
      <w:r>
        <w:rPr>
          <w:rFonts w:hint="eastAsia" w:ascii="宋体" w:hAnsi="宋体" w:eastAsia="宋体" w:cs="宋体"/>
          <w:b w:val="0"/>
          <w:color w:val="auto"/>
          <w:sz w:val="24"/>
          <w:szCs w:val="24"/>
          <w:highlight w:val="none"/>
        </w:rPr>
        <w:t>.4不合格工程的处理</w:t>
      </w:r>
      <w:bookmarkEnd w:id="245"/>
    </w:p>
    <w:bookmarkEnd w:id="246"/>
    <w:p w14:paraId="10713FE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4E7AAD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5.4.2 因发包人原因造成工程不合格的，由此增加的费用和（或）延误的工期由发包人承担，并支付承包人合理的利润。</w:t>
      </w:r>
    </w:p>
    <w:p w14:paraId="2E36E0D1">
      <w:pPr>
        <w:pStyle w:val="6"/>
        <w:spacing w:before="120" w:after="120" w:line="312" w:lineRule="auto"/>
        <w:ind w:firstLine="480" w:firstLineChars="200"/>
        <w:rPr>
          <w:rFonts w:ascii="宋体" w:hAnsi="宋体" w:eastAsia="宋体" w:cs="宋体"/>
          <w:b w:val="0"/>
          <w:color w:val="auto"/>
          <w:sz w:val="24"/>
          <w:szCs w:val="24"/>
          <w:highlight w:val="none"/>
        </w:rPr>
      </w:pPr>
      <w:bookmarkStart w:id="247" w:name="_Toc351203537"/>
      <w:r>
        <w:rPr>
          <w:rFonts w:hint="eastAsia" w:ascii="宋体" w:hAnsi="宋体" w:eastAsia="宋体" w:cs="宋体"/>
          <w:b w:val="0"/>
          <w:color w:val="auto"/>
          <w:sz w:val="24"/>
          <w:szCs w:val="24"/>
          <w:highlight w:val="none"/>
        </w:rPr>
        <w:t>5.5 质量争议检测</w:t>
      </w:r>
      <w:bookmarkEnd w:id="247"/>
    </w:p>
    <w:p w14:paraId="6BB97FE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合同当事人对工程质量有争议的，由双方协商确定的工程质量检测机构鉴定，由此产生的费用及因此造成的损失，由责任方承担。</w:t>
      </w:r>
    </w:p>
    <w:p w14:paraId="5AC7796D">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合同当事人均有责任的，由双方根据其责任分别承担。合同当事人无法达成一致的，按照第4.4款〔商定或确定〕执行。</w:t>
      </w:r>
    </w:p>
    <w:p w14:paraId="5FC304CC">
      <w:pPr>
        <w:pStyle w:val="5"/>
        <w:spacing w:before="120" w:after="120" w:line="312" w:lineRule="auto"/>
        <w:rPr>
          <w:rFonts w:ascii="宋体" w:hAnsi="宋体" w:eastAsia="宋体" w:cs="宋体"/>
          <w:b w:val="0"/>
          <w:color w:val="auto"/>
          <w:sz w:val="24"/>
          <w:szCs w:val="24"/>
          <w:highlight w:val="none"/>
        </w:rPr>
      </w:pPr>
      <w:bookmarkStart w:id="248" w:name="_Toc351203538"/>
      <w:r>
        <w:rPr>
          <w:rFonts w:hint="eastAsia" w:ascii="宋体" w:hAnsi="宋体" w:eastAsia="宋体" w:cs="宋体"/>
          <w:b w:val="0"/>
          <w:color w:val="auto"/>
          <w:sz w:val="24"/>
          <w:szCs w:val="24"/>
          <w:highlight w:val="none"/>
        </w:rPr>
        <w:t>6</w:t>
      </w:r>
      <w:bookmarkStart w:id="249" w:name="_Toc337558763"/>
      <w:r>
        <w:rPr>
          <w:rFonts w:hint="eastAsia" w:ascii="宋体" w:hAnsi="宋体" w:eastAsia="宋体" w:cs="宋体"/>
          <w:b w:val="0"/>
          <w:color w:val="auto"/>
          <w:sz w:val="24"/>
          <w:szCs w:val="24"/>
          <w:highlight w:val="none"/>
        </w:rPr>
        <w:t>. 安全文明施工与环境保护</w:t>
      </w:r>
      <w:bookmarkEnd w:id="248"/>
    </w:p>
    <w:bookmarkEnd w:id="249"/>
    <w:p w14:paraId="3C71F234">
      <w:pPr>
        <w:pStyle w:val="6"/>
        <w:spacing w:before="120" w:after="120" w:line="312" w:lineRule="auto"/>
        <w:ind w:firstLine="480" w:firstLineChars="200"/>
        <w:rPr>
          <w:rFonts w:ascii="宋体" w:hAnsi="宋体" w:eastAsia="宋体" w:cs="宋体"/>
          <w:b w:val="0"/>
          <w:color w:val="auto"/>
          <w:sz w:val="24"/>
          <w:szCs w:val="24"/>
          <w:highlight w:val="none"/>
        </w:rPr>
      </w:pPr>
      <w:bookmarkStart w:id="250" w:name="_Toc351203539"/>
      <w:r>
        <w:rPr>
          <w:rFonts w:hint="eastAsia" w:ascii="宋体" w:hAnsi="宋体" w:eastAsia="宋体" w:cs="宋体"/>
          <w:b w:val="0"/>
          <w:color w:val="auto"/>
          <w:sz w:val="24"/>
          <w:szCs w:val="24"/>
          <w:highlight w:val="none"/>
        </w:rPr>
        <w:t>6</w:t>
      </w:r>
      <w:bookmarkStart w:id="251" w:name="_Toc337558764"/>
      <w:r>
        <w:rPr>
          <w:rFonts w:hint="eastAsia" w:ascii="宋体" w:hAnsi="宋体" w:eastAsia="宋体" w:cs="宋体"/>
          <w:b w:val="0"/>
          <w:color w:val="auto"/>
          <w:sz w:val="24"/>
          <w:szCs w:val="24"/>
          <w:highlight w:val="none"/>
        </w:rPr>
        <w:t>.1安全文明施工</w:t>
      </w:r>
      <w:bookmarkEnd w:id="250"/>
    </w:p>
    <w:bookmarkEnd w:id="251"/>
    <w:p w14:paraId="19B0B6B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6.1.1安全生产要求</w:t>
      </w:r>
    </w:p>
    <w:p w14:paraId="74AB88A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AD4E69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highlight w:val="none"/>
        </w:rPr>
        <w:t>政府有关行政管理部门</w:t>
      </w:r>
      <w:r>
        <w:rPr>
          <w:rFonts w:hint="eastAsia" w:ascii="宋体" w:hAnsi="宋体" w:eastAsia="宋体" w:cs="宋体"/>
          <w:color w:val="auto"/>
          <w:sz w:val="24"/>
          <w:highlight w:val="none"/>
        </w:rPr>
        <w:t>采取应急措施。</w:t>
      </w:r>
    </w:p>
    <w:p w14:paraId="5FD5470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因安全生产需要暂停施工的，按照第7.8款〔暂停施工〕的约定执行。</w:t>
      </w:r>
    </w:p>
    <w:p w14:paraId="0D8AB38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6.1.2 安全生产保证措施</w:t>
      </w:r>
    </w:p>
    <w:p w14:paraId="7C72571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承包人应当按照有关</w:t>
      </w:r>
      <w:r>
        <w:rPr>
          <w:rFonts w:hint="eastAsia" w:ascii="宋体" w:hAnsi="宋体" w:eastAsia="宋体" w:cs="宋体"/>
          <w:color w:val="auto"/>
          <w:kern w:val="0"/>
          <w:sz w:val="24"/>
          <w:highlight w:val="none"/>
        </w:rPr>
        <w:t>规定编制安全技术措施或者专项施工方案，</w:t>
      </w:r>
      <w:r>
        <w:rPr>
          <w:rFonts w:hint="eastAsia" w:ascii="宋体" w:hAnsi="宋体" w:eastAsia="宋体" w:cs="宋体"/>
          <w:color w:val="auto"/>
          <w:sz w:val="24"/>
          <w:highlight w:val="none"/>
        </w:rPr>
        <w:t>建立安全生产责任制度、治安保卫制度及安全生产教育培训制度，并</w:t>
      </w:r>
      <w:r>
        <w:rPr>
          <w:rFonts w:hint="eastAsia" w:ascii="宋体" w:hAnsi="宋体" w:eastAsia="宋体" w:cs="宋体"/>
          <w:color w:val="auto"/>
          <w:kern w:val="0"/>
          <w:sz w:val="24"/>
          <w:highlight w:val="none"/>
        </w:rPr>
        <w:t>按安全生产法律规定及合同约定履行安全职责，如实</w:t>
      </w:r>
      <w:r>
        <w:rPr>
          <w:rFonts w:hint="eastAsia" w:ascii="宋体" w:hAnsi="宋体" w:eastAsia="宋体" w:cs="宋体"/>
          <w:color w:val="auto"/>
          <w:sz w:val="24"/>
          <w:highlight w:val="none"/>
        </w:rPr>
        <w:t>编制工程安全生产的有关记录，</w:t>
      </w:r>
      <w:r>
        <w:rPr>
          <w:rFonts w:hint="eastAsia" w:ascii="宋体" w:hAnsi="宋体" w:eastAsia="宋体" w:cs="宋体"/>
          <w:color w:val="auto"/>
          <w:kern w:val="0"/>
          <w:sz w:val="24"/>
          <w:highlight w:val="none"/>
        </w:rPr>
        <w:t>接受发包人、监理人及政府安全监督部门的检查与监督。</w:t>
      </w:r>
    </w:p>
    <w:p w14:paraId="0E30D11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6.1.3特别安全生产事项</w:t>
      </w:r>
    </w:p>
    <w:p w14:paraId="7C4751F3">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DC73BF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AA25A9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E8BEDC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46A9668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6.1.4 治安保卫</w:t>
      </w:r>
    </w:p>
    <w:p w14:paraId="284A2A0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73C1495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发包人和承包人除应协助现场治安管理机构或联防组织维护施工场地的社会治安外，还应做好包括生活区在内的各自管辖区的治安保卫工作。</w:t>
      </w:r>
    </w:p>
    <w:p w14:paraId="42F3912F">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4599B34">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6.1.5 文明施工</w:t>
      </w:r>
    </w:p>
    <w:p w14:paraId="2709425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175FC9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FAC30B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6.1.6 安全文明施工费</w:t>
      </w:r>
    </w:p>
    <w:p w14:paraId="149FD3A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43CBFCF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F736F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01E4DC5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92C712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6.1.7 紧急情况处理</w:t>
      </w:r>
    </w:p>
    <w:p w14:paraId="4DE4D10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70EB7C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6.1.8 事故处理</w:t>
      </w:r>
    </w:p>
    <w:p w14:paraId="5DB54C5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81AAC9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 安全生产责任</w:t>
      </w:r>
    </w:p>
    <w:p w14:paraId="404087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6.1.9.1 发包人的安全责任</w:t>
      </w:r>
    </w:p>
    <w:p w14:paraId="73486F7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发包人应负责赔偿以下各种情况造成的损失：</w:t>
      </w:r>
    </w:p>
    <w:p w14:paraId="7AAB48B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（1）工程或工程的任何部分对土地的占用所造成的第三者财产损失；</w:t>
      </w:r>
    </w:p>
    <w:p w14:paraId="45804E7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（2）由于发包人原因在施工场地及其毗邻地带造成的第三者人身伤亡和财产损失；</w:t>
      </w:r>
    </w:p>
    <w:p w14:paraId="76384AF3">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（3）由于发包人原因对承包人、监理人造成的人员人身伤亡和财产损失；</w:t>
      </w:r>
    </w:p>
    <w:p w14:paraId="147478F3">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（4）由于发包人原因造成的发包人自身人员的人身伤害以及财产损失。</w:t>
      </w:r>
    </w:p>
    <w:p w14:paraId="4DB795F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6.1.9.2 承包人的安全责任</w:t>
      </w:r>
    </w:p>
    <w:p w14:paraId="635584C3">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由于承包人原因在施工场地内及其毗邻地带造成的发包人、监理人以及第三者人员伤亡和财产损失，由承包人负责赔偿。</w:t>
      </w:r>
    </w:p>
    <w:p w14:paraId="4B8A0F2A">
      <w:pPr>
        <w:pStyle w:val="6"/>
        <w:spacing w:before="120" w:after="120" w:line="312" w:lineRule="auto"/>
        <w:ind w:firstLine="480" w:firstLineChars="200"/>
        <w:rPr>
          <w:rFonts w:ascii="宋体" w:hAnsi="宋体" w:eastAsia="宋体" w:cs="宋体"/>
          <w:b w:val="0"/>
          <w:color w:val="auto"/>
          <w:sz w:val="24"/>
          <w:szCs w:val="24"/>
          <w:highlight w:val="none"/>
        </w:rPr>
      </w:pPr>
      <w:bookmarkStart w:id="252" w:name="_Toc351203540"/>
      <w:r>
        <w:rPr>
          <w:rFonts w:hint="eastAsia" w:ascii="宋体" w:hAnsi="宋体" w:eastAsia="宋体" w:cs="宋体"/>
          <w:b w:val="0"/>
          <w:color w:val="auto"/>
          <w:sz w:val="24"/>
          <w:szCs w:val="24"/>
          <w:highlight w:val="none"/>
        </w:rPr>
        <w:t>6</w:t>
      </w:r>
      <w:bookmarkStart w:id="253" w:name="_Toc337558765"/>
      <w:r>
        <w:rPr>
          <w:rFonts w:hint="eastAsia" w:ascii="宋体" w:hAnsi="宋体" w:eastAsia="宋体" w:cs="宋体"/>
          <w:b w:val="0"/>
          <w:color w:val="auto"/>
          <w:sz w:val="24"/>
          <w:szCs w:val="24"/>
          <w:highlight w:val="none"/>
        </w:rPr>
        <w:t>.2 职业健康</w:t>
      </w:r>
      <w:bookmarkEnd w:id="252"/>
    </w:p>
    <w:bookmarkEnd w:id="253"/>
    <w:p w14:paraId="7D6672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6.2.1 劳动保护</w:t>
      </w:r>
    </w:p>
    <w:p w14:paraId="4CFA91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B3766A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95B8C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7402EE8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6.2.2 生活条件</w:t>
      </w:r>
    </w:p>
    <w:p w14:paraId="1F3A675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ED9E1DD">
      <w:pPr>
        <w:pStyle w:val="6"/>
        <w:spacing w:before="120" w:after="120" w:line="312" w:lineRule="auto"/>
        <w:ind w:firstLine="480" w:firstLineChars="200"/>
        <w:rPr>
          <w:rFonts w:ascii="宋体" w:hAnsi="宋体" w:eastAsia="宋体" w:cs="宋体"/>
          <w:b w:val="0"/>
          <w:color w:val="auto"/>
          <w:sz w:val="24"/>
          <w:szCs w:val="24"/>
          <w:highlight w:val="none"/>
        </w:rPr>
      </w:pPr>
      <w:bookmarkStart w:id="254" w:name="_Toc351203541"/>
      <w:r>
        <w:rPr>
          <w:rFonts w:hint="eastAsia" w:ascii="宋体" w:hAnsi="宋体" w:eastAsia="宋体" w:cs="宋体"/>
          <w:b w:val="0"/>
          <w:color w:val="auto"/>
          <w:sz w:val="24"/>
          <w:szCs w:val="24"/>
          <w:highlight w:val="none"/>
        </w:rPr>
        <w:t>6</w:t>
      </w:r>
      <w:bookmarkStart w:id="255" w:name="_Toc337558766"/>
      <w:r>
        <w:rPr>
          <w:rFonts w:hint="eastAsia" w:ascii="宋体" w:hAnsi="宋体" w:eastAsia="宋体" w:cs="宋体"/>
          <w:b w:val="0"/>
          <w:color w:val="auto"/>
          <w:sz w:val="24"/>
          <w:szCs w:val="24"/>
          <w:highlight w:val="none"/>
        </w:rPr>
        <w:t>.3 环境保护</w:t>
      </w:r>
      <w:bookmarkEnd w:id="254"/>
    </w:p>
    <w:bookmarkEnd w:id="255"/>
    <w:p w14:paraId="54F645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FC960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78D976A1">
      <w:pPr>
        <w:pStyle w:val="5"/>
        <w:spacing w:before="120" w:after="120" w:line="312" w:lineRule="auto"/>
        <w:rPr>
          <w:rFonts w:ascii="宋体" w:hAnsi="宋体" w:eastAsia="宋体" w:cs="宋体"/>
          <w:b w:val="0"/>
          <w:color w:val="auto"/>
          <w:sz w:val="24"/>
          <w:szCs w:val="24"/>
          <w:highlight w:val="none"/>
        </w:rPr>
      </w:pPr>
      <w:bookmarkStart w:id="256" w:name="_Toc351203542"/>
      <w:r>
        <w:rPr>
          <w:rFonts w:hint="eastAsia" w:ascii="宋体" w:hAnsi="宋体" w:eastAsia="宋体" w:cs="宋体"/>
          <w:b w:val="0"/>
          <w:color w:val="auto"/>
          <w:sz w:val="24"/>
          <w:szCs w:val="24"/>
          <w:highlight w:val="none"/>
        </w:rPr>
        <w:t>7</w:t>
      </w:r>
      <w:bookmarkStart w:id="257" w:name="_Toc337558767"/>
      <w:r>
        <w:rPr>
          <w:rFonts w:hint="eastAsia" w:ascii="宋体" w:hAnsi="宋体" w:eastAsia="宋体" w:cs="宋体"/>
          <w:b w:val="0"/>
          <w:color w:val="auto"/>
          <w:sz w:val="24"/>
          <w:szCs w:val="24"/>
          <w:highlight w:val="none"/>
        </w:rPr>
        <w:t>. 工期和进度</w:t>
      </w:r>
      <w:bookmarkEnd w:id="256"/>
    </w:p>
    <w:bookmarkEnd w:id="257"/>
    <w:p w14:paraId="6610A427">
      <w:pPr>
        <w:pStyle w:val="6"/>
        <w:spacing w:before="120" w:after="120" w:line="312" w:lineRule="auto"/>
        <w:ind w:firstLine="480" w:firstLineChars="200"/>
        <w:rPr>
          <w:rFonts w:ascii="宋体" w:hAnsi="宋体" w:eastAsia="宋体" w:cs="宋体"/>
          <w:b w:val="0"/>
          <w:color w:val="auto"/>
          <w:sz w:val="24"/>
          <w:szCs w:val="24"/>
          <w:highlight w:val="none"/>
        </w:rPr>
      </w:pPr>
      <w:bookmarkStart w:id="258" w:name="_Toc351203543"/>
      <w:r>
        <w:rPr>
          <w:rFonts w:hint="eastAsia" w:ascii="宋体" w:hAnsi="宋体" w:eastAsia="宋体" w:cs="宋体"/>
          <w:b w:val="0"/>
          <w:color w:val="auto"/>
          <w:sz w:val="24"/>
          <w:szCs w:val="24"/>
          <w:highlight w:val="none"/>
        </w:rPr>
        <w:t>7</w:t>
      </w:r>
      <w:bookmarkStart w:id="259" w:name="_Toc337558768"/>
      <w:bookmarkStart w:id="260" w:name="_Toc296503066"/>
      <w:bookmarkStart w:id="261" w:name="_Toc296346567"/>
      <w:r>
        <w:rPr>
          <w:rFonts w:hint="eastAsia" w:ascii="宋体" w:hAnsi="宋体" w:eastAsia="宋体" w:cs="宋体"/>
          <w:b w:val="0"/>
          <w:color w:val="auto"/>
          <w:sz w:val="24"/>
          <w:szCs w:val="24"/>
          <w:highlight w:val="none"/>
        </w:rPr>
        <w:t>.1施工组织设计</w:t>
      </w:r>
      <w:bookmarkEnd w:id="258"/>
    </w:p>
    <w:bookmarkEnd w:id="259"/>
    <w:p w14:paraId="0B8B14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7.1.1 </w:t>
      </w:r>
      <w:r>
        <w:rPr>
          <w:rFonts w:hint="eastAsia" w:ascii="宋体" w:hAnsi="宋体" w:eastAsia="宋体" w:cs="宋体"/>
          <w:color w:val="auto"/>
          <w:kern w:val="0"/>
          <w:sz w:val="24"/>
          <w:highlight w:val="none"/>
        </w:rPr>
        <w:t>施工组织设计的内容</w:t>
      </w:r>
    </w:p>
    <w:p w14:paraId="311819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施工组织设计应包含以下内容：</w:t>
      </w:r>
    </w:p>
    <w:p w14:paraId="3AD4050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（1）施工方案； </w:t>
      </w:r>
    </w:p>
    <w:p w14:paraId="4389725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（2）施工现场平面布置图；</w:t>
      </w:r>
    </w:p>
    <w:p w14:paraId="451171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（3）施工进度计划和保证措施； </w:t>
      </w:r>
    </w:p>
    <w:p w14:paraId="68991D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（4）劳动力及材料供应计划；</w:t>
      </w:r>
    </w:p>
    <w:p w14:paraId="4777F15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（5）施工机械设备的选用；</w:t>
      </w:r>
    </w:p>
    <w:p w14:paraId="117D7D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（6）质量保证体系及措施；</w:t>
      </w:r>
    </w:p>
    <w:p w14:paraId="1C2E987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（7）安全生产、文明施工措施；</w:t>
      </w:r>
    </w:p>
    <w:p w14:paraId="338B38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（8）环境保护、成本控制措施；</w:t>
      </w:r>
    </w:p>
    <w:p w14:paraId="54B252E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（9）合同当事人约定的其他内容。</w:t>
      </w:r>
    </w:p>
    <w:p w14:paraId="0A5D81B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7.1.2 </w:t>
      </w:r>
      <w:r>
        <w:rPr>
          <w:rFonts w:hint="eastAsia" w:ascii="宋体" w:hAnsi="宋体" w:eastAsia="宋体" w:cs="宋体"/>
          <w:color w:val="auto"/>
          <w:kern w:val="0"/>
          <w:sz w:val="24"/>
          <w:highlight w:val="none"/>
        </w:rPr>
        <w:t>施工组织设计的提交和修改</w:t>
      </w:r>
    </w:p>
    <w:p w14:paraId="31CFE2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3A8A1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施工进度计划的编制和修改按照第7.2款〔施工进度计划〕执行。</w:t>
      </w:r>
    </w:p>
    <w:p w14:paraId="54CE748D">
      <w:pPr>
        <w:pStyle w:val="6"/>
        <w:spacing w:before="120" w:after="120" w:line="312" w:lineRule="auto"/>
        <w:ind w:firstLine="480" w:firstLineChars="200"/>
        <w:rPr>
          <w:rFonts w:ascii="宋体" w:hAnsi="宋体" w:eastAsia="宋体" w:cs="宋体"/>
          <w:b w:val="0"/>
          <w:color w:val="auto"/>
          <w:sz w:val="24"/>
          <w:szCs w:val="24"/>
          <w:highlight w:val="none"/>
        </w:rPr>
      </w:pPr>
      <w:bookmarkStart w:id="262" w:name="_Toc351203544"/>
      <w:r>
        <w:rPr>
          <w:rFonts w:hint="eastAsia" w:ascii="宋体" w:hAnsi="宋体" w:eastAsia="宋体" w:cs="宋体"/>
          <w:b w:val="0"/>
          <w:color w:val="auto"/>
          <w:sz w:val="24"/>
          <w:szCs w:val="24"/>
          <w:highlight w:val="none"/>
        </w:rPr>
        <w:t>7</w:t>
      </w:r>
      <w:bookmarkStart w:id="263" w:name="_Toc337558769"/>
      <w:r>
        <w:rPr>
          <w:rFonts w:hint="eastAsia" w:ascii="宋体" w:hAnsi="宋体" w:eastAsia="宋体" w:cs="宋体"/>
          <w:b w:val="0"/>
          <w:color w:val="auto"/>
          <w:sz w:val="24"/>
          <w:szCs w:val="24"/>
          <w:highlight w:val="none"/>
        </w:rPr>
        <w:t>.2 施工进度计划</w:t>
      </w:r>
      <w:bookmarkEnd w:id="262"/>
    </w:p>
    <w:bookmarkEnd w:id="263"/>
    <w:p w14:paraId="74AF973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7.2.1 施工进度计划的编制</w:t>
      </w:r>
    </w:p>
    <w:p w14:paraId="659311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46FFC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7.2.2 施工进度计划的修订</w:t>
      </w:r>
    </w:p>
    <w:p w14:paraId="15B4AB6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C0E6C79">
      <w:pPr>
        <w:pStyle w:val="6"/>
        <w:spacing w:before="120" w:after="120" w:line="312" w:lineRule="auto"/>
        <w:ind w:firstLine="480" w:firstLineChars="200"/>
        <w:rPr>
          <w:rFonts w:ascii="宋体" w:hAnsi="宋体" w:eastAsia="宋体" w:cs="宋体"/>
          <w:b w:val="0"/>
          <w:color w:val="auto"/>
          <w:sz w:val="24"/>
          <w:szCs w:val="24"/>
          <w:highlight w:val="none"/>
        </w:rPr>
      </w:pPr>
      <w:bookmarkStart w:id="264" w:name="_Toc351203545"/>
      <w:r>
        <w:rPr>
          <w:rFonts w:hint="eastAsia" w:ascii="宋体" w:hAnsi="宋体" w:eastAsia="宋体" w:cs="宋体"/>
          <w:b w:val="0"/>
          <w:color w:val="auto"/>
          <w:sz w:val="24"/>
          <w:szCs w:val="24"/>
          <w:highlight w:val="none"/>
        </w:rPr>
        <w:t>7</w:t>
      </w:r>
      <w:bookmarkStart w:id="265" w:name="_Toc337558770"/>
      <w:r>
        <w:rPr>
          <w:rFonts w:hint="eastAsia" w:ascii="宋体" w:hAnsi="宋体" w:eastAsia="宋体" w:cs="宋体"/>
          <w:b w:val="0"/>
          <w:color w:val="auto"/>
          <w:sz w:val="24"/>
          <w:szCs w:val="24"/>
          <w:highlight w:val="none"/>
        </w:rPr>
        <w:t>.3 开工</w:t>
      </w:r>
      <w:bookmarkEnd w:id="264"/>
    </w:p>
    <w:p w14:paraId="4EB36C8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7.3.1 开工准备</w:t>
      </w:r>
    </w:p>
    <w:p w14:paraId="2BDD12E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69C859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除专用合同条款另有约定外，合同当事人应按约定完成开工准备工作。</w:t>
      </w:r>
    </w:p>
    <w:p w14:paraId="0586056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7.3.2 开工通知</w:t>
      </w:r>
    </w:p>
    <w:bookmarkEnd w:id="265"/>
    <w:p w14:paraId="2B9549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357953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4F9B4732">
      <w:pPr>
        <w:pStyle w:val="6"/>
        <w:spacing w:before="120" w:after="120" w:line="312" w:lineRule="auto"/>
        <w:ind w:firstLine="480" w:firstLineChars="200"/>
        <w:rPr>
          <w:rFonts w:ascii="宋体" w:hAnsi="宋体" w:eastAsia="宋体" w:cs="宋体"/>
          <w:b w:val="0"/>
          <w:color w:val="auto"/>
          <w:sz w:val="24"/>
          <w:szCs w:val="24"/>
          <w:highlight w:val="none"/>
        </w:rPr>
      </w:pPr>
      <w:bookmarkStart w:id="266" w:name="_Toc351203546"/>
      <w:r>
        <w:rPr>
          <w:rFonts w:hint="eastAsia" w:ascii="宋体" w:hAnsi="宋体" w:eastAsia="宋体" w:cs="宋体"/>
          <w:b w:val="0"/>
          <w:color w:val="auto"/>
          <w:sz w:val="24"/>
          <w:szCs w:val="24"/>
          <w:highlight w:val="none"/>
        </w:rPr>
        <w:t>7.4测量放线</w:t>
      </w:r>
      <w:bookmarkEnd w:id="266"/>
    </w:p>
    <w:p w14:paraId="3C52ED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121590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D60BC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1C5A5A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施工过程中对施工现场内水准点等测量标志物的保护工作由承包人负责。</w:t>
      </w:r>
      <w:bookmarkStart w:id="267" w:name="_Toc351203547"/>
    </w:p>
    <w:p w14:paraId="4B265F0A">
      <w:pPr>
        <w:pStyle w:val="6"/>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260"/>
      <w:bookmarkEnd w:id="261"/>
      <w:bookmarkStart w:id="268" w:name="_Toc296346574"/>
      <w:bookmarkStart w:id="269" w:name="_Toc296503073"/>
      <w:bookmarkStart w:id="270" w:name="_Toc337558772"/>
      <w:r>
        <w:rPr>
          <w:rFonts w:hint="eastAsia" w:ascii="宋体" w:hAnsi="宋体" w:eastAsia="宋体" w:cs="宋体"/>
          <w:b w:val="0"/>
          <w:color w:val="auto"/>
          <w:sz w:val="24"/>
          <w:szCs w:val="24"/>
          <w:highlight w:val="none"/>
        </w:rPr>
        <w:t>.5 工期延误</w:t>
      </w:r>
      <w:bookmarkEnd w:id="267"/>
    </w:p>
    <w:bookmarkEnd w:id="268"/>
    <w:bookmarkEnd w:id="269"/>
    <w:bookmarkEnd w:id="270"/>
    <w:p w14:paraId="31C5E32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7.5.1 因发包人原因导致工期延误</w:t>
      </w:r>
    </w:p>
    <w:p w14:paraId="4F38D9A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78A5B8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（1）发包人未能按合同约定提供图纸或所提供图纸不符合合同约定的；</w:t>
      </w:r>
    </w:p>
    <w:p w14:paraId="34700B3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（2）发包人未能按合同约定提供施工现场、施工条件、基础资料、许可、批准等开工条件的；</w:t>
      </w:r>
    </w:p>
    <w:p w14:paraId="671D57E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（3）发包人提供的测量基准点、基准线和水准点及其书面资料存在错误或疏漏的；</w:t>
      </w:r>
    </w:p>
    <w:p w14:paraId="485E361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（4）发包人未能在计划开工日期之日起7天内同意下达开工通知的；</w:t>
      </w:r>
    </w:p>
    <w:p w14:paraId="638648D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（5）发包人未能按合同约定日期支付工程预付款、进度款或竣工结算款的；</w:t>
      </w:r>
    </w:p>
    <w:p w14:paraId="1B665C8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（6）监理人未按合同约定发出指示、批准等文件的；</w:t>
      </w:r>
    </w:p>
    <w:p w14:paraId="556DFA9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（7）专用合同条款中约定的其他情形。</w:t>
      </w:r>
    </w:p>
    <w:p w14:paraId="509752B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ADC2230">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7.5.2 因承包人原因导致工期延误</w:t>
      </w:r>
    </w:p>
    <w:p w14:paraId="29CDBA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bookmarkStart w:id="271" w:name="_Toc296346577"/>
      <w:bookmarkStart w:id="272" w:name="_Toc296503076"/>
      <w:r>
        <w:rPr>
          <w:rFonts w:hint="eastAsia" w:ascii="宋体" w:hAnsi="宋体" w:eastAsia="宋体" w:cs="宋体"/>
          <w:color w:val="auto"/>
          <w:kern w:val="0"/>
          <w:sz w:val="24"/>
          <w:highlight w:val="none"/>
        </w:rPr>
        <w:t>因</w:t>
      </w:r>
      <w:bookmarkEnd w:id="271"/>
      <w:bookmarkEnd w:id="272"/>
      <w:r>
        <w:rPr>
          <w:rFonts w:hint="eastAsia" w:ascii="宋体" w:hAnsi="宋体" w:eastAsia="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457A10FC">
      <w:pPr>
        <w:pStyle w:val="6"/>
        <w:spacing w:before="120" w:after="120" w:line="312" w:lineRule="auto"/>
        <w:ind w:firstLine="480" w:firstLineChars="200"/>
        <w:rPr>
          <w:rFonts w:ascii="宋体" w:hAnsi="宋体" w:eastAsia="宋体" w:cs="宋体"/>
          <w:b w:val="0"/>
          <w:color w:val="auto"/>
          <w:sz w:val="24"/>
          <w:szCs w:val="24"/>
          <w:highlight w:val="none"/>
        </w:rPr>
      </w:pPr>
      <w:bookmarkStart w:id="273" w:name="_Toc351203548"/>
      <w:r>
        <w:rPr>
          <w:rFonts w:hint="eastAsia" w:ascii="宋体" w:hAnsi="宋体" w:eastAsia="宋体" w:cs="宋体"/>
          <w:b w:val="0"/>
          <w:color w:val="auto"/>
          <w:sz w:val="24"/>
          <w:szCs w:val="24"/>
          <w:highlight w:val="none"/>
        </w:rPr>
        <w:t>7</w:t>
      </w:r>
      <w:bookmarkStart w:id="274" w:name="_Toc296503074"/>
      <w:bookmarkStart w:id="275" w:name="_Toc296346575"/>
      <w:bookmarkStart w:id="276" w:name="_Toc337558773"/>
      <w:bookmarkStart w:id="277" w:name="_Toc296346578"/>
      <w:bookmarkStart w:id="278" w:name="_Toc296503077"/>
      <w:r>
        <w:rPr>
          <w:rFonts w:hint="eastAsia" w:ascii="宋体" w:hAnsi="宋体" w:eastAsia="宋体" w:cs="宋体"/>
          <w:b w:val="0"/>
          <w:color w:val="auto"/>
          <w:sz w:val="24"/>
          <w:szCs w:val="24"/>
          <w:highlight w:val="none"/>
        </w:rPr>
        <w:t>.6 不利物质条件</w:t>
      </w:r>
      <w:bookmarkEnd w:id="273"/>
    </w:p>
    <w:bookmarkEnd w:id="274"/>
    <w:bookmarkEnd w:id="275"/>
    <w:bookmarkEnd w:id="276"/>
    <w:p w14:paraId="373147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3FB5E9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6781F84">
      <w:pPr>
        <w:pStyle w:val="6"/>
        <w:spacing w:before="120" w:after="120" w:line="312" w:lineRule="auto"/>
        <w:ind w:firstLine="480" w:firstLineChars="200"/>
        <w:rPr>
          <w:rFonts w:ascii="宋体" w:hAnsi="宋体" w:eastAsia="宋体" w:cs="宋体"/>
          <w:b w:val="0"/>
          <w:color w:val="auto"/>
          <w:sz w:val="24"/>
          <w:szCs w:val="24"/>
          <w:highlight w:val="none"/>
        </w:rPr>
      </w:pPr>
      <w:bookmarkStart w:id="279" w:name="_Toc351203549"/>
      <w:r>
        <w:rPr>
          <w:rFonts w:hint="eastAsia" w:ascii="宋体" w:hAnsi="宋体" w:eastAsia="宋体" w:cs="宋体"/>
          <w:b w:val="0"/>
          <w:color w:val="auto"/>
          <w:sz w:val="24"/>
          <w:szCs w:val="24"/>
          <w:highlight w:val="none"/>
        </w:rPr>
        <w:t>7</w:t>
      </w:r>
      <w:bookmarkStart w:id="280" w:name="_Toc337558774"/>
      <w:bookmarkStart w:id="281" w:name="_Toc296503075"/>
      <w:bookmarkStart w:id="282" w:name="_Toc296346576"/>
      <w:r>
        <w:rPr>
          <w:rFonts w:hint="eastAsia" w:ascii="宋体" w:hAnsi="宋体" w:eastAsia="宋体" w:cs="宋体"/>
          <w:b w:val="0"/>
          <w:color w:val="auto"/>
          <w:sz w:val="24"/>
          <w:szCs w:val="24"/>
          <w:highlight w:val="none"/>
        </w:rPr>
        <w:t>.7 异常恶劣的气候条件</w:t>
      </w:r>
      <w:bookmarkEnd w:id="279"/>
    </w:p>
    <w:bookmarkEnd w:id="280"/>
    <w:bookmarkEnd w:id="281"/>
    <w:bookmarkEnd w:id="282"/>
    <w:p w14:paraId="2BDD03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CFA8F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191163EE">
      <w:pPr>
        <w:autoSpaceDE w:val="0"/>
        <w:autoSpaceDN w:val="0"/>
        <w:adjustRightInd w:val="0"/>
        <w:spacing w:line="312" w:lineRule="auto"/>
        <w:ind w:firstLine="480" w:firstLineChars="20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7</w:t>
      </w:r>
      <w:bookmarkStart w:id="284" w:name="_Toc337558775"/>
      <w:r>
        <w:rPr>
          <w:rFonts w:hint="eastAsia" w:ascii="宋体" w:hAnsi="宋体" w:eastAsia="宋体" w:cs="宋体"/>
          <w:bCs/>
          <w:color w:val="auto"/>
          <w:sz w:val="24"/>
          <w:highlight w:val="none"/>
        </w:rPr>
        <w:t>.8 暂停施工</w:t>
      </w:r>
      <w:bookmarkEnd w:id="283"/>
    </w:p>
    <w:bookmarkEnd w:id="277"/>
    <w:bookmarkEnd w:id="278"/>
    <w:bookmarkEnd w:id="284"/>
    <w:p w14:paraId="3A13116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7.8.1发包人原因引起的暂停施工</w:t>
      </w:r>
    </w:p>
    <w:p w14:paraId="16C3ECB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775F6B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因发包人原因引起的暂停施工，发包人应承担由此增加的费用和（或）延误的工期，并支付承包人合理的利润。</w:t>
      </w:r>
    </w:p>
    <w:p w14:paraId="0645CF1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7.8.2 承包人原因引起的暂停施工</w:t>
      </w:r>
    </w:p>
    <w:p w14:paraId="76126CC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5B1BE2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7.8.3 指示暂停施工</w:t>
      </w:r>
    </w:p>
    <w:p w14:paraId="6F4444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监理人认为有必要时，并经发包人批准后，可向承包人作出暂停施工的指示，承包人应按监理人指示暂停施工。</w:t>
      </w:r>
    </w:p>
    <w:p w14:paraId="36B0AD6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7.8.4 紧急情况下的暂停施工</w:t>
      </w:r>
    </w:p>
    <w:p w14:paraId="2D8B33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63F4D9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7.8.5 暂停施工后的复工</w:t>
      </w:r>
    </w:p>
    <w:p w14:paraId="69BCD28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EDE68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1F72704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7.8.6 暂停施工持续56天以上</w:t>
      </w:r>
    </w:p>
    <w:p w14:paraId="7DD73A43">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73A97FC8">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587BD4A">
      <w:pPr>
        <w:spacing w:line="312" w:lineRule="auto"/>
        <w:ind w:left="16"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7.8.7 暂停施工期间的工程照管</w:t>
      </w:r>
    </w:p>
    <w:p w14:paraId="07D6383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暂停施工期间，承包人应负责妥善照管工程并提供安全保障，由此增加的费用由责任方承担。</w:t>
      </w:r>
    </w:p>
    <w:p w14:paraId="4418E9D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7.8.8 暂停施工的措施</w:t>
      </w:r>
    </w:p>
    <w:p w14:paraId="63F24AA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暂停施工期间，发包人和承包人均应采取必要的措施确保工程质量及安全，防止因暂停施工扩大损失。</w:t>
      </w:r>
    </w:p>
    <w:p w14:paraId="36987856">
      <w:pPr>
        <w:pStyle w:val="6"/>
        <w:spacing w:before="120" w:after="120" w:line="312" w:lineRule="auto"/>
        <w:ind w:firstLine="480" w:firstLineChars="200"/>
        <w:rPr>
          <w:rFonts w:ascii="宋体" w:hAnsi="宋体" w:eastAsia="宋体" w:cs="宋体"/>
          <w:b w:val="0"/>
          <w:color w:val="auto"/>
          <w:sz w:val="24"/>
          <w:szCs w:val="24"/>
          <w:highlight w:val="none"/>
        </w:rPr>
      </w:pPr>
      <w:bookmarkStart w:id="285" w:name="_Toc351203551"/>
      <w:r>
        <w:rPr>
          <w:rFonts w:hint="eastAsia" w:ascii="宋体" w:hAnsi="宋体" w:eastAsia="宋体" w:cs="宋体"/>
          <w:b w:val="0"/>
          <w:color w:val="auto"/>
          <w:sz w:val="24"/>
          <w:szCs w:val="24"/>
          <w:highlight w:val="none"/>
        </w:rPr>
        <w:t>7.9提前竣工</w:t>
      </w:r>
      <w:bookmarkEnd w:id="285"/>
    </w:p>
    <w:p w14:paraId="4080FC9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28F3E1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34D7D65D">
      <w:pPr>
        <w:pStyle w:val="5"/>
        <w:spacing w:before="120" w:after="120" w:line="312" w:lineRule="auto"/>
        <w:rPr>
          <w:rFonts w:ascii="宋体" w:hAnsi="宋体" w:eastAsia="宋体" w:cs="宋体"/>
          <w:b w:val="0"/>
          <w:color w:val="auto"/>
          <w:sz w:val="24"/>
          <w:szCs w:val="24"/>
          <w:highlight w:val="none"/>
        </w:rPr>
      </w:pPr>
      <w:bookmarkStart w:id="286" w:name="_Toc351203552"/>
      <w:r>
        <w:rPr>
          <w:rFonts w:hint="eastAsia" w:ascii="宋体" w:hAnsi="宋体" w:eastAsia="宋体" w:cs="宋体"/>
          <w:b w:val="0"/>
          <w:color w:val="auto"/>
          <w:sz w:val="24"/>
          <w:szCs w:val="24"/>
          <w:highlight w:val="none"/>
        </w:rPr>
        <w:t>8</w:t>
      </w:r>
      <w:bookmarkStart w:id="287" w:name="_Toc296503058"/>
      <w:bookmarkStart w:id="288" w:name="_Toc296346559"/>
      <w:bookmarkStart w:id="289" w:name="_Toc337558776"/>
      <w:r>
        <w:rPr>
          <w:rFonts w:hint="eastAsia" w:ascii="宋体" w:hAnsi="宋体" w:eastAsia="宋体" w:cs="宋体"/>
          <w:b w:val="0"/>
          <w:color w:val="auto"/>
          <w:sz w:val="24"/>
          <w:szCs w:val="24"/>
          <w:highlight w:val="none"/>
        </w:rPr>
        <w:t>. 材料与设备</w:t>
      </w:r>
      <w:bookmarkEnd w:id="286"/>
    </w:p>
    <w:bookmarkEnd w:id="287"/>
    <w:bookmarkEnd w:id="288"/>
    <w:bookmarkEnd w:id="289"/>
    <w:p w14:paraId="36265E76">
      <w:pPr>
        <w:pStyle w:val="6"/>
        <w:spacing w:before="120" w:after="120" w:line="312" w:lineRule="auto"/>
        <w:ind w:firstLine="480" w:firstLineChars="200"/>
        <w:rPr>
          <w:rFonts w:ascii="宋体" w:hAnsi="宋体" w:eastAsia="宋体" w:cs="宋体"/>
          <w:b w:val="0"/>
          <w:color w:val="auto"/>
          <w:sz w:val="24"/>
          <w:szCs w:val="24"/>
          <w:highlight w:val="none"/>
        </w:rPr>
      </w:pPr>
      <w:bookmarkStart w:id="290" w:name="_Toc351203553"/>
      <w:r>
        <w:rPr>
          <w:rFonts w:hint="eastAsia" w:ascii="宋体" w:hAnsi="宋体" w:eastAsia="宋体" w:cs="宋体"/>
          <w:b w:val="0"/>
          <w:color w:val="auto"/>
          <w:sz w:val="24"/>
          <w:szCs w:val="24"/>
          <w:highlight w:val="none"/>
        </w:rPr>
        <w:t>8</w:t>
      </w:r>
      <w:bookmarkStart w:id="291" w:name="_Toc296503059"/>
      <w:bookmarkStart w:id="292" w:name="_Toc296346560"/>
      <w:bookmarkStart w:id="293" w:name="_Toc337558777"/>
      <w:bookmarkStart w:id="294" w:name="_Toc468936960"/>
      <w:r>
        <w:rPr>
          <w:rFonts w:hint="eastAsia" w:ascii="宋体" w:hAnsi="宋体" w:eastAsia="宋体" w:cs="宋体"/>
          <w:b w:val="0"/>
          <w:color w:val="auto"/>
          <w:sz w:val="24"/>
          <w:szCs w:val="24"/>
          <w:highlight w:val="none"/>
        </w:rPr>
        <w:t>.1发包人供应材料与工程设备</w:t>
      </w:r>
      <w:bookmarkEnd w:id="290"/>
    </w:p>
    <w:bookmarkEnd w:id="291"/>
    <w:bookmarkEnd w:id="292"/>
    <w:bookmarkEnd w:id="293"/>
    <w:p w14:paraId="092DAB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076F73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FA04D97">
      <w:pPr>
        <w:pStyle w:val="6"/>
        <w:spacing w:before="120" w:after="120" w:line="312" w:lineRule="auto"/>
        <w:ind w:firstLine="480" w:firstLineChars="200"/>
        <w:rPr>
          <w:rFonts w:ascii="宋体" w:hAnsi="宋体" w:eastAsia="宋体" w:cs="宋体"/>
          <w:color w:val="auto"/>
          <w:sz w:val="24"/>
          <w:szCs w:val="24"/>
          <w:highlight w:val="none"/>
        </w:rPr>
      </w:pPr>
      <w:bookmarkStart w:id="295" w:name="_Toc351203554"/>
      <w:r>
        <w:rPr>
          <w:rFonts w:hint="eastAsia" w:ascii="宋体" w:hAnsi="宋体" w:eastAsia="宋体" w:cs="宋体"/>
          <w:b w:val="0"/>
          <w:color w:val="auto"/>
          <w:sz w:val="24"/>
          <w:szCs w:val="24"/>
          <w:highlight w:val="none"/>
        </w:rPr>
        <w:t>8</w:t>
      </w:r>
      <w:bookmarkStart w:id="296" w:name="_Toc296346561"/>
      <w:bookmarkStart w:id="297" w:name="_Toc296503060"/>
      <w:bookmarkStart w:id="298" w:name="_Toc337558778"/>
      <w:r>
        <w:rPr>
          <w:rFonts w:hint="eastAsia" w:ascii="宋体" w:hAnsi="宋体" w:eastAsia="宋体" w:cs="宋体"/>
          <w:b w:val="0"/>
          <w:color w:val="auto"/>
          <w:sz w:val="24"/>
          <w:szCs w:val="24"/>
          <w:highlight w:val="none"/>
        </w:rPr>
        <w:t>.2承包人采购材料与工程设备</w:t>
      </w:r>
      <w:bookmarkEnd w:id="295"/>
    </w:p>
    <w:bookmarkEnd w:id="296"/>
    <w:bookmarkEnd w:id="297"/>
    <w:bookmarkEnd w:id="298"/>
    <w:p w14:paraId="3F3477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5B6AEDE">
      <w:pPr>
        <w:pStyle w:val="6"/>
        <w:spacing w:before="120" w:after="120" w:line="312" w:lineRule="auto"/>
        <w:ind w:firstLine="480" w:firstLineChars="200"/>
        <w:rPr>
          <w:rFonts w:ascii="宋体" w:hAnsi="宋体" w:eastAsia="宋体" w:cs="宋体"/>
          <w:b w:val="0"/>
          <w:color w:val="auto"/>
          <w:sz w:val="24"/>
          <w:szCs w:val="24"/>
          <w:highlight w:val="none"/>
        </w:rPr>
      </w:pPr>
      <w:bookmarkStart w:id="299" w:name="_Toc351203555"/>
      <w:r>
        <w:rPr>
          <w:rFonts w:hint="eastAsia" w:ascii="宋体" w:hAnsi="宋体" w:eastAsia="宋体" w:cs="宋体"/>
          <w:b w:val="0"/>
          <w:color w:val="auto"/>
          <w:sz w:val="24"/>
          <w:szCs w:val="24"/>
          <w:highlight w:val="none"/>
        </w:rPr>
        <w:t>8</w:t>
      </w:r>
      <w:bookmarkStart w:id="300" w:name="_Toc296346562"/>
      <w:bookmarkStart w:id="301" w:name="_Toc296503061"/>
      <w:bookmarkStart w:id="302" w:name="_Toc337558779"/>
      <w:r>
        <w:rPr>
          <w:rFonts w:hint="eastAsia" w:ascii="宋体" w:hAnsi="宋体" w:eastAsia="宋体" w:cs="宋体"/>
          <w:b w:val="0"/>
          <w:color w:val="auto"/>
          <w:sz w:val="24"/>
          <w:szCs w:val="24"/>
          <w:highlight w:val="none"/>
        </w:rPr>
        <w:t>.3材料与工程设备的接收与拒收</w:t>
      </w:r>
      <w:bookmarkEnd w:id="299"/>
    </w:p>
    <w:bookmarkEnd w:id="300"/>
    <w:bookmarkEnd w:id="301"/>
    <w:bookmarkEnd w:id="302"/>
    <w:p w14:paraId="456225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C3B9B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1063301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eastAsia="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6B69A266">
      <w:pPr>
        <w:autoSpaceDE w:val="0"/>
        <w:autoSpaceDN w:val="0"/>
        <w:adjustRightInd w:val="0"/>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5663E7F">
      <w:pPr>
        <w:pStyle w:val="6"/>
        <w:spacing w:before="120" w:after="120" w:line="312" w:lineRule="auto"/>
        <w:ind w:firstLine="480" w:firstLineChars="200"/>
        <w:rPr>
          <w:rFonts w:ascii="宋体" w:hAnsi="宋体" w:eastAsia="宋体" w:cs="宋体"/>
          <w:b w:val="0"/>
          <w:color w:val="auto"/>
          <w:sz w:val="24"/>
          <w:szCs w:val="24"/>
          <w:highlight w:val="none"/>
        </w:rPr>
      </w:pPr>
      <w:bookmarkStart w:id="304" w:name="_Toc351203556"/>
      <w:r>
        <w:rPr>
          <w:rFonts w:hint="eastAsia" w:ascii="宋体" w:hAnsi="宋体" w:eastAsia="宋体" w:cs="宋体"/>
          <w:b w:val="0"/>
          <w:color w:val="auto"/>
          <w:sz w:val="24"/>
          <w:szCs w:val="24"/>
          <w:highlight w:val="none"/>
        </w:rPr>
        <w:t>8</w:t>
      </w:r>
      <w:bookmarkStart w:id="305" w:name="_Toc296346563"/>
      <w:bookmarkStart w:id="306" w:name="_Toc296503062"/>
      <w:bookmarkStart w:id="307" w:name="_Toc337558780"/>
      <w:r>
        <w:rPr>
          <w:rFonts w:hint="eastAsia" w:ascii="宋体" w:hAnsi="宋体" w:eastAsia="宋体" w:cs="宋体"/>
          <w:b w:val="0"/>
          <w:color w:val="auto"/>
          <w:sz w:val="24"/>
          <w:szCs w:val="24"/>
          <w:highlight w:val="none"/>
        </w:rPr>
        <w:t>.4材料与工程设备的保管与使用</w:t>
      </w:r>
      <w:bookmarkEnd w:id="304"/>
    </w:p>
    <w:bookmarkEnd w:id="305"/>
    <w:bookmarkEnd w:id="306"/>
    <w:bookmarkEnd w:id="307"/>
    <w:p w14:paraId="7C772BA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8.4.1 发包人供应</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33D45FC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B9F99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发包人供应的材料和工程设备使用前，由承包人负责检验，检验费用由发包人承担，不合格的不得使用。</w:t>
      </w:r>
    </w:p>
    <w:p w14:paraId="3475A8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8.4.2 承包人采购</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49A6801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3A86B7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5FA4BF1D">
      <w:pPr>
        <w:pStyle w:val="6"/>
        <w:spacing w:before="120" w:after="120" w:line="312" w:lineRule="auto"/>
        <w:ind w:firstLine="480" w:firstLineChars="200"/>
        <w:rPr>
          <w:rFonts w:ascii="宋体" w:hAnsi="宋体" w:eastAsia="宋体" w:cs="宋体"/>
          <w:b w:val="0"/>
          <w:color w:val="auto"/>
          <w:sz w:val="24"/>
          <w:szCs w:val="24"/>
          <w:highlight w:val="none"/>
        </w:rPr>
      </w:pPr>
      <w:bookmarkStart w:id="308" w:name="_Toc351203557"/>
      <w:r>
        <w:rPr>
          <w:rFonts w:hint="eastAsia" w:ascii="宋体" w:hAnsi="宋体" w:eastAsia="宋体" w:cs="宋体"/>
          <w:b w:val="0"/>
          <w:color w:val="auto"/>
          <w:sz w:val="24"/>
          <w:szCs w:val="24"/>
          <w:highlight w:val="none"/>
        </w:rPr>
        <w:t>8.5禁止使用不合格的材料和工程设备</w:t>
      </w:r>
      <w:bookmarkEnd w:id="308"/>
    </w:p>
    <w:p w14:paraId="19CF97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3D26A1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3AA3A8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0FB1E210">
      <w:pPr>
        <w:pStyle w:val="6"/>
        <w:spacing w:before="120" w:after="120" w:line="312" w:lineRule="auto"/>
        <w:ind w:firstLine="480" w:firstLineChars="200"/>
        <w:rPr>
          <w:rFonts w:ascii="宋体" w:hAnsi="宋体" w:eastAsia="宋体" w:cs="宋体"/>
          <w:b w:val="0"/>
          <w:color w:val="auto"/>
          <w:sz w:val="24"/>
          <w:szCs w:val="24"/>
          <w:highlight w:val="none"/>
        </w:rPr>
      </w:pPr>
      <w:bookmarkStart w:id="309" w:name="_Toc351203558"/>
      <w:r>
        <w:rPr>
          <w:rFonts w:hint="eastAsia" w:ascii="宋体" w:hAnsi="宋体" w:eastAsia="宋体" w:cs="宋体"/>
          <w:b w:val="0"/>
          <w:color w:val="auto"/>
          <w:sz w:val="24"/>
          <w:szCs w:val="24"/>
          <w:highlight w:val="none"/>
        </w:rPr>
        <w:t>8.6 样品</w:t>
      </w:r>
      <w:bookmarkEnd w:id="309"/>
    </w:p>
    <w:p w14:paraId="72371C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8.6.1</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样品的报送与封存</w:t>
      </w:r>
    </w:p>
    <w:p w14:paraId="5C5C4A5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需要承包人报送样品的材料或工程设备，样品的种类、名称、规格、数量等要求均应在专用合同条款中约定。样品的报送程序如下：</w:t>
      </w:r>
    </w:p>
    <w:p w14:paraId="5C1A9C0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17CF5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EDFE15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20A9E15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D2835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8.6.2 样品的保管</w:t>
      </w:r>
    </w:p>
    <w:p w14:paraId="38C024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经批准的样品应由监理人负责封存于现场，承包人应在现场为保存样品提供适当和固定的场所并保持适当和良好的存储环境条件。</w:t>
      </w:r>
    </w:p>
    <w:p w14:paraId="0AD71E29">
      <w:pPr>
        <w:pStyle w:val="6"/>
        <w:spacing w:before="120" w:after="120" w:line="312" w:lineRule="auto"/>
        <w:ind w:firstLine="480" w:firstLineChars="200"/>
        <w:rPr>
          <w:rFonts w:ascii="宋体" w:hAnsi="宋体" w:eastAsia="宋体" w:cs="宋体"/>
          <w:b w:val="0"/>
          <w:color w:val="auto"/>
          <w:sz w:val="24"/>
          <w:szCs w:val="24"/>
          <w:highlight w:val="none"/>
        </w:rPr>
      </w:pPr>
      <w:bookmarkStart w:id="310" w:name="_Toc351203559"/>
      <w:r>
        <w:rPr>
          <w:rFonts w:hint="eastAsia" w:ascii="宋体" w:hAnsi="宋体" w:eastAsia="宋体" w:cs="宋体"/>
          <w:b w:val="0"/>
          <w:color w:val="auto"/>
          <w:sz w:val="24"/>
          <w:szCs w:val="24"/>
          <w:highlight w:val="none"/>
        </w:rPr>
        <w:t>8.7材料与工程设备的替代</w:t>
      </w:r>
      <w:bookmarkEnd w:id="310"/>
    </w:p>
    <w:p w14:paraId="4FA0B9B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8.7.1 出现下列情况需要使用替代材料和工程设备的，承包人应按照第8.7.2项约定的程序执行：</w:t>
      </w:r>
    </w:p>
    <w:p w14:paraId="50E57C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（1）基准日期后生效的法律规定禁止使用的；</w:t>
      </w:r>
    </w:p>
    <w:p w14:paraId="2860B95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（2）发包人要求使用替代品的；</w:t>
      </w:r>
    </w:p>
    <w:p w14:paraId="24F8AC0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（3）因其他原因必须使用替代品的。</w:t>
      </w:r>
    </w:p>
    <w:p w14:paraId="60012AC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8.7.2 承包人应在使用替代材料和工程设备28天前书面通知监理人，并附下列文件：</w:t>
      </w:r>
    </w:p>
    <w:p w14:paraId="3654C55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（1）被替代的材料和工程设备的名称、数量、规格、型号、品牌、性能、价格及其他相关资料；</w:t>
      </w:r>
    </w:p>
    <w:p w14:paraId="721E65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（2）替代品的名称、数量、规格、型号、品牌、性能、价格及其他相关资料；</w:t>
      </w:r>
    </w:p>
    <w:p w14:paraId="29369E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（3）替代品与被替代产品之间的差异以及使用替代品可能对工程产生的影响；</w:t>
      </w:r>
    </w:p>
    <w:p w14:paraId="2A75F8B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（4）替代品与被替代产品的价格差异；</w:t>
      </w:r>
    </w:p>
    <w:p w14:paraId="5CDECD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（5）使用替代品的理由和原因说明；</w:t>
      </w:r>
    </w:p>
    <w:p w14:paraId="166726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（6）监理人要求的其他文件。</w:t>
      </w:r>
    </w:p>
    <w:p w14:paraId="5A95448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监理人应在收到通知后14天内向承包人发出经发包人签认的书面指示；监理人逾期发出书面指示的，视为发包人和监理人同意使用替代品。</w:t>
      </w:r>
    </w:p>
    <w:p w14:paraId="5EB0F4A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6EFE0A9">
      <w:pPr>
        <w:pStyle w:val="6"/>
        <w:spacing w:before="120" w:after="120" w:line="312" w:lineRule="auto"/>
        <w:ind w:firstLine="480" w:firstLineChars="200"/>
        <w:rPr>
          <w:rFonts w:ascii="宋体" w:hAnsi="宋体" w:eastAsia="宋体" w:cs="宋体"/>
          <w:b w:val="0"/>
          <w:color w:val="auto"/>
          <w:sz w:val="24"/>
          <w:szCs w:val="24"/>
          <w:highlight w:val="none"/>
        </w:rPr>
      </w:pPr>
      <w:bookmarkStart w:id="311" w:name="_Toc351203560"/>
      <w:r>
        <w:rPr>
          <w:rFonts w:hint="eastAsia" w:ascii="宋体" w:hAnsi="宋体" w:eastAsia="宋体" w:cs="宋体"/>
          <w:b w:val="0"/>
          <w:color w:val="auto"/>
          <w:sz w:val="24"/>
          <w:szCs w:val="24"/>
          <w:highlight w:val="none"/>
        </w:rPr>
        <w:t>8.8施工设备和临时设施</w:t>
      </w:r>
      <w:bookmarkEnd w:id="311"/>
    </w:p>
    <w:p w14:paraId="64462B7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8.8.1 承包人提供的施工设备和临时设施</w:t>
      </w:r>
    </w:p>
    <w:p w14:paraId="5FD860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4074C8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除专用合同条款另有约定外，承包人应自行承担修建临时设施的费用，需要临时占地的，应由发包人办理申请手续并承担相应费用。</w:t>
      </w:r>
    </w:p>
    <w:p w14:paraId="24BC72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8.8.2发包人提供的施工设备和临时设施</w:t>
      </w:r>
    </w:p>
    <w:p w14:paraId="74BC66D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发包人提供的施工设备或临时设施在专用合同条款中约定。</w:t>
      </w:r>
    </w:p>
    <w:p w14:paraId="55CD05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8.8.3要求承包人增加或更换施工设备</w:t>
      </w:r>
    </w:p>
    <w:p w14:paraId="175849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68349E88">
      <w:pPr>
        <w:pStyle w:val="6"/>
        <w:spacing w:before="120" w:after="120" w:line="312" w:lineRule="auto"/>
        <w:ind w:firstLine="480" w:firstLineChars="200"/>
        <w:rPr>
          <w:rFonts w:ascii="宋体" w:hAnsi="宋体" w:eastAsia="宋体" w:cs="宋体"/>
          <w:b w:val="0"/>
          <w:color w:val="auto"/>
          <w:sz w:val="24"/>
          <w:szCs w:val="24"/>
          <w:highlight w:val="none"/>
        </w:rPr>
      </w:pPr>
      <w:bookmarkStart w:id="312" w:name="_Toc351203561"/>
      <w:r>
        <w:rPr>
          <w:rFonts w:hint="eastAsia" w:ascii="宋体" w:hAnsi="宋体" w:eastAsia="宋体" w:cs="宋体"/>
          <w:b w:val="0"/>
          <w:color w:val="auto"/>
          <w:sz w:val="24"/>
          <w:szCs w:val="24"/>
          <w:highlight w:val="none"/>
        </w:rPr>
        <w:t>8</w:t>
      </w:r>
      <w:bookmarkStart w:id="313" w:name="_Toc296503063"/>
      <w:bookmarkStart w:id="314" w:name="_Toc337558781"/>
      <w:bookmarkStart w:id="315" w:name="_Toc296346564"/>
      <w:r>
        <w:rPr>
          <w:rFonts w:hint="eastAsia" w:ascii="宋体" w:hAnsi="宋体" w:eastAsia="宋体" w:cs="宋体"/>
          <w:b w:val="0"/>
          <w:color w:val="auto"/>
          <w:sz w:val="24"/>
          <w:szCs w:val="24"/>
          <w:highlight w:val="none"/>
        </w:rPr>
        <w:t>.9材料与设备专用</w:t>
      </w:r>
      <w:bookmarkEnd w:id="312"/>
      <w:r>
        <w:rPr>
          <w:rFonts w:hint="eastAsia" w:ascii="宋体" w:hAnsi="宋体" w:eastAsia="宋体" w:cs="宋体"/>
          <w:b w:val="0"/>
          <w:color w:val="auto"/>
          <w:sz w:val="24"/>
          <w:szCs w:val="24"/>
          <w:highlight w:val="none"/>
        </w:rPr>
        <w:t>要求</w:t>
      </w:r>
    </w:p>
    <w:bookmarkEnd w:id="313"/>
    <w:bookmarkEnd w:id="314"/>
    <w:bookmarkEnd w:id="315"/>
    <w:p w14:paraId="25C9D1C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eastAsia="宋体" w:cs="宋体"/>
          <w:color w:val="auto"/>
          <w:kern w:val="0"/>
          <w:sz w:val="24"/>
          <w:highlight w:val="none"/>
        </w:rPr>
        <w:t>经发包人批准，承包人可以根据施工进度计划撤走闲置的施工设备和其他物品。</w:t>
      </w:r>
    </w:p>
    <w:p w14:paraId="75B3F5D1">
      <w:pPr>
        <w:pStyle w:val="5"/>
        <w:spacing w:before="120" w:after="120" w:line="312" w:lineRule="auto"/>
        <w:rPr>
          <w:rFonts w:ascii="宋体" w:hAnsi="宋体" w:eastAsia="宋体" w:cs="宋体"/>
          <w:b w:val="0"/>
          <w:color w:val="auto"/>
          <w:sz w:val="24"/>
          <w:szCs w:val="24"/>
          <w:highlight w:val="none"/>
        </w:rPr>
      </w:pPr>
      <w:bookmarkStart w:id="316" w:name="_Toc351203562"/>
      <w:r>
        <w:rPr>
          <w:rFonts w:hint="eastAsia" w:ascii="宋体" w:hAnsi="宋体" w:eastAsia="宋体" w:cs="宋体"/>
          <w:b w:val="0"/>
          <w:color w:val="auto"/>
          <w:sz w:val="24"/>
          <w:szCs w:val="24"/>
          <w:highlight w:val="none"/>
        </w:rPr>
        <w:t>9</w:t>
      </w:r>
      <w:bookmarkStart w:id="317" w:name="_Toc337558782"/>
      <w:bookmarkStart w:id="318" w:name="_Toc296346584"/>
      <w:bookmarkStart w:id="319" w:name="_Toc296503083"/>
      <w:r>
        <w:rPr>
          <w:rFonts w:hint="eastAsia" w:ascii="宋体" w:hAnsi="宋体" w:eastAsia="宋体" w:cs="宋体"/>
          <w:b w:val="0"/>
          <w:color w:val="auto"/>
          <w:sz w:val="24"/>
          <w:szCs w:val="24"/>
          <w:highlight w:val="none"/>
        </w:rPr>
        <w:t>. 试验与检验</w:t>
      </w:r>
      <w:bookmarkEnd w:id="316"/>
    </w:p>
    <w:bookmarkEnd w:id="317"/>
    <w:p w14:paraId="1C3C7F1E">
      <w:pPr>
        <w:pStyle w:val="6"/>
        <w:spacing w:before="120" w:after="120" w:line="312" w:lineRule="auto"/>
        <w:ind w:firstLine="480" w:firstLineChars="200"/>
        <w:rPr>
          <w:rFonts w:ascii="宋体" w:hAnsi="宋体" w:eastAsia="宋体" w:cs="宋体"/>
          <w:b w:val="0"/>
          <w:color w:val="auto"/>
          <w:sz w:val="24"/>
          <w:szCs w:val="24"/>
          <w:highlight w:val="none"/>
        </w:rPr>
      </w:pPr>
      <w:bookmarkStart w:id="320" w:name="_Toc351203563"/>
      <w:r>
        <w:rPr>
          <w:rFonts w:hint="eastAsia" w:ascii="宋体" w:hAnsi="宋体" w:eastAsia="宋体" w:cs="宋体"/>
          <w:b w:val="0"/>
          <w:color w:val="auto"/>
          <w:sz w:val="24"/>
          <w:szCs w:val="24"/>
          <w:highlight w:val="none"/>
        </w:rPr>
        <w:t>9</w:t>
      </w:r>
      <w:bookmarkStart w:id="321" w:name="_Toc337558783"/>
      <w:r>
        <w:rPr>
          <w:rFonts w:hint="eastAsia" w:ascii="宋体" w:hAnsi="宋体" w:eastAsia="宋体" w:cs="宋体"/>
          <w:b w:val="0"/>
          <w:color w:val="auto"/>
          <w:sz w:val="24"/>
          <w:szCs w:val="24"/>
          <w:highlight w:val="none"/>
        </w:rPr>
        <w:t>.1试验设备与试验人员</w:t>
      </w:r>
      <w:bookmarkEnd w:id="320"/>
    </w:p>
    <w:bookmarkEnd w:id="321"/>
    <w:p w14:paraId="1AAF520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C2D468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9.1.2 承包人应按专用合同条款的约定提供试验设备、取样装置、试验场所和试验条件，并向监理人提交相应进场计划表。</w:t>
      </w:r>
    </w:p>
    <w:p w14:paraId="3A17C77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7DE8696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0E504779">
      <w:pPr>
        <w:pStyle w:val="6"/>
        <w:spacing w:before="120" w:after="120" w:line="312" w:lineRule="auto"/>
        <w:ind w:firstLine="480" w:firstLineChars="200"/>
        <w:rPr>
          <w:rFonts w:ascii="宋体" w:hAnsi="宋体" w:eastAsia="宋体" w:cs="宋体"/>
          <w:b w:val="0"/>
          <w:color w:val="auto"/>
          <w:sz w:val="24"/>
          <w:szCs w:val="24"/>
          <w:highlight w:val="none"/>
        </w:rPr>
      </w:pPr>
      <w:bookmarkStart w:id="322" w:name="_Toc351203564"/>
      <w:r>
        <w:rPr>
          <w:rFonts w:hint="eastAsia" w:ascii="宋体" w:hAnsi="宋体" w:eastAsia="宋体" w:cs="宋体"/>
          <w:b w:val="0"/>
          <w:color w:val="auto"/>
          <w:sz w:val="24"/>
          <w:szCs w:val="24"/>
          <w:highlight w:val="none"/>
        </w:rPr>
        <w:t>9</w:t>
      </w:r>
      <w:bookmarkStart w:id="323" w:name="_Toc337558784"/>
      <w:r>
        <w:rPr>
          <w:rFonts w:hint="eastAsia" w:ascii="宋体" w:hAnsi="宋体" w:eastAsia="宋体" w:cs="宋体"/>
          <w:b w:val="0"/>
          <w:color w:val="auto"/>
          <w:sz w:val="24"/>
          <w:szCs w:val="24"/>
          <w:highlight w:val="none"/>
        </w:rPr>
        <w:t>.2取样</w:t>
      </w:r>
      <w:bookmarkEnd w:id="322"/>
    </w:p>
    <w:bookmarkEnd w:id="323"/>
    <w:p w14:paraId="3510FE2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试验属于自检性质的，承包人可以单独取样。试验属于监理人抽检性质的，可由监理人取样，也可由承包人的试验人员在监理人的监督下取样。</w:t>
      </w:r>
    </w:p>
    <w:p w14:paraId="17BF852B">
      <w:pPr>
        <w:pStyle w:val="6"/>
        <w:spacing w:before="120" w:after="120" w:line="312" w:lineRule="auto"/>
        <w:ind w:firstLine="480" w:firstLineChars="200"/>
        <w:rPr>
          <w:rFonts w:ascii="宋体" w:hAnsi="宋体" w:eastAsia="宋体" w:cs="宋体"/>
          <w:b w:val="0"/>
          <w:color w:val="auto"/>
          <w:sz w:val="24"/>
          <w:szCs w:val="24"/>
          <w:highlight w:val="none"/>
        </w:rPr>
      </w:pPr>
      <w:bookmarkStart w:id="324" w:name="_Toc351203565"/>
      <w:r>
        <w:rPr>
          <w:rFonts w:hint="eastAsia" w:ascii="宋体" w:hAnsi="宋体" w:eastAsia="宋体" w:cs="宋体"/>
          <w:b w:val="0"/>
          <w:color w:val="auto"/>
          <w:sz w:val="24"/>
          <w:szCs w:val="24"/>
          <w:highlight w:val="none"/>
        </w:rPr>
        <w:t>9</w:t>
      </w:r>
      <w:bookmarkStart w:id="325" w:name="_Toc337558785"/>
      <w:r>
        <w:rPr>
          <w:rFonts w:hint="eastAsia" w:ascii="宋体" w:hAnsi="宋体" w:eastAsia="宋体" w:cs="宋体"/>
          <w:b w:val="0"/>
          <w:color w:val="auto"/>
          <w:sz w:val="24"/>
          <w:szCs w:val="24"/>
          <w:highlight w:val="none"/>
        </w:rPr>
        <w:t>.3材料、工程设备和工程的试验和检验</w:t>
      </w:r>
      <w:bookmarkEnd w:id="324"/>
    </w:p>
    <w:bookmarkEnd w:id="325"/>
    <w:p w14:paraId="18F874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552A06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442B12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27502B9">
      <w:pPr>
        <w:pStyle w:val="6"/>
        <w:spacing w:before="120" w:after="120" w:line="312" w:lineRule="auto"/>
        <w:ind w:firstLine="480" w:firstLineChars="200"/>
        <w:rPr>
          <w:rFonts w:ascii="宋体" w:hAnsi="宋体" w:eastAsia="宋体" w:cs="宋体"/>
          <w:b w:val="0"/>
          <w:color w:val="auto"/>
          <w:sz w:val="24"/>
          <w:szCs w:val="24"/>
          <w:highlight w:val="none"/>
        </w:rPr>
      </w:pPr>
      <w:bookmarkStart w:id="326" w:name="_Toc351203566"/>
      <w:r>
        <w:rPr>
          <w:rFonts w:hint="eastAsia" w:ascii="宋体" w:hAnsi="宋体" w:eastAsia="宋体" w:cs="宋体"/>
          <w:b w:val="0"/>
          <w:color w:val="auto"/>
          <w:sz w:val="24"/>
          <w:szCs w:val="24"/>
          <w:highlight w:val="none"/>
        </w:rPr>
        <w:t>9</w:t>
      </w:r>
      <w:bookmarkStart w:id="327" w:name="_Toc337558786"/>
      <w:r>
        <w:rPr>
          <w:rFonts w:hint="eastAsia" w:ascii="宋体" w:hAnsi="宋体" w:eastAsia="宋体" w:cs="宋体"/>
          <w:b w:val="0"/>
          <w:color w:val="auto"/>
          <w:sz w:val="24"/>
          <w:szCs w:val="24"/>
          <w:highlight w:val="none"/>
        </w:rPr>
        <w:t>.4现场工艺试验</w:t>
      </w:r>
      <w:bookmarkEnd w:id="326"/>
    </w:p>
    <w:bookmarkEnd w:id="327"/>
    <w:p w14:paraId="7FEE11D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3CC3E917">
      <w:pPr>
        <w:pStyle w:val="5"/>
        <w:spacing w:before="120" w:after="120" w:line="312" w:lineRule="auto"/>
        <w:rPr>
          <w:rFonts w:ascii="宋体" w:hAnsi="宋体" w:eastAsia="宋体" w:cs="宋体"/>
          <w:b w:val="0"/>
          <w:color w:val="auto"/>
          <w:sz w:val="24"/>
          <w:szCs w:val="24"/>
          <w:highlight w:val="none"/>
        </w:rPr>
      </w:pPr>
      <w:bookmarkStart w:id="328" w:name="_Toc351203567"/>
      <w:r>
        <w:rPr>
          <w:rFonts w:hint="eastAsia" w:ascii="宋体" w:hAnsi="宋体" w:eastAsia="宋体" w:cs="宋体"/>
          <w:b w:val="0"/>
          <w:color w:val="auto"/>
          <w:sz w:val="24"/>
          <w:szCs w:val="24"/>
          <w:highlight w:val="none"/>
        </w:rPr>
        <w:t>1</w:t>
      </w:r>
      <w:bookmarkStart w:id="329" w:name="_Toc337558787"/>
      <w:r>
        <w:rPr>
          <w:rFonts w:hint="eastAsia" w:ascii="宋体" w:hAnsi="宋体" w:eastAsia="宋体" w:cs="宋体"/>
          <w:b w:val="0"/>
          <w:color w:val="auto"/>
          <w:sz w:val="24"/>
          <w:szCs w:val="24"/>
          <w:highlight w:val="none"/>
        </w:rPr>
        <w:t>0. 变更</w:t>
      </w:r>
      <w:bookmarkEnd w:id="318"/>
      <w:bookmarkEnd w:id="319"/>
      <w:bookmarkEnd w:id="328"/>
    </w:p>
    <w:bookmarkEnd w:id="329"/>
    <w:p w14:paraId="076142B0">
      <w:pPr>
        <w:pStyle w:val="6"/>
        <w:spacing w:before="120" w:after="120" w:line="312" w:lineRule="auto"/>
        <w:ind w:firstLine="480" w:firstLineChars="200"/>
        <w:rPr>
          <w:rFonts w:ascii="宋体" w:hAnsi="宋体" w:eastAsia="宋体" w:cs="宋体"/>
          <w:b w:val="0"/>
          <w:color w:val="auto"/>
          <w:sz w:val="24"/>
          <w:szCs w:val="24"/>
          <w:highlight w:val="none"/>
        </w:rPr>
      </w:pPr>
      <w:bookmarkStart w:id="330" w:name="_Toc351203568"/>
      <w:r>
        <w:rPr>
          <w:rFonts w:hint="eastAsia" w:ascii="宋体" w:hAnsi="宋体" w:eastAsia="宋体" w:cs="宋体"/>
          <w:b w:val="0"/>
          <w:color w:val="auto"/>
          <w:sz w:val="24"/>
          <w:szCs w:val="24"/>
          <w:highlight w:val="none"/>
        </w:rPr>
        <w:t>1</w:t>
      </w:r>
      <w:bookmarkStart w:id="331" w:name="_Toc296503084"/>
      <w:bookmarkStart w:id="332" w:name="_Toc296346585"/>
      <w:bookmarkStart w:id="333" w:name="_Toc337558788"/>
      <w:r>
        <w:rPr>
          <w:rFonts w:hint="eastAsia" w:ascii="宋体" w:hAnsi="宋体" w:eastAsia="宋体" w:cs="宋体"/>
          <w:b w:val="0"/>
          <w:color w:val="auto"/>
          <w:sz w:val="24"/>
          <w:szCs w:val="24"/>
          <w:highlight w:val="none"/>
        </w:rPr>
        <w:t>0.1变更的范围</w:t>
      </w:r>
      <w:bookmarkEnd w:id="330"/>
    </w:p>
    <w:bookmarkEnd w:id="331"/>
    <w:bookmarkEnd w:id="332"/>
    <w:bookmarkEnd w:id="333"/>
    <w:p w14:paraId="7D816C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除专用合同条款另有约定外，合同履行过程中发生以下情形的，应按照本条约定进行变更：</w:t>
      </w:r>
    </w:p>
    <w:p w14:paraId="05ADEEC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（1）增加或减少合同中任何工作，或追加额外的工作；</w:t>
      </w:r>
    </w:p>
    <w:p w14:paraId="013934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（2）取消合同中任何工作，但转由他人实施的工作除外；</w:t>
      </w:r>
    </w:p>
    <w:p w14:paraId="714B9F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（3）改变合同中任何工作的质量标准或其他特性；</w:t>
      </w:r>
    </w:p>
    <w:p w14:paraId="3D91A3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（4）改变工程的基线、标高、位置和尺寸；</w:t>
      </w:r>
    </w:p>
    <w:p w14:paraId="61F3E72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（5）改变工程的时间安排或实施顺序。</w:t>
      </w:r>
    </w:p>
    <w:p w14:paraId="3DBA5FD5">
      <w:pPr>
        <w:pStyle w:val="6"/>
        <w:spacing w:before="120" w:after="120" w:line="312" w:lineRule="auto"/>
        <w:ind w:firstLine="480" w:firstLineChars="200"/>
        <w:rPr>
          <w:rFonts w:ascii="宋体" w:hAnsi="宋体" w:eastAsia="宋体" w:cs="宋体"/>
          <w:b w:val="0"/>
          <w:color w:val="auto"/>
          <w:sz w:val="24"/>
          <w:szCs w:val="24"/>
          <w:highlight w:val="none"/>
        </w:rPr>
      </w:pPr>
      <w:bookmarkStart w:id="334" w:name="_Toc351203569"/>
      <w:r>
        <w:rPr>
          <w:rFonts w:hint="eastAsia" w:ascii="宋体" w:hAnsi="宋体" w:eastAsia="宋体" w:cs="宋体"/>
          <w:b w:val="0"/>
          <w:color w:val="auto"/>
          <w:sz w:val="24"/>
          <w:szCs w:val="24"/>
          <w:highlight w:val="none"/>
        </w:rPr>
        <w:t>1</w:t>
      </w:r>
      <w:bookmarkStart w:id="335" w:name="_Toc296346586"/>
      <w:bookmarkStart w:id="336" w:name="_Toc337558789"/>
      <w:bookmarkStart w:id="337" w:name="_Toc296503085"/>
      <w:r>
        <w:rPr>
          <w:rFonts w:hint="eastAsia" w:ascii="宋体" w:hAnsi="宋体" w:eastAsia="宋体" w:cs="宋体"/>
          <w:b w:val="0"/>
          <w:color w:val="auto"/>
          <w:sz w:val="24"/>
          <w:szCs w:val="24"/>
          <w:highlight w:val="none"/>
        </w:rPr>
        <w:t>0.2变更权</w:t>
      </w:r>
      <w:bookmarkEnd w:id="334"/>
    </w:p>
    <w:bookmarkEnd w:id="335"/>
    <w:bookmarkEnd w:id="336"/>
    <w:bookmarkEnd w:id="337"/>
    <w:p w14:paraId="3DA495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8493A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0D353736">
      <w:pPr>
        <w:pStyle w:val="6"/>
        <w:spacing w:before="120" w:after="120" w:line="312" w:lineRule="auto"/>
        <w:ind w:firstLine="480" w:firstLineChars="200"/>
        <w:rPr>
          <w:rFonts w:ascii="宋体" w:hAnsi="宋体" w:eastAsia="宋体" w:cs="宋体"/>
          <w:b w:val="0"/>
          <w:color w:val="auto"/>
          <w:sz w:val="24"/>
          <w:szCs w:val="24"/>
          <w:highlight w:val="none"/>
        </w:rPr>
      </w:pPr>
      <w:bookmarkStart w:id="338" w:name="_Toc351203570"/>
      <w:r>
        <w:rPr>
          <w:rFonts w:hint="eastAsia" w:ascii="宋体" w:hAnsi="宋体" w:eastAsia="宋体" w:cs="宋体"/>
          <w:b w:val="0"/>
          <w:color w:val="auto"/>
          <w:sz w:val="24"/>
          <w:szCs w:val="24"/>
          <w:highlight w:val="none"/>
        </w:rPr>
        <w:t>1</w:t>
      </w:r>
      <w:bookmarkStart w:id="339" w:name="_Toc337558790"/>
      <w:bookmarkStart w:id="340" w:name="_Toc296346587"/>
      <w:bookmarkStart w:id="341" w:name="_Toc296503086"/>
      <w:r>
        <w:rPr>
          <w:rFonts w:hint="eastAsia" w:ascii="宋体" w:hAnsi="宋体" w:eastAsia="宋体" w:cs="宋体"/>
          <w:b w:val="0"/>
          <w:color w:val="auto"/>
          <w:sz w:val="24"/>
          <w:szCs w:val="24"/>
          <w:highlight w:val="none"/>
        </w:rPr>
        <w:t>0.3变更程序</w:t>
      </w:r>
      <w:bookmarkEnd w:id="338"/>
    </w:p>
    <w:bookmarkEnd w:id="339"/>
    <w:bookmarkEnd w:id="340"/>
    <w:bookmarkEnd w:id="341"/>
    <w:p w14:paraId="10FB4F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.3.1 发包人提出变更</w:t>
      </w:r>
    </w:p>
    <w:p w14:paraId="61186FA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发包人提出变更的，应通过监理人向承包人发出变更指示，变更指示应说明计划变更的工程范围和变更的内容。</w:t>
      </w:r>
    </w:p>
    <w:p w14:paraId="62CB4C8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.3.2 监理人提出变更建议</w:t>
      </w:r>
    </w:p>
    <w:p w14:paraId="2B10B91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2AD0A25">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10.3.3 变更执行</w:t>
      </w:r>
    </w:p>
    <w:p w14:paraId="036A7B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E00DC11">
      <w:pPr>
        <w:pStyle w:val="6"/>
        <w:spacing w:before="120" w:after="120" w:line="312" w:lineRule="auto"/>
        <w:ind w:firstLine="480" w:firstLineChars="200"/>
        <w:rPr>
          <w:rFonts w:ascii="宋体" w:hAnsi="宋体" w:eastAsia="宋体" w:cs="宋体"/>
          <w:b w:val="0"/>
          <w:color w:val="auto"/>
          <w:sz w:val="24"/>
          <w:szCs w:val="24"/>
          <w:highlight w:val="none"/>
        </w:rPr>
      </w:pPr>
      <w:bookmarkStart w:id="342" w:name="_Toc351203571"/>
      <w:r>
        <w:rPr>
          <w:rFonts w:hint="eastAsia" w:ascii="宋体" w:hAnsi="宋体" w:eastAsia="宋体" w:cs="宋体"/>
          <w:b w:val="0"/>
          <w:color w:val="auto"/>
          <w:sz w:val="24"/>
          <w:szCs w:val="24"/>
          <w:highlight w:val="none"/>
        </w:rPr>
        <w:t>1</w:t>
      </w:r>
      <w:bookmarkStart w:id="343" w:name="_Toc337558791"/>
      <w:bookmarkStart w:id="344" w:name="_Toc296503087"/>
      <w:bookmarkStart w:id="345" w:name="_Toc296346588"/>
      <w:r>
        <w:rPr>
          <w:rFonts w:hint="eastAsia" w:ascii="宋体" w:hAnsi="宋体" w:eastAsia="宋体" w:cs="宋体"/>
          <w:b w:val="0"/>
          <w:color w:val="auto"/>
          <w:sz w:val="24"/>
          <w:szCs w:val="24"/>
          <w:highlight w:val="none"/>
        </w:rPr>
        <w:t>0.4变更估价</w:t>
      </w:r>
      <w:bookmarkEnd w:id="342"/>
    </w:p>
    <w:bookmarkEnd w:id="343"/>
    <w:bookmarkEnd w:id="344"/>
    <w:bookmarkEnd w:id="345"/>
    <w:p w14:paraId="29FACB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10.4.1 变更估价原则</w:t>
      </w:r>
    </w:p>
    <w:p w14:paraId="1C08BD1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除专用合同条款另有约定外，变更估价按照本款约定处理：</w:t>
      </w:r>
    </w:p>
    <w:p w14:paraId="0C67DD2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（1）已标价工程量清单或预算书有相同项目的，按照相同项目单价认定；</w:t>
      </w:r>
    </w:p>
    <w:p w14:paraId="15DAA8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（2）已标价工程量清单或预算书中无相同项目，但有类似项目的，参照类似项目的单价认定；</w:t>
      </w:r>
    </w:p>
    <w:p w14:paraId="442604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132852D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10.4.2 变更估价程序</w:t>
      </w:r>
    </w:p>
    <w:p w14:paraId="714897F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53CAC3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因变更引起的价格调整应计入最近一期的进度款中支付。</w:t>
      </w:r>
    </w:p>
    <w:p w14:paraId="6390D23E">
      <w:pPr>
        <w:pStyle w:val="6"/>
        <w:spacing w:before="120" w:after="120" w:line="312" w:lineRule="auto"/>
        <w:ind w:firstLine="480" w:firstLineChars="200"/>
        <w:rPr>
          <w:rFonts w:ascii="宋体" w:hAnsi="宋体" w:eastAsia="宋体" w:cs="宋体"/>
          <w:b w:val="0"/>
          <w:color w:val="auto"/>
          <w:sz w:val="24"/>
          <w:szCs w:val="24"/>
          <w:highlight w:val="none"/>
        </w:rPr>
      </w:pPr>
      <w:bookmarkStart w:id="346" w:name="_Toc351203572"/>
      <w:r>
        <w:rPr>
          <w:rFonts w:hint="eastAsia" w:ascii="宋体" w:hAnsi="宋体" w:eastAsia="宋体" w:cs="宋体"/>
          <w:b w:val="0"/>
          <w:color w:val="auto"/>
          <w:sz w:val="24"/>
          <w:szCs w:val="24"/>
          <w:highlight w:val="none"/>
        </w:rPr>
        <w:t>1</w:t>
      </w:r>
      <w:bookmarkStart w:id="347" w:name="_Toc296346595"/>
      <w:bookmarkStart w:id="348" w:name="_Toc296503094"/>
      <w:bookmarkStart w:id="349" w:name="_Toc337558792"/>
      <w:r>
        <w:rPr>
          <w:rFonts w:hint="eastAsia" w:ascii="宋体" w:hAnsi="宋体" w:eastAsia="宋体" w:cs="宋体"/>
          <w:b w:val="0"/>
          <w:color w:val="auto"/>
          <w:sz w:val="24"/>
          <w:szCs w:val="24"/>
          <w:highlight w:val="none"/>
        </w:rPr>
        <w:t>0.5承包人的合理化建议</w:t>
      </w:r>
      <w:bookmarkEnd w:id="346"/>
    </w:p>
    <w:bookmarkEnd w:id="347"/>
    <w:bookmarkEnd w:id="348"/>
    <w:bookmarkEnd w:id="349"/>
    <w:p w14:paraId="73B23C5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承包人提出合理化建议的，应向监理人提交合理化建议说明，说明建议的内容和理由，以及实施该建议对合同价格和工期的影响。</w:t>
      </w:r>
    </w:p>
    <w:p w14:paraId="08C1850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F7B9F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合理化建议降低了合同价格或者提高了工程经济效益的，发包人可对承包人给予奖励，奖励的方法和金额在专用合同条款中约定。</w:t>
      </w:r>
    </w:p>
    <w:p w14:paraId="0E47BD00">
      <w:pPr>
        <w:pStyle w:val="6"/>
        <w:spacing w:before="120" w:after="120" w:line="312" w:lineRule="auto"/>
        <w:ind w:firstLine="480" w:firstLineChars="200"/>
        <w:rPr>
          <w:rFonts w:ascii="宋体" w:hAnsi="宋体" w:eastAsia="宋体" w:cs="宋体"/>
          <w:color w:val="auto"/>
          <w:sz w:val="24"/>
          <w:szCs w:val="24"/>
          <w:highlight w:val="none"/>
        </w:rPr>
      </w:pPr>
      <w:bookmarkStart w:id="350" w:name="_Toc351203573"/>
      <w:r>
        <w:rPr>
          <w:rFonts w:hint="eastAsia" w:ascii="宋体" w:hAnsi="宋体" w:eastAsia="宋体" w:cs="宋体"/>
          <w:b w:val="0"/>
          <w:color w:val="auto"/>
          <w:sz w:val="24"/>
          <w:szCs w:val="24"/>
          <w:highlight w:val="none"/>
        </w:rPr>
        <w:t>1</w:t>
      </w:r>
      <w:bookmarkStart w:id="351" w:name="_Toc337558793"/>
      <w:r>
        <w:rPr>
          <w:rFonts w:hint="eastAsia" w:ascii="宋体" w:hAnsi="宋体" w:eastAsia="宋体" w:cs="宋体"/>
          <w:b w:val="0"/>
          <w:color w:val="auto"/>
          <w:sz w:val="24"/>
          <w:szCs w:val="24"/>
          <w:highlight w:val="none"/>
        </w:rPr>
        <w:t>0.6变更引起的工期调整</w:t>
      </w:r>
      <w:bookmarkEnd w:id="350"/>
      <w:r>
        <w:rPr>
          <w:rFonts w:hint="eastAsia" w:ascii="宋体" w:hAnsi="宋体" w:eastAsia="宋体" w:cs="宋体"/>
          <w:b w:val="0"/>
          <w:color w:val="auto"/>
          <w:sz w:val="24"/>
          <w:szCs w:val="24"/>
          <w:highlight w:val="none"/>
        </w:rPr>
        <w:t xml:space="preserve"> </w:t>
      </w:r>
      <w:bookmarkEnd w:id="351"/>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B74B09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5435390E">
      <w:pPr>
        <w:pStyle w:val="6"/>
        <w:spacing w:before="120" w:after="120" w:line="312" w:lineRule="auto"/>
        <w:ind w:firstLine="480" w:firstLineChars="200"/>
        <w:rPr>
          <w:rFonts w:ascii="宋体" w:hAnsi="宋体" w:eastAsia="宋体" w:cs="宋体"/>
          <w:b w:val="0"/>
          <w:color w:val="auto"/>
          <w:sz w:val="24"/>
          <w:szCs w:val="24"/>
          <w:highlight w:val="none"/>
        </w:rPr>
      </w:pPr>
      <w:bookmarkStart w:id="352" w:name="_Toc351203574"/>
      <w:r>
        <w:rPr>
          <w:rFonts w:hint="eastAsia" w:ascii="宋体" w:hAnsi="宋体" w:eastAsia="宋体" w:cs="宋体"/>
          <w:b w:val="0"/>
          <w:color w:val="auto"/>
          <w:sz w:val="24"/>
          <w:szCs w:val="24"/>
          <w:highlight w:val="none"/>
        </w:rPr>
        <w:t>10.7暂估价</w:t>
      </w:r>
      <w:bookmarkEnd w:id="352"/>
    </w:p>
    <w:p w14:paraId="073C0A7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暂估价专业分包工程、服务、材料和工程设备的明细由合同当事人在专用合同条款中约定。</w:t>
      </w:r>
    </w:p>
    <w:p w14:paraId="3F558F7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10.7.1</w:t>
      </w:r>
      <w:r>
        <w:rPr>
          <w:rFonts w:hint="eastAsia" w:ascii="宋体" w:hAnsi="宋体" w:eastAsia="宋体" w:cs="宋体"/>
          <w:color w:val="auto"/>
          <w:kern w:val="0"/>
          <w:sz w:val="24"/>
          <w:highlight w:val="none"/>
        </w:rPr>
        <w:t xml:space="preserve"> 依法必须招标的暂估价项目</w:t>
      </w:r>
    </w:p>
    <w:p w14:paraId="6DC635D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对于依法必须招标的暂估价项目，采取以下第1种方式确定。合同当事人也可以在专用合同条款中选择其他招标方式。</w:t>
      </w:r>
    </w:p>
    <w:p w14:paraId="6DACDC0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第1种方式：对于依法必须招标的暂估价项目，由承包人招标，对该暂估价项目的确认和批准按照以下约定执行：</w:t>
      </w:r>
    </w:p>
    <w:p w14:paraId="11D3D75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3C806A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5AFDD71">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539DB3A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3B88E6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10.7.2</w:t>
      </w:r>
      <w:r>
        <w:rPr>
          <w:rFonts w:hint="eastAsia" w:ascii="宋体" w:hAnsi="宋体" w:eastAsia="宋体" w:cs="宋体"/>
          <w:color w:val="auto"/>
          <w:kern w:val="0"/>
          <w:sz w:val="24"/>
          <w:highlight w:val="none"/>
        </w:rPr>
        <w:t>不属于依法必须招标的暂估价项目</w:t>
      </w:r>
    </w:p>
    <w:p w14:paraId="02C4B3C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除专用合同条款另有约定外，对于不属于依法必须招标的暂估价项目，采取以下第1种方式确定： </w:t>
      </w:r>
    </w:p>
    <w:p w14:paraId="7096609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第1种方式：对于不属于依法必须招标的暂估价项目，按本项约定确认和批准：</w:t>
      </w:r>
    </w:p>
    <w:p w14:paraId="4E62A43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187216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（2）发包人认为承包人确定的供应商、分包人无法满足工程质量或合同要求的，发包人可以要求承包人重新确定暂估价项目的供应商、分包人;</w:t>
      </w:r>
    </w:p>
    <w:p w14:paraId="40DFA9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（3）承包人应当在签订暂估价合同后7天内，将暂估价合同副本报送发包人留存。</w:t>
      </w:r>
    </w:p>
    <w:p w14:paraId="2C424AB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第2种方式：承包人按照第10.7.1项〔依法必须招标的暂估价项目〕约定的第1种方式确定暂估价项目。</w:t>
      </w:r>
    </w:p>
    <w:p w14:paraId="4C208AF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第3种方式：</w:t>
      </w:r>
      <w:r>
        <w:rPr>
          <w:rFonts w:hint="eastAsia" w:ascii="宋体" w:hAnsi="宋体" w:eastAsia="宋体" w:cs="宋体"/>
          <w:color w:val="auto"/>
          <w:kern w:val="0"/>
          <w:sz w:val="24"/>
          <w:highlight w:val="none"/>
        </w:rPr>
        <w:t>承包人直接实施的暂估价项目</w:t>
      </w:r>
    </w:p>
    <w:p w14:paraId="284326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3647802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3EF369B">
      <w:pPr>
        <w:pStyle w:val="6"/>
        <w:spacing w:before="120" w:after="120" w:line="312" w:lineRule="auto"/>
        <w:ind w:firstLine="480" w:firstLineChars="200"/>
        <w:rPr>
          <w:rFonts w:ascii="宋体" w:hAnsi="宋体" w:eastAsia="宋体" w:cs="宋体"/>
          <w:b w:val="0"/>
          <w:color w:val="auto"/>
          <w:sz w:val="24"/>
          <w:szCs w:val="24"/>
          <w:highlight w:val="none"/>
        </w:rPr>
      </w:pPr>
      <w:bookmarkStart w:id="353" w:name="_Toc351203575"/>
      <w:r>
        <w:rPr>
          <w:rFonts w:hint="eastAsia" w:ascii="宋体" w:hAnsi="宋体" w:eastAsia="宋体" w:cs="宋体"/>
          <w:b w:val="0"/>
          <w:color w:val="auto"/>
          <w:sz w:val="24"/>
          <w:szCs w:val="24"/>
          <w:highlight w:val="none"/>
        </w:rPr>
        <w:t>1</w:t>
      </w:r>
      <w:bookmarkStart w:id="354" w:name="_Toc337558794"/>
      <w:bookmarkStart w:id="355" w:name="_Toc322522561"/>
      <w:bookmarkStart w:id="356" w:name="_Toc296346591"/>
      <w:bookmarkStart w:id="357" w:name="_Toc296503090"/>
      <w:r>
        <w:rPr>
          <w:rFonts w:hint="eastAsia" w:ascii="宋体" w:hAnsi="宋体" w:eastAsia="宋体" w:cs="宋体"/>
          <w:b w:val="0"/>
          <w:color w:val="auto"/>
          <w:sz w:val="24"/>
          <w:szCs w:val="24"/>
          <w:highlight w:val="none"/>
        </w:rPr>
        <w:t>0.8暂列金额</w:t>
      </w:r>
      <w:bookmarkEnd w:id="353"/>
    </w:p>
    <w:bookmarkEnd w:id="354"/>
    <w:p w14:paraId="0587FE4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74CADB10">
      <w:pPr>
        <w:pStyle w:val="6"/>
        <w:spacing w:before="120" w:after="120" w:line="312" w:lineRule="auto"/>
        <w:ind w:firstLine="480" w:firstLineChars="200"/>
        <w:rPr>
          <w:rFonts w:ascii="宋体" w:hAnsi="宋体" w:eastAsia="宋体" w:cs="宋体"/>
          <w:b w:val="0"/>
          <w:color w:val="auto"/>
          <w:sz w:val="24"/>
          <w:szCs w:val="24"/>
          <w:highlight w:val="none"/>
        </w:rPr>
      </w:pPr>
      <w:bookmarkStart w:id="358" w:name="_Toc351203576"/>
      <w:r>
        <w:rPr>
          <w:rFonts w:hint="eastAsia" w:ascii="宋体" w:hAnsi="宋体" w:eastAsia="宋体" w:cs="宋体"/>
          <w:b w:val="0"/>
          <w:color w:val="auto"/>
          <w:sz w:val="24"/>
          <w:szCs w:val="24"/>
          <w:highlight w:val="none"/>
        </w:rPr>
        <w:t>1</w:t>
      </w:r>
      <w:bookmarkStart w:id="359" w:name="_Toc296346592"/>
      <w:bookmarkStart w:id="360" w:name="_Toc337558796"/>
      <w:bookmarkStart w:id="361" w:name="_Toc296503091"/>
      <w:r>
        <w:rPr>
          <w:rFonts w:hint="eastAsia" w:ascii="宋体" w:hAnsi="宋体" w:eastAsia="宋体" w:cs="宋体"/>
          <w:b w:val="0"/>
          <w:color w:val="auto"/>
          <w:sz w:val="24"/>
          <w:szCs w:val="24"/>
          <w:highlight w:val="none"/>
        </w:rPr>
        <w:t>0.9计日工</w:t>
      </w:r>
      <w:bookmarkEnd w:id="358"/>
      <w:r>
        <w:rPr>
          <w:rFonts w:hint="eastAsia" w:ascii="宋体" w:hAnsi="宋体" w:eastAsia="宋体" w:cs="宋体"/>
          <w:b w:val="0"/>
          <w:color w:val="auto"/>
          <w:sz w:val="24"/>
          <w:szCs w:val="24"/>
          <w:highlight w:val="none"/>
        </w:rPr>
        <w:t xml:space="preserve"> </w:t>
      </w:r>
      <w:bookmarkEnd w:id="359"/>
      <w:bookmarkEnd w:id="360"/>
      <w:bookmarkEnd w:id="361"/>
    </w:p>
    <w:p w14:paraId="774C80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5CE509D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采用计日工计价的任何一项工作，承包人应在该项工作实施过程中，每天提交以下报表和有关凭证报送监理人审查：</w:t>
      </w:r>
    </w:p>
    <w:p w14:paraId="6B6CB3EF">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（1）工作名称、内容和数量；</w:t>
      </w:r>
    </w:p>
    <w:p w14:paraId="637865D5">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（2）投入该工作的所有人员的姓名、专业、工种、级别和耗用工时；</w:t>
      </w:r>
    </w:p>
    <w:p w14:paraId="17DCA1C2">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（3）投入该工作的材料类别和数量；</w:t>
      </w:r>
    </w:p>
    <w:p w14:paraId="6A721E3E">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（4）投入该工作的施工设备型号、台数和耗用台时；</w:t>
      </w:r>
    </w:p>
    <w:p w14:paraId="0EB1AD11">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（5）其他有关资料和凭证。</w:t>
      </w:r>
    </w:p>
    <w:p w14:paraId="42748ED2">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13F2BB50">
      <w:pPr>
        <w:numPr>
          <w:ilvl w:val="0"/>
          <w:numId w:val="5"/>
        </w:numPr>
        <w:spacing w:line="312" w:lineRule="auto"/>
        <w:ind w:firstLine="360" w:firstLineChars="150"/>
        <w:jc w:val="left"/>
        <w:rPr>
          <w:rFonts w:ascii="宋体" w:hAnsi="宋体" w:eastAsia="宋体" w:cs="宋体"/>
          <w:color w:val="auto"/>
          <w:sz w:val="24"/>
          <w:highlight w:val="none"/>
        </w:rPr>
      </w:pPr>
      <w:r>
        <w:rPr>
          <w:rFonts w:hint="eastAsia" w:ascii="宋体" w:hAnsi="宋体" w:eastAsia="宋体" w:cs="宋体"/>
          <w:color w:val="auto"/>
          <w:sz w:val="24"/>
          <w:highlight w:val="none"/>
        </w:rPr>
        <w:t>价格调整</w:t>
      </w:r>
      <w:bookmarkEnd w:id="362"/>
      <w:bookmarkStart w:id="363" w:name="_Toc351203578"/>
      <w:bookmarkStart w:id="364" w:name="_Toc296503092"/>
      <w:bookmarkStart w:id="365" w:name="_Toc337558797"/>
      <w:bookmarkStart w:id="366" w:name="_Toc296346593"/>
    </w:p>
    <w:p w14:paraId="02F0F46D">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11.1市场价格波动引起的调整</w:t>
      </w:r>
      <w:bookmarkEnd w:id="363"/>
    </w:p>
    <w:bookmarkEnd w:id="364"/>
    <w:bookmarkEnd w:id="365"/>
    <w:bookmarkEnd w:id="366"/>
    <w:p w14:paraId="45DA03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39496E1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7FEFE11F">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（1）价格调整公式</w:t>
      </w:r>
    </w:p>
    <w:p w14:paraId="4021F113">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因人工、材料和设备等价格波动影响合同价格时，根据专用合同条款中约定的数据，按以下公式计算差额并调整合同价格：</w:t>
      </w:r>
    </w:p>
    <w:p w14:paraId="0007DD20">
      <w:pPr>
        <w:tabs>
          <w:tab w:val="left" w:pos="0"/>
          <w:tab w:val="left" w:pos="360"/>
          <w:tab w:val="left" w:pos="540"/>
        </w:tabs>
        <w:spacing w:line="312" w:lineRule="auto"/>
        <w:ind w:firstLine="480" w:firstLineChars="200"/>
        <w:rPr>
          <w:rFonts w:ascii="宋体" w:hAnsi="宋体" w:eastAsia="宋体" w:cs="宋体"/>
          <w:color w:val="auto"/>
          <w:sz w:val="24"/>
          <w:highlight w:val="none"/>
        </w:rPr>
      </w:pPr>
    </w:p>
    <w:p w14:paraId="367F8985">
      <w:pPr>
        <w:tabs>
          <w:tab w:val="left" w:pos="0"/>
          <w:tab w:val="left" w:pos="360"/>
          <w:tab w:val="left" w:pos="540"/>
        </w:tabs>
        <w:spacing w:line="312" w:lineRule="auto"/>
        <w:ind w:firstLine="600" w:firstLineChars="200"/>
        <w:rPr>
          <w:rFonts w:ascii="宋体" w:hAnsi="宋体" w:eastAsia="宋体" w:cs="宋体"/>
          <w:color w:val="auto"/>
          <w:sz w:val="24"/>
          <w:highlight w:val="none"/>
        </w:rPr>
      </w:pPr>
      <w:r>
        <w:rPr>
          <w:rFonts w:hint="eastAsia" w:ascii="Times New Roman" w:hAnsi="Times New Roman" w:eastAsia="仿宋_GB2312"/>
          <w:color w:val="auto"/>
          <w:position w:val="-30"/>
          <w:sz w:val="30"/>
          <w:szCs w:val="32"/>
          <w:highlight w:val="none"/>
        </w:rPr>
        <w:object>
          <v:shape id="_x0000_i1025" o:spt="75" type="#_x0000_t75" style="height:44.85pt;width:339.6pt;" o:ole="t" filled="f" o:preferrelative="t" stroked="f" coordsize="21600,21600">
            <v:path/>
            <v:fill on="f" focussize="0,0"/>
            <v:stroke on="f" joinstyle="miter"/>
            <v:imagedata r:id="rId14" o:title=""/>
            <o:lock v:ext="edit" aspectratio="t"/>
            <w10:wrap type="none"/>
            <w10:anchorlock/>
          </v:shape>
          <o:OLEObject Type="Embed" ProgID="Equation.KSEE3" ShapeID="_x0000_i1025" DrawAspect="Content" ObjectID="_1468075725" r:id="rId13">
            <o:LockedField>false</o:LockedField>
          </o:OLEObject>
        </w:object>
      </w:r>
    </w:p>
    <w:p w14:paraId="680EC7CE">
      <w:pPr>
        <w:tabs>
          <w:tab w:val="left" w:pos="0"/>
          <w:tab w:val="left" w:pos="360"/>
          <w:tab w:val="left" w:pos="540"/>
        </w:tabs>
        <w:spacing w:line="312" w:lineRule="auto"/>
        <w:ind w:firstLine="640"/>
        <w:rPr>
          <w:rFonts w:ascii="宋体" w:hAnsi="宋体" w:eastAsia="宋体" w:cs="宋体"/>
          <w:color w:val="auto"/>
          <w:sz w:val="24"/>
          <w:highlight w:val="none"/>
        </w:rPr>
      </w:pPr>
      <w:r>
        <w:rPr>
          <w:rFonts w:hint="eastAsia" w:ascii="宋体" w:hAnsi="宋体" w:eastAsia="宋体" w:cs="宋体"/>
          <w:color w:val="auto"/>
          <w:sz w:val="24"/>
          <w:highlight w:val="none"/>
        </w:rPr>
        <w:t>公式中：ΔP——需调整的价格差额；</w:t>
      </w:r>
    </w:p>
    <w:p w14:paraId="5070ED70">
      <w:pPr>
        <w:tabs>
          <w:tab w:val="left" w:pos="0"/>
          <w:tab w:val="left" w:pos="360"/>
          <w:tab w:val="left" w:pos="540"/>
        </w:tabs>
        <w:spacing w:line="312" w:lineRule="auto"/>
        <w:ind w:firstLine="1440" w:firstLineChars="600"/>
        <w:rPr>
          <w:rFonts w:ascii="宋体" w:hAnsi="宋体" w:eastAsia="宋体" w:cs="宋体"/>
          <w:color w:val="auto"/>
          <w:sz w:val="24"/>
          <w:highlight w:val="none"/>
        </w:rPr>
      </w:pPr>
      <w:r>
        <w:rPr>
          <w:rFonts w:hint="eastAsia" w:ascii="宋体" w:hAnsi="宋体" w:eastAsia="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6" o:title=""/>
            <o:lock v:ext="edit" aspectratio="t"/>
            <w10:wrap type="none"/>
            <w10:anchorlock/>
          </v:shape>
          <o:OLEObject Type="Embed" ProgID="Equation.KSEE3" ShapeID="_x0000_i1026" DrawAspect="Content" ObjectID="_1468075726" r:id="rId15">
            <o:LockedField>false</o:LockedField>
          </o:OLEObject>
        </w:object>
      </w:r>
      <w:r>
        <w:rPr>
          <w:rFonts w:hint="eastAsia" w:ascii="宋体" w:hAnsi="宋体" w:eastAsia="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02D6BC2F">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A——定值权重（即不调部分的权重）；</w:t>
      </w:r>
    </w:p>
    <w:p w14:paraId="0248BCFD">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7" o:spt="75" type="#_x0000_t75" style="height:21.05pt;width:101.2pt;" o:ole="t" filled="f" o:preferrelative="t" stroked="f" coordsize="21600,21600">
            <v:path/>
            <v:fill on="f" focussize="0,0"/>
            <v:stroke on="f" joinstyle="miter"/>
            <v:imagedata r:id="rId18" o:title=""/>
            <o:lock v:ext="edit" aspectratio="t"/>
            <w10:wrap type="none"/>
            <w10:anchorlock/>
          </v:shape>
          <o:OLEObject Type="Embed" ProgID="Equation.KSEE3" ShapeID="_x0000_i1027" DrawAspect="Content" ObjectID="_1468075727" r:id="rId17">
            <o:LockedField>false</o:LockedField>
          </o:OLEObject>
        </w:object>
      </w:r>
      <w:r>
        <w:rPr>
          <w:rFonts w:hint="eastAsia" w:ascii="宋体" w:hAnsi="宋体" w:eastAsia="宋体" w:cs="宋体"/>
          <w:color w:val="auto"/>
          <w:sz w:val="24"/>
          <w:highlight w:val="none"/>
        </w:rPr>
        <w:t>——各可调因子的变值权重（即可调部分的权重），为各可调因子在签约合同价中所占的比例；</w:t>
      </w:r>
    </w:p>
    <w:p w14:paraId="5E9AAEAC">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8" o:spt="75" type="#_x0000_t75" style="height:20.4pt;width:101.9pt;" o:ole="t" filled="f" o:preferrelative="t" stroked="f" coordsize="21600,21600">
            <v:path/>
            <v:fill on="f" focussize="0,0"/>
            <v:stroke on="f" joinstyle="miter"/>
            <v:imagedata r:id="rId20" o:title=""/>
            <o:lock v:ext="edit" aspectratio="t"/>
            <w10:wrap type="none"/>
            <w10:anchorlock/>
          </v:shape>
          <o:OLEObject Type="Embed" ProgID="Equation.KSEE3" ShapeID="_x0000_i1028" DrawAspect="Content" ObjectID="_1468075728" r:id="rId19">
            <o:LockedField>false</o:LockedField>
          </o:OLEObject>
        </w:object>
      </w:r>
      <w:r>
        <w:rPr>
          <w:rFonts w:hint="eastAsia" w:ascii="宋体" w:hAnsi="宋体" w:eastAsia="宋体" w:cs="宋体"/>
          <w:color w:val="auto"/>
          <w:sz w:val="24"/>
          <w:highlight w:val="none"/>
        </w:rPr>
        <w:t>——各可调因子的现行价格指数，指约定的付款证书相关周期最后一天的前42天的各可调因子的价格指数；</w:t>
      </w:r>
    </w:p>
    <w:p w14:paraId="6A50B008">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9" o:spt="75" type="#_x0000_t75" style="height:20.4pt;width:108pt;" o:ole="t" filled="f" o:preferrelative="t" stroked="f" coordsize="21600,21600">
            <v:path/>
            <v:fill on="f" focussize="0,0"/>
            <v:stroke on="f" joinstyle="miter"/>
            <v:imagedata r:id="rId22" o:title=""/>
            <o:lock v:ext="edit" aspectratio="t"/>
            <w10:wrap type="none"/>
            <w10:anchorlock/>
          </v:shape>
          <o:OLEObject Type="Embed" ProgID="Equation.KSEE3" ShapeID="_x0000_i1029" DrawAspect="Content" ObjectID="_1468075729" r:id="rId21">
            <o:LockedField>false</o:LockedField>
          </o:OLEObject>
        </w:object>
      </w:r>
      <w:r>
        <w:rPr>
          <w:rFonts w:hint="eastAsia" w:ascii="宋体" w:hAnsi="宋体" w:eastAsia="宋体" w:cs="宋体"/>
          <w:color w:val="auto"/>
          <w:sz w:val="24"/>
          <w:highlight w:val="none"/>
        </w:rPr>
        <w:t>——各可调因子的基本价格指数，指基准日期的各可调因子的价格指数。</w:t>
      </w:r>
    </w:p>
    <w:p w14:paraId="708D766E">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52CAE12">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（2）暂时确定调整差额</w:t>
      </w:r>
    </w:p>
    <w:p w14:paraId="0F8DE8D9">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在计算调整差额时无现行价格指数的，合同当事人同意暂用前次价格指数计算。实际价格指数有调整的，合同当事人进行相应调整。</w:t>
      </w:r>
    </w:p>
    <w:p w14:paraId="3254EB18">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（3）权重的调整</w:t>
      </w:r>
    </w:p>
    <w:p w14:paraId="2EFAA05F">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因变更导致合同约定的权重不合理时，按照第4.4款〔商定或确定〕执行。</w:t>
      </w:r>
    </w:p>
    <w:p w14:paraId="0AE6C219">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（4）因承包人原因工期延误后的价格调整</w:t>
      </w:r>
    </w:p>
    <w:p w14:paraId="45C0362C">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6C5B433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0522FC3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CBA5F5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1E15072">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（2）材料、工程设备价格变化的价款调整按照发包人提供的基准价格，按以下风险范围规定执行</w:t>
      </w:r>
      <w:r>
        <w:rPr>
          <w:rFonts w:hint="eastAsia" w:ascii="宋体" w:hAnsi="宋体" w:eastAsia="宋体" w:cs="宋体"/>
          <w:color w:val="auto"/>
          <w:sz w:val="24"/>
          <w:highlight w:val="none"/>
          <w:lang w:eastAsia="zh-CN"/>
        </w:rPr>
        <w:t>：</w:t>
      </w:r>
    </w:p>
    <w:p w14:paraId="629917E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8F8D4F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0B469D3">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747109A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11AAACD7">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319EA02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（3）施工机械台班单价或施工机械使用费发生变化超过省级或行业建设主管部门或其授权的工程造价管理机构规定的范围时，按规定调整合同价格。</w:t>
      </w:r>
    </w:p>
    <w:p w14:paraId="30637A5F">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第3种方式：专用合同条款约定的其他方式。</w:t>
      </w:r>
    </w:p>
    <w:p w14:paraId="370DFCA3">
      <w:pPr>
        <w:pStyle w:val="6"/>
        <w:spacing w:before="120" w:after="120" w:line="312" w:lineRule="auto"/>
        <w:ind w:firstLine="480" w:firstLineChars="200"/>
        <w:rPr>
          <w:rFonts w:ascii="宋体" w:hAnsi="宋体" w:eastAsia="宋体" w:cs="宋体"/>
          <w:b w:val="0"/>
          <w:color w:val="auto"/>
          <w:sz w:val="24"/>
          <w:szCs w:val="24"/>
          <w:highlight w:val="none"/>
        </w:rPr>
      </w:pPr>
      <w:bookmarkStart w:id="367" w:name="_Toc351203579"/>
      <w:bookmarkStart w:id="368" w:name="_Toc337558798"/>
      <w:bookmarkStart w:id="369" w:name="_Toc296503093"/>
      <w:bookmarkStart w:id="370" w:name="_Toc296346594"/>
      <w:r>
        <w:rPr>
          <w:rFonts w:hint="eastAsia" w:ascii="宋体" w:hAnsi="宋体" w:eastAsia="宋体" w:cs="宋体"/>
          <w:b w:val="0"/>
          <w:color w:val="auto"/>
          <w:sz w:val="24"/>
          <w:szCs w:val="24"/>
          <w:highlight w:val="none"/>
        </w:rPr>
        <w:t>11.2法律变化引起的调整</w:t>
      </w:r>
      <w:bookmarkEnd w:id="367"/>
    </w:p>
    <w:bookmarkEnd w:id="368"/>
    <w:bookmarkEnd w:id="369"/>
    <w:bookmarkEnd w:id="370"/>
    <w:p w14:paraId="02122B1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50F459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因法律变化引起的合同价格和工期调整，合同当事人无法达成一致的，由总监理工程师按第4.4款〔商定或确定〕的约定处理。</w:t>
      </w:r>
    </w:p>
    <w:p w14:paraId="193D973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因承包人原因造成工期延误，在工期延误期间出现法律变化的，由此增加的费用和（或）延误的工期由承包人承担。</w:t>
      </w:r>
    </w:p>
    <w:p w14:paraId="0CE3C73F">
      <w:pPr>
        <w:pStyle w:val="5"/>
        <w:spacing w:before="120" w:after="120" w:line="312" w:lineRule="auto"/>
        <w:rPr>
          <w:rFonts w:ascii="宋体" w:hAnsi="宋体" w:eastAsia="宋体" w:cs="宋体"/>
          <w:b w:val="0"/>
          <w:color w:val="auto"/>
          <w:sz w:val="24"/>
          <w:szCs w:val="24"/>
          <w:highlight w:val="none"/>
        </w:rPr>
      </w:pPr>
      <w:bookmarkStart w:id="371" w:name="_Toc351203580"/>
      <w:bookmarkStart w:id="372" w:name="_Toc337558799"/>
      <w:bookmarkStart w:id="373" w:name="_Toc296503096"/>
      <w:bookmarkStart w:id="374" w:name="_Toc296346597"/>
      <w:r>
        <w:rPr>
          <w:rFonts w:hint="eastAsia" w:ascii="宋体" w:hAnsi="宋体" w:eastAsia="宋体" w:cs="宋体"/>
          <w:b w:val="0"/>
          <w:color w:val="auto"/>
          <w:sz w:val="24"/>
          <w:szCs w:val="24"/>
          <w:highlight w:val="none"/>
        </w:rPr>
        <w:t>12. 合同价格、计量与支付</w:t>
      </w:r>
      <w:bookmarkEnd w:id="371"/>
    </w:p>
    <w:bookmarkEnd w:id="372"/>
    <w:p w14:paraId="780F1F49">
      <w:pPr>
        <w:pStyle w:val="6"/>
        <w:spacing w:before="120" w:after="120" w:line="312" w:lineRule="auto"/>
        <w:ind w:firstLine="480" w:firstLineChars="200"/>
        <w:rPr>
          <w:rFonts w:ascii="宋体" w:hAnsi="宋体" w:eastAsia="宋体" w:cs="宋体"/>
          <w:b w:val="0"/>
          <w:color w:val="auto"/>
          <w:sz w:val="24"/>
          <w:szCs w:val="24"/>
          <w:highlight w:val="none"/>
        </w:rPr>
      </w:pPr>
      <w:bookmarkStart w:id="375" w:name="_Toc351203581"/>
      <w:bookmarkStart w:id="376" w:name="_Toc337558800"/>
      <w:r>
        <w:rPr>
          <w:rFonts w:hint="eastAsia" w:ascii="宋体" w:hAnsi="宋体" w:eastAsia="宋体" w:cs="宋体"/>
          <w:b w:val="0"/>
          <w:color w:val="auto"/>
          <w:sz w:val="24"/>
          <w:szCs w:val="24"/>
          <w:highlight w:val="none"/>
        </w:rPr>
        <w:t>12.1 合同价</w:t>
      </w:r>
      <w:bookmarkEnd w:id="373"/>
      <w:bookmarkEnd w:id="374"/>
      <w:r>
        <w:rPr>
          <w:rFonts w:hint="eastAsia" w:ascii="宋体" w:hAnsi="宋体" w:eastAsia="宋体" w:cs="宋体"/>
          <w:b w:val="0"/>
          <w:color w:val="auto"/>
          <w:sz w:val="24"/>
          <w:szCs w:val="24"/>
          <w:highlight w:val="none"/>
        </w:rPr>
        <w:t>格形式</w:t>
      </w:r>
      <w:bookmarkEnd w:id="375"/>
    </w:p>
    <w:bookmarkEnd w:id="376"/>
    <w:p w14:paraId="4840D1B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发包人和承包人应在合同协议书中选择下列一种合同价格形式： </w:t>
      </w:r>
    </w:p>
    <w:p w14:paraId="7EAF0B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w:t>
      </w:r>
    </w:p>
    <w:p w14:paraId="5E8264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4"/>
          <w:highlight w:val="none"/>
        </w:rPr>
        <w:t>在约定的范围内合同单价不作调整</w:t>
      </w:r>
      <w:r>
        <w:rPr>
          <w:rFonts w:hint="eastAsia" w:ascii="宋体" w:hAnsi="宋体" w:eastAsia="宋体" w:cs="宋体"/>
          <w:color w:val="auto"/>
          <w:kern w:val="0"/>
          <w:sz w:val="24"/>
          <w:highlight w:val="none"/>
        </w:rPr>
        <w:t>。合同当事人应在专用合同条款中约定综合单价包含的风险范围和风险费用的计算方法</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并约定风险范围以外的合同价格的调整方法，其中因市场价格波动引起的调整按第11.1款〔市场价格波动引起的调整〕约定执行。</w:t>
      </w:r>
    </w:p>
    <w:p w14:paraId="0AA8AA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w:t>
      </w:r>
    </w:p>
    <w:p w14:paraId="72D504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highlight w:val="none"/>
        </w:rPr>
        <w:t>在约定的范围内合同总价不作调整</w:t>
      </w:r>
      <w:r>
        <w:rPr>
          <w:rFonts w:hint="eastAsia" w:ascii="宋体" w:hAnsi="宋体" w:eastAsia="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A43A3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3、其它价格形式</w:t>
      </w:r>
    </w:p>
    <w:p w14:paraId="102B5C4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合同当事人可在专用合同条款中约定其他合同价格形式。</w:t>
      </w:r>
    </w:p>
    <w:p w14:paraId="681E4322">
      <w:pPr>
        <w:pStyle w:val="6"/>
        <w:spacing w:before="120" w:after="120" w:line="312" w:lineRule="auto"/>
        <w:ind w:firstLine="480" w:firstLineChars="200"/>
        <w:rPr>
          <w:rFonts w:ascii="宋体" w:hAnsi="宋体" w:eastAsia="宋体" w:cs="宋体"/>
          <w:b w:val="0"/>
          <w:color w:val="auto"/>
          <w:sz w:val="24"/>
          <w:szCs w:val="24"/>
          <w:highlight w:val="none"/>
        </w:rPr>
      </w:pPr>
      <w:bookmarkStart w:id="377" w:name="_Toc296346598"/>
      <w:bookmarkStart w:id="378" w:name="_Toc296503097"/>
      <w:bookmarkStart w:id="379" w:name="_Toc351203582"/>
      <w:bookmarkStart w:id="380" w:name="_Toc337558801"/>
      <w:r>
        <w:rPr>
          <w:rFonts w:hint="eastAsia" w:ascii="宋体" w:hAnsi="宋体" w:eastAsia="宋体" w:cs="宋体"/>
          <w:b w:val="0"/>
          <w:color w:val="auto"/>
          <w:sz w:val="24"/>
          <w:szCs w:val="24"/>
          <w:highlight w:val="none"/>
        </w:rPr>
        <w:t>12.2预</w:t>
      </w:r>
      <w:bookmarkEnd w:id="377"/>
      <w:bookmarkEnd w:id="378"/>
      <w:bookmarkStart w:id="381" w:name="_Toc296503100"/>
      <w:bookmarkStart w:id="382" w:name="_Toc296346601"/>
      <w:r>
        <w:rPr>
          <w:rFonts w:hint="eastAsia" w:ascii="宋体" w:hAnsi="宋体" w:eastAsia="宋体" w:cs="宋体"/>
          <w:b w:val="0"/>
          <w:color w:val="auto"/>
          <w:sz w:val="24"/>
          <w:szCs w:val="24"/>
          <w:highlight w:val="none"/>
        </w:rPr>
        <w:t>付款</w:t>
      </w:r>
      <w:bookmarkEnd w:id="379"/>
    </w:p>
    <w:bookmarkEnd w:id="380"/>
    <w:bookmarkEnd w:id="381"/>
    <w:bookmarkEnd w:id="382"/>
    <w:p w14:paraId="22C9F98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kern w:val="0"/>
          <w:sz w:val="24"/>
          <w:highlight w:val="none"/>
        </w:rPr>
        <w:t>1预付款的支付</w:t>
      </w:r>
    </w:p>
    <w:p w14:paraId="2AB3897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24BA802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7CA4C1A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01F7DC44">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6E73F2F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336F7E3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发包人在工程款中逐期扣回预付款后，预付款担保额度应相应减少，但剩余的预付款担保金额不得低于未被扣回的预付款金额。</w:t>
      </w:r>
    </w:p>
    <w:p w14:paraId="6BA03848">
      <w:pPr>
        <w:pStyle w:val="6"/>
        <w:spacing w:before="120" w:after="120" w:line="312" w:lineRule="auto"/>
        <w:ind w:firstLine="480" w:firstLineChars="200"/>
        <w:rPr>
          <w:rFonts w:ascii="宋体" w:hAnsi="宋体" w:eastAsia="宋体" w:cs="宋体"/>
          <w:b w:val="0"/>
          <w:color w:val="auto"/>
          <w:sz w:val="24"/>
          <w:szCs w:val="24"/>
          <w:highlight w:val="none"/>
        </w:rPr>
      </w:pPr>
      <w:bookmarkStart w:id="383" w:name="_Toc351203583"/>
      <w:bookmarkStart w:id="384" w:name="_Toc337558802"/>
      <w:r>
        <w:rPr>
          <w:rFonts w:hint="eastAsia" w:ascii="宋体" w:hAnsi="宋体" w:eastAsia="宋体" w:cs="宋体"/>
          <w:b w:val="0"/>
          <w:color w:val="auto"/>
          <w:sz w:val="24"/>
          <w:szCs w:val="24"/>
          <w:highlight w:val="none"/>
        </w:rPr>
        <w:t>12.3计量</w:t>
      </w:r>
      <w:bookmarkEnd w:id="383"/>
    </w:p>
    <w:bookmarkEnd w:id="384"/>
    <w:p w14:paraId="659479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12.3.1 计量原则</w:t>
      </w:r>
    </w:p>
    <w:p w14:paraId="00B1A0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00FACD2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12.3.2 计量周期</w:t>
      </w:r>
    </w:p>
    <w:p w14:paraId="4C1283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除专用合同条款另有约定外，工程量的计量按月进行。</w:t>
      </w:r>
    </w:p>
    <w:p w14:paraId="55439A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12.3.3 单价合同的计量</w:t>
      </w:r>
    </w:p>
    <w:p w14:paraId="4A1109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除专用合同条款另有约定外，单价合同的计量按照本项约定执行：</w:t>
      </w:r>
    </w:p>
    <w:p w14:paraId="6FD2DFF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4A69EB7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F65C2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193CF5B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12.3.4 总价合同的计量</w:t>
      </w:r>
    </w:p>
    <w:p w14:paraId="222B378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除专用合同条款另有约定外，按月计量支付的总价合同，按照本项约定执行：</w:t>
      </w:r>
    </w:p>
    <w:p w14:paraId="15C371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7FFA3A7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FEB67D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（3）监理人未在收到承包人提交的工程量报表后的7天内完成复核的，承包人提交的工程量报告中的工程量视为承包人实际完成的工程量。</w:t>
      </w:r>
    </w:p>
    <w:p w14:paraId="7463F0E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12.3.5 总价合同采用支付分解表计量支付的，可以按照第12.3.4项〔总价合同的计量〕约定进行计量，但合同价款按照支付分解表进行支付。</w:t>
      </w:r>
    </w:p>
    <w:p w14:paraId="632A2DB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12.3.6 其他价格形式合同的计量</w:t>
      </w:r>
    </w:p>
    <w:p w14:paraId="0771387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合同当事人可在专用合同条款中约定其他价格形式合同的计量方式和程序。</w:t>
      </w:r>
    </w:p>
    <w:p w14:paraId="042BA22F">
      <w:pPr>
        <w:pStyle w:val="6"/>
        <w:spacing w:before="120" w:after="120" w:line="312" w:lineRule="auto"/>
        <w:ind w:firstLine="480" w:firstLineChars="200"/>
        <w:rPr>
          <w:rFonts w:ascii="宋体" w:hAnsi="宋体" w:eastAsia="宋体" w:cs="宋体"/>
          <w:b w:val="0"/>
          <w:color w:val="auto"/>
          <w:sz w:val="24"/>
          <w:szCs w:val="24"/>
          <w:highlight w:val="none"/>
        </w:rPr>
      </w:pPr>
      <w:bookmarkStart w:id="385" w:name="_Toc296503101"/>
      <w:bookmarkStart w:id="386" w:name="_Toc296346602"/>
      <w:bookmarkStart w:id="387" w:name="_Toc351203584"/>
      <w:bookmarkStart w:id="388" w:name="_Toc337558803"/>
      <w:r>
        <w:rPr>
          <w:rFonts w:hint="eastAsia" w:ascii="宋体" w:hAnsi="宋体" w:eastAsia="宋体" w:cs="宋体"/>
          <w:b w:val="0"/>
          <w:color w:val="auto"/>
          <w:sz w:val="24"/>
          <w:szCs w:val="24"/>
          <w:highlight w:val="none"/>
        </w:rPr>
        <w:t>12.4工程进度款支</w:t>
      </w:r>
      <w:bookmarkEnd w:id="385"/>
      <w:bookmarkEnd w:id="386"/>
      <w:r>
        <w:rPr>
          <w:rFonts w:hint="eastAsia" w:ascii="宋体" w:hAnsi="宋体" w:eastAsia="宋体" w:cs="宋体"/>
          <w:b w:val="0"/>
          <w:color w:val="auto"/>
          <w:sz w:val="24"/>
          <w:szCs w:val="24"/>
          <w:highlight w:val="none"/>
        </w:rPr>
        <w:t>付</w:t>
      </w:r>
      <w:bookmarkEnd w:id="387"/>
    </w:p>
    <w:bookmarkEnd w:id="388"/>
    <w:p w14:paraId="35C0451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.1 付款周期</w:t>
      </w:r>
    </w:p>
    <w:p w14:paraId="3833ACD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除专用合同条款另有约定外，付款周期应按照第12.3.2项〔计量周期〕的约定与计量周期保持一致。</w:t>
      </w:r>
    </w:p>
    <w:p w14:paraId="6CA9F1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.2 进度付款申请单的编制</w:t>
      </w:r>
    </w:p>
    <w:p w14:paraId="69BC7E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除专用合同条款另有约定外，进度付款申请单应包括下列内容：</w:t>
      </w:r>
    </w:p>
    <w:p w14:paraId="16CB32C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（1）截至本次付款周期已完成工作对应的金额；</w:t>
      </w:r>
    </w:p>
    <w:p w14:paraId="53E7E9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（2）根据第10条〔变更〕应增加和扣减的变更金额；</w:t>
      </w:r>
    </w:p>
    <w:p w14:paraId="3007573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（3）根据第12.2款〔预付款〕约定应支付的预付款和扣减的返还预付款；</w:t>
      </w:r>
    </w:p>
    <w:p w14:paraId="17C50A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（4）根据第15.3款〔质量保证金〕约定应扣减的质量保证金；</w:t>
      </w:r>
    </w:p>
    <w:p w14:paraId="3D777D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（5）根据第19条〔索赔〕应增加和扣减的索赔金额；</w:t>
      </w:r>
    </w:p>
    <w:p w14:paraId="12FA31E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（6）对已签发的进度款支付证书中出现错误的修正，应在本次进度付款中支付或扣除的金额；</w:t>
      </w:r>
    </w:p>
    <w:p w14:paraId="11B27F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（7）根据合同约定应增加和扣减的其他金额。</w:t>
      </w:r>
    </w:p>
    <w:p w14:paraId="21BED6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12.4.3 进度付款申请单的提交</w:t>
      </w:r>
    </w:p>
    <w:p w14:paraId="351E67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（1）单价合同进度付款申请单的提交</w:t>
      </w:r>
    </w:p>
    <w:p w14:paraId="7EA51E9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4BDC54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（2）总价合同进度付款申请单的提交</w:t>
      </w:r>
    </w:p>
    <w:p w14:paraId="603682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768C26E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总价合同按支付分解表支付的，承包人应按照第12.4.6项〔支付分解表〕及第12.4.2项〔进度付款申请单的编制〕的约定向监理人提交进度付款申请单。</w:t>
      </w:r>
    </w:p>
    <w:p w14:paraId="0938CD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（3）其他价格形式合同的进度付款申请单的提交</w:t>
      </w:r>
    </w:p>
    <w:p w14:paraId="4F6A48F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合同当事人可在专用合同条款中约定其他价格形式合同的进度付款申请单的编制和提交程序。</w:t>
      </w:r>
    </w:p>
    <w:p w14:paraId="06EAE1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.4 进度款审核和支付</w:t>
      </w:r>
    </w:p>
    <w:p w14:paraId="551D2D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783FAC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76EC85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03C1BE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（3）发包人签发进度款支付证书或临时进度款支付证书，不表明发包人已同意、批准或接受了承包人完成的相应部分的工作。</w:t>
      </w:r>
    </w:p>
    <w:p w14:paraId="24089E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12.4.5 进度付款的修正</w:t>
      </w:r>
    </w:p>
    <w:p w14:paraId="41FEAC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546B4D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12.4.6 支付分解表</w:t>
      </w:r>
    </w:p>
    <w:p w14:paraId="567D381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1、支付分解表的编制要求</w:t>
      </w:r>
    </w:p>
    <w:p w14:paraId="6CD99FE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（1）支付分解表中所列的每期付款金额，应为第12.4.2项〔进度付款申请单的编制〕第（1）目的估算金额；</w:t>
      </w:r>
    </w:p>
    <w:p w14:paraId="7A7F822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（2）实际进度与施工进度计划不一致的，合同当事人可按照第4.4款〔商定或确定〕修改支付分解表；</w:t>
      </w:r>
    </w:p>
    <w:p w14:paraId="4D35B07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（3）不采用支付分解表的，承包人应向发包人和监理人提交按季度编制的支付估算分解表，用于支付参考。</w:t>
      </w:r>
    </w:p>
    <w:p w14:paraId="70243C3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2、总价合同支付分解表的编制与审批</w:t>
      </w:r>
    </w:p>
    <w:p w14:paraId="01E5372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F3983F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728ECE0A">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7138D38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3、单价合同的总价项目支付分解表的编制与审批</w:t>
      </w:r>
    </w:p>
    <w:p w14:paraId="071450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88DA50F">
      <w:pPr>
        <w:pStyle w:val="6"/>
        <w:spacing w:before="120" w:after="120" w:line="312" w:lineRule="auto"/>
        <w:ind w:firstLine="480" w:firstLineChars="200"/>
        <w:rPr>
          <w:rFonts w:ascii="宋体" w:hAnsi="宋体" w:eastAsia="宋体" w:cs="宋体"/>
          <w:b w:val="0"/>
          <w:color w:val="auto"/>
          <w:sz w:val="24"/>
          <w:szCs w:val="24"/>
          <w:highlight w:val="none"/>
        </w:rPr>
      </w:pPr>
      <w:bookmarkStart w:id="389" w:name="_Toc351203585"/>
      <w:r>
        <w:rPr>
          <w:rFonts w:hint="eastAsia" w:ascii="宋体" w:hAnsi="宋体" w:eastAsia="宋体" w:cs="宋体"/>
          <w:b w:val="0"/>
          <w:color w:val="auto"/>
          <w:sz w:val="24"/>
          <w:szCs w:val="24"/>
          <w:highlight w:val="none"/>
        </w:rPr>
        <w:t>12.5支付账户</w:t>
      </w:r>
      <w:bookmarkEnd w:id="389"/>
    </w:p>
    <w:p w14:paraId="1882F1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发包人应将合同价款支付至合同协议书中约定的承包人账户。</w:t>
      </w:r>
    </w:p>
    <w:p w14:paraId="6F025B2A">
      <w:pPr>
        <w:pStyle w:val="5"/>
        <w:spacing w:before="120" w:after="120" w:line="312" w:lineRule="auto"/>
        <w:rPr>
          <w:rFonts w:ascii="宋体" w:hAnsi="宋体" w:eastAsia="宋体" w:cs="宋体"/>
          <w:b w:val="0"/>
          <w:color w:val="auto"/>
          <w:sz w:val="24"/>
          <w:szCs w:val="24"/>
          <w:highlight w:val="none"/>
        </w:rPr>
      </w:pPr>
      <w:bookmarkStart w:id="390" w:name="_Toc351203586"/>
      <w:bookmarkStart w:id="391" w:name="_Toc337558804"/>
      <w:bookmarkStart w:id="392" w:name="_Toc322522574"/>
      <w:bookmarkStart w:id="393" w:name="_Toc296346607"/>
      <w:bookmarkStart w:id="394" w:name="_Toc296503106"/>
      <w:r>
        <w:rPr>
          <w:rFonts w:hint="eastAsia" w:ascii="宋体" w:hAnsi="宋体" w:eastAsia="宋体" w:cs="宋体"/>
          <w:b w:val="0"/>
          <w:color w:val="auto"/>
          <w:sz w:val="24"/>
          <w:szCs w:val="24"/>
          <w:highlight w:val="none"/>
        </w:rPr>
        <w:t>13. 验收和工程试车</w:t>
      </w:r>
      <w:bookmarkEnd w:id="390"/>
    </w:p>
    <w:bookmarkEnd w:id="391"/>
    <w:bookmarkEnd w:id="392"/>
    <w:bookmarkEnd w:id="393"/>
    <w:bookmarkEnd w:id="394"/>
    <w:p w14:paraId="0B82A77B">
      <w:pPr>
        <w:pStyle w:val="6"/>
        <w:spacing w:before="120" w:after="120" w:line="312" w:lineRule="auto"/>
        <w:ind w:firstLine="480" w:firstLineChars="200"/>
        <w:rPr>
          <w:rFonts w:ascii="宋体" w:hAnsi="宋体" w:eastAsia="宋体" w:cs="宋体"/>
          <w:b w:val="0"/>
          <w:color w:val="auto"/>
          <w:sz w:val="24"/>
          <w:szCs w:val="24"/>
          <w:highlight w:val="none"/>
        </w:rPr>
      </w:pPr>
      <w:bookmarkStart w:id="395" w:name="_Toc351203587"/>
      <w:bookmarkStart w:id="396" w:name="_Toc337558805"/>
      <w:bookmarkStart w:id="397" w:name="_Toc296346611"/>
      <w:bookmarkStart w:id="398" w:name="_Toc296503110"/>
      <w:r>
        <w:rPr>
          <w:rFonts w:hint="eastAsia" w:ascii="宋体" w:hAnsi="宋体" w:eastAsia="宋体" w:cs="宋体"/>
          <w:b w:val="0"/>
          <w:color w:val="auto"/>
          <w:sz w:val="24"/>
          <w:szCs w:val="24"/>
          <w:highlight w:val="none"/>
        </w:rPr>
        <w:t>13.1分部分项工程验收</w:t>
      </w:r>
      <w:bookmarkEnd w:id="395"/>
    </w:p>
    <w:bookmarkEnd w:id="396"/>
    <w:p w14:paraId="32CF54C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13.1.1 分部分项工程质量应符合国家有关工程施工验收规范、标准及合同约定，承包人应按照施工组织设计的要求完成分部分项工程施工。</w:t>
      </w:r>
    </w:p>
    <w:p w14:paraId="56E6D17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highlight w:val="none"/>
        </w:rPr>
        <w:t>分部分项工程未经验收的，不得进入下一道工序施工。</w:t>
      </w:r>
    </w:p>
    <w:p w14:paraId="776CAE97">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分部分项工程的验收资料应当作为竣工资料的组成部分。</w:t>
      </w:r>
    </w:p>
    <w:p w14:paraId="09CDC7CD">
      <w:pPr>
        <w:pStyle w:val="6"/>
        <w:spacing w:before="120" w:after="120" w:line="312" w:lineRule="auto"/>
        <w:ind w:firstLine="480" w:firstLineChars="200"/>
        <w:rPr>
          <w:rFonts w:ascii="宋体" w:hAnsi="宋体" w:eastAsia="宋体" w:cs="宋体"/>
          <w:b w:val="0"/>
          <w:color w:val="auto"/>
          <w:sz w:val="24"/>
          <w:szCs w:val="24"/>
          <w:highlight w:val="none"/>
        </w:rPr>
      </w:pPr>
      <w:bookmarkStart w:id="399" w:name="_Toc351203588"/>
      <w:bookmarkStart w:id="400" w:name="_Toc337558806"/>
      <w:r>
        <w:rPr>
          <w:rFonts w:hint="eastAsia" w:ascii="宋体" w:hAnsi="宋体" w:eastAsia="宋体" w:cs="宋体"/>
          <w:b w:val="0"/>
          <w:color w:val="auto"/>
          <w:sz w:val="24"/>
          <w:szCs w:val="24"/>
          <w:highlight w:val="none"/>
        </w:rPr>
        <w:t>13.2竣工验收</w:t>
      </w:r>
      <w:bookmarkEnd w:id="399"/>
    </w:p>
    <w:bookmarkEnd w:id="397"/>
    <w:bookmarkEnd w:id="398"/>
    <w:bookmarkEnd w:id="400"/>
    <w:p w14:paraId="0633314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13.2.1竣工验收条件</w:t>
      </w:r>
    </w:p>
    <w:p w14:paraId="42D7BA0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工程具备以下条件的，承包人可以申请竣工验收：</w:t>
      </w:r>
    </w:p>
    <w:p w14:paraId="657D204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6329D0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（2）已按合同约定编制了甩项工作和缺陷修补工作清单以及相应的施工计划；</w:t>
      </w:r>
    </w:p>
    <w:p w14:paraId="2AAA77A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（3）已按合同约定的内容和份数备齐竣工资料。</w:t>
      </w:r>
    </w:p>
    <w:p w14:paraId="78EC24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13.2.2竣工验收程序</w:t>
      </w:r>
    </w:p>
    <w:p w14:paraId="7BF2CF1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除专用合同条款另有约定外，承包人申请竣工验收的，应当按照以下程序进行：</w:t>
      </w:r>
    </w:p>
    <w:p w14:paraId="6D0CAF3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464F51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4C6643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537A7E8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764FB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DD40D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07CEBE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13.2.3竣工日期</w:t>
      </w:r>
    </w:p>
    <w:p w14:paraId="1D99D85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eastAsia="宋体" w:cs="宋体"/>
          <w:color w:val="auto"/>
          <w:kern w:val="0"/>
          <w:sz w:val="24"/>
          <w:highlight w:val="none"/>
        </w:rPr>
        <w:t>收申请报告的日期为实际竣工日期；工程未经竣工验收，发包人擅自使用的，以转移占有工程之日为实际竣工日期。</w:t>
      </w:r>
    </w:p>
    <w:p w14:paraId="3D35F9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13.2.4 拒绝接收全部或部分工程</w:t>
      </w:r>
    </w:p>
    <w:p w14:paraId="0EC1C3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253AC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13.2.5 移交、接收全部与部分工程</w:t>
      </w:r>
    </w:p>
    <w:p w14:paraId="1BE42D6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除专用合同条款另有约定外，合同当事人应当在颁发工程接收证书后7天内完成工程的移交。</w:t>
      </w:r>
    </w:p>
    <w:p w14:paraId="36E722E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11B683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013C454">
      <w:pPr>
        <w:pStyle w:val="6"/>
        <w:spacing w:before="120" w:after="120" w:line="312" w:lineRule="auto"/>
        <w:ind w:firstLine="480" w:firstLineChars="200"/>
        <w:rPr>
          <w:rFonts w:ascii="宋体" w:hAnsi="宋体" w:eastAsia="宋体" w:cs="宋体"/>
          <w:b w:val="0"/>
          <w:color w:val="auto"/>
          <w:sz w:val="24"/>
          <w:szCs w:val="24"/>
          <w:highlight w:val="none"/>
        </w:rPr>
      </w:pPr>
      <w:bookmarkStart w:id="402" w:name="_Toc351203589"/>
      <w:bookmarkStart w:id="403" w:name="_Toc337558807"/>
      <w:bookmarkStart w:id="404" w:name="_Toc296346612"/>
      <w:bookmarkStart w:id="405" w:name="_Toc296503111"/>
      <w:r>
        <w:rPr>
          <w:rFonts w:hint="eastAsia" w:ascii="宋体" w:hAnsi="宋体" w:eastAsia="宋体" w:cs="宋体"/>
          <w:b w:val="0"/>
          <w:color w:val="auto"/>
          <w:sz w:val="24"/>
          <w:szCs w:val="24"/>
          <w:highlight w:val="none"/>
        </w:rPr>
        <w:t>13.3工程试车</w:t>
      </w:r>
      <w:bookmarkEnd w:id="402"/>
    </w:p>
    <w:bookmarkEnd w:id="403"/>
    <w:bookmarkEnd w:id="404"/>
    <w:bookmarkEnd w:id="405"/>
    <w:p w14:paraId="3DDA12A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45C4470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工程需要试车的，除专用合同条款另有约定外，试车内容应与承包人承包范围相一致，试车费用由承包人承担。工程试车应按如下程序进行：</w:t>
      </w:r>
    </w:p>
    <w:p w14:paraId="591A8A8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944C40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145C14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4886F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13.3.2 试车中的责任</w:t>
      </w:r>
    </w:p>
    <w:p w14:paraId="6B77C14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25BDA3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50CD92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13.3.3 投料试车</w:t>
      </w:r>
    </w:p>
    <w:p w14:paraId="6E24ACD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37E33C3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37834D3">
      <w:pPr>
        <w:pStyle w:val="6"/>
        <w:spacing w:before="120" w:after="120" w:line="312" w:lineRule="auto"/>
        <w:rPr>
          <w:rFonts w:ascii="宋体" w:hAnsi="宋体" w:eastAsia="宋体" w:cs="宋体"/>
          <w:b w:val="0"/>
          <w:color w:val="auto"/>
          <w:sz w:val="24"/>
          <w:szCs w:val="24"/>
          <w:highlight w:val="none"/>
        </w:rPr>
      </w:pPr>
      <w:bookmarkStart w:id="406" w:name="_Toc337558808"/>
      <w:r>
        <w:rPr>
          <w:rFonts w:hint="eastAsia" w:ascii="宋体" w:hAnsi="宋体" w:eastAsia="宋体" w:cs="宋体"/>
          <w:b w:val="0"/>
          <w:color w:val="auto"/>
          <w:sz w:val="24"/>
          <w:szCs w:val="24"/>
          <w:highlight w:val="none"/>
        </w:rPr>
        <w:t xml:space="preserve">    </w:t>
      </w:r>
      <w:bookmarkStart w:id="407" w:name="_Toc351203590"/>
      <w:r>
        <w:rPr>
          <w:rFonts w:hint="eastAsia" w:ascii="宋体" w:hAnsi="宋体" w:eastAsia="宋体" w:cs="宋体"/>
          <w:b w:val="0"/>
          <w:color w:val="auto"/>
          <w:sz w:val="24"/>
          <w:szCs w:val="24"/>
          <w:highlight w:val="none"/>
        </w:rPr>
        <w:t>13.4提前交付单位工程的验收</w:t>
      </w:r>
      <w:bookmarkEnd w:id="407"/>
    </w:p>
    <w:bookmarkEnd w:id="406"/>
    <w:p w14:paraId="7D5FD5A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3803781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76FD31F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14A2564F">
      <w:pPr>
        <w:pStyle w:val="6"/>
        <w:spacing w:before="120" w:after="120" w:line="312" w:lineRule="auto"/>
        <w:ind w:firstLine="480" w:firstLineChars="200"/>
        <w:rPr>
          <w:rFonts w:ascii="宋体" w:hAnsi="宋体" w:eastAsia="宋体" w:cs="宋体"/>
          <w:b w:val="0"/>
          <w:color w:val="auto"/>
          <w:sz w:val="24"/>
          <w:szCs w:val="24"/>
          <w:highlight w:val="none"/>
        </w:rPr>
      </w:pPr>
      <w:bookmarkStart w:id="408" w:name="_Toc351203591"/>
      <w:r>
        <w:rPr>
          <w:rFonts w:hint="eastAsia" w:ascii="宋体" w:hAnsi="宋体" w:eastAsia="宋体" w:cs="宋体"/>
          <w:b w:val="0"/>
          <w:color w:val="auto"/>
          <w:sz w:val="24"/>
          <w:szCs w:val="24"/>
          <w:highlight w:val="none"/>
        </w:rPr>
        <w:t>13.5 施工期运行</w:t>
      </w:r>
      <w:bookmarkEnd w:id="408"/>
    </w:p>
    <w:p w14:paraId="75FE41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0CD5AA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13.5.2 在施工期运行中发现工程或工程设备损坏或存在缺陷的，由承包人按第15.2款〔缺陷责任期〕约定进行修复。</w:t>
      </w:r>
    </w:p>
    <w:p w14:paraId="48C26B02">
      <w:pPr>
        <w:pStyle w:val="6"/>
        <w:spacing w:before="120" w:after="120" w:line="312" w:lineRule="auto"/>
        <w:ind w:firstLine="480" w:firstLineChars="200"/>
        <w:rPr>
          <w:rFonts w:ascii="宋体" w:hAnsi="宋体" w:eastAsia="宋体" w:cs="宋体"/>
          <w:b w:val="0"/>
          <w:color w:val="auto"/>
          <w:sz w:val="24"/>
          <w:szCs w:val="24"/>
          <w:highlight w:val="none"/>
        </w:rPr>
      </w:pPr>
      <w:bookmarkStart w:id="409" w:name="_Toc296346613"/>
      <w:bookmarkStart w:id="410" w:name="_Toc296503112"/>
      <w:bookmarkStart w:id="411" w:name="_Toc351203592"/>
      <w:bookmarkStart w:id="412" w:name="_Toc337558809"/>
      <w:r>
        <w:rPr>
          <w:rFonts w:hint="eastAsia" w:ascii="宋体" w:hAnsi="宋体" w:eastAsia="宋体" w:cs="宋体"/>
          <w:b w:val="0"/>
          <w:color w:val="auto"/>
          <w:sz w:val="24"/>
          <w:szCs w:val="24"/>
          <w:highlight w:val="none"/>
        </w:rPr>
        <w:t>13.6 竣工退</w:t>
      </w:r>
      <w:bookmarkEnd w:id="409"/>
      <w:bookmarkEnd w:id="410"/>
      <w:r>
        <w:rPr>
          <w:rFonts w:hint="eastAsia" w:ascii="宋体" w:hAnsi="宋体" w:eastAsia="宋体" w:cs="宋体"/>
          <w:b w:val="0"/>
          <w:color w:val="auto"/>
          <w:sz w:val="24"/>
          <w:szCs w:val="24"/>
          <w:highlight w:val="none"/>
        </w:rPr>
        <w:t>场</w:t>
      </w:r>
      <w:bookmarkEnd w:id="411"/>
    </w:p>
    <w:bookmarkEnd w:id="412"/>
    <w:p w14:paraId="6478806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13.6.1 竣工退场</w:t>
      </w:r>
    </w:p>
    <w:p w14:paraId="6B8414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颁发工程接收证书后，承包人应按以下要求对施工现场进行清理：</w:t>
      </w:r>
    </w:p>
    <w:p w14:paraId="3164B3C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（1）施工现场内残留的垃圾已全部清除出场；</w:t>
      </w:r>
    </w:p>
    <w:p w14:paraId="27AE824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（2）临时工程已拆除，场地已进行清理、平整或复原；</w:t>
      </w:r>
    </w:p>
    <w:p w14:paraId="2C6FC20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（3）按合同约定应撤离的人员、承包人施工设备和剩余的材料，包括废弃的施工设备和材料，已按计划撤离施工现场；</w:t>
      </w:r>
    </w:p>
    <w:p w14:paraId="14BC7A0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（4）施工现场周边及其附近道路、河道的施工堆积物，已全部清理；</w:t>
      </w:r>
    </w:p>
    <w:p w14:paraId="6692B33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（5）施工现场其他场地清理工作已全部完成。</w:t>
      </w:r>
    </w:p>
    <w:p w14:paraId="166E133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7A8951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13.6.2 地表还原</w:t>
      </w:r>
    </w:p>
    <w:p w14:paraId="525B074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970C64B">
      <w:pPr>
        <w:pStyle w:val="5"/>
        <w:spacing w:before="120" w:after="120" w:line="312" w:lineRule="auto"/>
        <w:rPr>
          <w:rFonts w:ascii="宋体" w:hAnsi="宋体" w:eastAsia="宋体" w:cs="宋体"/>
          <w:b w:val="0"/>
          <w:color w:val="auto"/>
          <w:sz w:val="24"/>
          <w:szCs w:val="24"/>
          <w:highlight w:val="none"/>
        </w:rPr>
      </w:pPr>
      <w:bookmarkStart w:id="413" w:name="_Toc351203593"/>
      <w:bookmarkStart w:id="414" w:name="_Toc337558810"/>
      <w:bookmarkStart w:id="415" w:name="_Toc296503113"/>
      <w:bookmarkStart w:id="416" w:name="_Toc296346614"/>
      <w:r>
        <w:rPr>
          <w:rFonts w:hint="eastAsia" w:ascii="宋体" w:hAnsi="宋体" w:eastAsia="宋体" w:cs="宋体"/>
          <w:b w:val="0"/>
          <w:color w:val="auto"/>
          <w:sz w:val="24"/>
          <w:szCs w:val="24"/>
          <w:highlight w:val="none"/>
        </w:rPr>
        <w:t>14. 竣工结算</w:t>
      </w:r>
      <w:bookmarkEnd w:id="413"/>
    </w:p>
    <w:bookmarkEnd w:id="414"/>
    <w:p w14:paraId="6DE15C18">
      <w:pPr>
        <w:pStyle w:val="6"/>
        <w:spacing w:before="120" w:after="120" w:line="312" w:lineRule="auto"/>
        <w:ind w:firstLine="480" w:firstLineChars="200"/>
        <w:rPr>
          <w:rFonts w:ascii="宋体" w:hAnsi="宋体" w:eastAsia="宋体" w:cs="宋体"/>
          <w:b w:val="0"/>
          <w:color w:val="auto"/>
          <w:sz w:val="24"/>
          <w:szCs w:val="24"/>
          <w:highlight w:val="none"/>
        </w:rPr>
      </w:pPr>
      <w:bookmarkStart w:id="417" w:name="_Toc351203594"/>
      <w:bookmarkStart w:id="418" w:name="_Toc337558811"/>
      <w:r>
        <w:rPr>
          <w:rFonts w:hint="eastAsia" w:ascii="宋体" w:hAnsi="宋体" w:eastAsia="宋体" w:cs="宋体"/>
          <w:b w:val="0"/>
          <w:color w:val="auto"/>
          <w:sz w:val="24"/>
          <w:szCs w:val="24"/>
          <w:highlight w:val="none"/>
        </w:rPr>
        <w:t>14.1 竣工结算申请</w:t>
      </w:r>
      <w:bookmarkEnd w:id="417"/>
    </w:p>
    <w:bookmarkEnd w:id="418"/>
    <w:p w14:paraId="583FEF81">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除专用合同条款另有约定外，</w:t>
      </w:r>
      <w:r>
        <w:rPr>
          <w:rFonts w:hint="eastAsia" w:ascii="宋体" w:hAnsi="宋体" w:eastAsia="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55137224">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除专用合同条款另有约定外，竣工结算申请单应包括以下内容：</w:t>
      </w:r>
    </w:p>
    <w:p w14:paraId="4DED1144">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（1）竣工结算合同价格；</w:t>
      </w:r>
    </w:p>
    <w:p w14:paraId="4CBBC196">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（2）发包人已支付承包人的款项；</w:t>
      </w:r>
    </w:p>
    <w:p w14:paraId="196A7F0E">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（3）应扣留的质量保证金； </w:t>
      </w:r>
    </w:p>
    <w:p w14:paraId="4F6EEFBC">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（4）发包人应支付承包人的合同价款。</w:t>
      </w:r>
    </w:p>
    <w:p w14:paraId="10501EE0">
      <w:pPr>
        <w:pStyle w:val="6"/>
        <w:spacing w:before="120" w:after="120" w:line="312" w:lineRule="auto"/>
        <w:ind w:firstLine="480" w:firstLineChars="200"/>
        <w:rPr>
          <w:rFonts w:ascii="宋体" w:hAnsi="宋体" w:eastAsia="宋体" w:cs="宋体"/>
          <w:b w:val="0"/>
          <w:color w:val="auto"/>
          <w:sz w:val="24"/>
          <w:szCs w:val="24"/>
          <w:highlight w:val="none"/>
        </w:rPr>
      </w:pPr>
      <w:bookmarkStart w:id="419" w:name="_Toc351203595"/>
      <w:bookmarkStart w:id="420" w:name="_Toc337558812"/>
      <w:r>
        <w:rPr>
          <w:rFonts w:hint="eastAsia" w:ascii="宋体" w:hAnsi="宋体" w:eastAsia="宋体" w:cs="宋体"/>
          <w:b w:val="0"/>
          <w:color w:val="auto"/>
          <w:sz w:val="24"/>
          <w:szCs w:val="24"/>
          <w:highlight w:val="none"/>
        </w:rPr>
        <w:t>14.2 竣工结算审核</w:t>
      </w:r>
      <w:bookmarkEnd w:id="419"/>
    </w:p>
    <w:bookmarkEnd w:id="420"/>
    <w:p w14:paraId="40EF1EC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highlight w:val="none"/>
        </w:rPr>
        <w:t>发包人对竣工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申请单有异议的，有权要求承包人进行修正和提供补充资料，承包人应提交修正后的竣工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w:t>
      </w:r>
    </w:p>
    <w:p w14:paraId="750B44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05FF50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6DCDB2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1F1AEB80">
      <w:pPr>
        <w:pStyle w:val="6"/>
        <w:spacing w:before="120" w:after="120" w:line="312" w:lineRule="auto"/>
        <w:ind w:firstLine="480" w:firstLineChars="200"/>
        <w:rPr>
          <w:rFonts w:ascii="宋体" w:hAnsi="宋体" w:eastAsia="宋体" w:cs="宋体"/>
          <w:b w:val="0"/>
          <w:color w:val="auto"/>
          <w:sz w:val="24"/>
          <w:szCs w:val="24"/>
          <w:highlight w:val="none"/>
        </w:rPr>
      </w:pPr>
      <w:bookmarkStart w:id="421" w:name="_Toc351203596"/>
      <w:bookmarkStart w:id="422" w:name="_Toc337558813"/>
      <w:r>
        <w:rPr>
          <w:rFonts w:hint="eastAsia" w:ascii="宋体" w:hAnsi="宋体" w:eastAsia="宋体" w:cs="宋体"/>
          <w:b w:val="0"/>
          <w:color w:val="auto"/>
          <w:sz w:val="24"/>
          <w:szCs w:val="24"/>
          <w:highlight w:val="none"/>
        </w:rPr>
        <w:t>14.3 甩项竣工协议</w:t>
      </w:r>
      <w:bookmarkEnd w:id="421"/>
    </w:p>
    <w:bookmarkEnd w:id="422"/>
    <w:p w14:paraId="1A133E3D">
      <w:pPr>
        <w:autoSpaceDE w:val="0"/>
        <w:autoSpaceDN w:val="0"/>
        <w:adjustRightInd w:val="0"/>
        <w:spacing w:line="312" w:lineRule="auto"/>
        <w:ind w:firstLine="470" w:firstLineChars="196"/>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2ECA0D33">
      <w:pPr>
        <w:pStyle w:val="6"/>
        <w:spacing w:before="120" w:after="120" w:line="312" w:lineRule="auto"/>
        <w:ind w:firstLine="480" w:firstLineChars="200"/>
        <w:rPr>
          <w:rFonts w:ascii="宋体" w:hAnsi="宋体" w:eastAsia="宋体" w:cs="宋体"/>
          <w:b w:val="0"/>
          <w:color w:val="auto"/>
          <w:sz w:val="24"/>
          <w:szCs w:val="24"/>
          <w:highlight w:val="none"/>
        </w:rPr>
      </w:pPr>
      <w:bookmarkStart w:id="423" w:name="_Toc351203597"/>
      <w:bookmarkStart w:id="424" w:name="_Toc337558814"/>
      <w:r>
        <w:rPr>
          <w:rFonts w:hint="eastAsia" w:ascii="宋体" w:hAnsi="宋体" w:eastAsia="宋体" w:cs="宋体"/>
          <w:b w:val="0"/>
          <w:color w:val="auto"/>
          <w:sz w:val="24"/>
          <w:szCs w:val="24"/>
          <w:highlight w:val="none"/>
        </w:rPr>
        <w:t>14.4 最终结清</w:t>
      </w:r>
      <w:bookmarkEnd w:id="423"/>
    </w:p>
    <w:bookmarkEnd w:id="424"/>
    <w:p w14:paraId="373BA35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14.4.1 最终结清申请单</w:t>
      </w:r>
    </w:p>
    <w:p w14:paraId="05EDD3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62202C63">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w:t>
      </w:r>
      <w:r>
        <w:rPr>
          <w:rFonts w:hint="eastAsia" w:ascii="宋体" w:hAnsi="宋体" w:eastAsia="宋体" w:cs="宋体"/>
          <w:color w:val="auto"/>
          <w:kern w:val="0"/>
          <w:sz w:val="24"/>
          <w:highlight w:val="none"/>
        </w:rPr>
        <w:t>最终结清申请单</w:t>
      </w:r>
      <w:r>
        <w:rPr>
          <w:rFonts w:hint="eastAsia" w:ascii="宋体" w:hAnsi="宋体" w:eastAsia="宋体" w:cs="宋体"/>
          <w:color w:val="auto"/>
          <w:sz w:val="24"/>
          <w:highlight w:val="none"/>
        </w:rPr>
        <w:t>应列明质量保证金、应扣除的质量保证金、缺陷责任期内发生的增减费用。</w:t>
      </w:r>
    </w:p>
    <w:p w14:paraId="71E0EB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（2）发包人对最终结清申请单内容有异议的，有权要求承包人进行修正和提供补充资料，承包人应向发包人提交修正后的最终结清申请单。</w:t>
      </w:r>
    </w:p>
    <w:p w14:paraId="4B5777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14.4.2 最终结清证书和支付</w:t>
      </w:r>
    </w:p>
    <w:p w14:paraId="1EDBF0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B79D88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B64FAF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（3）承包人对发包人颁发的最终结清证书有异议的，按第20条〔争议解决〕的约定办理。</w:t>
      </w:r>
    </w:p>
    <w:p w14:paraId="22BC5657">
      <w:pPr>
        <w:pStyle w:val="5"/>
        <w:spacing w:before="120" w:after="120" w:line="312" w:lineRule="auto"/>
        <w:rPr>
          <w:rFonts w:ascii="宋体" w:hAnsi="宋体" w:eastAsia="宋体" w:cs="宋体"/>
          <w:b w:val="0"/>
          <w:color w:val="auto"/>
          <w:sz w:val="24"/>
          <w:szCs w:val="24"/>
          <w:highlight w:val="none"/>
        </w:rPr>
      </w:pPr>
      <w:bookmarkStart w:id="425" w:name="_Toc351203598"/>
      <w:bookmarkStart w:id="426" w:name="_Toc337558815"/>
      <w:r>
        <w:rPr>
          <w:rFonts w:hint="eastAsia" w:ascii="宋体" w:hAnsi="宋体" w:eastAsia="宋体" w:cs="宋体"/>
          <w:b w:val="0"/>
          <w:color w:val="auto"/>
          <w:sz w:val="24"/>
          <w:szCs w:val="24"/>
          <w:highlight w:val="none"/>
        </w:rPr>
        <w:t>15. 缺陷责任与保修</w:t>
      </w:r>
      <w:bookmarkEnd w:id="425"/>
    </w:p>
    <w:bookmarkEnd w:id="415"/>
    <w:bookmarkEnd w:id="416"/>
    <w:bookmarkEnd w:id="426"/>
    <w:p w14:paraId="7B7400E9">
      <w:pPr>
        <w:pStyle w:val="6"/>
        <w:spacing w:before="120" w:after="120" w:line="312" w:lineRule="auto"/>
        <w:ind w:firstLine="480" w:firstLineChars="200"/>
        <w:rPr>
          <w:rFonts w:ascii="宋体" w:hAnsi="宋体" w:eastAsia="宋体" w:cs="宋体"/>
          <w:b w:val="0"/>
          <w:color w:val="auto"/>
          <w:sz w:val="24"/>
          <w:szCs w:val="24"/>
          <w:highlight w:val="none"/>
        </w:rPr>
      </w:pPr>
      <w:bookmarkStart w:id="427" w:name="_Toc351203599"/>
      <w:bookmarkStart w:id="428" w:name="_Toc337558816"/>
      <w:bookmarkStart w:id="429" w:name="_Toc296503114"/>
      <w:bookmarkStart w:id="430" w:name="_Toc296346615"/>
      <w:r>
        <w:rPr>
          <w:rFonts w:hint="eastAsia" w:ascii="宋体" w:hAnsi="宋体" w:eastAsia="宋体" w:cs="宋体"/>
          <w:b w:val="0"/>
          <w:color w:val="auto"/>
          <w:sz w:val="24"/>
          <w:szCs w:val="24"/>
          <w:highlight w:val="none"/>
        </w:rPr>
        <w:t>15.1 工程保修的原则</w:t>
      </w:r>
      <w:bookmarkEnd w:id="427"/>
    </w:p>
    <w:bookmarkEnd w:id="428"/>
    <w:p w14:paraId="19E7484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0FFDFA03">
      <w:pPr>
        <w:pStyle w:val="6"/>
        <w:spacing w:before="120" w:after="120" w:line="312" w:lineRule="auto"/>
        <w:ind w:firstLine="480" w:firstLineChars="200"/>
        <w:rPr>
          <w:rFonts w:ascii="宋体" w:hAnsi="宋体" w:eastAsia="宋体" w:cs="宋体"/>
          <w:b w:val="0"/>
          <w:color w:val="auto"/>
          <w:sz w:val="24"/>
          <w:szCs w:val="24"/>
          <w:highlight w:val="none"/>
        </w:rPr>
      </w:pPr>
      <w:bookmarkStart w:id="431" w:name="_Toc351203600"/>
      <w:bookmarkStart w:id="432" w:name="_Toc337558817"/>
      <w:r>
        <w:rPr>
          <w:rFonts w:hint="eastAsia" w:ascii="宋体" w:hAnsi="宋体" w:eastAsia="宋体" w:cs="宋体"/>
          <w:b w:val="0"/>
          <w:color w:val="auto"/>
          <w:sz w:val="24"/>
          <w:szCs w:val="24"/>
          <w:highlight w:val="none"/>
        </w:rPr>
        <w:t>15.2 缺陷责任期</w:t>
      </w:r>
      <w:bookmarkEnd w:id="429"/>
      <w:bookmarkEnd w:id="430"/>
      <w:bookmarkEnd w:id="431"/>
    </w:p>
    <w:bookmarkEnd w:id="432"/>
    <w:p w14:paraId="7FE931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15.2.1 缺陷责任期自实际竣工日期起计算，合同当事人应在专用合同条款约定缺陷责任期的具体期限，但该期限最长不超过24个月。</w:t>
      </w:r>
    </w:p>
    <w:p w14:paraId="580D78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244EF36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4"/>
          <w:highlight w:val="none"/>
        </w:rPr>
        <w:t>包人延长缺陷责任期，</w:t>
      </w:r>
      <w:r>
        <w:rPr>
          <w:rFonts w:hint="eastAsia" w:ascii="宋体" w:hAnsi="宋体" w:eastAsia="宋体" w:cs="宋体"/>
          <w:color w:val="auto"/>
          <w:kern w:val="0"/>
          <w:sz w:val="24"/>
          <w:highlight w:val="none"/>
        </w:rPr>
        <w:t>并应在原缺陷责任期届满前发出延长通知，</w:t>
      </w:r>
      <w:r>
        <w:rPr>
          <w:rFonts w:hint="eastAsia" w:ascii="宋体" w:hAnsi="宋体" w:eastAsia="宋体" w:cs="宋体"/>
          <w:bCs/>
          <w:color w:val="auto"/>
          <w:sz w:val="24"/>
          <w:highlight w:val="none"/>
        </w:rPr>
        <w:t>但缺陷责任期最长</w:t>
      </w:r>
      <w:r>
        <w:rPr>
          <w:rFonts w:hint="eastAsia" w:ascii="宋体" w:hAnsi="宋体" w:eastAsia="宋体" w:cs="宋体"/>
          <w:color w:val="auto"/>
          <w:kern w:val="0"/>
          <w:sz w:val="24"/>
          <w:highlight w:val="none"/>
        </w:rPr>
        <w:t>不能超过24个月。</w:t>
      </w:r>
    </w:p>
    <w:p w14:paraId="147855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236ABD8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B49A0F7">
      <w:pPr>
        <w:pStyle w:val="6"/>
        <w:spacing w:before="120" w:after="120" w:line="312" w:lineRule="auto"/>
        <w:ind w:firstLine="480" w:firstLineChars="200"/>
        <w:rPr>
          <w:rFonts w:ascii="宋体" w:hAnsi="宋体" w:eastAsia="宋体" w:cs="宋体"/>
          <w:b w:val="0"/>
          <w:color w:val="auto"/>
          <w:sz w:val="24"/>
          <w:szCs w:val="24"/>
          <w:highlight w:val="none"/>
        </w:rPr>
      </w:pPr>
      <w:bookmarkStart w:id="433" w:name="_Toc351203601"/>
      <w:bookmarkStart w:id="434" w:name="_Toc337558818"/>
      <w:bookmarkStart w:id="435" w:name="_Toc296346616"/>
      <w:bookmarkStart w:id="436" w:name="_Toc296503115"/>
      <w:r>
        <w:rPr>
          <w:rFonts w:hint="eastAsia" w:ascii="宋体" w:hAnsi="宋体" w:eastAsia="宋体" w:cs="宋体"/>
          <w:b w:val="0"/>
          <w:color w:val="auto"/>
          <w:sz w:val="24"/>
          <w:szCs w:val="24"/>
          <w:highlight w:val="none"/>
        </w:rPr>
        <w:t>15.3 质量保证金</w:t>
      </w:r>
      <w:bookmarkEnd w:id="433"/>
    </w:p>
    <w:bookmarkEnd w:id="434"/>
    <w:p w14:paraId="5A9C41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经合同当事人协商一致扣留质量保证金的，应在专用合同条款中予以明确。</w:t>
      </w:r>
    </w:p>
    <w:p w14:paraId="1B7A6C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15.3.1 承包人提供质量保证金的方式</w:t>
      </w:r>
    </w:p>
    <w:p w14:paraId="24BA16D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承包人提供质量保证金有以下三种方式：</w:t>
      </w:r>
    </w:p>
    <w:p w14:paraId="1F936C6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（1）质量保证金保函； </w:t>
      </w:r>
    </w:p>
    <w:p w14:paraId="02CBF29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（2）相应比例的工程款；</w:t>
      </w:r>
    </w:p>
    <w:p w14:paraId="5AC80AC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（3）双方约定的其他方式。</w:t>
      </w:r>
    </w:p>
    <w:p w14:paraId="407BE36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除专用合同条款另有约定外，质量保证金原则上采用上述第（1）种方式。</w:t>
      </w:r>
    </w:p>
    <w:p w14:paraId="3728C1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15.3.2 质量保证金的扣留</w:t>
      </w:r>
    </w:p>
    <w:p w14:paraId="4DACD9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质量保证金的扣留有以下三种方式：</w:t>
      </w:r>
    </w:p>
    <w:p w14:paraId="0F67B68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27D557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w:t>
      </w:r>
      <w:bookmarkStart w:id="437" w:name="#go6"/>
      <w:bookmarkEnd w:id="437"/>
      <w:r>
        <w:rPr>
          <w:rFonts w:hint="eastAsia" w:ascii="宋体" w:hAnsi="宋体" w:eastAsia="宋体" w:cs="宋体"/>
          <w:color w:val="auto"/>
          <w:kern w:val="0"/>
          <w:sz w:val="24"/>
          <w:highlight w:val="none"/>
        </w:rPr>
        <w:t>程竣工结算时一次性扣留质量保证金；</w:t>
      </w:r>
    </w:p>
    <w:p w14:paraId="6D36CA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（3）双方约定的其他扣留方式。</w:t>
      </w:r>
    </w:p>
    <w:p w14:paraId="4B8445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除专用合同条款另有约定外，质量保证金的扣留原则上采用上述第（1）种方式。</w:t>
      </w:r>
    </w:p>
    <w:p w14:paraId="1758E1F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w:t>
      </w:r>
      <w:bookmarkStart w:id="438" w:name="#go4"/>
      <w:bookmarkEnd w:id="438"/>
      <w:r>
        <w:rPr>
          <w:rFonts w:hint="eastAsia" w:ascii="宋体" w:hAnsi="宋体" w:eastAsia="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13BC87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15.3.3 </w:t>
      </w:r>
      <w:r>
        <w:rPr>
          <w:rFonts w:hint="eastAsia" w:ascii="宋体" w:hAnsi="宋体" w:eastAsia="宋体" w:cs="宋体"/>
          <w:color w:val="auto"/>
          <w:sz w:val="24"/>
          <w:highlight w:val="none"/>
        </w:rPr>
        <w:t>质量保证金</w:t>
      </w:r>
      <w:r>
        <w:rPr>
          <w:rFonts w:hint="eastAsia" w:ascii="宋体" w:hAnsi="宋体" w:eastAsia="宋体" w:cs="宋体"/>
          <w:color w:val="auto"/>
          <w:kern w:val="0"/>
          <w:sz w:val="24"/>
          <w:highlight w:val="none"/>
        </w:rPr>
        <w:t>的退还</w:t>
      </w:r>
    </w:p>
    <w:p w14:paraId="02E675C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发包人应按14.4款〔最终结清〕的约定退还质量保证金。</w:t>
      </w:r>
    </w:p>
    <w:p w14:paraId="5ADDC477">
      <w:pPr>
        <w:pStyle w:val="6"/>
        <w:spacing w:before="120" w:after="120" w:line="312" w:lineRule="auto"/>
        <w:ind w:firstLine="480" w:firstLineChars="200"/>
        <w:rPr>
          <w:rFonts w:ascii="宋体" w:hAnsi="宋体" w:eastAsia="宋体" w:cs="宋体"/>
          <w:b w:val="0"/>
          <w:color w:val="auto"/>
          <w:sz w:val="24"/>
          <w:szCs w:val="24"/>
          <w:highlight w:val="none"/>
        </w:rPr>
      </w:pPr>
      <w:bookmarkStart w:id="439" w:name="_Toc351203602"/>
      <w:bookmarkStart w:id="440" w:name="_Toc337558819"/>
      <w:r>
        <w:rPr>
          <w:rFonts w:hint="eastAsia" w:ascii="宋体" w:hAnsi="宋体" w:eastAsia="宋体" w:cs="宋体"/>
          <w:b w:val="0"/>
          <w:color w:val="auto"/>
          <w:sz w:val="24"/>
          <w:szCs w:val="24"/>
          <w:highlight w:val="none"/>
        </w:rPr>
        <w:t>15.4 保修</w:t>
      </w:r>
      <w:bookmarkEnd w:id="439"/>
    </w:p>
    <w:bookmarkEnd w:id="435"/>
    <w:bookmarkEnd w:id="436"/>
    <w:bookmarkEnd w:id="440"/>
    <w:p w14:paraId="528BCAF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15.4.1保修责任</w:t>
      </w:r>
    </w:p>
    <w:p w14:paraId="0D1CDA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1E84E3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发包人未经竣工验收擅自使用工程的，保修期自</w:t>
      </w:r>
      <w:r>
        <w:rPr>
          <w:rFonts w:hint="eastAsia" w:ascii="宋体" w:hAnsi="宋体" w:eastAsia="宋体" w:cs="宋体"/>
          <w:color w:val="auto"/>
          <w:kern w:val="0"/>
          <w:sz w:val="24"/>
          <w:highlight w:val="none"/>
        </w:rPr>
        <w:t>转移占有之日起算</w:t>
      </w:r>
      <w:r>
        <w:rPr>
          <w:rFonts w:hint="eastAsia" w:ascii="宋体" w:hAnsi="宋体" w:eastAsia="宋体" w:cs="宋体"/>
          <w:color w:val="auto"/>
          <w:sz w:val="24"/>
          <w:highlight w:val="none"/>
        </w:rPr>
        <w:t>。</w:t>
      </w:r>
    </w:p>
    <w:p w14:paraId="4AA882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15.4.2 修复费用</w:t>
      </w:r>
    </w:p>
    <w:p w14:paraId="4B5A7A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保修期内，修复的费用按照以下约定处理：</w:t>
      </w:r>
    </w:p>
    <w:p w14:paraId="6C9E50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（1）保修期内，因承包人原因造成工程的缺陷、损坏，承包人应负责修复，并承担修复的费用以及因工程的缺陷、损坏造成的人身伤害和财产损失；</w:t>
      </w:r>
    </w:p>
    <w:p w14:paraId="6A0B09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（2）保修期内，因发包人使用不当造成工程的缺陷、损坏，可以委托承包人修复，但发包人应承担修复的费用，并支付承包人合理利润；</w:t>
      </w:r>
    </w:p>
    <w:p w14:paraId="2AFA6CF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18508A6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15.4.3 修复通知</w:t>
      </w:r>
    </w:p>
    <w:p w14:paraId="42408D4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BD4FEB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15.4.4 未能修复</w:t>
      </w:r>
    </w:p>
    <w:p w14:paraId="240BCDA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80313F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15.4.5 承包人出入权</w:t>
      </w:r>
    </w:p>
    <w:p w14:paraId="3A14C14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6D5376B">
      <w:pPr>
        <w:pStyle w:val="5"/>
        <w:spacing w:before="120" w:after="120" w:line="312" w:lineRule="auto"/>
        <w:rPr>
          <w:rFonts w:ascii="宋体" w:hAnsi="宋体" w:eastAsia="宋体" w:cs="宋体"/>
          <w:b w:val="0"/>
          <w:color w:val="auto"/>
          <w:sz w:val="24"/>
          <w:szCs w:val="24"/>
          <w:highlight w:val="none"/>
        </w:rPr>
      </w:pPr>
      <w:bookmarkStart w:id="441" w:name="_Toc351203603"/>
      <w:bookmarkStart w:id="442" w:name="_Toc337558820"/>
      <w:r>
        <w:rPr>
          <w:rFonts w:hint="eastAsia" w:ascii="宋体" w:hAnsi="宋体" w:eastAsia="宋体" w:cs="宋体"/>
          <w:b w:val="0"/>
          <w:color w:val="auto"/>
          <w:sz w:val="24"/>
          <w:szCs w:val="24"/>
          <w:highlight w:val="none"/>
        </w:rPr>
        <w:t>16. 违约</w:t>
      </w:r>
      <w:bookmarkEnd w:id="441"/>
    </w:p>
    <w:bookmarkEnd w:id="442"/>
    <w:p w14:paraId="28225A69">
      <w:pPr>
        <w:pStyle w:val="6"/>
        <w:spacing w:before="120" w:after="120" w:line="312" w:lineRule="auto"/>
        <w:ind w:firstLine="480" w:firstLineChars="200"/>
        <w:rPr>
          <w:rFonts w:ascii="宋体" w:hAnsi="宋体" w:eastAsia="宋体" w:cs="宋体"/>
          <w:b w:val="0"/>
          <w:color w:val="auto"/>
          <w:sz w:val="24"/>
          <w:szCs w:val="24"/>
          <w:highlight w:val="none"/>
        </w:rPr>
      </w:pPr>
      <w:bookmarkStart w:id="443" w:name="_Toc296346630"/>
      <w:bookmarkStart w:id="444" w:name="_Toc296503129"/>
      <w:bookmarkStart w:id="445" w:name="_Toc351203604"/>
      <w:bookmarkStart w:id="446" w:name="_Toc337558821"/>
      <w:r>
        <w:rPr>
          <w:rFonts w:hint="eastAsia" w:ascii="宋体" w:hAnsi="宋体" w:eastAsia="宋体" w:cs="宋体"/>
          <w:b w:val="0"/>
          <w:color w:val="auto"/>
          <w:sz w:val="24"/>
          <w:szCs w:val="24"/>
          <w:highlight w:val="none"/>
        </w:rPr>
        <w:t>16.1 发</w:t>
      </w:r>
      <w:bookmarkEnd w:id="443"/>
      <w:bookmarkEnd w:id="444"/>
      <w:r>
        <w:rPr>
          <w:rFonts w:hint="eastAsia" w:ascii="宋体" w:hAnsi="宋体" w:eastAsia="宋体" w:cs="宋体"/>
          <w:b w:val="0"/>
          <w:color w:val="auto"/>
          <w:sz w:val="24"/>
          <w:szCs w:val="24"/>
          <w:highlight w:val="none"/>
        </w:rPr>
        <w:t>包人违约</w:t>
      </w:r>
      <w:bookmarkEnd w:id="445"/>
    </w:p>
    <w:bookmarkEnd w:id="446"/>
    <w:p w14:paraId="49B2F3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16.1.1 发包人违约的情形</w:t>
      </w:r>
    </w:p>
    <w:p w14:paraId="7D28ED7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在合同履行过程中发生的下列情形，属于发包人违约：</w:t>
      </w:r>
    </w:p>
    <w:p w14:paraId="491F045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（1）因发包人原因未能在计划开工日期前7天内下达开工通知的；</w:t>
      </w:r>
    </w:p>
    <w:p w14:paraId="6A3D75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（2）因发包人原因未能按合同约定支付合同价款的；</w:t>
      </w:r>
    </w:p>
    <w:p w14:paraId="12A6A4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w:t>
      </w:r>
    </w:p>
    <w:p w14:paraId="2E7D721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w:t>
      </w:r>
    </w:p>
    <w:p w14:paraId="174BC93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（5）因发包人违反合同约定造成暂停施工的；</w:t>
      </w:r>
    </w:p>
    <w:p w14:paraId="1106BCC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w:t>
      </w:r>
    </w:p>
    <w:p w14:paraId="34F15A0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（7）发包人明确表示或者以其行为表明不履行合同主要义务的；</w:t>
      </w:r>
    </w:p>
    <w:p w14:paraId="12CC541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（8）发包人未能按照合同约定履行其他义务的。</w:t>
      </w:r>
    </w:p>
    <w:p w14:paraId="1523B90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2A3F79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16.1.2 发包人违约的责任</w:t>
      </w:r>
    </w:p>
    <w:p w14:paraId="05A70BC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441A252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16.1.3 因发包人违约解除合同</w:t>
      </w:r>
    </w:p>
    <w:p w14:paraId="2A06E3F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0AD7BE06">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16.1.4 因发包人违约解除合同后的付款</w:t>
      </w:r>
    </w:p>
    <w:p w14:paraId="5B1D74E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承包人按照本款约定解除合同的，发包人应在解除合同后28天内支付下列款项，并解除履约担保：</w:t>
      </w:r>
    </w:p>
    <w:p w14:paraId="09BBFA4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（1）合同解除前所完成工作的价款；</w:t>
      </w:r>
    </w:p>
    <w:p w14:paraId="02DD959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（2）承包人为工程施工订购并已付款的材料、工程设备和其他物品的价款；</w:t>
      </w:r>
    </w:p>
    <w:p w14:paraId="42F6BB4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（3）承包人撤离施工现场以及遣散承包人人员的款项；</w:t>
      </w:r>
    </w:p>
    <w:p w14:paraId="33BC999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（4）按照合同约定在合同解除前应支付的违约金；</w:t>
      </w:r>
    </w:p>
    <w:p w14:paraId="104EFAC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（5）按照合同约定应当支付给承包人的其他款项；</w:t>
      </w:r>
    </w:p>
    <w:p w14:paraId="7699471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（6）按照合同约定应退还的质量保证金；</w:t>
      </w:r>
    </w:p>
    <w:p w14:paraId="7820AB4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（7）因解除合同给承包人造成的损失。</w:t>
      </w:r>
    </w:p>
    <w:p w14:paraId="00E148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合同当事人未能就解除合同后的结清达成一致的，按照第20条〔争议解决〕的约定处理。</w:t>
      </w:r>
    </w:p>
    <w:p w14:paraId="661F419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153EA368">
      <w:pPr>
        <w:pStyle w:val="6"/>
        <w:spacing w:before="120" w:after="120" w:line="312" w:lineRule="auto"/>
        <w:ind w:firstLine="480" w:firstLineChars="200"/>
        <w:rPr>
          <w:rFonts w:ascii="宋体" w:hAnsi="宋体" w:eastAsia="宋体" w:cs="宋体"/>
          <w:b w:val="0"/>
          <w:color w:val="auto"/>
          <w:sz w:val="24"/>
          <w:szCs w:val="24"/>
          <w:highlight w:val="none"/>
        </w:rPr>
      </w:pPr>
      <w:bookmarkStart w:id="447" w:name="_Toc351203605"/>
      <w:bookmarkStart w:id="448" w:name="_Toc296346632"/>
      <w:bookmarkStart w:id="449" w:name="_Toc337558822"/>
      <w:bookmarkStart w:id="450" w:name="_Toc296503131"/>
      <w:r>
        <w:rPr>
          <w:rFonts w:hint="eastAsia" w:ascii="宋体" w:hAnsi="宋体" w:eastAsia="宋体" w:cs="宋体"/>
          <w:b w:val="0"/>
          <w:color w:val="auto"/>
          <w:sz w:val="24"/>
          <w:szCs w:val="24"/>
          <w:highlight w:val="none"/>
        </w:rPr>
        <w:t>16.2 承包人违约</w:t>
      </w:r>
      <w:bookmarkEnd w:id="447"/>
    </w:p>
    <w:bookmarkEnd w:id="448"/>
    <w:bookmarkEnd w:id="449"/>
    <w:bookmarkEnd w:id="450"/>
    <w:p w14:paraId="53FFD29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16.2.1 承包人违约的情形</w:t>
      </w:r>
    </w:p>
    <w:p w14:paraId="6D69CF3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在合同履行过程中发生的下列情形，属于承包人违约：</w:t>
      </w:r>
    </w:p>
    <w:p w14:paraId="3EB5ADA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（1）承包人违反合同约定进行转包或违法分包的；</w:t>
      </w:r>
    </w:p>
    <w:p w14:paraId="5F76CC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（2）承包人违反合同约定采购和使用不合格的材料和工程设备的；</w:t>
      </w:r>
    </w:p>
    <w:p w14:paraId="2673334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（3）因承包人原因导致工程质量不符合合同要求的； </w:t>
      </w:r>
    </w:p>
    <w:p w14:paraId="0C40DB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（4）承包人违反第8.9款〔材料与设备专用要求〕的约定，未经批准，私自将已按照合同约定进入施工现场的材料或设备撤离施工现场的；</w:t>
      </w:r>
    </w:p>
    <w:p w14:paraId="3B63217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（5）承包人未能按施工进度计划及时完成合同约定的工作，造成工期延误的；</w:t>
      </w:r>
    </w:p>
    <w:p w14:paraId="74846C9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（6）承包人在缺陷责任期及保修期内，未能在合理期限对工程缺陷进行修复，或拒绝按发包人要求进行修复的；</w:t>
      </w:r>
    </w:p>
    <w:p w14:paraId="64F92B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（7）承包人明确表示或者以其行为表明不履行合同主要义务的；</w:t>
      </w:r>
    </w:p>
    <w:p w14:paraId="51BAA8B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（8）承包人未能按照合同约定履行其他义务的。</w:t>
      </w:r>
    </w:p>
    <w:p w14:paraId="4711C5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承包人发生除本项第（7）目约定以外的其他违约情况时，监理人可向承包人发出整改通知，要求其在指定的期限内改正。</w:t>
      </w:r>
    </w:p>
    <w:p w14:paraId="6B710E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16.2.2 承包人违约的责任</w:t>
      </w:r>
    </w:p>
    <w:p w14:paraId="325F48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603D4F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16.2.3 因承包人违约解除合同</w:t>
      </w:r>
    </w:p>
    <w:p w14:paraId="2AAE7A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38868C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16.2.4因承包人违约解除合同后的处理</w:t>
      </w:r>
    </w:p>
    <w:p w14:paraId="30C0021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因承包人原因导致合同解除的，则合同当事人应在合同解除后28天内完成估价、付款和清算，并按以下约定执行：</w:t>
      </w:r>
    </w:p>
    <w:p w14:paraId="10FBE9E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2676A47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（2）合同解除后，承包人应支付的违约金；</w:t>
      </w:r>
    </w:p>
    <w:p w14:paraId="71322F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（3）合同解除后，因解除合同给发包人造成的损失；</w:t>
      </w:r>
    </w:p>
    <w:p w14:paraId="28E9691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（4）合同解除后，承包人应按照发包人要求和监理人的指示完成现场的清理和撤离；</w:t>
      </w:r>
    </w:p>
    <w:p w14:paraId="7359DE2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（5）发包人和承包人应在合同解除后进行清算，出具最终结清付款证书，结清全部款项。</w:t>
      </w:r>
    </w:p>
    <w:p w14:paraId="02A4E2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D40AB0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16.2.5采购合同权益转让</w:t>
      </w:r>
    </w:p>
    <w:p w14:paraId="7A3F92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57F0E12">
      <w:pPr>
        <w:pStyle w:val="6"/>
        <w:spacing w:before="120" w:after="120" w:line="312" w:lineRule="auto"/>
        <w:ind w:firstLine="480" w:firstLineChars="200"/>
        <w:rPr>
          <w:rFonts w:ascii="宋体" w:hAnsi="宋体" w:eastAsia="宋体" w:cs="宋体"/>
          <w:b w:val="0"/>
          <w:color w:val="auto"/>
          <w:sz w:val="24"/>
          <w:szCs w:val="24"/>
          <w:highlight w:val="none"/>
        </w:rPr>
      </w:pPr>
      <w:bookmarkStart w:id="451" w:name="_Toc351203606"/>
      <w:r>
        <w:rPr>
          <w:rFonts w:hint="eastAsia" w:ascii="宋体" w:hAnsi="宋体" w:eastAsia="宋体" w:cs="宋体"/>
          <w:b w:val="0"/>
          <w:color w:val="auto"/>
          <w:sz w:val="24"/>
          <w:szCs w:val="24"/>
          <w:highlight w:val="none"/>
        </w:rPr>
        <w:t>16.3 第三人造成的违约</w:t>
      </w:r>
      <w:bookmarkEnd w:id="451"/>
    </w:p>
    <w:p w14:paraId="27406CA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3650F01B">
      <w:pPr>
        <w:pStyle w:val="5"/>
        <w:spacing w:before="120" w:after="120" w:line="312" w:lineRule="auto"/>
        <w:rPr>
          <w:rFonts w:ascii="宋体" w:hAnsi="宋体" w:eastAsia="宋体" w:cs="宋体"/>
          <w:b w:val="0"/>
          <w:color w:val="auto"/>
          <w:sz w:val="24"/>
          <w:szCs w:val="24"/>
          <w:highlight w:val="none"/>
        </w:rPr>
      </w:pPr>
      <w:bookmarkStart w:id="452" w:name="_Toc351203607"/>
      <w:bookmarkStart w:id="453" w:name="_Toc296346617"/>
      <w:bookmarkStart w:id="454" w:name="_Toc337558823"/>
      <w:bookmarkStart w:id="455" w:name="_Toc296503116"/>
      <w:r>
        <w:rPr>
          <w:rFonts w:hint="eastAsia" w:ascii="宋体" w:hAnsi="宋体" w:eastAsia="宋体" w:cs="宋体"/>
          <w:b w:val="0"/>
          <w:color w:val="auto"/>
          <w:sz w:val="24"/>
          <w:szCs w:val="24"/>
          <w:highlight w:val="none"/>
        </w:rPr>
        <w:t>17. 不可抗力</w:t>
      </w:r>
      <w:bookmarkEnd w:id="452"/>
      <w:r>
        <w:rPr>
          <w:rFonts w:hint="eastAsia" w:ascii="宋体" w:hAnsi="宋体" w:eastAsia="宋体" w:cs="宋体"/>
          <w:b w:val="0"/>
          <w:color w:val="auto"/>
          <w:sz w:val="24"/>
          <w:szCs w:val="24"/>
          <w:highlight w:val="none"/>
        </w:rPr>
        <w:t xml:space="preserve"> </w:t>
      </w:r>
      <w:bookmarkEnd w:id="453"/>
      <w:bookmarkEnd w:id="454"/>
      <w:bookmarkEnd w:id="455"/>
    </w:p>
    <w:p w14:paraId="1F981AAD">
      <w:pPr>
        <w:pStyle w:val="6"/>
        <w:spacing w:before="120" w:after="120" w:line="312" w:lineRule="auto"/>
        <w:ind w:firstLine="480" w:firstLineChars="200"/>
        <w:rPr>
          <w:rFonts w:ascii="宋体" w:hAnsi="宋体" w:eastAsia="宋体" w:cs="宋体"/>
          <w:b w:val="0"/>
          <w:color w:val="auto"/>
          <w:sz w:val="24"/>
          <w:szCs w:val="24"/>
          <w:highlight w:val="none"/>
        </w:rPr>
      </w:pPr>
      <w:bookmarkStart w:id="456" w:name="_Toc351203608"/>
      <w:bookmarkStart w:id="457" w:name="_Toc296503117"/>
      <w:bookmarkStart w:id="458" w:name="_Toc296346618"/>
      <w:bookmarkStart w:id="459" w:name="_Toc337558824"/>
      <w:r>
        <w:rPr>
          <w:rFonts w:hint="eastAsia" w:ascii="宋体" w:hAnsi="宋体" w:eastAsia="宋体" w:cs="宋体"/>
          <w:b w:val="0"/>
          <w:color w:val="auto"/>
          <w:sz w:val="24"/>
          <w:szCs w:val="24"/>
          <w:highlight w:val="none"/>
        </w:rPr>
        <w:t>17.1 不可抗力的确认</w:t>
      </w:r>
      <w:bookmarkEnd w:id="456"/>
    </w:p>
    <w:bookmarkEnd w:id="457"/>
    <w:bookmarkEnd w:id="458"/>
    <w:bookmarkEnd w:id="459"/>
    <w:p w14:paraId="09998C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4D97C3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B6F57C9">
      <w:pPr>
        <w:pStyle w:val="6"/>
        <w:spacing w:before="120" w:after="120" w:line="312" w:lineRule="auto"/>
        <w:ind w:firstLine="480" w:firstLineChars="200"/>
        <w:rPr>
          <w:rFonts w:ascii="宋体" w:hAnsi="宋体" w:eastAsia="宋体" w:cs="宋体"/>
          <w:b w:val="0"/>
          <w:color w:val="auto"/>
          <w:sz w:val="24"/>
          <w:szCs w:val="24"/>
          <w:highlight w:val="none"/>
        </w:rPr>
      </w:pPr>
      <w:bookmarkStart w:id="460" w:name="_Toc351203609"/>
      <w:bookmarkStart w:id="461" w:name="_Toc296503118"/>
      <w:bookmarkStart w:id="462" w:name="_Toc337558825"/>
      <w:bookmarkStart w:id="463" w:name="_Toc296346619"/>
      <w:r>
        <w:rPr>
          <w:rFonts w:hint="eastAsia" w:ascii="宋体" w:hAnsi="宋体" w:eastAsia="宋体" w:cs="宋体"/>
          <w:b w:val="0"/>
          <w:color w:val="auto"/>
          <w:sz w:val="24"/>
          <w:szCs w:val="24"/>
          <w:highlight w:val="none"/>
        </w:rPr>
        <w:t>17.2 不可抗力的通知</w:t>
      </w:r>
      <w:bookmarkEnd w:id="460"/>
    </w:p>
    <w:bookmarkEnd w:id="461"/>
    <w:bookmarkEnd w:id="462"/>
    <w:bookmarkEnd w:id="463"/>
    <w:p w14:paraId="5FDE46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3C7875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74A72281">
      <w:pPr>
        <w:pStyle w:val="6"/>
        <w:spacing w:before="120" w:after="120" w:line="312" w:lineRule="auto"/>
        <w:ind w:firstLine="480" w:firstLineChars="200"/>
        <w:rPr>
          <w:rFonts w:ascii="宋体" w:hAnsi="宋体" w:eastAsia="宋体" w:cs="宋体"/>
          <w:b w:val="0"/>
          <w:color w:val="auto"/>
          <w:sz w:val="24"/>
          <w:szCs w:val="24"/>
          <w:highlight w:val="none"/>
        </w:rPr>
      </w:pPr>
      <w:bookmarkStart w:id="464" w:name="_Toc351203610"/>
      <w:bookmarkStart w:id="465" w:name="_Toc337558826"/>
      <w:bookmarkStart w:id="466" w:name="_Toc296346620"/>
      <w:bookmarkStart w:id="467" w:name="_Toc296503119"/>
      <w:r>
        <w:rPr>
          <w:rFonts w:hint="eastAsia" w:ascii="宋体" w:hAnsi="宋体" w:eastAsia="宋体" w:cs="宋体"/>
          <w:b w:val="0"/>
          <w:color w:val="auto"/>
          <w:sz w:val="24"/>
          <w:szCs w:val="24"/>
          <w:highlight w:val="none"/>
        </w:rPr>
        <w:t>17.3 不可抗力后果的承担</w:t>
      </w:r>
      <w:bookmarkEnd w:id="464"/>
    </w:p>
    <w:bookmarkEnd w:id="465"/>
    <w:bookmarkEnd w:id="466"/>
    <w:bookmarkEnd w:id="467"/>
    <w:p w14:paraId="4620A8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3B5803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17.3.2 不可抗力导致的人员伤亡、财产损失、费用增加和（或）工期延误等后果，由合同当事人按以下原则承担：</w:t>
      </w:r>
    </w:p>
    <w:p w14:paraId="240033C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（1）永久工程、已运至施工现场的材料和工程设备的损坏，以及因工程损坏造成的第三人人员伤亡和财产损失由发包人承担；</w:t>
      </w:r>
    </w:p>
    <w:p w14:paraId="753DB1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（2）承包人施工设备的损坏由承包人承担；</w:t>
      </w:r>
    </w:p>
    <w:p w14:paraId="0F2F3F0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（3）发包人和承包人承担各自人员伤亡和财产的损失；</w:t>
      </w:r>
    </w:p>
    <w:p w14:paraId="562ECFF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7FE601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（5）因不可抗力引起或将引起工期延误，发包人要求赶工的，由此增加的赶工费用由发包人承担；</w:t>
      </w:r>
    </w:p>
    <w:p w14:paraId="04275F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（6）承包人在停工期间按照发包人要求照管、清理和修复工程的费用由发包人承担。</w:t>
      </w:r>
    </w:p>
    <w:p w14:paraId="4B28944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56424D3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因合同一方迟延履行合同义务，在迟延履行期间遭遇不可抗力的，不免除其违约责任。</w:t>
      </w:r>
    </w:p>
    <w:p w14:paraId="37A897B8">
      <w:pPr>
        <w:pStyle w:val="6"/>
        <w:spacing w:before="120" w:after="120" w:line="312" w:lineRule="auto"/>
        <w:ind w:firstLine="480" w:firstLineChars="200"/>
        <w:rPr>
          <w:rFonts w:ascii="宋体" w:hAnsi="宋体" w:eastAsia="宋体" w:cs="宋体"/>
          <w:b w:val="0"/>
          <w:color w:val="auto"/>
          <w:sz w:val="24"/>
          <w:szCs w:val="24"/>
          <w:highlight w:val="none"/>
        </w:rPr>
      </w:pPr>
      <w:bookmarkStart w:id="468" w:name="_Toc351203611"/>
      <w:bookmarkStart w:id="469" w:name="_Toc337558827"/>
      <w:r>
        <w:rPr>
          <w:rFonts w:hint="eastAsia" w:ascii="宋体" w:hAnsi="宋体" w:eastAsia="宋体" w:cs="宋体"/>
          <w:b w:val="0"/>
          <w:color w:val="auto"/>
          <w:sz w:val="24"/>
          <w:szCs w:val="24"/>
          <w:highlight w:val="none"/>
        </w:rPr>
        <w:t>17.4 因不可抗力解除合同</w:t>
      </w:r>
      <w:bookmarkEnd w:id="468"/>
    </w:p>
    <w:bookmarkEnd w:id="469"/>
    <w:p w14:paraId="5505461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34314C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（1）合同解除前承包人已完成工作的价款；</w:t>
      </w:r>
    </w:p>
    <w:p w14:paraId="6C485A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（2）承包人为工程订购的并已交付给承包人，或承包人有责任接受交付的材料、工程设备和其他物品的价款；</w:t>
      </w:r>
    </w:p>
    <w:p w14:paraId="11B926B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（3）发包人要求承包人退货或解除订货合同而产生的费用，或因不能退货或解除合同而产生的损失；</w:t>
      </w:r>
    </w:p>
    <w:p w14:paraId="0D35226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（4）承包人撤离施工现场以及遣散承包人人员的费用；</w:t>
      </w:r>
    </w:p>
    <w:p w14:paraId="26D7321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（5）按照合同约定在合同解除前应支付给承包人的其他款项；</w:t>
      </w:r>
    </w:p>
    <w:p w14:paraId="47CF27D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（6）扣减承包人按照合同约定应向发包人支付的款项；</w:t>
      </w:r>
    </w:p>
    <w:p w14:paraId="21D3085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（7）双方商定或确定的其他款项。</w:t>
      </w:r>
    </w:p>
    <w:p w14:paraId="58CE471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除专用合同条款另有约定外，合同解除后，发包人应在商定或确定上述款项后28天内完成上述款项的支付。</w:t>
      </w:r>
    </w:p>
    <w:p w14:paraId="650EB3FC">
      <w:pPr>
        <w:pStyle w:val="5"/>
        <w:spacing w:before="120" w:after="120" w:line="312" w:lineRule="auto"/>
        <w:rPr>
          <w:rFonts w:ascii="宋体" w:hAnsi="宋体" w:eastAsia="宋体" w:cs="宋体"/>
          <w:b w:val="0"/>
          <w:color w:val="auto"/>
          <w:sz w:val="24"/>
          <w:szCs w:val="24"/>
          <w:highlight w:val="none"/>
        </w:rPr>
      </w:pPr>
      <w:bookmarkStart w:id="470" w:name="_Toc351203612"/>
      <w:bookmarkStart w:id="471" w:name="_Toc296503120"/>
      <w:bookmarkStart w:id="472" w:name="_Toc296346621"/>
      <w:bookmarkStart w:id="473" w:name="_Toc337558828"/>
      <w:r>
        <w:rPr>
          <w:rFonts w:hint="eastAsia" w:ascii="宋体" w:hAnsi="宋体" w:eastAsia="宋体" w:cs="宋体"/>
          <w:b w:val="0"/>
          <w:color w:val="auto"/>
          <w:sz w:val="24"/>
          <w:szCs w:val="24"/>
          <w:highlight w:val="none"/>
        </w:rPr>
        <w:t>18. 保险</w:t>
      </w:r>
      <w:bookmarkEnd w:id="470"/>
    </w:p>
    <w:bookmarkEnd w:id="471"/>
    <w:bookmarkEnd w:id="472"/>
    <w:bookmarkEnd w:id="473"/>
    <w:p w14:paraId="502C34F2">
      <w:pPr>
        <w:pStyle w:val="6"/>
        <w:spacing w:before="120" w:after="120" w:line="312" w:lineRule="auto"/>
        <w:ind w:firstLine="480" w:firstLineChars="200"/>
        <w:rPr>
          <w:rFonts w:ascii="宋体" w:hAnsi="宋体" w:eastAsia="宋体" w:cs="宋体"/>
          <w:b w:val="0"/>
          <w:color w:val="auto"/>
          <w:sz w:val="24"/>
          <w:szCs w:val="24"/>
          <w:highlight w:val="none"/>
        </w:rPr>
      </w:pPr>
      <w:bookmarkStart w:id="474" w:name="_Toc351203613"/>
      <w:bookmarkStart w:id="475" w:name="_Toc337558829"/>
      <w:bookmarkStart w:id="476" w:name="_Toc296346622"/>
      <w:bookmarkStart w:id="477" w:name="_Toc296503121"/>
      <w:r>
        <w:rPr>
          <w:rFonts w:hint="eastAsia" w:ascii="宋体" w:hAnsi="宋体" w:eastAsia="宋体" w:cs="宋体"/>
          <w:b w:val="0"/>
          <w:color w:val="auto"/>
          <w:sz w:val="24"/>
          <w:szCs w:val="24"/>
          <w:highlight w:val="none"/>
        </w:rPr>
        <w:t>18.1 工程保险</w:t>
      </w:r>
      <w:bookmarkEnd w:id="474"/>
    </w:p>
    <w:bookmarkEnd w:id="475"/>
    <w:bookmarkEnd w:id="476"/>
    <w:bookmarkEnd w:id="477"/>
    <w:p w14:paraId="1BFCAF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053A64C7">
      <w:pPr>
        <w:pStyle w:val="6"/>
        <w:spacing w:before="120" w:after="120" w:line="312" w:lineRule="auto"/>
        <w:ind w:firstLine="480" w:firstLineChars="200"/>
        <w:rPr>
          <w:rFonts w:ascii="宋体" w:hAnsi="宋体" w:eastAsia="宋体" w:cs="宋体"/>
          <w:b w:val="0"/>
          <w:color w:val="auto"/>
          <w:sz w:val="24"/>
          <w:szCs w:val="24"/>
          <w:highlight w:val="none"/>
        </w:rPr>
      </w:pPr>
      <w:bookmarkStart w:id="478" w:name="_Toc351203614"/>
      <w:bookmarkStart w:id="479" w:name="_Toc337558830"/>
      <w:bookmarkStart w:id="480" w:name="_Toc296503122"/>
      <w:bookmarkStart w:id="481" w:name="_Toc296346623"/>
      <w:r>
        <w:rPr>
          <w:rFonts w:hint="eastAsia" w:ascii="宋体" w:hAnsi="宋体" w:eastAsia="宋体" w:cs="宋体"/>
          <w:b w:val="0"/>
          <w:color w:val="auto"/>
          <w:sz w:val="24"/>
          <w:szCs w:val="24"/>
          <w:highlight w:val="none"/>
        </w:rPr>
        <w:t>18.2 工伤保险</w:t>
      </w:r>
      <w:bookmarkEnd w:id="478"/>
    </w:p>
    <w:bookmarkEnd w:id="479"/>
    <w:bookmarkEnd w:id="480"/>
    <w:bookmarkEnd w:id="481"/>
    <w:p w14:paraId="7D072EB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18.2.1 发包人应依照法律规定参加工伤保险。</w:t>
      </w:r>
    </w:p>
    <w:p w14:paraId="4EFF934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19A904AC">
      <w:pPr>
        <w:pStyle w:val="6"/>
        <w:spacing w:before="120" w:after="120" w:line="312" w:lineRule="auto"/>
        <w:ind w:firstLine="480" w:firstLineChars="200"/>
        <w:rPr>
          <w:rFonts w:ascii="宋体" w:hAnsi="宋体" w:eastAsia="宋体" w:cs="宋体"/>
          <w:b w:val="0"/>
          <w:color w:val="auto"/>
          <w:sz w:val="24"/>
          <w:szCs w:val="24"/>
          <w:highlight w:val="none"/>
        </w:rPr>
      </w:pPr>
      <w:bookmarkStart w:id="482" w:name="_Toc351203615"/>
      <w:bookmarkStart w:id="483" w:name="_Toc337558831"/>
      <w:bookmarkStart w:id="484" w:name="_Toc296503125"/>
      <w:bookmarkStart w:id="485" w:name="_Toc296346626"/>
      <w:r>
        <w:rPr>
          <w:rFonts w:hint="eastAsia" w:ascii="宋体" w:hAnsi="宋体" w:eastAsia="宋体" w:cs="宋体"/>
          <w:b w:val="0"/>
          <w:color w:val="auto"/>
          <w:sz w:val="24"/>
          <w:szCs w:val="24"/>
          <w:highlight w:val="none"/>
        </w:rPr>
        <w:t>18.3其他保险</w:t>
      </w:r>
      <w:bookmarkEnd w:id="482"/>
    </w:p>
    <w:bookmarkEnd w:id="483"/>
    <w:bookmarkEnd w:id="484"/>
    <w:bookmarkEnd w:id="485"/>
    <w:p w14:paraId="46B11752">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6157DE44">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除专用合同条款另有约定外，承包人应为其施工设备等办理财产保险。</w:t>
      </w:r>
    </w:p>
    <w:p w14:paraId="61B3C53D">
      <w:pPr>
        <w:pStyle w:val="6"/>
        <w:spacing w:before="120" w:after="120" w:line="312" w:lineRule="auto"/>
        <w:ind w:firstLine="480" w:firstLineChars="200"/>
        <w:rPr>
          <w:rFonts w:ascii="宋体" w:hAnsi="宋体" w:eastAsia="宋体" w:cs="宋体"/>
          <w:b w:val="0"/>
          <w:color w:val="auto"/>
          <w:sz w:val="24"/>
          <w:szCs w:val="24"/>
          <w:highlight w:val="none"/>
        </w:rPr>
      </w:pPr>
      <w:bookmarkStart w:id="486" w:name="_Toc351203616"/>
      <w:r>
        <w:rPr>
          <w:rFonts w:hint="eastAsia" w:ascii="宋体" w:hAnsi="宋体" w:eastAsia="宋体" w:cs="宋体"/>
          <w:b w:val="0"/>
          <w:color w:val="auto"/>
          <w:sz w:val="24"/>
          <w:szCs w:val="24"/>
          <w:highlight w:val="none"/>
        </w:rPr>
        <w:t>18.4持续保险</w:t>
      </w:r>
      <w:bookmarkEnd w:id="486"/>
    </w:p>
    <w:p w14:paraId="2E939C30">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合同当事人应与保险人保持联系，使保险人能够随时了解工程实施中的变动，并确保按保险合同条款要求持续保险。</w:t>
      </w:r>
    </w:p>
    <w:p w14:paraId="080BAA26">
      <w:pPr>
        <w:pStyle w:val="6"/>
        <w:spacing w:before="120" w:after="120" w:line="312" w:lineRule="auto"/>
        <w:ind w:firstLine="480" w:firstLineChars="200"/>
        <w:rPr>
          <w:rFonts w:ascii="宋体" w:hAnsi="宋体" w:eastAsia="宋体" w:cs="宋体"/>
          <w:b w:val="0"/>
          <w:color w:val="auto"/>
          <w:sz w:val="24"/>
          <w:szCs w:val="24"/>
          <w:highlight w:val="none"/>
        </w:rPr>
      </w:pPr>
      <w:bookmarkStart w:id="487" w:name="_Toc351203617"/>
      <w:bookmarkStart w:id="488" w:name="_Toc296503126"/>
      <w:bookmarkStart w:id="489" w:name="_Toc337558832"/>
      <w:bookmarkStart w:id="490" w:name="_Toc296346627"/>
      <w:r>
        <w:rPr>
          <w:rFonts w:hint="eastAsia" w:ascii="宋体" w:hAnsi="宋体" w:eastAsia="宋体" w:cs="宋体"/>
          <w:b w:val="0"/>
          <w:color w:val="auto"/>
          <w:sz w:val="24"/>
          <w:szCs w:val="24"/>
          <w:highlight w:val="none"/>
        </w:rPr>
        <w:t>18.5 保险凭证</w:t>
      </w:r>
      <w:bookmarkEnd w:id="487"/>
    </w:p>
    <w:bookmarkEnd w:id="488"/>
    <w:bookmarkEnd w:id="489"/>
    <w:bookmarkEnd w:id="490"/>
    <w:p w14:paraId="469A87BF">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合同当事人应及时向另一方当事人提交其已投保的各项保险的凭证和保险单复印件。</w:t>
      </w:r>
    </w:p>
    <w:p w14:paraId="243A2E90">
      <w:pPr>
        <w:pStyle w:val="6"/>
        <w:spacing w:before="120" w:after="120" w:line="312" w:lineRule="auto"/>
        <w:ind w:firstLine="480" w:firstLineChars="200"/>
        <w:rPr>
          <w:rFonts w:ascii="宋体" w:hAnsi="宋体" w:eastAsia="宋体" w:cs="宋体"/>
          <w:b w:val="0"/>
          <w:color w:val="auto"/>
          <w:sz w:val="24"/>
          <w:szCs w:val="24"/>
          <w:highlight w:val="none"/>
        </w:rPr>
      </w:pPr>
      <w:bookmarkStart w:id="491" w:name="_Toc351203618"/>
      <w:bookmarkStart w:id="492" w:name="_Toc337558833"/>
      <w:bookmarkStart w:id="493" w:name="_Toc296503127"/>
      <w:bookmarkStart w:id="494" w:name="_Toc296346628"/>
      <w:r>
        <w:rPr>
          <w:rFonts w:hint="eastAsia" w:ascii="宋体" w:hAnsi="宋体" w:eastAsia="宋体" w:cs="宋体"/>
          <w:b w:val="0"/>
          <w:color w:val="auto"/>
          <w:sz w:val="24"/>
          <w:szCs w:val="24"/>
          <w:highlight w:val="none"/>
        </w:rPr>
        <w:t>18.6 未按约定投保的补救</w:t>
      </w:r>
      <w:bookmarkEnd w:id="491"/>
    </w:p>
    <w:bookmarkEnd w:id="492"/>
    <w:bookmarkEnd w:id="493"/>
    <w:bookmarkEnd w:id="494"/>
    <w:p w14:paraId="4E18C730">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1990C185">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182FE509">
      <w:pPr>
        <w:pStyle w:val="6"/>
        <w:spacing w:before="120" w:after="120" w:line="312" w:lineRule="auto"/>
        <w:ind w:firstLine="480" w:firstLineChars="200"/>
        <w:rPr>
          <w:rFonts w:ascii="宋体" w:hAnsi="宋体" w:eastAsia="宋体" w:cs="宋体"/>
          <w:b w:val="0"/>
          <w:color w:val="auto"/>
          <w:sz w:val="24"/>
          <w:szCs w:val="24"/>
          <w:highlight w:val="none"/>
        </w:rPr>
      </w:pPr>
      <w:bookmarkStart w:id="495" w:name="_Toc351203619"/>
      <w:bookmarkStart w:id="496" w:name="_Toc337558834"/>
      <w:r>
        <w:rPr>
          <w:rFonts w:hint="eastAsia" w:ascii="宋体" w:hAnsi="宋体" w:eastAsia="宋体" w:cs="宋体"/>
          <w:b w:val="0"/>
          <w:color w:val="auto"/>
          <w:sz w:val="24"/>
          <w:szCs w:val="24"/>
          <w:highlight w:val="none"/>
        </w:rPr>
        <w:t>18.7 通知义务</w:t>
      </w:r>
      <w:bookmarkEnd w:id="495"/>
    </w:p>
    <w:bookmarkEnd w:id="496"/>
    <w:p w14:paraId="633EAEEC">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DC07DA4">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保险事故发生时，投保人应按照保险合同规定的条件和期限及时向保险人报告。发包人和承包人应当在知道保险事故发生后及时通知对方。</w:t>
      </w:r>
    </w:p>
    <w:p w14:paraId="3F4F196D">
      <w:pPr>
        <w:pStyle w:val="5"/>
        <w:spacing w:before="120" w:after="120" w:line="312" w:lineRule="auto"/>
        <w:rPr>
          <w:rFonts w:ascii="宋体" w:hAnsi="宋体" w:eastAsia="宋体" w:cs="宋体"/>
          <w:b w:val="0"/>
          <w:color w:val="auto"/>
          <w:sz w:val="24"/>
          <w:szCs w:val="24"/>
          <w:highlight w:val="none"/>
        </w:rPr>
      </w:pPr>
      <w:bookmarkStart w:id="497" w:name="_Toc351203620"/>
      <w:bookmarkStart w:id="498" w:name="_Toc337558835"/>
      <w:bookmarkStart w:id="499" w:name="_Toc296503140"/>
      <w:bookmarkStart w:id="500" w:name="_Toc296346641"/>
      <w:r>
        <w:rPr>
          <w:rFonts w:hint="eastAsia" w:ascii="宋体" w:hAnsi="宋体" w:eastAsia="宋体" w:cs="宋体"/>
          <w:b w:val="0"/>
          <w:color w:val="auto"/>
          <w:sz w:val="24"/>
          <w:szCs w:val="24"/>
          <w:highlight w:val="none"/>
        </w:rPr>
        <w:t>19. 索赔</w:t>
      </w:r>
      <w:bookmarkEnd w:id="497"/>
    </w:p>
    <w:bookmarkEnd w:id="498"/>
    <w:bookmarkEnd w:id="499"/>
    <w:bookmarkEnd w:id="500"/>
    <w:p w14:paraId="4BBC8128">
      <w:pPr>
        <w:pStyle w:val="6"/>
        <w:spacing w:before="120" w:after="120" w:line="312" w:lineRule="auto"/>
        <w:ind w:firstLine="480" w:firstLineChars="200"/>
        <w:rPr>
          <w:rFonts w:ascii="宋体" w:hAnsi="宋体" w:eastAsia="宋体" w:cs="宋体"/>
          <w:b w:val="0"/>
          <w:color w:val="auto"/>
          <w:sz w:val="24"/>
          <w:szCs w:val="24"/>
          <w:highlight w:val="none"/>
        </w:rPr>
      </w:pPr>
      <w:bookmarkStart w:id="501" w:name="_Toc351203621"/>
      <w:bookmarkStart w:id="502" w:name="_Toc296346642"/>
      <w:bookmarkStart w:id="503" w:name="_Toc337558836"/>
      <w:bookmarkStart w:id="504" w:name="_Toc296503141"/>
      <w:r>
        <w:rPr>
          <w:rFonts w:hint="eastAsia" w:ascii="宋体" w:hAnsi="宋体" w:eastAsia="宋体" w:cs="宋体"/>
          <w:b w:val="0"/>
          <w:color w:val="auto"/>
          <w:sz w:val="24"/>
          <w:szCs w:val="24"/>
          <w:highlight w:val="none"/>
        </w:rPr>
        <w:t>19.1承包人的索赔</w:t>
      </w:r>
      <w:bookmarkEnd w:id="501"/>
    </w:p>
    <w:bookmarkEnd w:id="502"/>
    <w:bookmarkEnd w:id="503"/>
    <w:bookmarkEnd w:id="504"/>
    <w:p w14:paraId="70A888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根据合同约定，承包人认为有权得到追加付款和（或）延长工期的，应按以下程序向发包人提出索赔：</w:t>
      </w:r>
    </w:p>
    <w:p w14:paraId="0E0735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3E6871C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061909E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05D4DD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2B4F0773">
      <w:pPr>
        <w:pStyle w:val="6"/>
        <w:spacing w:before="120" w:after="120" w:line="312" w:lineRule="auto"/>
        <w:ind w:firstLine="480" w:firstLineChars="200"/>
        <w:rPr>
          <w:rFonts w:ascii="宋体" w:hAnsi="宋体" w:eastAsia="宋体" w:cs="宋体"/>
          <w:b w:val="0"/>
          <w:color w:val="auto"/>
          <w:sz w:val="24"/>
          <w:szCs w:val="24"/>
          <w:highlight w:val="none"/>
        </w:rPr>
      </w:pPr>
      <w:bookmarkStart w:id="505" w:name="_Toc351203622"/>
      <w:bookmarkStart w:id="506" w:name="_Toc337558837"/>
      <w:bookmarkStart w:id="507" w:name="_Toc296503142"/>
      <w:bookmarkStart w:id="508" w:name="_Toc296346643"/>
      <w:r>
        <w:rPr>
          <w:rFonts w:hint="eastAsia" w:ascii="宋体" w:hAnsi="宋体" w:eastAsia="宋体" w:cs="宋体"/>
          <w:b w:val="0"/>
          <w:color w:val="auto"/>
          <w:sz w:val="24"/>
          <w:szCs w:val="24"/>
          <w:highlight w:val="none"/>
        </w:rPr>
        <w:t>19.2 对承包人索赔的处理</w:t>
      </w:r>
      <w:bookmarkEnd w:id="505"/>
    </w:p>
    <w:bookmarkEnd w:id="506"/>
    <w:bookmarkEnd w:id="507"/>
    <w:bookmarkEnd w:id="508"/>
    <w:p w14:paraId="2D40D50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对承包人索赔的处理如下：</w:t>
      </w:r>
    </w:p>
    <w:p w14:paraId="6C07A5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（1）监理人应在收到索赔报告后14天内完成审查并报送发包人。监理人对索赔报告存在异议的，有权要求承包人提交全部原始记录副本；</w:t>
      </w:r>
    </w:p>
    <w:p w14:paraId="7D274F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73B142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（3）承包人接受索赔处理结果的，索赔款项在当期进度款中进行支付；承包人不接受索赔处理结果的，按照第20条〔争议解决〕约定处理。</w:t>
      </w:r>
    </w:p>
    <w:p w14:paraId="03B46DF3">
      <w:pPr>
        <w:pStyle w:val="6"/>
        <w:spacing w:before="120" w:after="120" w:line="312" w:lineRule="auto"/>
        <w:ind w:firstLine="480" w:firstLineChars="200"/>
        <w:rPr>
          <w:rFonts w:ascii="宋体" w:hAnsi="宋体" w:eastAsia="宋体" w:cs="宋体"/>
          <w:b w:val="0"/>
          <w:color w:val="auto"/>
          <w:sz w:val="24"/>
          <w:szCs w:val="24"/>
          <w:highlight w:val="none"/>
        </w:rPr>
      </w:pPr>
      <w:bookmarkStart w:id="509" w:name="_Toc351203623"/>
      <w:bookmarkStart w:id="510" w:name="_Toc296346644"/>
      <w:bookmarkStart w:id="511" w:name="_Toc296503143"/>
      <w:bookmarkStart w:id="512" w:name="_Toc337558838"/>
      <w:r>
        <w:rPr>
          <w:rFonts w:hint="eastAsia" w:ascii="宋体" w:hAnsi="宋体" w:eastAsia="宋体" w:cs="宋体"/>
          <w:b w:val="0"/>
          <w:color w:val="auto"/>
          <w:sz w:val="24"/>
          <w:szCs w:val="24"/>
          <w:highlight w:val="none"/>
        </w:rPr>
        <w:t>19.3发包人的索赔</w:t>
      </w:r>
      <w:bookmarkEnd w:id="509"/>
    </w:p>
    <w:bookmarkEnd w:id="510"/>
    <w:bookmarkEnd w:id="511"/>
    <w:bookmarkEnd w:id="512"/>
    <w:p w14:paraId="376062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根据合同约定，发包人认为有权得到赔付金额和（或）延长缺陷责任期的，监理人应向承包人发出通知并附有详细的证明。</w:t>
      </w:r>
    </w:p>
    <w:p w14:paraId="5EBA156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26ACDAB">
      <w:pPr>
        <w:pStyle w:val="6"/>
        <w:spacing w:before="120" w:after="120" w:line="312" w:lineRule="auto"/>
        <w:ind w:firstLine="480" w:firstLineChars="200"/>
        <w:rPr>
          <w:rFonts w:ascii="宋体" w:hAnsi="宋体" w:eastAsia="宋体" w:cs="宋体"/>
          <w:b w:val="0"/>
          <w:color w:val="auto"/>
          <w:sz w:val="24"/>
          <w:szCs w:val="24"/>
          <w:highlight w:val="none"/>
        </w:rPr>
      </w:pPr>
      <w:bookmarkStart w:id="513" w:name="_Toc351203624"/>
      <w:bookmarkStart w:id="514" w:name="_Toc296503144"/>
      <w:bookmarkStart w:id="515" w:name="_Toc337558839"/>
      <w:bookmarkStart w:id="516" w:name="_Toc296346645"/>
      <w:r>
        <w:rPr>
          <w:rFonts w:hint="eastAsia" w:ascii="宋体" w:hAnsi="宋体" w:eastAsia="宋体" w:cs="宋体"/>
          <w:b w:val="0"/>
          <w:color w:val="auto"/>
          <w:sz w:val="24"/>
          <w:szCs w:val="24"/>
          <w:highlight w:val="none"/>
        </w:rPr>
        <w:t>19.4 对发包人索赔的处理</w:t>
      </w:r>
      <w:bookmarkEnd w:id="513"/>
    </w:p>
    <w:bookmarkEnd w:id="514"/>
    <w:bookmarkEnd w:id="515"/>
    <w:bookmarkEnd w:id="516"/>
    <w:p w14:paraId="05A553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对发包人索赔的处理如下：</w:t>
      </w:r>
    </w:p>
    <w:p w14:paraId="6ECC53E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（1）承包人收到发包人提交的索赔报告后，应及时审查索赔报告的内容、查验发包人证明材料；</w:t>
      </w:r>
    </w:p>
    <w:p w14:paraId="3FC63FC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475CF6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3A42F9B9">
      <w:pPr>
        <w:pStyle w:val="6"/>
        <w:spacing w:before="120" w:after="120" w:line="312" w:lineRule="auto"/>
        <w:ind w:firstLine="480" w:firstLineChars="200"/>
        <w:rPr>
          <w:rFonts w:ascii="宋体" w:hAnsi="宋体" w:eastAsia="宋体" w:cs="宋体"/>
          <w:b w:val="0"/>
          <w:color w:val="auto"/>
          <w:sz w:val="24"/>
          <w:szCs w:val="24"/>
          <w:highlight w:val="none"/>
        </w:rPr>
      </w:pPr>
      <w:bookmarkStart w:id="517" w:name="_Toc351203625"/>
      <w:r>
        <w:rPr>
          <w:rFonts w:hint="eastAsia" w:ascii="宋体" w:hAnsi="宋体" w:eastAsia="宋体" w:cs="宋体"/>
          <w:b w:val="0"/>
          <w:color w:val="auto"/>
          <w:sz w:val="24"/>
          <w:szCs w:val="24"/>
          <w:highlight w:val="none"/>
        </w:rPr>
        <w:t>19.5 提出索赔的期限</w:t>
      </w:r>
      <w:bookmarkEnd w:id="517"/>
    </w:p>
    <w:p w14:paraId="0281140A">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（1）承包人按第14.2款〔竣工结算审核〕约定接收竣工付款证书后，应被视为已无权再提出在工程接收证书颁发前所发生的任何索赔。</w:t>
      </w:r>
    </w:p>
    <w:p w14:paraId="644C1679">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58EEA3EA">
      <w:pPr>
        <w:pStyle w:val="5"/>
        <w:spacing w:before="120" w:after="120" w:line="288" w:lineRule="auto"/>
        <w:rPr>
          <w:rFonts w:ascii="宋体" w:hAnsi="宋体" w:eastAsia="宋体" w:cs="宋体"/>
          <w:b w:val="0"/>
          <w:color w:val="auto"/>
          <w:sz w:val="24"/>
          <w:szCs w:val="24"/>
          <w:highlight w:val="none"/>
        </w:rPr>
      </w:pPr>
      <w:bookmarkStart w:id="518" w:name="_Toc351203626"/>
      <w:r>
        <w:rPr>
          <w:rFonts w:hint="eastAsia" w:ascii="宋体" w:hAnsi="宋体" w:eastAsia="宋体" w:cs="宋体"/>
          <w:b w:val="0"/>
          <w:color w:val="auto"/>
          <w:sz w:val="24"/>
          <w:szCs w:val="24"/>
          <w:highlight w:val="none"/>
        </w:rPr>
        <w:t>20</w:t>
      </w:r>
      <w:bookmarkStart w:id="519" w:name="_Toc337558840"/>
      <w:bookmarkStart w:id="520" w:name="_Toc296503146"/>
      <w:bookmarkStart w:id="521" w:name="_Toc296346647"/>
      <w:r>
        <w:rPr>
          <w:rFonts w:hint="eastAsia" w:ascii="宋体" w:hAnsi="宋体" w:eastAsia="宋体" w:cs="宋体"/>
          <w:b w:val="0"/>
          <w:color w:val="auto"/>
          <w:sz w:val="24"/>
          <w:szCs w:val="24"/>
          <w:highlight w:val="none"/>
        </w:rPr>
        <w:t>. 争议解决</w:t>
      </w:r>
      <w:bookmarkEnd w:id="518"/>
    </w:p>
    <w:bookmarkEnd w:id="519"/>
    <w:bookmarkEnd w:id="520"/>
    <w:bookmarkEnd w:id="521"/>
    <w:p w14:paraId="7EE6C42A">
      <w:pPr>
        <w:pStyle w:val="6"/>
        <w:spacing w:before="120" w:after="120" w:line="288" w:lineRule="auto"/>
        <w:ind w:firstLine="480" w:firstLineChars="200"/>
        <w:rPr>
          <w:rFonts w:ascii="宋体" w:hAnsi="宋体" w:eastAsia="宋体" w:cs="宋体"/>
          <w:b w:val="0"/>
          <w:color w:val="auto"/>
          <w:sz w:val="24"/>
          <w:szCs w:val="24"/>
          <w:highlight w:val="none"/>
        </w:rPr>
      </w:pPr>
      <w:bookmarkStart w:id="522" w:name="_Toc351203627"/>
      <w:bookmarkStart w:id="523" w:name="_Toc296503147"/>
      <w:bookmarkStart w:id="524" w:name="_Toc296346648"/>
      <w:bookmarkStart w:id="525" w:name="_Toc337558841"/>
      <w:r>
        <w:rPr>
          <w:rFonts w:hint="eastAsia" w:ascii="宋体" w:hAnsi="宋体" w:eastAsia="宋体" w:cs="宋体"/>
          <w:b w:val="0"/>
          <w:color w:val="auto"/>
          <w:sz w:val="24"/>
          <w:szCs w:val="24"/>
          <w:highlight w:val="none"/>
        </w:rPr>
        <w:t>20.1和解</w:t>
      </w:r>
      <w:bookmarkEnd w:id="522"/>
    </w:p>
    <w:bookmarkEnd w:id="523"/>
    <w:bookmarkEnd w:id="524"/>
    <w:bookmarkEnd w:id="525"/>
    <w:p w14:paraId="6DD62649">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合同当事人可以就争议自行和解，自行和解达成协议的经双方签字并盖章后作为合同补充文件，双方均应遵照执行。</w:t>
      </w:r>
    </w:p>
    <w:p w14:paraId="37E7F4C1">
      <w:pPr>
        <w:pStyle w:val="6"/>
        <w:spacing w:before="120" w:after="120" w:line="288" w:lineRule="auto"/>
        <w:ind w:firstLine="480" w:firstLineChars="200"/>
        <w:rPr>
          <w:rFonts w:ascii="宋体" w:hAnsi="宋体" w:eastAsia="宋体" w:cs="宋体"/>
          <w:b w:val="0"/>
          <w:color w:val="auto"/>
          <w:sz w:val="24"/>
          <w:szCs w:val="24"/>
          <w:highlight w:val="none"/>
        </w:rPr>
      </w:pPr>
      <w:bookmarkStart w:id="526" w:name="_Toc351203628"/>
      <w:r>
        <w:rPr>
          <w:rFonts w:hint="eastAsia" w:ascii="宋体" w:hAnsi="宋体" w:eastAsia="宋体" w:cs="宋体"/>
          <w:b w:val="0"/>
          <w:color w:val="auto"/>
          <w:sz w:val="24"/>
          <w:szCs w:val="24"/>
          <w:highlight w:val="none"/>
        </w:rPr>
        <w:t>20</w:t>
      </w:r>
      <w:bookmarkStart w:id="527" w:name="_Toc296346649"/>
      <w:bookmarkStart w:id="528" w:name="_Toc337558842"/>
      <w:bookmarkStart w:id="529" w:name="_Toc296503148"/>
      <w:r>
        <w:rPr>
          <w:rFonts w:hint="eastAsia" w:ascii="宋体" w:hAnsi="宋体" w:eastAsia="宋体" w:cs="宋体"/>
          <w:b w:val="0"/>
          <w:color w:val="auto"/>
          <w:sz w:val="24"/>
          <w:szCs w:val="24"/>
          <w:highlight w:val="none"/>
        </w:rPr>
        <w:t>.2调解</w:t>
      </w:r>
      <w:bookmarkEnd w:id="526"/>
    </w:p>
    <w:bookmarkEnd w:id="527"/>
    <w:bookmarkEnd w:id="528"/>
    <w:bookmarkEnd w:id="529"/>
    <w:p w14:paraId="0F5D54C7">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4B7556D7">
      <w:pPr>
        <w:pStyle w:val="6"/>
        <w:spacing w:before="120" w:after="120" w:line="288" w:lineRule="auto"/>
        <w:ind w:firstLine="480" w:firstLineChars="200"/>
        <w:rPr>
          <w:rFonts w:ascii="宋体" w:hAnsi="宋体" w:eastAsia="宋体" w:cs="宋体"/>
          <w:b w:val="0"/>
          <w:color w:val="auto"/>
          <w:sz w:val="24"/>
          <w:szCs w:val="24"/>
          <w:highlight w:val="none"/>
        </w:rPr>
      </w:pPr>
      <w:bookmarkStart w:id="530" w:name="_Toc351203629"/>
      <w:bookmarkStart w:id="531" w:name="_Toc296346650"/>
      <w:bookmarkStart w:id="532" w:name="_Toc337558843"/>
      <w:bookmarkStart w:id="533" w:name="_Toc296503149"/>
      <w:r>
        <w:rPr>
          <w:rFonts w:hint="eastAsia" w:ascii="宋体" w:hAnsi="宋体" w:eastAsia="宋体" w:cs="宋体"/>
          <w:b w:val="0"/>
          <w:color w:val="auto"/>
          <w:sz w:val="24"/>
          <w:szCs w:val="24"/>
          <w:highlight w:val="none"/>
        </w:rPr>
        <w:t>20.3争议评审</w:t>
      </w:r>
      <w:bookmarkEnd w:id="530"/>
    </w:p>
    <w:bookmarkEnd w:id="531"/>
    <w:bookmarkEnd w:id="532"/>
    <w:bookmarkEnd w:id="533"/>
    <w:p w14:paraId="6F08A1EA">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合同当事人在专用合同条款中约定采取争议评审方式解决争议以及评审规则，并按下列约定执行： </w:t>
      </w:r>
    </w:p>
    <w:p w14:paraId="697BE182">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20.3.1 争议评审小组的确定</w:t>
      </w:r>
    </w:p>
    <w:p w14:paraId="3B97913A">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6C996826">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41E94048">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除专用合同条款另有约定外，评审员报酬由发包人和承包人各承担一半。</w:t>
      </w:r>
    </w:p>
    <w:p w14:paraId="6DAD0CE1">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20.3.2 争议评审小组的决定</w:t>
      </w:r>
    </w:p>
    <w:p w14:paraId="0E49687F">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DD2B27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20.3.3 争议评审小组决定的效力</w:t>
      </w:r>
    </w:p>
    <w:p w14:paraId="5AC7ABA3">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争议评审小组作出的书面决定经合同当事人签字确认后，对双方具有约束力，双方应遵照执行。</w:t>
      </w:r>
    </w:p>
    <w:p w14:paraId="2F5FDB0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任何一方当事人不接受争议评审小组决定或不履行争议评审小组决定的，双方可选择采用其他争议解决方式。</w:t>
      </w:r>
    </w:p>
    <w:p w14:paraId="37ACCEF1">
      <w:pPr>
        <w:pStyle w:val="6"/>
        <w:spacing w:before="120" w:after="120" w:line="288" w:lineRule="auto"/>
        <w:ind w:firstLine="480" w:firstLineChars="200"/>
        <w:rPr>
          <w:rFonts w:ascii="宋体" w:hAnsi="宋体" w:eastAsia="宋体" w:cs="宋体"/>
          <w:b w:val="0"/>
          <w:color w:val="auto"/>
          <w:sz w:val="24"/>
          <w:szCs w:val="24"/>
          <w:highlight w:val="none"/>
        </w:rPr>
      </w:pPr>
      <w:bookmarkStart w:id="534" w:name="_Toc351203630"/>
      <w:bookmarkStart w:id="535" w:name="_Toc337558844"/>
      <w:bookmarkStart w:id="536" w:name="_Toc296346651"/>
      <w:bookmarkStart w:id="537" w:name="_Toc296503150"/>
      <w:r>
        <w:rPr>
          <w:rFonts w:hint="eastAsia" w:ascii="宋体" w:hAnsi="宋体" w:eastAsia="宋体" w:cs="宋体"/>
          <w:b w:val="0"/>
          <w:color w:val="auto"/>
          <w:sz w:val="24"/>
          <w:szCs w:val="24"/>
          <w:highlight w:val="none"/>
        </w:rPr>
        <w:t>20.4仲裁或诉讼</w:t>
      </w:r>
      <w:bookmarkEnd w:id="534"/>
    </w:p>
    <w:bookmarkEnd w:id="535"/>
    <w:bookmarkEnd w:id="536"/>
    <w:bookmarkEnd w:id="537"/>
    <w:p w14:paraId="7E9F43A1">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因合同及合同有关事项产生的争议，合同当事人可以在专用合同条款中约定以下一种方式解决争议：</w:t>
      </w:r>
    </w:p>
    <w:p w14:paraId="53EF3C62">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（1）向约定的仲裁委员会申请仲裁；</w:t>
      </w:r>
    </w:p>
    <w:p w14:paraId="09312B81">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（2）向有管辖权的人民法院起诉。</w:t>
      </w:r>
    </w:p>
    <w:p w14:paraId="3BD3B726">
      <w:pPr>
        <w:pStyle w:val="6"/>
        <w:spacing w:before="120" w:after="120" w:line="288" w:lineRule="auto"/>
        <w:ind w:firstLine="480" w:firstLineChars="200"/>
        <w:rPr>
          <w:rFonts w:ascii="宋体" w:hAnsi="宋体" w:eastAsia="宋体" w:cs="宋体"/>
          <w:b w:val="0"/>
          <w:color w:val="auto"/>
          <w:sz w:val="24"/>
          <w:szCs w:val="24"/>
          <w:highlight w:val="none"/>
        </w:rPr>
      </w:pPr>
      <w:bookmarkStart w:id="538" w:name="_Toc351203631"/>
      <w:bookmarkStart w:id="539" w:name="_Toc296503152"/>
      <w:bookmarkStart w:id="540" w:name="_Toc296346653"/>
      <w:bookmarkStart w:id="541" w:name="_Toc337558845"/>
      <w:r>
        <w:rPr>
          <w:rFonts w:hint="eastAsia" w:ascii="宋体" w:hAnsi="宋体" w:eastAsia="宋体" w:cs="宋体"/>
          <w:b w:val="0"/>
          <w:color w:val="auto"/>
          <w:sz w:val="24"/>
          <w:szCs w:val="24"/>
          <w:highlight w:val="none"/>
        </w:rPr>
        <w:t>20.5争议解决条款效力</w:t>
      </w:r>
      <w:bookmarkEnd w:id="538"/>
    </w:p>
    <w:bookmarkEnd w:id="539"/>
    <w:bookmarkEnd w:id="540"/>
    <w:bookmarkEnd w:id="541"/>
    <w:p w14:paraId="06F6A1C3">
      <w:pPr>
        <w:autoSpaceDE w:val="0"/>
        <w:autoSpaceDN w:val="0"/>
        <w:adjustRightInd w:val="0"/>
        <w:spacing w:line="288" w:lineRule="auto"/>
        <w:ind w:firstLine="480" w:firstLineChars="200"/>
        <w:jc w:val="left"/>
        <w:rPr>
          <w:rFonts w:hint="eastAsia"/>
          <w:color w:val="auto"/>
          <w:highlight w:val="none"/>
        </w:rPr>
      </w:pPr>
      <w:r>
        <w:rPr>
          <w:rFonts w:hint="eastAsia" w:ascii="宋体" w:hAnsi="宋体" w:eastAsia="宋体" w:cs="宋体"/>
          <w:color w:val="auto"/>
          <w:kern w:val="0"/>
          <w:sz w:val="24"/>
          <w:highlight w:val="none"/>
        </w:rPr>
        <w:t xml:space="preserve">合同有关争议解决的条款独立存在，合同的变更、解除、终止、无效或者被撤销均不影响其效力。 </w:t>
      </w:r>
    </w:p>
    <w:p w14:paraId="4A13464E">
      <w:pP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br w:type="page"/>
      </w:r>
    </w:p>
    <w:p w14:paraId="21E6EC9B">
      <w:pPr>
        <w:pStyle w:val="2"/>
        <w:keepNext w:val="0"/>
        <w:keepLines w:val="0"/>
        <w:spacing w:line="312" w:lineRule="auto"/>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第三部分 专用合同条款</w:t>
      </w:r>
    </w:p>
    <w:p w14:paraId="4BE62B7C">
      <w:pPr>
        <w:rPr>
          <w:color w:val="auto"/>
          <w:highlight w:val="none"/>
        </w:rPr>
      </w:pPr>
    </w:p>
    <w:p w14:paraId="70B25D83">
      <w:pPr>
        <w:pStyle w:val="3"/>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auto"/>
          <w:spacing w:val="0"/>
          <w:sz w:val="28"/>
          <w:szCs w:val="44"/>
          <w:highlight w:val="none"/>
        </w:rPr>
      </w:pPr>
      <w:bookmarkStart w:id="542" w:name="_Toc389065258"/>
      <w:bookmarkStart w:id="543" w:name="_Toc461982826"/>
      <w:bookmarkStart w:id="544" w:name="_Toc351203633"/>
      <w:bookmarkStart w:id="545" w:name="_Toc14784"/>
      <w:bookmarkStart w:id="546" w:name="_Toc373478339"/>
      <w:bookmarkStart w:id="547" w:name="_Toc373227692"/>
      <w:bookmarkStart w:id="548" w:name="_Toc439779031"/>
      <w:bookmarkStart w:id="549" w:name="_Toc14791"/>
      <w:bookmarkStart w:id="550" w:name="_Toc297120456"/>
      <w:bookmarkStart w:id="551" w:name="_Toc296891196"/>
      <w:bookmarkStart w:id="552" w:name="_Toc296944495"/>
      <w:bookmarkStart w:id="553" w:name="_Toc296347155"/>
      <w:bookmarkStart w:id="554" w:name="_Toc292559866"/>
      <w:bookmarkStart w:id="555" w:name="_Toc296346657"/>
      <w:bookmarkStart w:id="556" w:name="_Toc296503156"/>
      <w:bookmarkStart w:id="557" w:name="_Toc297048342"/>
      <w:bookmarkStart w:id="558" w:name="_Toc296890984"/>
      <w:bookmarkStart w:id="559" w:name="_Toc292559361"/>
      <w:r>
        <w:rPr>
          <w:rFonts w:hint="eastAsia" w:ascii="宋体" w:hAnsi="宋体" w:eastAsia="宋体" w:cs="宋体"/>
          <w:color w:val="auto"/>
          <w:spacing w:val="0"/>
          <w:sz w:val="28"/>
          <w:szCs w:val="44"/>
          <w:highlight w:val="none"/>
        </w:rPr>
        <w:t>一</w:t>
      </w:r>
      <w:r>
        <w:rPr>
          <w:rFonts w:hint="eastAsia" w:ascii="宋体" w:hAnsi="宋体" w:eastAsia="宋体" w:cs="宋体"/>
          <w:color w:val="auto"/>
          <w:spacing w:val="0"/>
          <w:sz w:val="28"/>
          <w:szCs w:val="44"/>
          <w:highlight w:val="none"/>
          <w:lang w:eastAsia="zh-CN"/>
        </w:rPr>
        <w:t>、</w:t>
      </w:r>
      <w:r>
        <w:rPr>
          <w:rFonts w:hint="eastAsia" w:ascii="宋体" w:hAnsi="宋体" w:eastAsia="宋体" w:cs="宋体"/>
          <w:color w:val="auto"/>
          <w:spacing w:val="0"/>
          <w:sz w:val="28"/>
          <w:szCs w:val="44"/>
          <w:highlight w:val="none"/>
        </w:rPr>
        <w:t>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22D2403F">
      <w:pPr>
        <w:pStyle w:val="4"/>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auto"/>
          <w:spacing w:val="0"/>
          <w:sz w:val="24"/>
          <w:szCs w:val="40"/>
          <w:highlight w:val="none"/>
        </w:rPr>
      </w:pPr>
      <w:bookmarkStart w:id="560" w:name="_Toc389065259"/>
      <w:bookmarkStart w:id="561" w:name="_Toc461982827"/>
      <w:bookmarkStart w:id="562" w:name="_Toc20097"/>
      <w:bookmarkStart w:id="563" w:name="_Toc373478340"/>
      <w:bookmarkStart w:id="564" w:name="_Toc373227693"/>
      <w:bookmarkStart w:id="565" w:name="_Toc16308"/>
      <w:bookmarkStart w:id="566" w:name="_Toc439779032"/>
      <w:r>
        <w:rPr>
          <w:rFonts w:hint="eastAsia" w:ascii="宋体" w:hAnsi="宋体" w:eastAsia="宋体" w:cs="宋体"/>
          <w:color w:val="auto"/>
          <w:spacing w:val="0"/>
          <w:sz w:val="24"/>
          <w:szCs w:val="40"/>
          <w:highlight w:val="none"/>
        </w:rPr>
        <w:t>1.1 词语定义</w:t>
      </w:r>
      <w:bookmarkEnd w:id="560"/>
      <w:bookmarkEnd w:id="561"/>
      <w:bookmarkEnd w:id="562"/>
      <w:bookmarkEnd w:id="563"/>
      <w:bookmarkEnd w:id="564"/>
      <w:bookmarkEnd w:id="565"/>
      <w:bookmarkEnd w:id="566"/>
    </w:p>
    <w:p w14:paraId="78667ECE">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1.1.1 合同</w:t>
      </w:r>
    </w:p>
    <w:p w14:paraId="23E7450B">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1.1.1.10其他合同文件包括：</w:t>
      </w:r>
      <w:r>
        <w:rPr>
          <w:rFonts w:hint="eastAsia" w:ascii="宋体" w:hAnsi="宋体" w:eastAsia="宋体" w:cs="宋体"/>
          <w:color w:val="000000"/>
          <w:sz w:val="24"/>
          <w:szCs w:val="24"/>
          <w:u w:val="single"/>
        </w:rPr>
        <w:t xml:space="preserve">双方签订补充合同（协议），现场签证及与本工程相关的其他文件     </w:t>
      </w:r>
      <w:r>
        <w:rPr>
          <w:rFonts w:hint="eastAsia" w:ascii="宋体" w:hAnsi="宋体" w:eastAsia="宋体" w:cs="宋体"/>
          <w:color w:val="000000"/>
          <w:sz w:val="24"/>
          <w:szCs w:val="24"/>
        </w:rPr>
        <w:t>。</w:t>
      </w:r>
    </w:p>
    <w:p w14:paraId="34740AAE">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14:paraId="65094FA5">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1.1.2.4监理人： </w:t>
      </w:r>
    </w:p>
    <w:p w14:paraId="5078569C">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2233F2B">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23EE176">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FD6DB9E">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29BC2FD">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A3AB4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1.1.2.5 设计人： </w:t>
      </w:r>
    </w:p>
    <w:p w14:paraId="48F608B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691751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0131990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473E63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HYPERLINK "mailto:qlgc07778212637@163.com" </w:instrText>
      </w:r>
      <w:r>
        <w:rPr>
          <w:rFonts w:hint="eastAsia" w:ascii="宋体" w:hAnsi="宋体" w:eastAsia="宋体" w:cs="宋体"/>
          <w:sz w:val="24"/>
          <w:szCs w:val="24"/>
          <w:u w:val="single"/>
        </w:rPr>
        <w:fldChar w:fldCharType="separate"/>
      </w:r>
      <w:r>
        <w:rPr>
          <w:rStyle w:val="35"/>
          <w:rFonts w:hint="eastAsia" w:ascii="宋体" w:hAnsi="宋体" w:eastAsia="宋体" w:cs="宋体"/>
          <w:sz w:val="24"/>
          <w:szCs w:val="24"/>
        </w:rPr>
        <w:t></w:t>
      </w:r>
      <w:r>
        <w:rPr>
          <w:rFonts w:hint="eastAsia" w:ascii="宋体" w:hAnsi="宋体" w:eastAsia="宋体" w:cs="宋体"/>
          <w:sz w:val="24"/>
          <w:szCs w:val="24"/>
          <w:u w:val="single"/>
        </w:rPr>
        <w:fldChar w:fldCharType="end"/>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E0271E8">
      <w:pPr>
        <w:spacing w:line="700" w:lineRule="exact"/>
        <w:ind w:left="4079" w:leftChars="171" w:hanging="3720" w:hangingChars="155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83A3F9A">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14:paraId="6B6C9DF9">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color w:val="000000"/>
          <w:sz w:val="24"/>
          <w:szCs w:val="24"/>
          <w:u w:val="single"/>
        </w:rPr>
        <w:t xml:space="preserve"> 材料堆放场地及加工场所，现场办公场所   </w:t>
      </w:r>
      <w:r>
        <w:rPr>
          <w:rFonts w:hint="eastAsia" w:ascii="宋体" w:hAnsi="宋体" w:eastAsia="宋体" w:cs="宋体"/>
          <w:color w:val="000000"/>
          <w:sz w:val="24"/>
          <w:szCs w:val="24"/>
        </w:rPr>
        <w:t>。</w:t>
      </w:r>
    </w:p>
    <w:p w14:paraId="649BECF8">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永久占地包括：</w:t>
      </w:r>
      <w:r>
        <w:rPr>
          <w:rFonts w:hint="eastAsia" w:ascii="宋体" w:hAnsi="宋体" w:eastAsia="宋体" w:cs="宋体"/>
          <w:color w:val="000000"/>
          <w:sz w:val="24"/>
          <w:szCs w:val="24"/>
          <w:u w:val="single"/>
        </w:rPr>
        <w:t xml:space="preserve">         无              </w:t>
      </w:r>
      <w:r>
        <w:rPr>
          <w:rFonts w:hint="eastAsia" w:ascii="宋体" w:hAnsi="宋体" w:eastAsia="宋体" w:cs="宋体"/>
          <w:color w:val="000000"/>
          <w:kern w:val="0"/>
          <w:sz w:val="24"/>
          <w:szCs w:val="24"/>
        </w:rPr>
        <w:t>。</w:t>
      </w:r>
    </w:p>
    <w:p w14:paraId="050C7B25">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1.1.3.10 临时占地包括：</w:t>
      </w:r>
      <w:r>
        <w:rPr>
          <w:rFonts w:hint="eastAsia" w:ascii="宋体" w:hAnsi="宋体" w:eastAsia="宋体" w:cs="宋体"/>
          <w:color w:val="000000"/>
          <w:sz w:val="24"/>
          <w:szCs w:val="24"/>
          <w:u w:val="single"/>
        </w:rPr>
        <w:t xml:space="preserve"> 材料堆放场地及加工场所，现场办公场所 </w:t>
      </w:r>
      <w:r>
        <w:rPr>
          <w:rFonts w:hint="eastAsia" w:ascii="宋体" w:hAnsi="宋体" w:eastAsia="宋体" w:cs="宋体"/>
          <w:color w:val="000000"/>
          <w:kern w:val="0"/>
          <w:sz w:val="24"/>
          <w:szCs w:val="24"/>
        </w:rPr>
        <w:t>。</w:t>
      </w:r>
    </w:p>
    <w:p w14:paraId="5EA0EAF3">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14:paraId="7C77B34B">
      <w:pPr>
        <w:autoSpaceDE w:val="0"/>
        <w:autoSpaceDN w:val="0"/>
        <w:adjustRightInd w:val="0"/>
        <w:spacing w:line="460" w:lineRule="exact"/>
        <w:ind w:left="596" w:leftChars="284"/>
        <w:jc w:val="left"/>
        <w:rPr>
          <w:rFonts w:hint="eastAsia" w:ascii="宋体" w:hAnsi="宋体" w:eastAsia="宋体" w:cs="宋体"/>
          <w:color w:val="000000"/>
          <w:sz w:val="24"/>
          <w:szCs w:val="24"/>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国家相关法律法规及行政主管部门颁布的文件条例</w:t>
      </w:r>
      <w:r>
        <w:rPr>
          <w:rFonts w:hint="eastAsia" w:ascii="宋体" w:hAnsi="宋体" w:eastAsia="宋体" w:cs="宋体"/>
          <w:color w:val="000000"/>
          <w:sz w:val="24"/>
          <w:szCs w:val="24"/>
        </w:rPr>
        <w:t>。</w:t>
      </w:r>
    </w:p>
    <w:p w14:paraId="07313F8D">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14:paraId="346D0611">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rPr>
        <w:t>现行施工规范及法律法规规定的相关文件、条例</w:t>
      </w:r>
      <w:r>
        <w:rPr>
          <w:rFonts w:hint="eastAsia" w:ascii="宋体" w:hAnsi="宋体" w:eastAsia="宋体" w:cs="宋体"/>
          <w:color w:val="000000"/>
          <w:sz w:val="24"/>
          <w:szCs w:val="24"/>
        </w:rPr>
        <w:t>。</w:t>
      </w:r>
    </w:p>
    <w:p w14:paraId="4C75B9FE">
      <w:pPr>
        <w:spacing w:line="460" w:lineRule="exact"/>
        <w:ind w:firstLine="480" w:firstLineChars="200"/>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 发包人提供国外标准、规范的名称：</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3D47ABB2">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发包人提供国外标准、规范的份数：</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261BDBCD">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发包人提供国外标准、规范的名称：</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6386C837">
      <w:pPr>
        <w:spacing w:line="460" w:lineRule="exact"/>
        <w:ind w:left="596" w:leftChars="284"/>
        <w:rPr>
          <w:rFonts w:hint="eastAsia" w:ascii="宋体" w:hAnsi="宋体" w:eastAsia="宋体" w:cs="宋体"/>
          <w:color w:val="000000"/>
          <w:sz w:val="24"/>
          <w:szCs w:val="24"/>
        </w:rPr>
      </w:pPr>
      <w:r>
        <w:rPr>
          <w:rFonts w:hint="eastAsia" w:ascii="宋体" w:hAnsi="宋体" w:eastAsia="宋体" w:cs="宋体"/>
          <w:color w:val="000000"/>
          <w:sz w:val="24"/>
          <w:szCs w:val="24"/>
        </w:rPr>
        <w:t>1.4.3发包人对工程的技术标准和功能要求的特殊要求：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u w:val="single"/>
        </w:rPr>
        <w:t xml:space="preserve">无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C6E1C67">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14:paraId="136B2EB8">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（1）合同协议书（2）专用合同条款及其附件；（3）通用合同条款；（4）技术标准和要求；（5）图纸；（6）已标价工程量清单或预算书；（7）其他合同文件。</w:t>
      </w:r>
    </w:p>
    <w:p w14:paraId="6E9716AC">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14:paraId="7F9293A5">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14:paraId="207793B0">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rPr>
        <w:t>开工前七个工作日内</w:t>
      </w:r>
      <w:r>
        <w:rPr>
          <w:rFonts w:hint="eastAsia" w:ascii="宋体" w:hAnsi="宋体" w:eastAsia="宋体" w:cs="宋体"/>
          <w:color w:val="000000"/>
          <w:sz w:val="24"/>
          <w:szCs w:val="24"/>
        </w:rPr>
        <w:t>；</w:t>
      </w:r>
    </w:p>
    <w:p w14:paraId="52A98012">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叁套    </w:t>
      </w:r>
      <w:r>
        <w:rPr>
          <w:rFonts w:hint="eastAsia" w:ascii="宋体" w:hAnsi="宋体" w:eastAsia="宋体" w:cs="宋体"/>
          <w:color w:val="000000"/>
          <w:sz w:val="24"/>
          <w:szCs w:val="24"/>
        </w:rPr>
        <w:t>；</w:t>
      </w:r>
    </w:p>
    <w:p w14:paraId="3ABEE5C4">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eastAsia="zh-CN"/>
        </w:rPr>
        <w:t>土方预算图</w:t>
      </w:r>
      <w:r>
        <w:rPr>
          <w:rFonts w:hint="eastAsia" w:ascii="宋体" w:hAnsi="宋体" w:eastAsia="宋体" w:cs="宋体"/>
          <w:color w:val="000000"/>
          <w:sz w:val="24"/>
          <w:szCs w:val="24"/>
        </w:rPr>
        <w:t>。</w:t>
      </w:r>
    </w:p>
    <w:p w14:paraId="2D973125">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xml:space="preserve"> 承包人文件</w:t>
      </w:r>
    </w:p>
    <w:p w14:paraId="0BCCE3A9">
      <w:pPr>
        <w:spacing w:line="460" w:lineRule="exact"/>
        <w:ind w:left="596" w:leftChars="284"/>
        <w:jc w:val="left"/>
        <w:rPr>
          <w:rFonts w:hint="eastAsia" w:ascii="宋体" w:hAnsi="宋体" w:eastAsia="宋体" w:cs="宋体"/>
          <w:color w:val="000000"/>
          <w:sz w:val="24"/>
          <w:szCs w:val="24"/>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行政主管部门及相关法律法规规定的全部文件、资料</w:t>
      </w:r>
      <w:r>
        <w:rPr>
          <w:rFonts w:hint="eastAsia" w:ascii="宋体" w:hAnsi="宋体" w:eastAsia="宋体" w:cs="宋体"/>
          <w:color w:val="000000"/>
          <w:sz w:val="24"/>
          <w:szCs w:val="24"/>
        </w:rPr>
        <w:t>；</w:t>
      </w:r>
    </w:p>
    <w:p w14:paraId="12C19140">
      <w:pPr>
        <w:spacing w:line="460" w:lineRule="exact"/>
        <w:ind w:firstLine="480" w:firstLineChars="200"/>
        <w:rPr>
          <w:rFonts w:hint="eastAsia" w:ascii="宋体" w:hAnsi="宋体" w:eastAsia="宋体" w:cs="宋体"/>
          <w:color w:val="000000"/>
          <w:spacing w:val="-11"/>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FF0000"/>
          <w:sz w:val="24"/>
          <w:szCs w:val="24"/>
        </w:rPr>
        <w:t>：</w:t>
      </w:r>
      <w:r>
        <w:rPr>
          <w:rFonts w:hint="eastAsia" w:ascii="宋体" w:hAnsi="宋体" w:eastAsia="宋体" w:cs="宋体"/>
          <w:color w:val="auto"/>
          <w:spacing w:val="-11"/>
          <w:sz w:val="24"/>
          <w:szCs w:val="24"/>
          <w:u w:val="single"/>
        </w:rPr>
        <w:t>收到</w:t>
      </w:r>
      <w:r>
        <w:rPr>
          <w:rFonts w:hint="eastAsia" w:ascii="宋体" w:hAnsi="宋体" w:eastAsia="宋体" w:cs="宋体"/>
          <w:color w:val="auto"/>
          <w:spacing w:val="-11"/>
          <w:sz w:val="24"/>
          <w:szCs w:val="24"/>
          <w:u w:val="single"/>
          <w:lang w:eastAsia="zh-CN"/>
        </w:rPr>
        <w:t>发包人</w:t>
      </w:r>
      <w:r>
        <w:rPr>
          <w:rFonts w:hint="eastAsia" w:ascii="宋体" w:hAnsi="宋体" w:eastAsia="宋体" w:cs="宋体"/>
          <w:color w:val="auto"/>
          <w:spacing w:val="-11"/>
          <w:sz w:val="24"/>
          <w:szCs w:val="24"/>
          <w:u w:val="single"/>
        </w:rPr>
        <w:t>下发提供资料文件之日起七个工作日内</w:t>
      </w:r>
      <w:r>
        <w:rPr>
          <w:rFonts w:hint="eastAsia" w:ascii="宋体" w:hAnsi="宋体" w:eastAsia="宋体" w:cs="宋体"/>
          <w:color w:val="auto"/>
          <w:spacing w:val="-11"/>
          <w:sz w:val="24"/>
          <w:szCs w:val="24"/>
        </w:rPr>
        <w:t>；</w:t>
      </w:r>
    </w:p>
    <w:p w14:paraId="2E11FC74">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一式</w:t>
      </w:r>
      <w:r>
        <w:rPr>
          <w:rFonts w:hint="eastAsia" w:ascii="宋体" w:hAnsi="宋体" w:eastAsia="宋体" w:cs="宋体"/>
          <w:color w:val="000000"/>
          <w:sz w:val="24"/>
          <w:szCs w:val="24"/>
          <w:u w:val="single"/>
          <w:lang w:eastAsia="zh-CN"/>
        </w:rPr>
        <w:t>四</w:t>
      </w:r>
      <w:r>
        <w:rPr>
          <w:rFonts w:hint="eastAsia" w:ascii="宋体" w:hAnsi="宋体" w:eastAsia="宋体" w:cs="宋体"/>
          <w:color w:val="000000"/>
          <w:sz w:val="24"/>
          <w:szCs w:val="24"/>
          <w:u w:val="single"/>
        </w:rPr>
        <w:t xml:space="preserve">份     </w:t>
      </w:r>
      <w:r>
        <w:rPr>
          <w:rFonts w:hint="eastAsia" w:ascii="宋体" w:hAnsi="宋体" w:eastAsia="宋体" w:cs="宋体"/>
          <w:color w:val="000000"/>
          <w:sz w:val="24"/>
          <w:szCs w:val="24"/>
        </w:rPr>
        <w:t>；</w:t>
      </w:r>
    </w:p>
    <w:p w14:paraId="17D1228D">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 xml:space="preserve">书面形式      </w:t>
      </w:r>
      <w:r>
        <w:rPr>
          <w:rFonts w:hint="eastAsia" w:ascii="宋体" w:hAnsi="宋体" w:eastAsia="宋体" w:cs="宋体"/>
          <w:color w:val="000000"/>
          <w:sz w:val="24"/>
          <w:szCs w:val="24"/>
        </w:rPr>
        <w:t>；</w:t>
      </w:r>
    </w:p>
    <w:p w14:paraId="25FBD590">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收到相关文件之日起七个工作日内</w:t>
      </w:r>
      <w:r>
        <w:rPr>
          <w:rFonts w:hint="eastAsia" w:ascii="宋体" w:hAnsi="宋体" w:eastAsia="宋体" w:cs="宋体"/>
          <w:color w:val="000000"/>
          <w:sz w:val="24"/>
          <w:szCs w:val="24"/>
        </w:rPr>
        <w:t>。</w:t>
      </w:r>
    </w:p>
    <w:p w14:paraId="7C47672B">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1.6.3 现场图纸准备</w:t>
      </w:r>
    </w:p>
    <w:p w14:paraId="5C13B8A7">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sz w:val="24"/>
          <w:szCs w:val="24"/>
          <w:u w:val="single"/>
        </w:rPr>
        <w:t xml:space="preserve">常备一套以便检查、核对   </w:t>
      </w:r>
      <w:r>
        <w:rPr>
          <w:rFonts w:hint="eastAsia" w:ascii="宋体" w:hAnsi="宋体" w:eastAsia="宋体" w:cs="宋体"/>
          <w:color w:val="000000"/>
          <w:sz w:val="24"/>
          <w:szCs w:val="24"/>
        </w:rPr>
        <w:t>。</w:t>
      </w:r>
    </w:p>
    <w:p w14:paraId="188C95C3">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14:paraId="11BA1ECD">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开工前</w:t>
      </w:r>
      <w:r>
        <w:rPr>
          <w:rFonts w:hint="eastAsia" w:ascii="宋体" w:hAnsi="宋体" w:eastAsia="宋体" w:cs="宋体"/>
          <w:color w:val="000000"/>
          <w:sz w:val="24"/>
          <w:szCs w:val="24"/>
          <w:u w:val="single"/>
        </w:rPr>
        <w:t xml:space="preserve">7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14:paraId="7F0E2459">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发包人接收文件的地点：</w:t>
      </w:r>
      <w:r>
        <w:rPr>
          <w:rFonts w:hint="eastAsia" w:ascii="宋体" w:hAnsi="宋体" w:eastAsia="宋体" w:cs="宋体"/>
          <w:color w:val="000000"/>
          <w:sz w:val="24"/>
          <w:szCs w:val="24"/>
          <w:u w:val="single"/>
        </w:rPr>
        <w:t>发包人办公室</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36A01B05">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14BA59D8">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sz w:val="24"/>
          <w:szCs w:val="24"/>
          <w:u w:val="single"/>
        </w:rPr>
        <w:t xml:space="preserve">驻工程地域分公司或工程项目部 </w:t>
      </w:r>
      <w:r>
        <w:rPr>
          <w:rFonts w:hint="eastAsia" w:ascii="宋体" w:hAnsi="宋体" w:eastAsia="宋体" w:cs="宋体"/>
          <w:color w:val="000000"/>
          <w:kern w:val="0"/>
          <w:sz w:val="24"/>
          <w:szCs w:val="24"/>
        </w:rPr>
        <w:t>；</w:t>
      </w:r>
    </w:p>
    <w:p w14:paraId="15EB6C89">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w:t>
      </w:r>
    </w:p>
    <w:p w14:paraId="45DCA0C1">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监理人接收文件的地点：</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086DE13E">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监理人指定的接收人为：</w:t>
      </w:r>
      <w:r>
        <w:rPr>
          <w:rFonts w:hint="eastAsia" w:ascii="宋体" w:hAnsi="宋体" w:eastAsia="宋体" w:cs="宋体"/>
          <w:color w:val="000000"/>
          <w:sz w:val="24"/>
          <w:szCs w:val="24"/>
          <w:u w:val="single"/>
        </w:rPr>
        <w:t>         　   </w:t>
      </w:r>
      <w:r>
        <w:rPr>
          <w:rFonts w:hint="eastAsia" w:ascii="宋体" w:hAnsi="宋体" w:eastAsia="宋体" w:cs="宋体"/>
          <w:color w:val="000000"/>
          <w:kern w:val="0"/>
          <w:sz w:val="24"/>
          <w:szCs w:val="24"/>
        </w:rPr>
        <w:t>。</w:t>
      </w:r>
    </w:p>
    <w:p w14:paraId="3043D6CA">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14:paraId="4B74D2DC">
      <w:pPr>
        <w:spacing w:line="46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w:t>
      </w:r>
      <w:bookmarkStart w:id="567" w:name="_Toc304295521"/>
      <w:bookmarkStart w:id="568" w:name="_Toc303539100"/>
      <w:bookmarkStart w:id="569" w:name="_Toc318581155"/>
      <w:bookmarkStart w:id="570" w:name="_Toc312677986"/>
      <w:bookmarkStart w:id="571" w:name="_Toc300934943"/>
      <w:r>
        <w:rPr>
          <w:rFonts w:hint="eastAsia" w:ascii="宋体" w:hAnsi="宋体" w:eastAsia="宋体" w:cs="宋体"/>
          <w:sz w:val="24"/>
          <w:szCs w:val="24"/>
        </w:rPr>
        <w:t>.10.1 出入现场的权利</w:t>
      </w:r>
    </w:p>
    <w:p w14:paraId="51182385">
      <w:pPr>
        <w:spacing w:line="460" w:lineRule="exact"/>
        <w:ind w:left="15" w:leftChars="7" w:firstLine="578" w:firstLineChars="241"/>
        <w:rPr>
          <w:rFonts w:hint="eastAsia"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color w:val="000000"/>
          <w:sz w:val="24"/>
          <w:szCs w:val="24"/>
          <w:u w:val="single"/>
        </w:rPr>
        <w:t xml:space="preserve">承包人需遵循发包人关于车辆管理的相关规定，发包人需为承包人施工车辆提供相关便利，不得无故妨碍施工车辆的正常工作需求 </w:t>
      </w:r>
      <w:r>
        <w:rPr>
          <w:rFonts w:hint="eastAsia" w:ascii="宋体" w:hAnsi="宋体" w:eastAsia="宋体" w:cs="宋体"/>
          <w:sz w:val="24"/>
          <w:szCs w:val="24"/>
        </w:rPr>
        <w:t>。</w:t>
      </w:r>
    </w:p>
    <w:bookmarkEnd w:id="567"/>
    <w:bookmarkEnd w:id="568"/>
    <w:bookmarkEnd w:id="569"/>
    <w:bookmarkEnd w:id="570"/>
    <w:bookmarkEnd w:id="571"/>
    <w:p w14:paraId="144C795B">
      <w:pPr>
        <w:spacing w:line="46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1</w:t>
      </w:r>
      <w:bookmarkStart w:id="572" w:name="_Toc304295522"/>
      <w:bookmarkStart w:id="573" w:name="_Toc300934944"/>
      <w:bookmarkStart w:id="574" w:name="_Toc303539101"/>
      <w:bookmarkStart w:id="575" w:name="_Toc318581156"/>
      <w:bookmarkStart w:id="576" w:name="_Toc312677987"/>
      <w:r>
        <w:rPr>
          <w:rFonts w:hint="eastAsia" w:ascii="宋体" w:hAnsi="宋体" w:eastAsia="宋体" w:cs="宋体"/>
          <w:sz w:val="24"/>
          <w:szCs w:val="24"/>
        </w:rPr>
        <w:t>.10.3 场内交通</w:t>
      </w:r>
    </w:p>
    <w:p w14:paraId="4F0092C5">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color w:val="000000"/>
          <w:sz w:val="24"/>
          <w:szCs w:val="24"/>
          <w:u w:val="single"/>
        </w:rPr>
        <w:t></w:t>
      </w:r>
      <w:r>
        <w:rPr>
          <w:rFonts w:hint="eastAsia" w:ascii="仿宋_GB2312" w:hAnsi="宋体" w:eastAsia="宋体"/>
          <w:bCs/>
          <w:sz w:val="24"/>
          <w:szCs w:val="28"/>
          <w:u w:val="single"/>
        </w:rPr>
        <w:t>建筑红线范围内的为场内交通，建筑红线范围外的为场外交通。</w:t>
      </w:r>
    </w:p>
    <w:p w14:paraId="6B361A68">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color w:val="000000"/>
          <w:sz w:val="24"/>
          <w:szCs w:val="24"/>
          <w:u w:val="single"/>
        </w:rPr>
        <w:t></w:t>
      </w:r>
      <w:r>
        <w:rPr>
          <w:rFonts w:hint="eastAsia" w:ascii="宋体" w:hAnsi="宋体" w:eastAsia="宋体" w:cs="宋体"/>
          <w:color w:val="FF0000"/>
          <w:sz w:val="24"/>
          <w:szCs w:val="24"/>
          <w:u w:val="single"/>
          <w:lang w:val="en-US" w:eastAsia="zh-CN"/>
        </w:rPr>
        <w:t xml:space="preserve">      /  </w:t>
      </w:r>
      <w:r>
        <w:rPr>
          <w:rFonts w:hint="eastAsia" w:ascii="宋体" w:hAnsi="宋体" w:eastAsia="宋体" w:cs="宋体"/>
          <w:sz w:val="24"/>
          <w:szCs w:val="24"/>
        </w:rPr>
        <w:t>。</w:t>
      </w:r>
      <w:bookmarkEnd w:id="572"/>
      <w:bookmarkEnd w:id="573"/>
      <w:bookmarkEnd w:id="574"/>
      <w:bookmarkEnd w:id="575"/>
      <w:bookmarkEnd w:id="576"/>
      <w:bookmarkStart w:id="577" w:name="_Toc318581157"/>
    </w:p>
    <w:p w14:paraId="24D38270">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510895F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承</w:t>
      </w:r>
      <w:r>
        <w:rPr>
          <w:rFonts w:hint="eastAsia" w:ascii="宋体" w:hAnsi="宋体" w:eastAsia="宋体" w:cs="宋体"/>
          <w:sz w:val="24"/>
          <w:szCs w:val="24"/>
          <w:u w:val="single"/>
        </w:rPr>
        <w:t xml:space="preserve">包人   </w:t>
      </w:r>
      <w:r>
        <w:rPr>
          <w:rFonts w:hint="eastAsia" w:ascii="宋体" w:hAnsi="宋体" w:eastAsia="宋体" w:cs="宋体"/>
          <w:sz w:val="24"/>
          <w:szCs w:val="24"/>
        </w:rPr>
        <w:t>承担。</w:t>
      </w:r>
    </w:p>
    <w:bookmarkEnd w:id="577"/>
    <w:p w14:paraId="72D3F41B">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14:paraId="4918D9CF">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rPr>
        <w:t xml:space="preserve">归发包人所有 </w:t>
      </w:r>
      <w:r>
        <w:rPr>
          <w:rFonts w:hint="eastAsia" w:ascii="宋体" w:hAnsi="宋体" w:eastAsia="宋体" w:cs="宋体"/>
          <w:color w:val="000000"/>
          <w:sz w:val="24"/>
          <w:szCs w:val="24"/>
        </w:rPr>
        <w:t>。</w:t>
      </w:r>
    </w:p>
    <w:p w14:paraId="5ADEBAD7">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sz w:val="24"/>
          <w:szCs w:val="24"/>
          <w:u w:val="single"/>
        </w:rPr>
        <w:t xml:space="preserve">  承包人需征得发包人同意方能使用，未经发包人授权不能外泄 </w:t>
      </w:r>
      <w:r>
        <w:rPr>
          <w:rFonts w:hint="eastAsia" w:ascii="宋体" w:hAnsi="宋体" w:eastAsia="宋体" w:cs="宋体"/>
          <w:color w:val="000000"/>
          <w:sz w:val="24"/>
          <w:szCs w:val="24"/>
        </w:rPr>
        <w:t>。</w:t>
      </w:r>
    </w:p>
    <w:p w14:paraId="53B14F8C">
      <w:pPr>
        <w:spacing w:line="460" w:lineRule="exact"/>
        <w:ind w:left="596" w:leftChars="284"/>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color w:val="000000"/>
          <w:sz w:val="24"/>
          <w:szCs w:val="24"/>
          <w:u w:val="single"/>
        </w:rPr>
        <w:t xml:space="preserve"> 归</w:t>
      </w:r>
      <w:r>
        <w:rPr>
          <w:rFonts w:hint="eastAsia" w:ascii="宋体" w:hAnsi="宋体" w:eastAsia="宋体" w:cs="宋体"/>
          <w:color w:val="000000"/>
          <w:sz w:val="24"/>
          <w:szCs w:val="24"/>
          <w:u w:val="single"/>
          <w:lang w:val="en-US" w:eastAsia="zh-CN"/>
        </w:rPr>
        <w:t>发</w:t>
      </w:r>
      <w:r>
        <w:rPr>
          <w:rFonts w:hint="eastAsia" w:ascii="宋体" w:hAnsi="宋体" w:eastAsia="宋体" w:cs="宋体"/>
          <w:color w:val="000000"/>
          <w:sz w:val="24"/>
          <w:szCs w:val="24"/>
          <w:u w:val="single"/>
        </w:rPr>
        <w:t xml:space="preserve">包人所有   </w:t>
      </w:r>
      <w:r>
        <w:rPr>
          <w:rFonts w:hint="eastAsia" w:ascii="宋体" w:hAnsi="宋体" w:eastAsia="宋体" w:cs="宋体"/>
          <w:color w:val="000000"/>
          <w:sz w:val="24"/>
          <w:szCs w:val="24"/>
        </w:rPr>
        <w:t>。</w:t>
      </w:r>
    </w:p>
    <w:p w14:paraId="59175030">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关于承包人提供的上述文件的使用限制的要求：</w:t>
      </w:r>
      <w:r>
        <w:rPr>
          <w:rFonts w:ascii="Times New Roman" w:hAnsi="Times New Roman" w:eastAsia="宋体"/>
          <w:color w:val="000000"/>
          <w:kern w:val="0"/>
          <w:sz w:val="24"/>
          <w:szCs w:val="24"/>
          <w:u w:val="single"/>
        </w:rPr>
        <w:t>未经发包人书面同意</w:t>
      </w:r>
      <w:r>
        <w:rPr>
          <w:rFonts w:hint="eastAsia" w:ascii="宋体" w:hAnsi="宋体" w:eastAsia="宋体" w:cs="宋体"/>
          <w:color w:val="000000"/>
          <w:sz w:val="24"/>
          <w:szCs w:val="24"/>
          <w:u w:val="single"/>
        </w:rPr>
        <w:t>，承包人不得外泄</w:t>
      </w:r>
      <w:r>
        <w:rPr>
          <w:rFonts w:hint="eastAsia" w:ascii="宋体" w:hAnsi="宋体" w:eastAsia="宋体" w:cs="宋体"/>
          <w:color w:val="000000"/>
          <w:sz w:val="24"/>
          <w:szCs w:val="24"/>
        </w:rPr>
        <w:t>。</w:t>
      </w:r>
    </w:p>
    <w:p w14:paraId="2B001F2A">
      <w:pPr>
        <w:spacing w:line="460" w:lineRule="exact"/>
        <w:ind w:firstLine="480" w:firstLineChars="200"/>
        <w:outlineLvl w:val="0"/>
        <w:rPr>
          <w:rFonts w:hint="eastAsia" w:ascii="宋体" w:hAnsi="宋体" w:eastAsia="宋体" w:cs="宋体"/>
          <w:color w:val="000000"/>
          <w:kern w:val="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由承包人自行承担</w:t>
      </w:r>
      <w:r>
        <w:rPr>
          <w:rFonts w:hint="eastAsia" w:ascii="宋体" w:hAnsi="宋体" w:eastAsia="宋体" w:cs="宋体"/>
          <w:color w:val="000000"/>
          <w:kern w:val="0"/>
          <w:sz w:val="24"/>
          <w:szCs w:val="24"/>
        </w:rPr>
        <w:t>。</w:t>
      </w:r>
    </w:p>
    <w:p w14:paraId="15510D8A">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1.13工程量清单错误的修正</w:t>
      </w:r>
    </w:p>
    <w:p w14:paraId="62534864">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是</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14:paraId="08EE3D61">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（1）工程量清单存在缺项、漏项的；（2）实际完成合格并经发包人签认的工程量超出或减少合同工程量清单工程量的</w:t>
      </w:r>
      <w:r>
        <w:rPr>
          <w:rFonts w:hint="eastAsia" w:ascii="宋体" w:hAnsi="宋体" w:eastAsia="宋体" w:cs="宋体"/>
          <w:sz w:val="24"/>
          <w:szCs w:val="24"/>
          <w:u w:val="single"/>
          <w:lang w:eastAsia="zh-CN"/>
        </w:rPr>
        <w:t>；</w:t>
      </w:r>
      <w:r>
        <w:rPr>
          <w:rFonts w:hint="eastAsia" w:ascii="仿宋_GB2312" w:hAnsi="宋体" w:eastAsia="宋体"/>
          <w:b w:val="0"/>
          <w:sz w:val="24"/>
          <w:u w:val="single"/>
        </w:rPr>
        <w:t>(3)未按照国家现行计量规范强制性规定计量的</w:t>
      </w:r>
      <w:r>
        <w:rPr>
          <w:rFonts w:hint="eastAsia" w:ascii="宋体" w:hAnsi="宋体" w:eastAsia="宋体" w:cs="宋体"/>
          <w:color w:val="000000"/>
          <w:kern w:val="0"/>
          <w:sz w:val="24"/>
          <w:szCs w:val="24"/>
        </w:rPr>
        <w:t>。</w:t>
      </w:r>
    </w:p>
    <w:p w14:paraId="723D3808">
      <w:pPr>
        <w:pStyle w:val="5"/>
        <w:spacing w:before="120" w:after="120" w:line="460" w:lineRule="exact"/>
        <w:rPr>
          <w:rFonts w:hint="eastAsia" w:ascii="宋体" w:hAnsi="宋体" w:eastAsia="宋体" w:cs="宋体"/>
          <w:b w:val="0"/>
          <w:color w:val="000000"/>
          <w:sz w:val="24"/>
          <w:szCs w:val="24"/>
        </w:rPr>
      </w:pPr>
      <w:bookmarkStart w:id="578" w:name="_Toc351203634"/>
      <w:r>
        <w:rPr>
          <w:rFonts w:hint="eastAsia" w:ascii="宋体" w:hAnsi="宋体" w:eastAsia="宋体" w:cs="宋体"/>
          <w:b w:val="0"/>
          <w:color w:val="000000"/>
          <w:sz w:val="24"/>
          <w:szCs w:val="24"/>
        </w:rPr>
        <w:t>2</w:t>
      </w:r>
      <w:bookmarkStart w:id="579" w:name="_Toc297048343"/>
      <w:bookmarkStart w:id="580" w:name="_Toc296503157"/>
      <w:bookmarkStart w:id="581" w:name="_Toc296347156"/>
      <w:bookmarkStart w:id="582" w:name="_Toc296944496"/>
      <w:bookmarkStart w:id="583" w:name="_Toc296346658"/>
      <w:bookmarkStart w:id="584" w:name="_Toc296890985"/>
      <w:bookmarkStart w:id="585" w:name="_Toc296891197"/>
      <w:bookmarkStart w:id="586" w:name="_Toc292559362"/>
      <w:bookmarkStart w:id="587" w:name="_Toc297120457"/>
      <w:bookmarkStart w:id="588" w:name="_Toc292559867"/>
      <w:r>
        <w:rPr>
          <w:rFonts w:hint="eastAsia" w:ascii="宋体" w:hAnsi="宋体" w:eastAsia="宋体" w:cs="宋体"/>
          <w:b w:val="0"/>
          <w:color w:val="000000"/>
          <w:sz w:val="24"/>
          <w:szCs w:val="24"/>
        </w:rPr>
        <w:t>. 发包人</w:t>
      </w:r>
      <w:bookmarkEnd w:id="578"/>
    </w:p>
    <w:bookmarkEnd w:id="579"/>
    <w:bookmarkEnd w:id="580"/>
    <w:bookmarkEnd w:id="581"/>
    <w:bookmarkEnd w:id="582"/>
    <w:bookmarkEnd w:id="583"/>
    <w:bookmarkEnd w:id="584"/>
    <w:bookmarkEnd w:id="585"/>
    <w:bookmarkEnd w:id="586"/>
    <w:bookmarkEnd w:id="587"/>
    <w:bookmarkEnd w:id="588"/>
    <w:p w14:paraId="08275088">
      <w:pPr>
        <w:spacing w:after="120" w:line="460" w:lineRule="exact"/>
        <w:ind w:firstLine="480" w:firstLineChars="200"/>
        <w:outlineLvl w:val="0"/>
        <w:rPr>
          <w:rFonts w:hint="eastAsia" w:ascii="宋体" w:hAnsi="宋体" w:eastAsia="宋体" w:cs="宋体"/>
          <w:color w:val="auto"/>
          <w:sz w:val="24"/>
          <w:szCs w:val="24"/>
        </w:rPr>
      </w:pPr>
      <w:r>
        <w:rPr>
          <w:rFonts w:hint="eastAsia" w:ascii="宋体" w:hAnsi="宋体" w:eastAsia="宋体" w:cs="宋体"/>
          <w:color w:val="auto"/>
          <w:sz w:val="24"/>
          <w:szCs w:val="24"/>
        </w:rPr>
        <w:t>2.2 发包人代表</w:t>
      </w:r>
    </w:p>
    <w:p w14:paraId="22971D4F">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44FCFB9D">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FADF934">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1868B58E">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41AF3F3">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190E947">
      <w:pPr>
        <w:spacing w:line="460" w:lineRule="exact"/>
        <w:ind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B08162E">
      <w:pPr>
        <w:spacing w:line="46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w:t>
      </w:r>
      <w:r>
        <w:rPr>
          <w:rFonts w:hint="eastAsia" w:ascii="宋体" w:hAnsi="宋体" w:cs="宋体"/>
          <w:color w:val="000000"/>
          <w:spacing w:val="20"/>
          <w:sz w:val="24"/>
          <w:szCs w:val="32"/>
          <w:u w:val="single"/>
        </w:rPr>
        <w:t>负责工程施工的协调</w:t>
      </w:r>
      <w:r>
        <w:rPr>
          <w:rFonts w:hint="eastAsia" w:ascii="宋体" w:hAnsi="宋体" w:cs="宋体"/>
          <w:color w:val="000000"/>
          <w:spacing w:val="20"/>
          <w:sz w:val="24"/>
          <w:szCs w:val="32"/>
          <w:u w:val="single"/>
          <w:lang w:eastAsia="zh-CN"/>
        </w:rPr>
        <w:t>、</w:t>
      </w:r>
      <w:r>
        <w:rPr>
          <w:rFonts w:hint="eastAsia" w:ascii="宋体" w:hAnsi="宋体" w:cs="宋体"/>
          <w:color w:val="000000"/>
          <w:spacing w:val="20"/>
          <w:sz w:val="24"/>
          <w:szCs w:val="32"/>
          <w:u w:val="single"/>
        </w:rPr>
        <w:t>验收、签证、结算、工程资料审查等工作</w:t>
      </w:r>
      <w:r>
        <w:rPr>
          <w:rFonts w:hint="eastAsia" w:ascii="宋体" w:hAnsi="宋体" w:eastAsia="宋体" w:cs="宋体"/>
          <w:color w:val="000000"/>
          <w:sz w:val="24"/>
          <w:szCs w:val="24"/>
        </w:rPr>
        <w:t>。</w:t>
      </w:r>
    </w:p>
    <w:p w14:paraId="0F6792BB">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2.4 施工现场、施工条件和基础资料的提供</w:t>
      </w:r>
    </w:p>
    <w:p w14:paraId="03FBA133">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14:paraId="3DD4E6C9">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计划开工日前7天</w:t>
      </w:r>
      <w:r>
        <w:rPr>
          <w:rFonts w:hint="eastAsia" w:ascii="宋体" w:hAnsi="宋体" w:eastAsia="宋体" w:cs="宋体"/>
          <w:color w:val="000000"/>
          <w:sz w:val="24"/>
          <w:szCs w:val="24"/>
        </w:rPr>
        <w:t>。</w:t>
      </w:r>
    </w:p>
    <w:p w14:paraId="39C0AF32">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14:paraId="38B3841B">
      <w:pPr>
        <w:spacing w:line="460" w:lineRule="exact"/>
        <w:ind w:firstLine="480" w:firstLineChars="200"/>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91CECDC">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2.5 资金来源证明及支付担保</w:t>
      </w:r>
    </w:p>
    <w:p w14:paraId="17D82380">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 xml:space="preserve">无     </w:t>
      </w:r>
      <w:r>
        <w:rPr>
          <w:rFonts w:hint="eastAsia" w:ascii="宋体" w:hAnsi="宋体" w:eastAsia="宋体" w:cs="宋体"/>
          <w:color w:val="000000"/>
          <w:sz w:val="24"/>
          <w:szCs w:val="24"/>
        </w:rPr>
        <w:t>。</w:t>
      </w:r>
    </w:p>
    <w:p w14:paraId="6D77E6BD">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       不提供    </w:t>
      </w:r>
      <w:r>
        <w:rPr>
          <w:rFonts w:hint="eastAsia" w:ascii="宋体" w:hAnsi="宋体" w:eastAsia="宋体" w:cs="宋体"/>
          <w:color w:val="000000"/>
          <w:sz w:val="24"/>
          <w:szCs w:val="24"/>
        </w:rPr>
        <w:t>。</w:t>
      </w:r>
    </w:p>
    <w:p w14:paraId="76F7B917">
      <w:pPr>
        <w:spacing w:line="46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4E4B549D">
      <w:pPr>
        <w:pStyle w:val="5"/>
        <w:spacing w:before="120" w:after="120" w:line="460" w:lineRule="exact"/>
        <w:rPr>
          <w:rFonts w:hint="eastAsia" w:ascii="宋体" w:hAnsi="宋体" w:eastAsia="宋体" w:cs="宋体"/>
          <w:b w:val="0"/>
          <w:color w:val="000000"/>
          <w:sz w:val="24"/>
          <w:szCs w:val="24"/>
        </w:rPr>
      </w:pPr>
      <w:bookmarkStart w:id="589" w:name="_Toc351203635"/>
      <w:r>
        <w:rPr>
          <w:rFonts w:hint="eastAsia" w:ascii="宋体" w:hAnsi="宋体" w:eastAsia="宋体" w:cs="宋体"/>
          <w:b w:val="0"/>
          <w:color w:val="000000"/>
          <w:sz w:val="24"/>
          <w:szCs w:val="24"/>
        </w:rPr>
        <w:t>3</w:t>
      </w:r>
      <w:bookmarkStart w:id="590" w:name="_Toc296347157"/>
      <w:bookmarkStart w:id="591" w:name="_Toc296944497"/>
      <w:bookmarkStart w:id="592" w:name="_Toc292559868"/>
      <w:bookmarkStart w:id="593" w:name="_Toc297048344"/>
      <w:bookmarkStart w:id="594" w:name="_Toc296346659"/>
      <w:bookmarkStart w:id="595" w:name="_Toc296890986"/>
      <w:bookmarkStart w:id="596" w:name="_Toc296891198"/>
      <w:bookmarkStart w:id="597" w:name="_Toc292559363"/>
      <w:bookmarkStart w:id="598" w:name="_Toc296503158"/>
      <w:bookmarkStart w:id="599" w:name="_Toc297120458"/>
      <w:r>
        <w:rPr>
          <w:rFonts w:hint="eastAsia" w:ascii="宋体" w:hAnsi="宋体" w:eastAsia="宋体" w:cs="宋体"/>
          <w:b w:val="0"/>
          <w:color w:val="000000"/>
          <w:sz w:val="24"/>
          <w:szCs w:val="24"/>
        </w:rPr>
        <w:t>. 承包人</w:t>
      </w:r>
      <w:bookmarkEnd w:id="589"/>
    </w:p>
    <w:bookmarkEnd w:id="590"/>
    <w:bookmarkEnd w:id="591"/>
    <w:bookmarkEnd w:id="592"/>
    <w:bookmarkEnd w:id="593"/>
    <w:bookmarkEnd w:id="594"/>
    <w:bookmarkEnd w:id="595"/>
    <w:bookmarkEnd w:id="596"/>
    <w:bookmarkEnd w:id="597"/>
    <w:bookmarkEnd w:id="598"/>
    <w:bookmarkEnd w:id="599"/>
    <w:p w14:paraId="7B4394D9">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14:paraId="368089A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sz w:val="24"/>
          <w:szCs w:val="24"/>
        </w:rPr>
        <w:t>承包人提交的竣工资料的内容：</w:t>
      </w:r>
      <w:r>
        <w:rPr>
          <w:rFonts w:hint="eastAsia" w:ascii="宋体" w:hAnsi="宋体" w:eastAsia="宋体" w:cs="宋体"/>
          <w:color w:val="000000"/>
          <w:sz w:val="24"/>
          <w:szCs w:val="24"/>
          <w:u w:val="single"/>
        </w:rPr>
        <w:t>工程</w:t>
      </w:r>
      <w:r>
        <w:rPr>
          <w:rFonts w:hint="eastAsia" w:ascii="宋体" w:hAnsi="宋体" w:eastAsia="宋体" w:cs="宋体"/>
          <w:sz w:val="24"/>
          <w:szCs w:val="24"/>
          <w:u w:val="single"/>
        </w:rPr>
        <w:t>竣工</w:t>
      </w:r>
      <w:r>
        <w:rPr>
          <w:rFonts w:hint="eastAsia" w:ascii="宋体" w:hAnsi="宋体" w:eastAsia="宋体" w:cs="宋体"/>
          <w:sz w:val="24"/>
          <w:szCs w:val="24"/>
          <w:u w:val="single"/>
          <w:lang w:val="en-US" w:eastAsia="zh-CN"/>
        </w:rPr>
        <w:t xml:space="preserve">文件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AFE2B6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承包人需要提交的竣工资料套数：</w:t>
      </w:r>
      <w:r>
        <w:rPr>
          <w:rFonts w:hint="eastAsia" w:ascii="宋体" w:hAnsi="宋体" w:eastAsia="宋体" w:cs="宋体"/>
          <w:sz w:val="24"/>
          <w:szCs w:val="24"/>
          <w:u w:val="single"/>
        </w:rPr>
        <w:t xml:space="preserve">       四套             </w:t>
      </w:r>
      <w:r>
        <w:rPr>
          <w:rFonts w:hint="eastAsia" w:ascii="宋体" w:hAnsi="宋体" w:eastAsia="宋体" w:cs="宋体"/>
          <w:sz w:val="24"/>
          <w:szCs w:val="24"/>
        </w:rPr>
        <w:t>。</w:t>
      </w:r>
    </w:p>
    <w:p w14:paraId="0CC19A40">
      <w:pPr>
        <w:spacing w:line="460" w:lineRule="exact"/>
        <w:ind w:left="424" w:leftChars="202"/>
        <w:jc w:val="left"/>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eastAsia="宋体" w:cs="宋体"/>
          <w:sz w:val="24"/>
          <w:szCs w:val="24"/>
          <w:u w:val="single"/>
        </w:rPr>
        <w:t xml:space="preserve">    由承包人承担       </w:t>
      </w:r>
      <w:r>
        <w:rPr>
          <w:rFonts w:hint="eastAsia" w:ascii="宋体" w:hAnsi="宋体" w:eastAsia="宋体" w:cs="宋体"/>
          <w:sz w:val="24"/>
          <w:szCs w:val="24"/>
        </w:rPr>
        <w:t>。</w:t>
      </w:r>
    </w:p>
    <w:p w14:paraId="78D1C912">
      <w:pPr>
        <w:spacing w:line="460" w:lineRule="exact"/>
        <w:ind w:left="424" w:leftChars="202"/>
        <w:jc w:val="left"/>
        <w:rPr>
          <w:rFonts w:hint="eastAsia" w:ascii="宋体" w:hAnsi="宋体" w:eastAsia="宋体" w:cs="宋体"/>
          <w:sz w:val="24"/>
          <w:szCs w:val="24"/>
        </w:rPr>
      </w:pPr>
      <w:r>
        <w:rPr>
          <w:rFonts w:hint="eastAsia" w:ascii="宋体" w:hAnsi="宋体" w:eastAsia="宋体" w:cs="宋体"/>
          <w:sz w:val="24"/>
          <w:szCs w:val="24"/>
        </w:rPr>
        <w:t>承包人提交的竣工资料移交时间：</w:t>
      </w:r>
      <w:r>
        <w:rPr>
          <w:rFonts w:hint="eastAsia" w:ascii="宋体" w:hAnsi="宋体" w:eastAsia="宋体" w:cs="宋体"/>
          <w:sz w:val="24"/>
          <w:szCs w:val="24"/>
          <w:u w:val="single"/>
        </w:rPr>
        <w:t xml:space="preserve"> 工程竣工验收合格后2个月内 </w:t>
      </w:r>
      <w:r>
        <w:rPr>
          <w:rFonts w:hint="eastAsia" w:ascii="宋体" w:hAnsi="宋体" w:eastAsia="宋体" w:cs="宋体"/>
          <w:sz w:val="24"/>
          <w:szCs w:val="24"/>
        </w:rPr>
        <w:t>。</w:t>
      </w:r>
    </w:p>
    <w:p w14:paraId="38558556">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承包人提交的竣工资料形式要求：</w:t>
      </w:r>
      <w:r>
        <w:rPr>
          <w:rFonts w:hint="eastAsia" w:ascii="宋体" w:hAnsi="宋体" w:eastAsia="宋体" w:cs="宋体"/>
          <w:sz w:val="24"/>
          <w:szCs w:val="24"/>
          <w:u w:val="single"/>
        </w:rPr>
        <w:t xml:space="preserve"> 书面及电子文档         </w:t>
      </w:r>
      <w:r>
        <w:rPr>
          <w:rFonts w:hint="eastAsia" w:ascii="宋体" w:hAnsi="宋体" w:eastAsia="宋体" w:cs="宋体"/>
          <w:sz w:val="24"/>
          <w:szCs w:val="24"/>
        </w:rPr>
        <w:t>。</w:t>
      </w:r>
    </w:p>
    <w:p w14:paraId="2B1DDDC9">
      <w:pPr>
        <w:numPr>
          <w:ilvl w:val="0"/>
          <w:numId w:val="6"/>
        </w:num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kern w:val="0"/>
          <w:sz w:val="24"/>
          <w:szCs w:val="24"/>
        </w:rPr>
        <w:t>承包人应履行的其他义务：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kern w:val="0"/>
          <w:sz w:val="24"/>
          <w:szCs w:val="24"/>
          <w:u w:val="single"/>
        </w:rPr>
        <w:t>承包人应在开工前协助发包人做好土地及青苗树木补偿、房屋拆迁、清除地面、架空和障碍等</w:t>
      </w:r>
      <w:r>
        <w:rPr>
          <w:rFonts w:hint="eastAsia" w:ascii="宋体" w:hAnsi="宋体" w:eastAsia="宋体" w:cs="宋体"/>
          <w:kern w:val="0"/>
          <w:sz w:val="24"/>
          <w:szCs w:val="24"/>
          <w:u w:val="single"/>
          <w:lang w:eastAsia="zh-CN"/>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p>
    <w:p w14:paraId="73EEDF8E">
      <w:pPr>
        <w:numPr>
          <w:ilvl w:val="0"/>
          <w:numId w:val="0"/>
        </w:num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3.2.1 </w:t>
      </w:r>
      <w:r>
        <w:rPr>
          <w:rFonts w:hint="eastAsia" w:ascii="宋体" w:hAnsi="宋体" w:eastAsia="宋体" w:cs="宋体"/>
          <w:color w:val="000000"/>
          <w:sz w:val="24"/>
          <w:szCs w:val="24"/>
        </w:rPr>
        <w:t>项目经理：</w:t>
      </w:r>
    </w:p>
    <w:p w14:paraId="1208609E">
      <w:pPr>
        <w:spacing w:line="50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25CDD4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A94D3A0">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E0C843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4F0541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8212CF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B0FB3BC">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409BE89">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EFE1176">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sz w:val="24"/>
          <w:szCs w:val="24"/>
          <w:u w:val="single"/>
        </w:rPr>
        <w:t>工程进度安全质量监控,</w:t>
      </w:r>
      <w:r>
        <w:rPr>
          <w:rFonts w:hint="eastAsia" w:ascii="宋体" w:hAnsi="宋体" w:eastAsia="宋体" w:cs="宋体"/>
          <w:sz w:val="24"/>
          <w:szCs w:val="24"/>
          <w:u w:val="single"/>
        </w:rPr>
        <w:t xml:space="preserve"> 代表承包人履行本合同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0FA6277">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关于项目经理每月在施工现场的时间要求：</w:t>
      </w:r>
      <w:r>
        <w:rPr>
          <w:rFonts w:hint="eastAsia" w:ascii="宋体" w:hAnsi="宋体" w:eastAsia="宋体" w:cs="宋体"/>
          <w:color w:val="000000"/>
          <w:sz w:val="24"/>
          <w:szCs w:val="24"/>
          <w:u w:val="single"/>
        </w:rPr>
        <w:t xml:space="preserve"> 21天，且项目经理离开施工现场时，不得影响工程进展度   </w:t>
      </w:r>
      <w:r>
        <w:rPr>
          <w:rFonts w:hint="eastAsia" w:ascii="宋体" w:hAnsi="宋体" w:eastAsia="宋体" w:cs="宋体"/>
          <w:color w:val="000000"/>
          <w:sz w:val="24"/>
          <w:szCs w:val="24"/>
        </w:rPr>
        <w:t>。</w:t>
      </w:r>
    </w:p>
    <w:p w14:paraId="7082EF30">
      <w:pPr>
        <w:spacing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承包人未提交劳动合同，以及没有为项目经理缴纳社会保险证明的违约责任：</w:t>
      </w:r>
      <w:r>
        <w:rPr>
          <w:rFonts w:hint="eastAsia" w:ascii="宋体" w:hAnsi="宋体" w:eastAsia="宋体" w:cs="宋体"/>
          <w:color w:val="000000"/>
          <w:sz w:val="24"/>
          <w:szCs w:val="24"/>
          <w:u w:val="single"/>
        </w:rPr>
        <w:t xml:space="preserve"> 发包人有权按承包人项目经理不到位或不委派项目经理处理 </w:t>
      </w:r>
      <w:r>
        <w:rPr>
          <w:rFonts w:hint="eastAsia" w:ascii="宋体" w:hAnsi="宋体" w:eastAsia="宋体" w:cs="宋体"/>
          <w:color w:val="000000"/>
          <w:sz w:val="24"/>
          <w:szCs w:val="24"/>
        </w:rPr>
        <w:t>。</w:t>
      </w:r>
    </w:p>
    <w:p w14:paraId="2427474F">
      <w:pPr>
        <w:spacing w:line="46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项目经理未经批准，擅自离开施工现场的违约责任：</w:t>
      </w:r>
      <w:r>
        <w:rPr>
          <w:rFonts w:hint="eastAsia" w:ascii="宋体" w:hAnsi="宋体" w:eastAsia="宋体" w:cs="宋体"/>
          <w:color w:val="000000"/>
          <w:sz w:val="24"/>
          <w:szCs w:val="24"/>
          <w:u w:val="single"/>
        </w:rPr>
        <w:t xml:space="preserve"> 向发包人支付违约金1000元/人·次</w:t>
      </w:r>
      <w:r>
        <w:rPr>
          <w:rFonts w:hint="eastAsia" w:ascii="宋体" w:hAnsi="宋体" w:eastAsia="宋体" w:cs="宋体"/>
          <w:color w:val="000000"/>
          <w:sz w:val="24"/>
          <w:szCs w:val="24"/>
        </w:rPr>
        <w:t>。</w:t>
      </w:r>
    </w:p>
    <w:p w14:paraId="18462E3E">
      <w:pPr>
        <w:spacing w:line="460" w:lineRule="exact"/>
        <w:rPr>
          <w:rFonts w:hint="eastAsia" w:ascii="宋体" w:hAnsi="宋体" w:eastAsia="宋体" w:cs="宋体"/>
          <w:sz w:val="24"/>
          <w:szCs w:val="24"/>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未经发包人书面同意，承包人擅自更换项目经理的视为违约，违约金处 500元/人•次（人民币） </w:t>
      </w:r>
      <w:r>
        <w:rPr>
          <w:rFonts w:hint="eastAsia" w:ascii="宋体" w:hAnsi="宋体" w:eastAsia="宋体" w:cs="宋体"/>
          <w:sz w:val="24"/>
          <w:szCs w:val="24"/>
        </w:rPr>
        <w:t>。</w:t>
      </w:r>
    </w:p>
    <w:p w14:paraId="084AD475">
      <w:pPr>
        <w:spacing w:line="460" w:lineRule="exact"/>
        <w:outlineLvl w:val="0"/>
        <w:rPr>
          <w:rFonts w:hint="eastAsia" w:ascii="宋体" w:hAnsi="宋体" w:eastAsia="宋体" w:cs="宋体"/>
          <w:sz w:val="24"/>
          <w:szCs w:val="24"/>
        </w:rPr>
      </w:pPr>
      <w:r>
        <w:rPr>
          <w:rFonts w:hint="eastAsia" w:ascii="宋体" w:hAnsi="宋体" w:eastAsia="宋体" w:cs="宋体"/>
          <w:sz w:val="24"/>
          <w:szCs w:val="24"/>
        </w:rPr>
        <w:t xml:space="preserve">    3.2.4 承包人无正当理由拒绝更换项目经理的违约责任：</w:t>
      </w:r>
      <w:r>
        <w:rPr>
          <w:rFonts w:hint="eastAsia" w:ascii="宋体" w:hAnsi="宋体" w:eastAsia="宋体" w:cs="宋体"/>
          <w:sz w:val="24"/>
          <w:szCs w:val="24"/>
          <w:u w:val="single"/>
        </w:rPr>
        <w:t xml:space="preserve"> 因承包人项目经理不称职，发包人要求调换而未及时调换的，视为承包人违约，必须向发包人交纳处罚金500元/人•次（人民币）</w:t>
      </w:r>
      <w:r>
        <w:rPr>
          <w:rFonts w:hint="eastAsia" w:ascii="宋体" w:hAnsi="宋体" w:eastAsia="宋体" w:cs="宋体"/>
          <w:sz w:val="24"/>
          <w:szCs w:val="24"/>
        </w:rPr>
        <w:t>。</w:t>
      </w:r>
    </w:p>
    <w:p w14:paraId="79E931C3">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14:paraId="074049D6">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000000"/>
          <w:sz w:val="24"/>
          <w:szCs w:val="24"/>
          <w:u w:val="single"/>
        </w:rPr>
        <w:t xml:space="preserve"> 应在接到开工通知后7天内 </w:t>
      </w:r>
      <w:r>
        <w:rPr>
          <w:rFonts w:hint="eastAsia" w:ascii="宋体" w:hAnsi="宋体" w:eastAsia="宋体" w:cs="宋体"/>
          <w:color w:val="000000"/>
          <w:sz w:val="24"/>
          <w:szCs w:val="24"/>
        </w:rPr>
        <w:t>。</w:t>
      </w:r>
    </w:p>
    <w:p w14:paraId="5BEB1CE7">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3.3.3 承包人无正当理由拒绝撤换主要施工管理人员的违约责任：</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由承包人自行承担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3191B3A">
      <w:pPr>
        <w:spacing w:line="460" w:lineRule="exact"/>
        <w:ind w:left="1316" w:leftChars="284" w:hanging="720" w:hangingChars="300"/>
        <w:rPr>
          <w:rFonts w:hint="eastAsia" w:ascii="宋体" w:hAnsi="宋体" w:eastAsia="宋体" w:cs="宋体"/>
          <w:color w:val="000000"/>
          <w:sz w:val="24"/>
          <w:szCs w:val="24"/>
          <w:u w:val="single"/>
        </w:rPr>
      </w:pPr>
      <w:r>
        <w:rPr>
          <w:rFonts w:hint="eastAsia" w:ascii="宋体" w:hAnsi="宋体" w:eastAsia="宋体" w:cs="宋体"/>
          <w:color w:val="000000"/>
          <w:sz w:val="24"/>
          <w:szCs w:val="24"/>
        </w:rPr>
        <w:t>3.3.4 承包人主要施工管理人员离开施工现场的批准要求：</w:t>
      </w:r>
      <w:r>
        <w:rPr>
          <w:rFonts w:hint="eastAsia" w:ascii="宋体" w:hAnsi="宋体" w:eastAsia="宋体" w:cs="宋体"/>
          <w:color w:val="000000"/>
          <w:sz w:val="24"/>
          <w:szCs w:val="24"/>
          <w:u w:val="single"/>
        </w:rPr>
        <w:t>无</w:t>
      </w:r>
      <w:r>
        <w:rPr>
          <w:rFonts w:hint="eastAsia" w:ascii="宋体" w:hAnsi="宋体" w:eastAsia="宋体" w:cs="宋体"/>
          <w:color w:val="000000"/>
          <w:sz w:val="24"/>
          <w:szCs w:val="24"/>
        </w:rPr>
        <w:t>。</w:t>
      </w:r>
    </w:p>
    <w:p w14:paraId="156B7545">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3.3.5承包人擅自更换主要施工管理人员的违约责任：</w:t>
      </w:r>
      <w:r>
        <w:rPr>
          <w:rFonts w:hint="eastAsia" w:ascii="宋体" w:hAnsi="宋体" w:eastAsia="宋体" w:cs="宋体"/>
          <w:color w:val="000000"/>
          <w:sz w:val="24"/>
          <w:szCs w:val="24"/>
          <w:u w:val="single"/>
        </w:rPr>
        <w:t xml:space="preserve"> 由承包人自行承担     </w:t>
      </w:r>
      <w:r>
        <w:rPr>
          <w:rFonts w:hint="eastAsia" w:ascii="宋体" w:hAnsi="宋体" w:eastAsia="宋体" w:cs="宋体"/>
          <w:color w:val="000000"/>
          <w:sz w:val="24"/>
          <w:szCs w:val="24"/>
        </w:rPr>
        <w:t>。</w:t>
      </w:r>
    </w:p>
    <w:p w14:paraId="1D3659B1">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承包人主要施工管理人员擅自离开施工现场的违约责任：</w:t>
      </w:r>
      <w:r>
        <w:rPr>
          <w:rFonts w:hint="eastAsia" w:ascii="宋体" w:hAnsi="宋体" w:eastAsia="宋体" w:cs="宋体"/>
          <w:color w:val="000000"/>
          <w:sz w:val="24"/>
          <w:szCs w:val="24"/>
          <w:u w:val="single"/>
        </w:rPr>
        <w:t xml:space="preserve"> 由承包人自行承担  </w:t>
      </w:r>
      <w:r>
        <w:rPr>
          <w:rFonts w:hint="eastAsia" w:ascii="宋体" w:hAnsi="宋体" w:eastAsia="宋体" w:cs="宋体"/>
          <w:color w:val="000000"/>
          <w:sz w:val="24"/>
          <w:szCs w:val="24"/>
        </w:rPr>
        <w:t>。</w:t>
      </w:r>
    </w:p>
    <w:p w14:paraId="4DC3A4ED">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600" w:name="_Toc296944498"/>
      <w:bookmarkStart w:id="601" w:name="_Toc300934945"/>
      <w:bookmarkStart w:id="602" w:name="_Toc296346660"/>
      <w:bookmarkStart w:id="603" w:name="_Toc296891199"/>
      <w:bookmarkStart w:id="604" w:name="_Toc304295523"/>
      <w:bookmarkStart w:id="605" w:name="_Toc303539102"/>
      <w:bookmarkStart w:id="606" w:name="_Toc296503159"/>
      <w:bookmarkStart w:id="607" w:name="_Toc292559869"/>
      <w:bookmarkStart w:id="608" w:name="_Toc297048345"/>
      <w:bookmarkStart w:id="609" w:name="_Toc297216151"/>
      <w:bookmarkStart w:id="610" w:name="_Toc292559364"/>
      <w:bookmarkStart w:id="611" w:name="_Toc296890987"/>
      <w:bookmarkStart w:id="612" w:name="_Toc312677988"/>
      <w:bookmarkStart w:id="613" w:name="_Toc296347158"/>
      <w:bookmarkStart w:id="614" w:name="_Toc297120459"/>
      <w:bookmarkStart w:id="615" w:name="_Toc297123492"/>
      <w:r>
        <w:rPr>
          <w:rFonts w:hint="eastAsia" w:ascii="宋体" w:hAnsi="宋体" w:eastAsia="宋体" w:cs="宋体"/>
          <w:color w:val="000000"/>
          <w:sz w:val="24"/>
          <w:szCs w:val="24"/>
        </w:rPr>
        <w:t>.5 分包</w:t>
      </w:r>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683868A8">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bookmarkStart w:id="616" w:name="_Toc296890988"/>
      <w:bookmarkStart w:id="617" w:name="_Toc292559365"/>
      <w:bookmarkStart w:id="618" w:name="_Toc303539103"/>
      <w:bookmarkStart w:id="619" w:name="_Toc296346661"/>
      <w:bookmarkStart w:id="620" w:name="_Toc297048346"/>
      <w:bookmarkStart w:id="621" w:name="_Toc300934946"/>
      <w:bookmarkStart w:id="622" w:name="_Toc296503160"/>
      <w:bookmarkStart w:id="623" w:name="_Toc297123493"/>
      <w:bookmarkStart w:id="624" w:name="_Toc292559870"/>
      <w:bookmarkStart w:id="625" w:name="_Toc297120460"/>
      <w:bookmarkStart w:id="626" w:name="_Toc296347159"/>
      <w:bookmarkStart w:id="627" w:name="_Toc296944499"/>
      <w:bookmarkStart w:id="628" w:name="_Toc297216152"/>
      <w:bookmarkStart w:id="629" w:name="_Toc296891200"/>
      <w:bookmarkStart w:id="630" w:name="_Toc304295524"/>
      <w:bookmarkStart w:id="631" w:name="_Toc318581158"/>
      <w:bookmarkStart w:id="632" w:name="_Toc312677989"/>
      <w:r>
        <w:rPr>
          <w:rFonts w:hint="eastAsia" w:ascii="宋体" w:hAnsi="宋体" w:eastAsia="宋体" w:cs="宋体"/>
          <w:sz w:val="24"/>
          <w:szCs w:val="24"/>
        </w:rPr>
        <w:t>.5.1 分包的一般约定</w:t>
      </w:r>
    </w:p>
    <w:p w14:paraId="1C2993F9">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 xml:space="preserve">  本工程不得分包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77D8141">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Start w:id="633" w:name="_Toc296944500"/>
      <w:bookmarkStart w:id="634" w:name="_Toc304295525"/>
      <w:bookmarkStart w:id="635" w:name="_Toc300934947"/>
      <w:bookmarkStart w:id="636" w:name="_Toc297048347"/>
      <w:bookmarkStart w:id="637" w:name="_Toc297216153"/>
      <w:bookmarkStart w:id="638" w:name="_Toc297120461"/>
      <w:bookmarkStart w:id="639" w:name="_Toc296346662"/>
      <w:bookmarkStart w:id="640" w:name="_Toc296891201"/>
      <w:bookmarkStart w:id="641" w:name="_Toc297123494"/>
      <w:bookmarkStart w:id="642" w:name="_Toc303539104"/>
      <w:bookmarkStart w:id="643" w:name="_Toc296503161"/>
      <w:bookmarkStart w:id="644" w:name="_Toc296347160"/>
      <w:bookmarkStart w:id="645" w:name="_Toc296890989"/>
    </w:p>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60C59A31">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3</w:t>
      </w:r>
      <w:bookmarkStart w:id="646" w:name="_Toc312677990"/>
      <w:bookmarkStart w:id="647" w:name="_Toc318581159"/>
      <w:r>
        <w:rPr>
          <w:rFonts w:hint="eastAsia" w:ascii="宋体" w:hAnsi="宋体" w:eastAsia="宋体" w:cs="宋体"/>
          <w:sz w:val="24"/>
          <w:szCs w:val="24"/>
        </w:rPr>
        <w:t>.5.2分包的确定</w:t>
      </w:r>
    </w:p>
    <w:p w14:paraId="23D12BA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color w:val="000000"/>
          <w:sz w:val="24"/>
          <w:szCs w:val="24"/>
          <w:u w:val="single"/>
        </w:rPr>
        <w:t xml:space="preserve">无    </w:t>
      </w:r>
      <w:r>
        <w:rPr>
          <w:rFonts w:hint="eastAsia" w:ascii="宋体" w:hAnsi="宋体" w:eastAsia="宋体" w:cs="宋体"/>
          <w:color w:val="000000"/>
          <w:sz w:val="24"/>
          <w:szCs w:val="24"/>
        </w:rPr>
        <w:t>。</w:t>
      </w:r>
    </w:p>
    <w:p w14:paraId="298C08A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color w:val="000000"/>
          <w:sz w:val="24"/>
          <w:szCs w:val="24"/>
        </w:rPr>
        <w:t>其他关于分包的约定：</w:t>
      </w:r>
      <w:r>
        <w:rPr>
          <w:rFonts w:hint="eastAsia" w:ascii="宋体" w:hAnsi="宋体" w:eastAsia="宋体" w:cs="宋体"/>
          <w:sz w:val="24"/>
          <w:szCs w:val="24"/>
          <w:u w:val="single"/>
        </w:rPr>
        <w:t>无</w:t>
      </w:r>
      <w:r>
        <w:rPr>
          <w:rFonts w:hint="eastAsia" w:ascii="宋体" w:hAnsi="宋体" w:eastAsia="宋体" w:cs="宋体"/>
          <w:sz w:val="24"/>
          <w:szCs w:val="24"/>
        </w:rPr>
        <w:t>。</w:t>
      </w:r>
    </w:p>
    <w:p w14:paraId="0A8E1A0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3.5.4 分包合同价款</w:t>
      </w:r>
    </w:p>
    <w:p w14:paraId="1C24918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color w:val="000000"/>
          <w:sz w:val="24"/>
          <w:szCs w:val="24"/>
          <w:u w:val="single"/>
        </w:rPr>
        <w:t></w:t>
      </w:r>
      <w:r>
        <w:rPr>
          <w:rFonts w:hint="eastAsia" w:ascii="宋体" w:hAnsi="宋体" w:eastAsia="宋体" w:cs="宋体"/>
          <w:sz w:val="24"/>
          <w:szCs w:val="24"/>
          <w:u w:val="single"/>
        </w:rPr>
        <w:t xml:space="preserve">无 </w:t>
      </w:r>
      <w:r>
        <w:rPr>
          <w:rFonts w:hint="eastAsia" w:ascii="宋体" w:hAnsi="宋体" w:eastAsia="宋体" w:cs="宋体"/>
          <w:color w:val="000000"/>
          <w:sz w:val="24"/>
          <w:szCs w:val="24"/>
        </w:rPr>
        <w:t>。</w:t>
      </w:r>
    </w:p>
    <w:bookmarkEnd w:id="646"/>
    <w:bookmarkEnd w:id="647"/>
    <w:p w14:paraId="1247951D">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14:paraId="48418A6E">
      <w:pPr>
        <w:keepNext w:val="0"/>
        <w:keepLines w:val="0"/>
        <w:pageBreakBefore w:val="0"/>
        <w:widowControl w:val="0"/>
        <w:kinsoku/>
        <w:wordWrap/>
        <w:overflowPunct/>
        <w:topLinePunct w:val="0"/>
        <w:autoSpaceDE/>
        <w:autoSpaceDN/>
        <w:bidi w:val="0"/>
        <w:adjustRightInd/>
        <w:snapToGrid/>
        <w:spacing w:before="120" w:after="120" w:line="460" w:lineRule="exact"/>
        <w:ind w:left="594" w:leftChars="283"/>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承包人负责照管工程及工程相关的材料、工程设备的起始时间：</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5E9DAA4">
      <w:pPr>
        <w:keepNext w:val="0"/>
        <w:keepLines w:val="0"/>
        <w:pageBreakBefore w:val="0"/>
        <w:widowControl w:val="0"/>
        <w:kinsoku/>
        <w:wordWrap/>
        <w:overflowPunct/>
        <w:topLinePunct w:val="0"/>
        <w:autoSpaceDE/>
        <w:autoSpaceDN/>
        <w:bidi w:val="0"/>
        <w:adjustRightInd/>
        <w:snapToGrid/>
        <w:spacing w:after="120"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14:paraId="0F61086B">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0A2756F">
      <w:pPr>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000000"/>
          <w:sz w:val="24"/>
          <w:szCs w:val="24"/>
        </w:rPr>
        <w:t>承包人提供履约担保的形式、金额及期限的</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eastAsia="zh-CN"/>
        </w:rPr>
        <w:t>在签订合同时向发包人缴交</w:t>
      </w:r>
      <w:r>
        <w:rPr>
          <w:rFonts w:hint="eastAsia" w:ascii="宋体" w:hAnsi="宋体" w:eastAsia="宋体" w:cs="宋体"/>
          <w:color w:val="auto"/>
          <w:sz w:val="24"/>
          <w:szCs w:val="24"/>
          <w:highlight w:val="none"/>
          <w:u w:val="single"/>
          <w:lang w:val="en-US" w:eastAsia="zh-CN"/>
        </w:rPr>
        <w:t>中标合同价的2%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20"/>
          <w:sz w:val="24"/>
          <w:szCs w:val="24"/>
          <w:highlight w:val="none"/>
          <w:u w:val="single"/>
        </w:rPr>
        <w:t>履约保证金</w:t>
      </w:r>
      <w:r>
        <w:rPr>
          <w:rFonts w:hint="eastAsia" w:ascii="宋体" w:hAnsi="宋体" w:eastAsia="宋体" w:cs="宋体"/>
          <w:color w:val="auto"/>
          <w:spacing w:val="20"/>
          <w:sz w:val="24"/>
          <w:szCs w:val="24"/>
          <w:highlight w:val="none"/>
          <w:u w:val="single"/>
          <w:lang w:eastAsia="zh-CN"/>
        </w:rPr>
        <w:t>，</w:t>
      </w:r>
      <w:r>
        <w:rPr>
          <w:rFonts w:hint="eastAsia" w:ascii="宋体" w:hAnsi="宋体" w:eastAsia="宋体" w:cs="宋体"/>
          <w:b w:val="0"/>
          <w:bCs w:val="0"/>
          <w:color w:val="auto"/>
          <w:sz w:val="24"/>
          <w:szCs w:val="24"/>
          <w:u w:val="single"/>
        </w:rPr>
        <w:t>承包人可采用</w:t>
      </w:r>
      <w:r>
        <w:rPr>
          <w:rFonts w:hint="eastAsia" w:ascii="宋体" w:hAnsi="宋体" w:eastAsia="宋体" w:cs="宋体"/>
          <w:color w:val="auto"/>
          <w:spacing w:val="0"/>
          <w:position w:val="0"/>
          <w:sz w:val="24"/>
          <w:szCs w:val="24"/>
          <w:highlight w:val="none"/>
          <w:u w:val="single"/>
        </w:rPr>
        <w:t>银行转账、支票、汇票、本票或者银行、</w:t>
      </w:r>
      <w:r>
        <w:rPr>
          <w:rFonts w:hint="eastAsia" w:ascii="宋体" w:hAnsi="宋体" w:eastAsia="宋体" w:cs="宋体"/>
          <w:color w:val="auto"/>
          <w:spacing w:val="0"/>
          <w:position w:val="0"/>
          <w:sz w:val="24"/>
          <w:szCs w:val="24"/>
          <w:highlight w:val="none"/>
          <w:u w:val="single"/>
          <w:lang w:eastAsia="zh-CN"/>
        </w:rPr>
        <w:t>保险机构出具的保函、保险单</w:t>
      </w:r>
      <w:r>
        <w:rPr>
          <w:rFonts w:hint="eastAsia" w:ascii="宋体" w:hAnsi="宋体" w:eastAsia="宋体" w:cs="宋体"/>
          <w:color w:val="auto"/>
          <w:spacing w:val="0"/>
          <w:position w:val="0"/>
          <w:sz w:val="24"/>
          <w:szCs w:val="24"/>
          <w:highlight w:val="none"/>
          <w:u w:val="single"/>
        </w:rPr>
        <w:t>等非现金方式</w:t>
      </w:r>
      <w:r>
        <w:rPr>
          <w:rFonts w:hint="eastAsia" w:ascii="宋体" w:hAnsi="宋体" w:eastAsia="宋体" w:cs="宋体"/>
          <w:b w:val="0"/>
          <w:bCs w:val="0"/>
          <w:color w:val="auto"/>
          <w:sz w:val="24"/>
          <w:szCs w:val="24"/>
          <w:u w:val="single"/>
        </w:rPr>
        <w:t>支付</w:t>
      </w:r>
      <w:r>
        <w:rPr>
          <w:rFonts w:hint="eastAsia" w:ascii="宋体" w:hAnsi="宋体" w:eastAsia="宋体" w:cs="宋体"/>
          <w:b w:val="0"/>
          <w:bCs w:val="0"/>
          <w:color w:val="auto"/>
          <w:kern w:val="0"/>
          <w:sz w:val="24"/>
          <w:szCs w:val="24"/>
          <w:u w:val="single"/>
        </w:rPr>
        <w:t>履约担保金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bookmarkStart w:id="648" w:name="_Toc351203636"/>
      <w:r>
        <w:rPr>
          <w:rFonts w:hint="eastAsia" w:ascii="宋体" w:hAnsi="宋体" w:eastAsia="宋体" w:cs="宋体"/>
          <w:color w:val="auto"/>
          <w:kern w:val="0"/>
          <w:sz w:val="24"/>
          <w:szCs w:val="24"/>
        </w:rPr>
        <w:t>履约保证金在施工合同按约定履行完毕后无息退回。</w:t>
      </w:r>
    </w:p>
    <w:p w14:paraId="0198BD5B">
      <w:pPr>
        <w:spacing w:line="460" w:lineRule="exact"/>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4</w:t>
      </w:r>
      <w:bookmarkStart w:id="649" w:name="_Toc297048348"/>
      <w:bookmarkStart w:id="650" w:name="_Toc296346663"/>
      <w:bookmarkStart w:id="651" w:name="_Toc297120462"/>
      <w:bookmarkStart w:id="652" w:name="_Toc267251413"/>
      <w:bookmarkStart w:id="653" w:name="_Toc292559366"/>
      <w:bookmarkStart w:id="654" w:name="_Toc296347161"/>
      <w:bookmarkStart w:id="655" w:name="_Toc296890990"/>
      <w:bookmarkStart w:id="656" w:name="_Toc296944501"/>
      <w:bookmarkStart w:id="657" w:name="_Toc292559871"/>
      <w:bookmarkStart w:id="658" w:name="_Toc296891202"/>
      <w:bookmarkStart w:id="659" w:name="_Toc296503162"/>
      <w:r>
        <w:rPr>
          <w:rFonts w:hint="eastAsia" w:ascii="宋体" w:hAnsi="宋体" w:eastAsia="宋体" w:cs="宋体"/>
          <w:b/>
          <w:color w:val="000000"/>
          <w:sz w:val="24"/>
          <w:szCs w:val="24"/>
        </w:rPr>
        <w:t>. 监</w:t>
      </w:r>
      <w:bookmarkEnd w:id="649"/>
      <w:bookmarkEnd w:id="650"/>
      <w:bookmarkEnd w:id="651"/>
      <w:bookmarkEnd w:id="652"/>
      <w:bookmarkEnd w:id="653"/>
      <w:bookmarkEnd w:id="654"/>
      <w:bookmarkEnd w:id="655"/>
      <w:bookmarkEnd w:id="656"/>
      <w:bookmarkEnd w:id="657"/>
      <w:bookmarkEnd w:id="658"/>
      <w:bookmarkEnd w:id="659"/>
      <w:r>
        <w:rPr>
          <w:rFonts w:hint="eastAsia" w:ascii="宋体" w:hAnsi="宋体" w:eastAsia="宋体" w:cs="宋体"/>
          <w:b/>
          <w:color w:val="000000"/>
          <w:sz w:val="24"/>
          <w:szCs w:val="24"/>
        </w:rPr>
        <w:t>理人</w:t>
      </w:r>
      <w:bookmarkEnd w:id="648"/>
    </w:p>
    <w:p w14:paraId="552D0EFF">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14:paraId="6D3A012D">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0519B0C">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5781A9BF">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C6F37A1">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14:paraId="5911B58B">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总监理工程师：</w:t>
      </w:r>
    </w:p>
    <w:p w14:paraId="4C3FA5CE">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无</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BC5D901">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B3E7257">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监理工程师执业资格证书号：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0D5DA46">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AC39047">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0234A266">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880DFCB">
      <w:pPr>
        <w:spacing w:line="460" w:lineRule="exact"/>
        <w:ind w:firstLine="480" w:firstLineChars="200"/>
        <w:rPr>
          <w:rFonts w:hint="eastAsia" w:ascii="宋体" w:hAnsi="宋体" w:eastAsia="宋体" w:cs="宋体"/>
          <w:sz w:val="28"/>
          <w:szCs w:val="28"/>
        </w:rPr>
      </w:pPr>
      <w:r>
        <w:rPr>
          <w:rFonts w:hint="eastAsia" w:ascii="宋体" w:hAnsi="宋体" w:eastAsia="宋体" w:cs="宋体"/>
          <w:sz w:val="24"/>
          <w:szCs w:val="24"/>
        </w:rPr>
        <w:t>关于监理人的其他约定：</w:t>
      </w:r>
      <w:r>
        <w:rPr>
          <w:rFonts w:hint="eastAsia" w:ascii="宋体" w:hAnsi="宋体" w:eastAsia="宋体" w:cs="宋体"/>
          <w:sz w:val="24"/>
          <w:szCs w:val="24"/>
          <w:u w:val="single"/>
        </w:rPr>
        <w:t>  </w:t>
      </w:r>
      <w:r>
        <w:rPr>
          <w:rFonts w:hint="eastAsia" w:ascii="宋体" w:hAnsi="宋体" w:eastAsia="宋体" w:cs="宋体"/>
          <w:sz w:val="28"/>
          <w:szCs w:val="28"/>
        </w:rPr>
        <w:t>。</w:t>
      </w:r>
    </w:p>
    <w:p w14:paraId="0AD06E73">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14:paraId="3A6AA313">
      <w:pPr>
        <w:spacing w:line="460" w:lineRule="exact"/>
        <w:ind w:firstLine="480" w:firstLineChars="200"/>
        <w:rPr>
          <w:rFonts w:hint="eastAsia" w:ascii="宋体" w:hAnsi="宋体" w:eastAsia="宋体" w:cs="宋体"/>
          <w:color w:val="000000"/>
          <w:sz w:val="24"/>
          <w:szCs w:val="24"/>
        </w:rPr>
      </w:pPr>
      <w:bookmarkStart w:id="660" w:name="_Toc267251418"/>
      <w:r>
        <w:rPr>
          <w:rFonts w:hint="eastAsia" w:ascii="宋体" w:hAnsi="宋体" w:eastAsia="宋体" w:cs="宋体"/>
          <w:color w:val="000000"/>
          <w:sz w:val="24"/>
          <w:szCs w:val="24"/>
        </w:rPr>
        <w:t>在发包人和承包人不能通过协商达成一致意见时，发包人授权监理人对以下事项进行确定：</w:t>
      </w:r>
    </w:p>
    <w:p w14:paraId="678D885D">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CEB8FC7">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F942AD4">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F0ABBAA">
      <w:pPr>
        <w:pStyle w:val="5"/>
        <w:spacing w:before="120" w:after="120" w:line="460" w:lineRule="exact"/>
        <w:rPr>
          <w:rFonts w:hint="eastAsia" w:ascii="宋体" w:hAnsi="宋体" w:eastAsia="宋体" w:cs="宋体"/>
          <w:b w:val="0"/>
          <w:color w:val="000000"/>
          <w:sz w:val="24"/>
          <w:szCs w:val="24"/>
        </w:rPr>
      </w:pPr>
      <w:bookmarkStart w:id="661" w:name="_Toc351203637"/>
      <w:r>
        <w:rPr>
          <w:rFonts w:hint="eastAsia" w:ascii="宋体" w:hAnsi="宋体" w:eastAsia="宋体" w:cs="宋体"/>
          <w:b w:val="0"/>
          <w:color w:val="000000"/>
          <w:sz w:val="24"/>
          <w:szCs w:val="24"/>
        </w:rPr>
        <w:t>5</w:t>
      </w:r>
      <w:bookmarkEnd w:id="660"/>
      <w:bookmarkStart w:id="662" w:name="_Toc292559872"/>
      <w:bookmarkStart w:id="663" w:name="_Toc292559367"/>
      <w:bookmarkStart w:id="664" w:name="_Toc296346664"/>
      <w:bookmarkStart w:id="665" w:name="_Toc296503163"/>
      <w:bookmarkStart w:id="666" w:name="_Toc296944502"/>
      <w:bookmarkStart w:id="667" w:name="_Toc297048349"/>
      <w:bookmarkStart w:id="668" w:name="_Toc296891203"/>
      <w:bookmarkStart w:id="669" w:name="_Toc297120463"/>
      <w:bookmarkStart w:id="670" w:name="_Toc296347162"/>
      <w:bookmarkStart w:id="671" w:name="_Toc296890991"/>
      <w:r>
        <w:rPr>
          <w:rFonts w:hint="eastAsia" w:ascii="宋体" w:hAnsi="宋体" w:eastAsia="宋体" w:cs="宋体"/>
          <w:b w:val="0"/>
          <w:color w:val="000000"/>
          <w:sz w:val="24"/>
          <w:szCs w:val="24"/>
        </w:rPr>
        <w:t>. 工程质量</w:t>
      </w:r>
      <w:bookmarkEnd w:id="661"/>
    </w:p>
    <w:p w14:paraId="297BC999">
      <w:pPr>
        <w:spacing w:after="120" w:line="460" w:lineRule="exac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14:paraId="186D4EA1">
      <w:pPr>
        <w:spacing w:line="460" w:lineRule="exact"/>
        <w:jc w:val="left"/>
        <w:rPr>
          <w:rFonts w:hint="eastAsia" w:ascii="宋体" w:hAnsi="宋体" w:eastAsia="宋体" w:cs="宋体"/>
          <w:sz w:val="24"/>
          <w:szCs w:val="24"/>
        </w:rPr>
      </w:pPr>
      <w:r>
        <w:rPr>
          <w:rFonts w:hint="eastAsia" w:ascii="宋体" w:hAnsi="宋体" w:eastAsia="宋体" w:cs="宋体"/>
          <w:sz w:val="24"/>
          <w:szCs w:val="24"/>
        </w:rPr>
        <w:t>5</w:t>
      </w:r>
      <w:bookmarkStart w:id="672" w:name="_Toc297216155"/>
      <w:bookmarkStart w:id="673" w:name="_Toc318581164"/>
      <w:bookmarkStart w:id="674" w:name="_Toc300934949"/>
      <w:bookmarkStart w:id="675" w:name="_Toc312677997"/>
      <w:bookmarkStart w:id="676" w:name="_Toc304295527"/>
      <w:bookmarkStart w:id="677" w:name="_Toc303539106"/>
      <w:bookmarkStart w:id="678" w:name="_Toc297123496"/>
      <w:r>
        <w:rPr>
          <w:rFonts w:hint="eastAsia" w:ascii="宋体" w:hAnsi="宋体" w:eastAsia="宋体" w:cs="宋体"/>
          <w:sz w:val="24"/>
          <w:szCs w:val="24"/>
        </w:rPr>
        <w:t>.1.1 特殊质量标准和要求：</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308A6DF0">
      <w:pPr>
        <w:spacing w:line="460" w:lineRule="exact"/>
        <w:jc w:val="left"/>
        <w:rPr>
          <w:rFonts w:hint="eastAsia" w:ascii="宋体" w:hAnsi="宋体" w:eastAsia="宋体" w:cs="宋体"/>
          <w:color w:val="000000"/>
          <w:sz w:val="24"/>
          <w:szCs w:val="24"/>
        </w:rPr>
      </w:pPr>
      <w:r>
        <w:rPr>
          <w:rFonts w:hint="eastAsia" w:ascii="宋体" w:hAnsi="宋体" w:eastAsia="宋体" w:cs="宋体"/>
          <w:sz w:val="24"/>
          <w:szCs w:val="24"/>
        </w:rPr>
        <w:t>关于工程奖项的约定：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11CF5131">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14:paraId="72A18057">
      <w:pPr>
        <w:spacing w:line="460" w:lineRule="exact"/>
        <w:jc w:val="left"/>
        <w:rPr>
          <w:rFonts w:hint="eastAsia" w:ascii="宋体" w:hAnsi="宋体" w:eastAsia="宋体" w:cs="宋体"/>
          <w:sz w:val="24"/>
          <w:szCs w:val="24"/>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lang w:val="en-US" w:eastAsia="zh-CN"/>
        </w:rPr>
        <w:t>/</w:t>
      </w:r>
      <w:r>
        <w:rPr>
          <w:rFonts w:hint="eastAsia" w:ascii="宋体" w:hAnsi="宋体" w:eastAsia="宋体" w:cs="宋体"/>
          <w:sz w:val="24"/>
          <w:szCs w:val="24"/>
        </w:rPr>
        <w:t>。</w:t>
      </w:r>
    </w:p>
    <w:p w14:paraId="0C66442E">
      <w:pPr>
        <w:spacing w:line="460" w:lineRule="exact"/>
        <w:jc w:val="left"/>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14:paraId="2CC4461C">
      <w:pPr>
        <w:spacing w:line="460" w:lineRule="exact"/>
        <w:jc w:val="left"/>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14:paraId="19AAD642">
      <w:pPr>
        <w:pStyle w:val="5"/>
        <w:spacing w:before="120" w:after="120" w:line="460" w:lineRule="exact"/>
        <w:rPr>
          <w:rFonts w:hint="eastAsia" w:ascii="宋体" w:hAnsi="宋体" w:eastAsia="宋体" w:cs="宋体"/>
          <w:b w:val="0"/>
          <w:color w:val="000000"/>
          <w:sz w:val="24"/>
          <w:szCs w:val="24"/>
        </w:rPr>
      </w:pPr>
      <w:bookmarkStart w:id="679" w:name="_Toc351203638"/>
      <w:r>
        <w:rPr>
          <w:rFonts w:hint="eastAsia" w:ascii="宋体" w:hAnsi="宋体" w:eastAsia="宋体" w:cs="宋体"/>
          <w:b w:val="0"/>
          <w:color w:val="000000"/>
          <w:sz w:val="24"/>
          <w:szCs w:val="24"/>
        </w:rPr>
        <w:t>6. 安全文明施工与环境保护</w:t>
      </w:r>
      <w:bookmarkEnd w:id="679"/>
    </w:p>
    <w:p w14:paraId="75319EFB">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14:paraId="6CD81A59">
      <w:pPr>
        <w:spacing w:line="460" w:lineRule="exact"/>
        <w:jc w:val="left"/>
        <w:rPr>
          <w:rFonts w:hint="eastAsia" w:ascii="宋体" w:hAnsi="宋体" w:eastAsia="宋体" w:cs="宋体"/>
          <w:sz w:val="24"/>
          <w:szCs w:val="24"/>
        </w:rPr>
      </w:pPr>
      <w:r>
        <w:rPr>
          <w:rFonts w:hint="eastAsia" w:ascii="宋体" w:hAnsi="宋体" w:eastAsia="宋体" w:cs="宋体"/>
          <w:sz w:val="24"/>
          <w:szCs w:val="24"/>
        </w:rPr>
        <w:t>6.1.1</w:t>
      </w:r>
      <w:r>
        <w:rPr>
          <w:rFonts w:hint="eastAsia" w:ascii="宋体" w:hAnsi="宋体" w:eastAsia="宋体" w:cs="宋体"/>
          <w:color w:val="000000"/>
          <w:sz w:val="24"/>
          <w:szCs w:val="24"/>
        </w:rPr>
        <w:t xml:space="preserve"> 项目安全生产的达标目标及相应事项的约定：</w:t>
      </w:r>
      <w:r>
        <w:rPr>
          <w:rFonts w:hint="eastAsia" w:ascii="宋体" w:hAnsi="宋体" w:eastAsia="宋体" w:cs="宋体"/>
          <w:sz w:val="24"/>
          <w:szCs w:val="24"/>
          <w:u w:val="single"/>
        </w:rPr>
        <w:t xml:space="preserve"> 达到行政主管部门的要求标准  </w:t>
      </w:r>
      <w:r>
        <w:rPr>
          <w:rFonts w:hint="eastAsia" w:ascii="宋体" w:hAnsi="宋体" w:eastAsia="宋体" w:cs="宋体"/>
          <w:sz w:val="24"/>
          <w:szCs w:val="24"/>
        </w:rPr>
        <w:t>。</w:t>
      </w:r>
    </w:p>
    <w:p w14:paraId="5AFCEA65">
      <w:pPr>
        <w:spacing w:line="460" w:lineRule="exact"/>
        <w:ind w:firstLine="480" w:firstLineChars="200"/>
        <w:jc w:val="left"/>
        <w:rPr>
          <w:rFonts w:hint="eastAsia" w:ascii="宋体" w:hAnsi="宋体" w:eastAsia="宋体" w:cs="宋体"/>
          <w:spacing w:val="-11"/>
          <w:sz w:val="24"/>
          <w:szCs w:val="24"/>
        </w:rPr>
      </w:pPr>
      <w:r>
        <w:rPr>
          <w:rFonts w:hint="eastAsia" w:ascii="宋体" w:hAnsi="宋体" w:eastAsia="宋体" w:cs="宋体"/>
          <w:sz w:val="24"/>
          <w:szCs w:val="24"/>
        </w:rPr>
        <w:t>6.1.4 关于治安保卫的特别约定：</w:t>
      </w:r>
      <w:r>
        <w:rPr>
          <w:rFonts w:hint="eastAsia" w:ascii="宋体" w:hAnsi="宋体" w:eastAsia="宋体" w:cs="宋体"/>
          <w:sz w:val="24"/>
          <w:szCs w:val="24"/>
          <w:u w:val="single"/>
        </w:rPr>
        <w:t xml:space="preserve"> </w:t>
      </w:r>
      <w:r>
        <w:rPr>
          <w:rFonts w:hint="eastAsia" w:ascii="宋体" w:hAnsi="宋体" w:eastAsia="宋体" w:cs="宋体"/>
          <w:spacing w:val="-11"/>
          <w:sz w:val="24"/>
          <w:szCs w:val="24"/>
          <w:u w:val="single"/>
        </w:rPr>
        <w:t>由承包人负责施工现场治安保卫工作</w:t>
      </w:r>
      <w:r>
        <w:rPr>
          <w:rFonts w:hint="eastAsia" w:ascii="宋体" w:hAnsi="宋体" w:eastAsia="宋体" w:cs="宋体"/>
          <w:spacing w:val="-11"/>
          <w:sz w:val="24"/>
          <w:szCs w:val="24"/>
        </w:rPr>
        <w:t>。</w:t>
      </w:r>
    </w:p>
    <w:p w14:paraId="7CBD0E58">
      <w:pPr>
        <w:spacing w:line="460" w:lineRule="exact"/>
        <w:ind w:firstLine="480" w:firstLineChars="200"/>
        <w:jc w:val="left"/>
        <w:rPr>
          <w:rFonts w:hint="eastAsia" w:ascii="宋体" w:hAnsi="宋体" w:eastAsia="宋体" w:cs="宋体"/>
          <w:spacing w:val="-6"/>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spacing w:val="-6"/>
          <w:sz w:val="24"/>
          <w:szCs w:val="24"/>
          <w:u w:val="single"/>
        </w:rPr>
        <w:t>由承包人负责编制</w:t>
      </w:r>
      <w:r>
        <w:rPr>
          <w:rFonts w:hint="eastAsia" w:ascii="宋体" w:hAnsi="宋体" w:eastAsia="宋体" w:cs="宋体"/>
          <w:spacing w:val="-6"/>
          <w:sz w:val="24"/>
          <w:szCs w:val="24"/>
          <w:u w:val="single"/>
          <w:lang w:val="en-US" w:eastAsia="zh-CN"/>
        </w:rPr>
        <w:t xml:space="preserve"> </w:t>
      </w:r>
      <w:r>
        <w:rPr>
          <w:rFonts w:hint="eastAsia" w:ascii="宋体" w:hAnsi="宋体" w:eastAsia="宋体" w:cs="宋体"/>
          <w:spacing w:val="-6"/>
          <w:sz w:val="24"/>
          <w:szCs w:val="24"/>
        </w:rPr>
        <w:t>。</w:t>
      </w:r>
    </w:p>
    <w:p w14:paraId="1B96CD3C">
      <w:pPr>
        <w:keepNext w:val="0"/>
        <w:keepLines w:val="0"/>
        <w:pageBreakBefore w:val="0"/>
        <w:widowControl w:val="0"/>
        <w:kinsoku/>
        <w:wordWrap/>
        <w:overflowPunct/>
        <w:topLinePunct w:val="0"/>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6.1.5 文明施工</w:t>
      </w:r>
    </w:p>
    <w:p w14:paraId="1529D027">
      <w:pPr>
        <w:keepNext w:val="0"/>
        <w:keepLines w:val="0"/>
        <w:pageBreakBefore w:val="0"/>
        <w:widowControl w:val="0"/>
        <w:kinsoku/>
        <w:wordWrap/>
        <w:overflowPunct/>
        <w:topLinePunct w:val="0"/>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合同当事人对文明施工的要求：</w:t>
      </w:r>
      <w:r>
        <w:rPr>
          <w:rFonts w:hint="eastAsia" w:ascii="宋体" w:hAnsi="宋体" w:eastAsia="宋体" w:cs="宋体"/>
          <w:sz w:val="24"/>
          <w:szCs w:val="24"/>
          <w:u w:val="single"/>
        </w:rPr>
        <w:t xml:space="preserve"> 符合行政主管部门的相关要求  </w:t>
      </w:r>
      <w:r>
        <w:rPr>
          <w:rFonts w:hint="eastAsia" w:ascii="宋体" w:hAnsi="宋体" w:eastAsia="宋体" w:cs="宋体"/>
          <w:sz w:val="24"/>
          <w:szCs w:val="24"/>
        </w:rPr>
        <w:t>。</w:t>
      </w:r>
    </w:p>
    <w:p w14:paraId="29D14356">
      <w:pPr>
        <w:pStyle w:val="40"/>
        <w:keepNext w:val="0"/>
        <w:keepLines w:val="0"/>
        <w:pageBreakBefore w:val="0"/>
        <w:widowControl w:val="0"/>
        <w:tabs>
          <w:tab w:val="left" w:pos="1318"/>
          <w:tab w:val="left" w:pos="5626"/>
        </w:tabs>
        <w:kinsoku/>
        <w:wordWrap/>
        <w:overflowPunct/>
        <w:topLinePunct w:val="0"/>
        <w:autoSpaceDE w:val="0"/>
        <w:autoSpaceDN w:val="0"/>
        <w:bidi w:val="0"/>
        <w:adjustRightInd/>
        <w:snapToGrid/>
        <w:spacing w:line="460" w:lineRule="exact"/>
        <w:ind w:left="797"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6.1.6 关于安全文明施工费支付比例和支付期限的约定：</w:t>
      </w:r>
      <w:bookmarkEnd w:id="672"/>
      <w:bookmarkEnd w:id="673"/>
      <w:bookmarkEnd w:id="674"/>
      <w:bookmarkEnd w:id="675"/>
      <w:bookmarkEnd w:id="676"/>
      <w:bookmarkEnd w:id="677"/>
      <w:bookmarkEnd w:id="678"/>
      <w:bookmarkStart w:id="680" w:name="_Toc351203639"/>
      <w:r>
        <w:rPr>
          <w:rFonts w:hint="eastAsia" w:ascii="宋体" w:hAnsi="宋体" w:eastAsia="宋体" w:cs="宋体"/>
          <w:sz w:val="24"/>
          <w:szCs w:val="24"/>
          <w:u w:val="single"/>
          <w:lang w:val="en-US" w:eastAsia="zh-CN"/>
        </w:rPr>
        <w:t xml:space="preserve"> / </w:t>
      </w:r>
      <w:r>
        <w:rPr>
          <w:rFonts w:hint="eastAsia" w:ascii="宋体" w:hAnsi="宋体" w:eastAsia="宋体" w:cs="宋体"/>
          <w:sz w:val="24"/>
          <w:szCs w:val="24"/>
          <w:u w:val="none"/>
          <w:lang w:val="en-US" w:eastAsia="zh-CN"/>
        </w:rPr>
        <w:t>。</w:t>
      </w:r>
    </w:p>
    <w:p w14:paraId="27E0F76B">
      <w:pPr>
        <w:keepNext w:val="0"/>
        <w:keepLines w:val="0"/>
        <w:pageBreakBefore w:val="0"/>
        <w:widowControl w:val="0"/>
        <w:kinsoku/>
        <w:wordWrap/>
        <w:overflowPunct/>
        <w:topLinePunct w:val="0"/>
        <w:bidi w:val="0"/>
        <w:adjustRightInd/>
        <w:snapToGrid/>
        <w:spacing w:before="198" w:line="460" w:lineRule="exact"/>
        <w:ind w:left="377"/>
        <w:textAlignment w:val="auto"/>
        <w:rPr>
          <w:rFonts w:hint="eastAsia" w:ascii="宋体" w:hAnsi="宋体" w:eastAsia="宋体" w:cs="宋体"/>
          <w:b/>
          <w:sz w:val="24"/>
          <w:szCs w:val="24"/>
        </w:rPr>
      </w:pPr>
      <w:bookmarkStart w:id="681" w:name="6.3_环境保护"/>
      <w:bookmarkEnd w:id="681"/>
      <w:r>
        <w:rPr>
          <w:rFonts w:hint="eastAsia" w:ascii="宋体" w:hAnsi="宋体" w:eastAsia="宋体" w:cs="宋体"/>
          <w:b/>
          <w:sz w:val="24"/>
          <w:szCs w:val="24"/>
        </w:rPr>
        <w:t>6.3</w:t>
      </w:r>
      <w:r>
        <w:rPr>
          <w:rFonts w:hint="eastAsia" w:ascii="宋体" w:hAnsi="宋体" w:eastAsia="宋体" w:cs="宋体"/>
          <w:b/>
          <w:spacing w:val="10"/>
          <w:sz w:val="24"/>
          <w:szCs w:val="24"/>
        </w:rPr>
        <w:t xml:space="preserve"> 环境保护</w:t>
      </w:r>
    </w:p>
    <w:p w14:paraId="45736E91">
      <w:pPr>
        <w:keepNext w:val="0"/>
        <w:keepLines w:val="0"/>
        <w:pageBreakBefore w:val="0"/>
        <w:widowControl w:val="0"/>
        <w:kinsoku/>
        <w:wordWrap/>
        <w:overflowPunct/>
        <w:topLinePunct w:val="0"/>
        <w:bidi w:val="0"/>
        <w:adjustRightInd/>
        <w:snapToGrid/>
        <w:spacing w:line="46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经过城市道路的施工车辆，必须按</w:t>
      </w:r>
      <w:r>
        <w:rPr>
          <w:rFonts w:hint="eastAsia" w:ascii="宋体" w:hAnsi="宋体" w:eastAsia="宋体" w:cs="宋体"/>
          <w:sz w:val="24"/>
          <w:szCs w:val="24"/>
          <w:u w:val="single"/>
          <w:lang w:eastAsia="zh-CN"/>
        </w:rPr>
        <w:t>市政</w:t>
      </w:r>
      <w:r>
        <w:rPr>
          <w:rFonts w:hint="eastAsia" w:ascii="宋体" w:hAnsi="宋体" w:eastAsia="宋体" w:cs="宋体"/>
          <w:sz w:val="24"/>
          <w:szCs w:val="24"/>
          <w:u w:val="single"/>
        </w:rPr>
        <w:t>相关规定执行。由于施工车辆造成的道路、环境等污染，其责任和费用均由承包人承担。</w:t>
      </w:r>
    </w:p>
    <w:p w14:paraId="45EE95CE">
      <w:pPr>
        <w:spacing w:line="460" w:lineRule="exact"/>
        <w:ind w:firstLine="482" w:firstLineChars="20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7. 工期和进度</w:t>
      </w:r>
      <w:bookmarkEnd w:id="680"/>
    </w:p>
    <w:p w14:paraId="0BD0D88C">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14:paraId="5C902A0B">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 xml:space="preserve">7.1.1 </w:t>
      </w:r>
      <w:r>
        <w:rPr>
          <w:rFonts w:hint="eastAsia" w:ascii="宋体" w:hAnsi="宋体" w:eastAsia="宋体" w:cs="宋体"/>
          <w:color w:val="000000"/>
          <w:sz w:val="24"/>
          <w:szCs w:val="24"/>
        </w:rPr>
        <w:t>合</w:t>
      </w:r>
      <w:r>
        <w:rPr>
          <w:rFonts w:hint="eastAsia" w:ascii="宋体" w:hAnsi="宋体" w:eastAsia="宋体" w:cs="宋体"/>
          <w:color w:val="000000"/>
          <w:kern w:val="0"/>
          <w:sz w:val="24"/>
          <w:szCs w:val="24"/>
        </w:rPr>
        <w:t>同当事人约定的施工组织设计应包括的其他内容：</w:t>
      </w:r>
      <w:r>
        <w:rPr>
          <w:rFonts w:hint="eastAsia" w:ascii="宋体" w:hAnsi="宋体" w:eastAsia="宋体" w:cs="宋体"/>
          <w:sz w:val="24"/>
          <w:szCs w:val="24"/>
          <w:u w:val="single"/>
        </w:rPr>
        <w:t>无</w:t>
      </w:r>
      <w:r>
        <w:rPr>
          <w:rFonts w:hint="eastAsia" w:ascii="宋体" w:hAnsi="宋体" w:eastAsia="宋体" w:cs="宋体"/>
          <w:sz w:val="24"/>
          <w:szCs w:val="24"/>
        </w:rPr>
        <w:t>。</w:t>
      </w:r>
    </w:p>
    <w:p w14:paraId="75985451">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7.1.2</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14:paraId="57BE721D">
      <w:pPr>
        <w:autoSpaceDE w:val="0"/>
        <w:autoSpaceDN w:val="0"/>
        <w:adjustRightInd w:val="0"/>
        <w:spacing w:line="460" w:lineRule="exact"/>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sz w:val="24"/>
          <w:szCs w:val="24"/>
          <w:u w:val="single"/>
        </w:rPr>
        <w:t xml:space="preserve">开工前7个工作日内 </w:t>
      </w:r>
      <w:r>
        <w:rPr>
          <w:rFonts w:hint="eastAsia" w:ascii="宋体" w:hAnsi="宋体" w:eastAsia="宋体" w:cs="宋体"/>
          <w:sz w:val="24"/>
          <w:szCs w:val="24"/>
        </w:rPr>
        <w:t>。</w:t>
      </w:r>
    </w:p>
    <w:p w14:paraId="1D55BAB1">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sz w:val="24"/>
          <w:szCs w:val="24"/>
          <w:u w:val="single"/>
        </w:rPr>
        <w:t xml:space="preserve">  开工前3个工作日内   </w:t>
      </w:r>
      <w:r>
        <w:rPr>
          <w:rFonts w:hint="eastAsia" w:ascii="宋体" w:hAnsi="宋体" w:eastAsia="宋体" w:cs="宋体"/>
          <w:sz w:val="24"/>
          <w:szCs w:val="24"/>
        </w:rPr>
        <w:t>。</w:t>
      </w:r>
    </w:p>
    <w:p w14:paraId="1ED016BB">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682" w:name="_Toc312677479"/>
      <w:bookmarkStart w:id="683" w:name="_Toc300934966"/>
      <w:bookmarkStart w:id="684" w:name="_Toc297123514"/>
      <w:bookmarkStart w:id="685" w:name="_Toc297216173"/>
      <w:bookmarkStart w:id="686" w:name="_Toc312678005"/>
      <w:bookmarkStart w:id="687" w:name="_Toc304295541"/>
      <w:bookmarkStart w:id="688" w:name="_Toc303539123"/>
      <w:r>
        <w:rPr>
          <w:rFonts w:hint="eastAsia" w:ascii="宋体" w:hAnsi="宋体" w:eastAsia="宋体" w:cs="宋体"/>
          <w:color w:val="000000"/>
          <w:sz w:val="24"/>
          <w:szCs w:val="24"/>
        </w:rPr>
        <w:t>.2 施工进度计划</w:t>
      </w:r>
    </w:p>
    <w:p w14:paraId="003C81A9">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14:paraId="6DD6A86C">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sz w:val="24"/>
          <w:szCs w:val="24"/>
          <w:u w:val="single"/>
        </w:rPr>
        <w:t xml:space="preserve">  收到承包人提供的书面文件之日起3个工作日内 </w:t>
      </w:r>
      <w:r>
        <w:rPr>
          <w:rFonts w:hint="eastAsia" w:ascii="宋体" w:hAnsi="宋体" w:eastAsia="宋体" w:cs="宋体"/>
          <w:sz w:val="24"/>
          <w:szCs w:val="24"/>
        </w:rPr>
        <w:t>。</w:t>
      </w:r>
    </w:p>
    <w:p w14:paraId="2BB21887">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14:paraId="634A43A3">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14:paraId="169771D3">
      <w:pPr>
        <w:spacing w:line="460" w:lineRule="exact"/>
        <w:ind w:firstLine="645"/>
        <w:jc w:val="left"/>
        <w:rPr>
          <w:rFonts w:hint="eastAsia" w:ascii="宋体" w:hAnsi="宋体" w:eastAsia="宋体" w:cs="宋体"/>
          <w:sz w:val="24"/>
          <w:szCs w:val="24"/>
          <w:u w:val="single"/>
        </w:rPr>
      </w:pPr>
      <w:r>
        <w:rPr>
          <w:rFonts w:hint="eastAsia" w:ascii="宋体" w:hAnsi="宋体" w:eastAsia="宋体" w:cs="宋体"/>
          <w:color w:val="000000"/>
          <w:sz w:val="24"/>
          <w:szCs w:val="24"/>
        </w:rPr>
        <w:t>关于承包人提交</w:t>
      </w:r>
      <w:r>
        <w:rPr>
          <w:rFonts w:hint="eastAsia" w:ascii="宋体" w:hAnsi="宋体" w:eastAsia="宋体" w:cs="宋体"/>
          <w:color w:val="000000"/>
          <w:kern w:val="0"/>
          <w:sz w:val="24"/>
          <w:szCs w:val="24"/>
        </w:rPr>
        <w:t>工程开工报审表的期限：</w:t>
      </w:r>
      <w:r>
        <w:rPr>
          <w:rFonts w:hint="eastAsia" w:ascii="宋体" w:hAnsi="宋体" w:eastAsia="宋体" w:cs="宋体"/>
          <w:sz w:val="24"/>
          <w:szCs w:val="24"/>
          <w:u w:val="single"/>
        </w:rPr>
        <w:t>承包人进场后7天内</w:t>
      </w:r>
      <w:r>
        <w:rPr>
          <w:rFonts w:hint="eastAsia" w:ascii="宋体" w:hAnsi="宋体" w:eastAsia="宋体" w:cs="宋体"/>
          <w:sz w:val="24"/>
          <w:szCs w:val="24"/>
        </w:rPr>
        <w:t>。</w:t>
      </w:r>
    </w:p>
    <w:p w14:paraId="1633ECFD">
      <w:pPr>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sz w:val="24"/>
          <w:szCs w:val="24"/>
          <w:u w:val="single"/>
        </w:rPr>
        <w:t xml:space="preserve"> 满足开工条件所需的相关手续，承包人进场后5天内    </w:t>
      </w:r>
      <w:r>
        <w:rPr>
          <w:rFonts w:hint="eastAsia" w:ascii="宋体" w:hAnsi="宋体" w:eastAsia="宋体" w:cs="宋体"/>
          <w:sz w:val="24"/>
          <w:szCs w:val="24"/>
        </w:rPr>
        <w:t>。</w:t>
      </w:r>
    </w:p>
    <w:p w14:paraId="65255255">
      <w:pPr>
        <w:spacing w:line="460" w:lineRule="exact"/>
        <w:jc w:val="left"/>
        <w:rPr>
          <w:rFonts w:hint="eastAsia" w:ascii="宋体" w:hAnsi="宋体" w:eastAsia="宋体" w:cs="宋体"/>
          <w:sz w:val="24"/>
          <w:szCs w:val="24"/>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sz w:val="24"/>
          <w:szCs w:val="24"/>
          <w:u w:val="single"/>
        </w:rPr>
        <w:t xml:space="preserve">  进场后7天内  </w:t>
      </w:r>
      <w:r>
        <w:rPr>
          <w:rFonts w:hint="eastAsia" w:ascii="宋体" w:hAnsi="宋体" w:eastAsia="宋体" w:cs="宋体"/>
          <w:sz w:val="24"/>
          <w:szCs w:val="24"/>
        </w:rPr>
        <w:t>。</w:t>
      </w:r>
    </w:p>
    <w:p w14:paraId="45D40543">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14:paraId="4AA5DA9F">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天内发出开工通知的，承包人有权提出价格调整要求，或者解除合同。</w:t>
      </w:r>
    </w:p>
    <w:bookmarkEnd w:id="682"/>
    <w:bookmarkEnd w:id="683"/>
    <w:bookmarkEnd w:id="684"/>
    <w:bookmarkEnd w:id="685"/>
    <w:bookmarkEnd w:id="686"/>
    <w:bookmarkEnd w:id="687"/>
    <w:bookmarkEnd w:id="688"/>
    <w:p w14:paraId="4DB55B2C">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14:paraId="34224854">
      <w:pPr>
        <w:spacing w:line="46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49BE38D">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689" w:name="_Toc300934968"/>
      <w:bookmarkStart w:id="690" w:name="_Toc303539125"/>
      <w:bookmarkStart w:id="691" w:name="_Toc297216175"/>
      <w:bookmarkStart w:id="692" w:name="_Toc297123516"/>
      <w:bookmarkStart w:id="693" w:name="_Toc312678010"/>
      <w:bookmarkStart w:id="694" w:name="_Toc304295546"/>
      <w:bookmarkStart w:id="695" w:name="_Toc312677484"/>
      <w:r>
        <w:rPr>
          <w:rFonts w:hint="eastAsia" w:ascii="宋体" w:hAnsi="宋体" w:eastAsia="宋体" w:cs="宋体"/>
          <w:color w:val="000000"/>
          <w:sz w:val="24"/>
          <w:szCs w:val="24"/>
        </w:rPr>
        <w:t>.5 工期延误</w:t>
      </w:r>
    </w:p>
    <w:bookmarkEnd w:id="689"/>
    <w:bookmarkEnd w:id="690"/>
    <w:bookmarkEnd w:id="691"/>
    <w:bookmarkEnd w:id="692"/>
    <w:bookmarkEnd w:id="693"/>
    <w:bookmarkEnd w:id="694"/>
    <w:bookmarkEnd w:id="695"/>
    <w:p w14:paraId="6856F137">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4D5D9AB5">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（7）因发包人原因导致工期延误的其他情形：</w:t>
      </w:r>
      <w:r>
        <w:rPr>
          <w:rFonts w:hint="eastAsia" w:ascii="宋体" w:hAnsi="宋体" w:eastAsia="宋体" w:cs="宋体"/>
          <w:sz w:val="24"/>
          <w:szCs w:val="24"/>
          <w:u w:val="single"/>
        </w:rPr>
        <w:t xml:space="preserve"> 按通用条款7.8.1执行 </w:t>
      </w:r>
      <w:r>
        <w:rPr>
          <w:rFonts w:hint="eastAsia" w:ascii="宋体" w:hAnsi="宋体" w:eastAsia="宋体" w:cs="宋体"/>
          <w:sz w:val="24"/>
          <w:szCs w:val="24"/>
        </w:rPr>
        <w:t>。</w:t>
      </w:r>
    </w:p>
    <w:p w14:paraId="2EF0F992">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w:t>
      </w:r>
      <w:bookmarkStart w:id="696" w:name="_Toc312678012"/>
      <w:bookmarkStart w:id="697" w:name="_Toc312677486"/>
      <w:bookmarkStart w:id="698" w:name="_Toc318581169"/>
      <w:bookmarkStart w:id="699" w:name="_Toc300934970"/>
      <w:bookmarkStart w:id="700" w:name="_Toc304295548"/>
      <w:bookmarkStart w:id="701" w:name="_Toc303539127"/>
      <w:bookmarkStart w:id="702" w:name="_Toc297123518"/>
      <w:bookmarkStart w:id="703" w:name="_Toc297216177"/>
      <w:r>
        <w:rPr>
          <w:rFonts w:hint="eastAsia" w:ascii="宋体" w:hAnsi="宋体" w:eastAsia="宋体" w:cs="宋体"/>
          <w:sz w:val="24"/>
          <w:szCs w:val="24"/>
        </w:rPr>
        <w:t>.5.2 因承包人原因导致工期延误</w:t>
      </w:r>
    </w:p>
    <w:bookmarkEnd w:id="696"/>
    <w:bookmarkEnd w:id="697"/>
    <w:bookmarkEnd w:id="698"/>
    <w:p w14:paraId="35AA48AE">
      <w:pPr>
        <w:spacing w:line="46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因</w:t>
      </w:r>
      <w:bookmarkStart w:id="704" w:name="_Toc312677487"/>
      <w:bookmarkStart w:id="705" w:name="_Toc312678013"/>
      <w:bookmarkStart w:id="706" w:name="_Toc318581170"/>
      <w:r>
        <w:rPr>
          <w:rFonts w:hint="eastAsia" w:ascii="宋体" w:hAnsi="宋体" w:eastAsia="宋体" w:cs="宋体"/>
          <w:sz w:val="24"/>
          <w:szCs w:val="24"/>
        </w:rPr>
        <w:t>承包人原因造成工期延误，逾期竣工违约金的计算方法为：</w:t>
      </w:r>
    </w:p>
    <w:p w14:paraId="50B2B01F">
      <w:pPr>
        <w:spacing w:line="460" w:lineRule="exact"/>
        <w:jc w:val="left"/>
        <w:rPr>
          <w:rFonts w:hint="eastAsia" w:ascii="宋体" w:hAnsi="宋体" w:eastAsia="宋体" w:cs="宋体"/>
          <w:sz w:val="24"/>
          <w:szCs w:val="24"/>
        </w:rPr>
      </w:pPr>
      <w:r>
        <w:rPr>
          <w:rFonts w:hint="eastAsia" w:ascii="宋体" w:hAnsi="宋体" w:eastAsia="宋体" w:cs="宋体"/>
          <w:sz w:val="24"/>
          <w:szCs w:val="24"/>
          <w:u w:val="single"/>
        </w:rPr>
        <w:t xml:space="preserve"> 每逾期一天按工程合同造价的万分之一计算 </w:t>
      </w:r>
      <w:r>
        <w:rPr>
          <w:rFonts w:hint="eastAsia" w:ascii="宋体" w:hAnsi="宋体" w:eastAsia="宋体" w:cs="宋体"/>
          <w:sz w:val="24"/>
          <w:szCs w:val="24"/>
        </w:rPr>
        <w:t>。</w:t>
      </w:r>
      <w:bookmarkEnd w:id="699"/>
      <w:bookmarkEnd w:id="700"/>
      <w:bookmarkEnd w:id="701"/>
      <w:bookmarkEnd w:id="702"/>
      <w:bookmarkEnd w:id="703"/>
      <w:bookmarkEnd w:id="704"/>
      <w:bookmarkEnd w:id="705"/>
    </w:p>
    <w:bookmarkEnd w:id="706"/>
    <w:p w14:paraId="6AB18F6F">
      <w:pPr>
        <w:spacing w:line="460" w:lineRule="exact"/>
        <w:jc w:val="left"/>
        <w:rPr>
          <w:rFonts w:hint="eastAsia" w:ascii="宋体" w:hAnsi="宋体" w:eastAsia="宋体" w:cs="宋体"/>
          <w:sz w:val="24"/>
          <w:szCs w:val="24"/>
        </w:rPr>
      </w:pPr>
      <w:r>
        <w:rPr>
          <w:rFonts w:hint="eastAsia" w:ascii="宋体" w:hAnsi="宋体" w:eastAsia="宋体" w:cs="宋体"/>
          <w:sz w:val="24"/>
          <w:szCs w:val="24"/>
        </w:rPr>
        <w:t>因承包人原因造成工期延误，逾</w:t>
      </w:r>
      <w:bookmarkStart w:id="707" w:name="_Toc318581171"/>
      <w:bookmarkStart w:id="708" w:name="_Toc312678014"/>
      <w:r>
        <w:rPr>
          <w:rFonts w:hint="eastAsia" w:ascii="宋体" w:hAnsi="宋体" w:eastAsia="宋体" w:cs="宋体"/>
          <w:sz w:val="24"/>
          <w:szCs w:val="24"/>
        </w:rPr>
        <w:t>期竣工违约金的上限：</w:t>
      </w:r>
      <w:r>
        <w:rPr>
          <w:rFonts w:hint="eastAsia" w:ascii="宋体" w:hAnsi="宋体" w:eastAsia="宋体" w:cs="宋体"/>
          <w:sz w:val="24"/>
          <w:szCs w:val="24"/>
          <w:u w:val="single"/>
        </w:rPr>
        <w:t xml:space="preserve"> 不超过工程合同价的百分之一 </w:t>
      </w:r>
      <w:r>
        <w:rPr>
          <w:rFonts w:hint="eastAsia" w:ascii="宋体" w:hAnsi="宋体" w:eastAsia="宋体" w:cs="宋体"/>
          <w:sz w:val="24"/>
          <w:szCs w:val="24"/>
        </w:rPr>
        <w:t>。</w:t>
      </w:r>
    </w:p>
    <w:bookmarkEnd w:id="707"/>
    <w:bookmarkEnd w:id="708"/>
    <w:p w14:paraId="09061385">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709" w:name="_Toc300934971"/>
      <w:bookmarkStart w:id="710" w:name="_Toc297123519"/>
      <w:bookmarkStart w:id="711" w:name="_Toc303539128"/>
      <w:bookmarkStart w:id="712" w:name="_Toc312678015"/>
      <w:bookmarkStart w:id="713" w:name="_Toc304295549"/>
      <w:bookmarkStart w:id="714" w:name="_Toc297216178"/>
      <w:r>
        <w:rPr>
          <w:rFonts w:hint="eastAsia" w:ascii="宋体" w:hAnsi="宋体" w:eastAsia="宋体" w:cs="宋体"/>
          <w:color w:val="000000"/>
          <w:sz w:val="24"/>
          <w:szCs w:val="24"/>
        </w:rPr>
        <w:t>.6 不</w:t>
      </w:r>
      <w:bookmarkEnd w:id="709"/>
      <w:bookmarkEnd w:id="710"/>
      <w:bookmarkEnd w:id="711"/>
      <w:bookmarkEnd w:id="712"/>
      <w:bookmarkEnd w:id="713"/>
      <w:bookmarkEnd w:id="714"/>
      <w:r>
        <w:rPr>
          <w:rFonts w:hint="eastAsia" w:ascii="宋体" w:hAnsi="宋体" w:eastAsia="宋体" w:cs="宋体"/>
          <w:color w:val="000000"/>
          <w:sz w:val="24"/>
          <w:szCs w:val="24"/>
        </w:rPr>
        <w:t>利物质条件</w:t>
      </w:r>
    </w:p>
    <w:p w14:paraId="2467B6EB">
      <w:pPr>
        <w:spacing w:line="460" w:lineRule="exact"/>
        <w:jc w:val="left"/>
        <w:rPr>
          <w:rFonts w:hint="eastAsia" w:ascii="宋体" w:hAnsi="宋体" w:eastAsia="宋体" w:cs="宋体"/>
          <w:sz w:val="24"/>
          <w:szCs w:val="24"/>
        </w:rPr>
      </w:pPr>
      <w:bookmarkStart w:id="715" w:name="_Toc300934972"/>
      <w:bookmarkStart w:id="716" w:name="_Toc318581172"/>
      <w:bookmarkStart w:id="717" w:name="_Toc297123520"/>
      <w:bookmarkStart w:id="718" w:name="_Toc303539129"/>
      <w:bookmarkStart w:id="719" w:name="_Toc304295550"/>
      <w:bookmarkStart w:id="720" w:name="_Toc312678016"/>
      <w:bookmarkStart w:id="721" w:name="_Toc297216179"/>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bookmarkEnd w:id="715"/>
    <w:bookmarkEnd w:id="716"/>
    <w:bookmarkEnd w:id="717"/>
    <w:bookmarkEnd w:id="718"/>
    <w:bookmarkEnd w:id="719"/>
    <w:bookmarkEnd w:id="720"/>
    <w:bookmarkEnd w:id="721"/>
    <w:p w14:paraId="0B433ACA">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722" w:name="_Toc303539130"/>
      <w:bookmarkStart w:id="723" w:name="_Toc297216180"/>
      <w:bookmarkStart w:id="724" w:name="_Toc312678017"/>
      <w:bookmarkStart w:id="725" w:name="_Toc304295551"/>
      <w:bookmarkStart w:id="726" w:name="_Toc297123521"/>
      <w:bookmarkStart w:id="727" w:name="_Toc300934973"/>
      <w:r>
        <w:rPr>
          <w:rFonts w:hint="eastAsia" w:ascii="宋体" w:hAnsi="宋体" w:eastAsia="宋体" w:cs="宋体"/>
          <w:color w:val="000000"/>
          <w:sz w:val="24"/>
          <w:szCs w:val="24"/>
        </w:rPr>
        <w:t>.7异常恶劣的气候条件</w:t>
      </w:r>
    </w:p>
    <w:bookmarkEnd w:id="722"/>
    <w:bookmarkEnd w:id="723"/>
    <w:bookmarkEnd w:id="724"/>
    <w:bookmarkEnd w:id="725"/>
    <w:bookmarkEnd w:id="726"/>
    <w:bookmarkEnd w:id="727"/>
    <w:p w14:paraId="6A98057A">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491177F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6级以上的地震及10级以上持续1天的大风   </w:t>
      </w:r>
      <w:r>
        <w:rPr>
          <w:rFonts w:hint="eastAsia" w:ascii="宋体" w:hAnsi="宋体" w:eastAsia="宋体" w:cs="宋体"/>
          <w:sz w:val="24"/>
          <w:szCs w:val="24"/>
        </w:rPr>
        <w:t>；</w:t>
      </w:r>
    </w:p>
    <w:p w14:paraId="3A495F19">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暴雨级以上持续1天的大雨     </w:t>
      </w:r>
      <w:r>
        <w:rPr>
          <w:rFonts w:hint="eastAsia" w:ascii="宋体" w:hAnsi="宋体" w:eastAsia="宋体" w:cs="宋体"/>
          <w:sz w:val="24"/>
          <w:szCs w:val="24"/>
        </w:rPr>
        <w:t>；</w:t>
      </w:r>
    </w:p>
    <w:p w14:paraId="0C65546E">
      <w:pPr>
        <w:spacing w:after="120" w:line="460" w:lineRule="exact"/>
        <w:ind w:left="479" w:leftChars="228" w:firstLine="0" w:firstLineChars="0"/>
        <w:outlineLvl w:val="0"/>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50年以上未发生过，持续2天的低温天气及50年以上未发生过的洪水   </w:t>
      </w:r>
      <w:r>
        <w:rPr>
          <w:rFonts w:hint="eastAsia" w:ascii="宋体" w:hAnsi="宋体" w:eastAsia="宋体" w:cs="宋体"/>
          <w:sz w:val="24"/>
          <w:szCs w:val="24"/>
        </w:rPr>
        <w:t>。</w:t>
      </w:r>
      <w:r>
        <w:rPr>
          <w:rFonts w:hint="eastAsia" w:ascii="宋体" w:hAnsi="宋体" w:eastAsia="宋体" w:cs="宋体"/>
          <w:color w:val="000000"/>
          <w:sz w:val="24"/>
          <w:szCs w:val="24"/>
        </w:rPr>
        <w:t>7.9 提前竣工的奖励</w:t>
      </w:r>
    </w:p>
    <w:p w14:paraId="3649498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3F027CBC">
      <w:pPr>
        <w:pStyle w:val="5"/>
        <w:spacing w:before="120" w:after="120" w:line="460" w:lineRule="exact"/>
        <w:rPr>
          <w:rFonts w:hint="eastAsia" w:ascii="宋体" w:hAnsi="宋体" w:eastAsia="宋体" w:cs="宋体"/>
          <w:b w:val="0"/>
          <w:color w:val="000000"/>
          <w:sz w:val="24"/>
          <w:szCs w:val="24"/>
        </w:rPr>
      </w:pPr>
      <w:bookmarkStart w:id="728" w:name="_Toc351203640"/>
      <w:r>
        <w:rPr>
          <w:rFonts w:hint="eastAsia" w:ascii="宋体" w:hAnsi="宋体" w:eastAsia="宋体" w:cs="宋体"/>
          <w:b w:val="0"/>
          <w:color w:val="000000"/>
          <w:sz w:val="24"/>
          <w:szCs w:val="24"/>
        </w:rPr>
        <w:t>8. 材料与设备</w:t>
      </w:r>
      <w:bookmarkEnd w:id="728"/>
    </w:p>
    <w:bookmarkEnd w:id="662"/>
    <w:bookmarkEnd w:id="663"/>
    <w:bookmarkEnd w:id="664"/>
    <w:bookmarkEnd w:id="665"/>
    <w:bookmarkEnd w:id="666"/>
    <w:bookmarkEnd w:id="667"/>
    <w:bookmarkEnd w:id="668"/>
    <w:bookmarkEnd w:id="669"/>
    <w:bookmarkEnd w:id="670"/>
    <w:bookmarkEnd w:id="671"/>
    <w:p w14:paraId="304EF11B">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729" w:name="_Toc297123527"/>
      <w:bookmarkStart w:id="730" w:name="_Toc296346668"/>
      <w:bookmarkStart w:id="731" w:name="_Toc296944506"/>
      <w:bookmarkStart w:id="732" w:name="_Toc296347166"/>
      <w:bookmarkStart w:id="733" w:name="_Toc304295556"/>
      <w:bookmarkStart w:id="734" w:name="_Toc280868654"/>
      <w:bookmarkStart w:id="735" w:name="_Toc300934979"/>
      <w:bookmarkStart w:id="736" w:name="_Toc296891207"/>
      <w:bookmarkStart w:id="737" w:name="_Toc296890995"/>
      <w:bookmarkStart w:id="738" w:name="_Toc312678019"/>
      <w:bookmarkStart w:id="739" w:name="_Toc297216186"/>
      <w:bookmarkStart w:id="740" w:name="_Toc297120467"/>
      <w:bookmarkStart w:id="741" w:name="_Toc303539136"/>
      <w:bookmarkStart w:id="742" w:name="_Toc296503167"/>
      <w:bookmarkStart w:id="743" w:name="_Toc292559372"/>
      <w:bookmarkStart w:id="744" w:name="_Toc312677493"/>
      <w:bookmarkStart w:id="745" w:name="_Toc292559877"/>
      <w:bookmarkStart w:id="746" w:name="_Toc297048353"/>
      <w:bookmarkStart w:id="747" w:name="_Toc267251424"/>
      <w:bookmarkStart w:id="748" w:name="_Toc280868656"/>
      <w:bookmarkStart w:id="749" w:name="_Toc280868655"/>
      <w:r>
        <w:rPr>
          <w:rFonts w:hint="eastAsia" w:ascii="宋体" w:hAnsi="宋体" w:eastAsia="宋体" w:cs="宋体"/>
          <w:color w:val="000000"/>
          <w:sz w:val="24"/>
          <w:szCs w:val="24"/>
        </w:rPr>
        <w:t>.4材料与工程设备的保管与使用</w:t>
      </w:r>
    </w:p>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14:paraId="5D9F372A">
      <w:pPr>
        <w:spacing w:line="460" w:lineRule="exact"/>
        <w:jc w:val="left"/>
        <w:rPr>
          <w:rFonts w:hint="eastAsia" w:ascii="宋体" w:hAnsi="宋体" w:eastAsia="宋体" w:cs="宋体"/>
          <w:sz w:val="24"/>
          <w:szCs w:val="24"/>
        </w:rPr>
      </w:pPr>
      <w:r>
        <w:rPr>
          <w:rFonts w:hint="eastAsia" w:ascii="宋体" w:hAnsi="宋体" w:eastAsia="宋体" w:cs="宋体"/>
          <w:sz w:val="24"/>
          <w:szCs w:val="24"/>
        </w:rPr>
        <w:t>8</w:t>
      </w:r>
      <w:bookmarkStart w:id="750" w:name="_Toc292559878"/>
      <w:bookmarkStart w:id="751" w:name="_Toc292559373"/>
      <w:bookmarkStart w:id="752" w:name="_Toc297048354"/>
      <w:bookmarkStart w:id="753" w:name="_Toc296891208"/>
      <w:bookmarkStart w:id="754" w:name="_Toc312677494"/>
      <w:bookmarkStart w:id="755" w:name="_Toc318581173"/>
      <w:bookmarkStart w:id="756" w:name="_Toc296503168"/>
      <w:bookmarkStart w:id="757" w:name="_Toc297216187"/>
      <w:bookmarkStart w:id="758" w:name="_Toc297123528"/>
      <w:bookmarkStart w:id="759" w:name="_Toc297120468"/>
      <w:bookmarkStart w:id="760" w:name="_Toc312678020"/>
      <w:bookmarkStart w:id="761" w:name="_Toc303539137"/>
      <w:bookmarkStart w:id="762" w:name="_Toc296890996"/>
      <w:bookmarkStart w:id="763" w:name="_Toc296944507"/>
      <w:bookmarkStart w:id="764" w:name="_Toc296346669"/>
      <w:bookmarkStart w:id="765" w:name="_Toc296347167"/>
      <w:bookmarkStart w:id="766" w:name="_Toc300934980"/>
      <w:bookmarkStart w:id="767" w:name="_Toc304295557"/>
      <w:r>
        <w:rPr>
          <w:rFonts w:hint="eastAsia" w:ascii="宋体" w:hAnsi="宋体" w:eastAsia="宋体" w:cs="宋体"/>
          <w:sz w:val="24"/>
          <w:szCs w:val="24"/>
        </w:rPr>
        <w:t>.4.1发包人供应的材料设备的保管费用的承担：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无</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750"/>
      <w:bookmarkEnd w:id="751"/>
    </w:p>
    <w:p w14:paraId="0B73CC32">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8.6 样品</w:t>
      </w:r>
    </w:p>
    <w:p w14:paraId="6FA384BC">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14:paraId="07B0A3BB">
      <w:pPr>
        <w:autoSpaceDE w:val="0"/>
        <w:autoSpaceDN w:val="0"/>
        <w:adjustRightInd w:val="0"/>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需要承包人报送样品的材料或工程设备，样品的种类、名称、规格、数量要求：</w:t>
      </w:r>
      <w:r>
        <w:rPr>
          <w:rFonts w:hint="eastAsia" w:ascii="宋体" w:hAnsi="宋体" w:eastAsia="宋体" w:cs="宋体"/>
          <w:sz w:val="24"/>
          <w:szCs w:val="24"/>
          <w:u w:val="single"/>
        </w:rPr>
        <w:t xml:space="preserve">  根据行政主管部门要求报送  </w:t>
      </w:r>
      <w:r>
        <w:rPr>
          <w:rFonts w:hint="eastAsia" w:ascii="宋体" w:hAnsi="宋体" w:eastAsia="宋体" w:cs="宋体"/>
          <w:sz w:val="24"/>
          <w:szCs w:val="24"/>
        </w:rPr>
        <w:t>。</w:t>
      </w:r>
    </w:p>
    <w:p w14:paraId="6AE8CBD9">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8.8 施工设备和临时设施</w:t>
      </w:r>
    </w:p>
    <w:p w14:paraId="046758F5">
      <w:pPr>
        <w:autoSpaceDE w:val="0"/>
        <w:autoSpaceDN w:val="0"/>
        <w:adjustRightInd w:val="0"/>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14:paraId="15FE56A4">
      <w:pPr>
        <w:autoSpaceDE w:val="0"/>
        <w:autoSpaceDN w:val="0"/>
        <w:adjustRightInd w:val="0"/>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发包人提供的施工设备和临时设施：</w:t>
      </w:r>
      <w:r>
        <w:rPr>
          <w:rFonts w:hint="eastAsia" w:ascii="宋体" w:hAnsi="宋体" w:eastAsia="宋体" w:cs="宋体"/>
          <w:color w:val="auto"/>
          <w:sz w:val="24"/>
          <w:szCs w:val="24"/>
          <w:u w:val="single"/>
          <w:lang w:bidi="ar"/>
        </w:rPr>
        <w:t xml:space="preserve">   无    </w:t>
      </w:r>
      <w:r>
        <w:rPr>
          <w:rFonts w:hint="eastAsia" w:ascii="宋体" w:hAnsi="宋体" w:eastAsia="宋体" w:cs="宋体"/>
          <w:color w:val="auto"/>
          <w:sz w:val="24"/>
          <w:szCs w:val="24"/>
          <w:lang w:bidi="ar"/>
        </w:rPr>
        <w:t>。</w:t>
      </w:r>
    </w:p>
    <w:p w14:paraId="61A80EDD">
      <w:pPr>
        <w:autoSpaceDE w:val="0"/>
        <w:autoSpaceDN w:val="0"/>
        <w:adjustRightInd w:val="0"/>
        <w:spacing w:line="460" w:lineRule="exact"/>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发包人提供的施工设备和临时设施的运行、维护、拆除、清运费用的承担人：</w:t>
      </w:r>
      <w:r>
        <w:rPr>
          <w:rFonts w:hint="eastAsia" w:ascii="宋体" w:hAnsi="宋体" w:eastAsia="宋体" w:cs="宋体"/>
          <w:color w:val="auto"/>
          <w:sz w:val="24"/>
          <w:szCs w:val="24"/>
          <w:u w:val="single"/>
          <w:lang w:bidi="ar"/>
        </w:rPr>
        <w:t xml:space="preserve">   无   </w:t>
      </w:r>
      <w:r>
        <w:rPr>
          <w:rFonts w:hint="eastAsia" w:ascii="宋体" w:hAnsi="宋体" w:eastAsia="宋体" w:cs="宋体"/>
          <w:color w:val="auto"/>
          <w:sz w:val="24"/>
          <w:szCs w:val="24"/>
          <w:lang w:bidi="ar"/>
        </w:rPr>
        <w:t>。</w:t>
      </w:r>
    </w:p>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14:paraId="18E10C76">
      <w:pPr>
        <w:pStyle w:val="5"/>
        <w:spacing w:before="120" w:after="120" w:line="460" w:lineRule="exact"/>
        <w:rPr>
          <w:rFonts w:hint="eastAsia" w:ascii="宋体" w:hAnsi="宋体" w:eastAsia="宋体" w:cs="宋体"/>
          <w:b w:val="0"/>
          <w:color w:val="000000"/>
          <w:sz w:val="24"/>
          <w:szCs w:val="24"/>
        </w:rPr>
      </w:pPr>
      <w:bookmarkStart w:id="768" w:name="_Toc351203641"/>
      <w:r>
        <w:rPr>
          <w:rFonts w:hint="eastAsia" w:ascii="宋体" w:hAnsi="宋体" w:eastAsia="宋体" w:cs="宋体"/>
          <w:b w:val="0"/>
          <w:color w:val="000000"/>
          <w:sz w:val="24"/>
          <w:szCs w:val="24"/>
        </w:rPr>
        <w:t>9</w:t>
      </w:r>
      <w:bookmarkEnd w:id="747"/>
      <w:bookmarkEnd w:id="748"/>
      <w:bookmarkEnd w:id="749"/>
      <w:bookmarkStart w:id="769" w:name="_Toc303539139"/>
      <w:bookmarkStart w:id="770" w:name="_Toc312677495"/>
      <w:bookmarkStart w:id="771" w:name="_Toc312678021"/>
      <w:bookmarkStart w:id="772" w:name="_Toc297123533"/>
      <w:bookmarkStart w:id="773" w:name="_Toc297216192"/>
      <w:bookmarkStart w:id="774" w:name="_Toc300934982"/>
      <w:bookmarkStart w:id="775" w:name="_Toc304295559"/>
      <w:bookmarkStart w:id="776" w:name="_Toc267251427"/>
      <w:bookmarkStart w:id="777" w:name="_Toc292559883"/>
      <w:bookmarkStart w:id="778" w:name="_Toc296346674"/>
      <w:bookmarkStart w:id="779" w:name="_Toc296503173"/>
      <w:bookmarkStart w:id="780" w:name="_Toc296891001"/>
      <w:bookmarkStart w:id="781" w:name="_Toc296891213"/>
      <w:bookmarkStart w:id="782" w:name="_Toc297048359"/>
      <w:bookmarkStart w:id="783" w:name="_Toc296347172"/>
      <w:bookmarkStart w:id="784" w:name="_Toc296944512"/>
      <w:bookmarkStart w:id="785" w:name="_Toc297120473"/>
      <w:bookmarkStart w:id="786" w:name="_Toc267251428"/>
      <w:bookmarkStart w:id="787" w:name="_Toc292559378"/>
      <w:r>
        <w:rPr>
          <w:rFonts w:hint="eastAsia" w:ascii="宋体" w:hAnsi="宋体" w:eastAsia="宋体" w:cs="宋体"/>
          <w:b w:val="0"/>
          <w:color w:val="000000"/>
          <w:sz w:val="24"/>
          <w:szCs w:val="24"/>
        </w:rPr>
        <w:t>. 试验与检验</w:t>
      </w:r>
      <w:bookmarkEnd w:id="768"/>
    </w:p>
    <w:bookmarkEnd w:id="769"/>
    <w:bookmarkEnd w:id="770"/>
    <w:bookmarkEnd w:id="771"/>
    <w:bookmarkEnd w:id="772"/>
    <w:bookmarkEnd w:id="773"/>
    <w:bookmarkEnd w:id="774"/>
    <w:bookmarkEnd w:id="775"/>
    <w:p w14:paraId="02540DB5">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788" w:name="_Toc312678022"/>
      <w:bookmarkStart w:id="789" w:name="_Toc304295560"/>
      <w:bookmarkStart w:id="790" w:name="_Toc303539140"/>
      <w:bookmarkStart w:id="791" w:name="_Toc300934983"/>
      <w:bookmarkStart w:id="792" w:name="_Toc297216193"/>
      <w:bookmarkStart w:id="793" w:name="_Toc312677496"/>
      <w:bookmarkStart w:id="794" w:name="_Toc297123534"/>
      <w:r>
        <w:rPr>
          <w:rFonts w:hint="eastAsia" w:ascii="宋体" w:hAnsi="宋体" w:eastAsia="宋体" w:cs="宋体"/>
          <w:color w:val="000000"/>
          <w:sz w:val="24"/>
          <w:szCs w:val="24"/>
        </w:rPr>
        <w:t>.1试验设备与试验人员</w:t>
      </w:r>
    </w:p>
    <w:bookmarkEnd w:id="788"/>
    <w:bookmarkEnd w:id="789"/>
    <w:bookmarkEnd w:id="790"/>
    <w:bookmarkEnd w:id="791"/>
    <w:bookmarkEnd w:id="792"/>
    <w:bookmarkEnd w:id="793"/>
    <w:bookmarkEnd w:id="794"/>
    <w:p w14:paraId="1BF41798">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9</w:t>
      </w:r>
      <w:bookmarkStart w:id="795" w:name="_Toc303539141"/>
      <w:bookmarkStart w:id="796" w:name="_Toc300934984"/>
      <w:bookmarkStart w:id="797" w:name="_Toc304295561"/>
      <w:bookmarkStart w:id="798" w:name="_Toc312677497"/>
      <w:bookmarkStart w:id="799" w:name="_Toc297123535"/>
      <w:bookmarkStart w:id="800" w:name="_Toc297216194"/>
      <w:bookmarkStart w:id="801" w:name="_Toc312678023"/>
      <w:bookmarkStart w:id="802" w:name="_Toc318581174"/>
      <w:r>
        <w:rPr>
          <w:rFonts w:hint="eastAsia" w:ascii="宋体" w:hAnsi="宋体" w:eastAsia="宋体" w:cs="宋体"/>
          <w:sz w:val="24"/>
          <w:szCs w:val="24"/>
        </w:rPr>
        <w:t>.1.2 试验设备</w:t>
      </w:r>
    </w:p>
    <w:p w14:paraId="505680A4">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施工现场需要配置的试验场所：</w:t>
      </w:r>
      <w:bookmarkEnd w:id="795"/>
      <w:bookmarkEnd w:id="796"/>
      <w:bookmarkEnd w:id="797"/>
      <w:bookmarkEnd w:id="798"/>
      <w:bookmarkEnd w:id="799"/>
      <w:bookmarkEnd w:id="800"/>
      <w:bookmarkEnd w:id="801"/>
      <w:bookmarkStart w:id="803" w:name="_Toc312677498"/>
      <w:bookmarkStart w:id="804" w:name="_Toc303539142"/>
      <w:bookmarkStart w:id="805" w:name="_Toc297123536"/>
      <w:bookmarkStart w:id="806" w:name="_Toc300934985"/>
      <w:bookmarkStart w:id="807" w:name="_Toc304295562"/>
      <w:bookmarkStart w:id="808" w:name="_Toc297216195"/>
      <w:bookmarkStart w:id="809" w:name="_Toc312678024"/>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14:paraId="43649B2D">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1D3E6F1D">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42D07AF3">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9.4 现场工艺试验 </w:t>
      </w:r>
    </w:p>
    <w:p w14:paraId="61894A49">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bookmarkEnd w:id="802"/>
    <w:bookmarkEnd w:id="803"/>
    <w:bookmarkEnd w:id="804"/>
    <w:bookmarkEnd w:id="805"/>
    <w:bookmarkEnd w:id="806"/>
    <w:bookmarkEnd w:id="807"/>
    <w:bookmarkEnd w:id="808"/>
    <w:bookmarkEnd w:id="809"/>
    <w:p w14:paraId="78F8D4F3">
      <w:pPr>
        <w:pStyle w:val="5"/>
        <w:spacing w:before="120" w:after="120" w:line="460" w:lineRule="exact"/>
        <w:rPr>
          <w:rFonts w:hint="eastAsia" w:ascii="宋体" w:hAnsi="宋体" w:eastAsia="宋体" w:cs="宋体"/>
          <w:b w:val="0"/>
          <w:color w:val="000000"/>
          <w:sz w:val="24"/>
          <w:szCs w:val="24"/>
        </w:rPr>
      </w:pPr>
      <w:bookmarkStart w:id="810" w:name="_Toc351203642"/>
      <w:r>
        <w:rPr>
          <w:rFonts w:hint="eastAsia" w:ascii="宋体" w:hAnsi="宋体" w:eastAsia="宋体" w:cs="宋体"/>
          <w:b w:val="0"/>
          <w:color w:val="000000"/>
          <w:sz w:val="24"/>
          <w:szCs w:val="24"/>
        </w:rPr>
        <w:t>1</w:t>
      </w:r>
      <w:bookmarkEnd w:id="776"/>
      <w:bookmarkEnd w:id="777"/>
      <w:bookmarkEnd w:id="778"/>
      <w:bookmarkEnd w:id="779"/>
      <w:bookmarkEnd w:id="780"/>
      <w:bookmarkEnd w:id="781"/>
      <w:bookmarkEnd w:id="782"/>
      <w:bookmarkEnd w:id="783"/>
      <w:bookmarkEnd w:id="784"/>
      <w:bookmarkEnd w:id="785"/>
      <w:bookmarkEnd w:id="786"/>
      <w:bookmarkEnd w:id="787"/>
      <w:bookmarkStart w:id="811" w:name="_Toc296891233"/>
      <w:bookmarkStart w:id="812" w:name="_Toc297123540"/>
      <w:bookmarkStart w:id="813" w:name="_Toc296347192"/>
      <w:bookmarkStart w:id="814" w:name="_Toc292559903"/>
      <w:bookmarkStart w:id="815" w:name="_Toc296944532"/>
      <w:bookmarkStart w:id="816" w:name="_Toc296346694"/>
      <w:bookmarkStart w:id="817" w:name="_Toc303539146"/>
      <w:bookmarkStart w:id="818" w:name="_Toc297048379"/>
      <w:bookmarkStart w:id="819" w:name="_Toc292559398"/>
      <w:bookmarkStart w:id="820" w:name="_Toc304295566"/>
      <w:bookmarkStart w:id="821" w:name="_Toc297120493"/>
      <w:bookmarkStart w:id="822" w:name="_Toc297216199"/>
      <w:bookmarkStart w:id="823" w:name="_Toc296503193"/>
      <w:bookmarkStart w:id="824" w:name="_Toc300934989"/>
      <w:bookmarkStart w:id="825" w:name="_Toc296891021"/>
      <w:bookmarkStart w:id="826" w:name="_Toc312677499"/>
      <w:bookmarkStart w:id="827" w:name="_Toc312678025"/>
      <w:bookmarkStart w:id="828" w:name="_Toc267251439"/>
      <w:bookmarkStart w:id="829" w:name="_Toc267251441"/>
      <w:bookmarkStart w:id="830" w:name="_Toc267251435"/>
      <w:bookmarkStart w:id="831" w:name="_Toc267251437"/>
      <w:bookmarkStart w:id="832" w:name="_Toc267251433"/>
      <w:bookmarkStart w:id="833" w:name="_Toc267251440"/>
      <w:bookmarkStart w:id="834" w:name="_Toc267251442"/>
      <w:r>
        <w:rPr>
          <w:rFonts w:hint="eastAsia" w:ascii="宋体" w:hAnsi="宋体" w:eastAsia="宋体" w:cs="宋体"/>
          <w:b w:val="0"/>
          <w:color w:val="000000"/>
          <w:sz w:val="24"/>
          <w:szCs w:val="24"/>
        </w:rPr>
        <w:t>0. 变更</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bookmarkEnd w:id="826"/>
    <w:bookmarkEnd w:id="827"/>
    <w:p w14:paraId="6610595F">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835" w:name="_Toc304295567"/>
      <w:bookmarkStart w:id="836" w:name="_Toc297120494"/>
      <w:bookmarkStart w:id="837" w:name="_Toc296347193"/>
      <w:bookmarkStart w:id="838" w:name="_Toc297123541"/>
      <w:bookmarkStart w:id="839" w:name="_Toc300934990"/>
      <w:bookmarkStart w:id="840" w:name="_Toc297048380"/>
      <w:bookmarkStart w:id="841" w:name="_Toc303539147"/>
      <w:bookmarkStart w:id="842" w:name="_Toc296503194"/>
      <w:bookmarkStart w:id="843" w:name="_Toc296944533"/>
      <w:bookmarkStart w:id="844" w:name="_Toc312677500"/>
      <w:bookmarkStart w:id="845" w:name="_Toc297216200"/>
      <w:bookmarkStart w:id="846" w:name="_Toc292559904"/>
      <w:bookmarkStart w:id="847" w:name="_Toc296891022"/>
      <w:bookmarkStart w:id="848" w:name="_Toc296891234"/>
      <w:bookmarkStart w:id="849" w:name="_Toc292559399"/>
      <w:bookmarkStart w:id="850" w:name="_Toc312678026"/>
      <w:bookmarkStart w:id="851" w:name="_Toc296346695"/>
      <w:r>
        <w:rPr>
          <w:rFonts w:hint="eastAsia" w:ascii="宋体" w:hAnsi="宋体" w:eastAsia="宋体" w:cs="宋体"/>
          <w:color w:val="000000"/>
          <w:sz w:val="24"/>
          <w:szCs w:val="24"/>
        </w:rPr>
        <w:t>0.1变更的范围</w:t>
      </w:r>
    </w:p>
    <w:p w14:paraId="2B4913CD">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关于变更的范围的约定：</w:t>
      </w:r>
    </w:p>
    <w:p w14:paraId="28B47873">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w:t>
      </w:r>
      <w:r>
        <w:rPr>
          <w:rFonts w:hint="eastAsia" w:ascii="宋体" w:hAnsi="宋体" w:eastAsia="宋体" w:cs="宋体"/>
          <w:sz w:val="24"/>
          <w:szCs w:val="24"/>
          <w:u w:val="single"/>
        </w:rPr>
        <w:t>1）增加或减少合同中任何工作，或追加额外的工作</w:t>
      </w:r>
      <w:r>
        <w:rPr>
          <w:rFonts w:hint="eastAsia" w:ascii="宋体" w:hAnsi="宋体" w:eastAsia="宋体" w:cs="宋体"/>
          <w:sz w:val="24"/>
          <w:szCs w:val="24"/>
        </w:rPr>
        <w:t>；</w:t>
      </w:r>
    </w:p>
    <w:p w14:paraId="51865E58">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（2）取消合同中任何工作，但转由他人实施的工作除外</w:t>
      </w:r>
      <w:r>
        <w:rPr>
          <w:rFonts w:hint="eastAsia" w:ascii="宋体" w:hAnsi="宋体" w:eastAsia="宋体" w:cs="宋体"/>
          <w:sz w:val="24"/>
          <w:szCs w:val="24"/>
        </w:rPr>
        <w:t>；</w:t>
      </w:r>
    </w:p>
    <w:p w14:paraId="079B6E97">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（3）改变合同中任何工作的质量标准或其他特性</w:t>
      </w:r>
      <w:r>
        <w:rPr>
          <w:rFonts w:hint="eastAsia" w:ascii="宋体" w:hAnsi="宋体" w:eastAsia="宋体" w:cs="宋体"/>
          <w:sz w:val="24"/>
          <w:szCs w:val="24"/>
        </w:rPr>
        <w:t>；</w:t>
      </w:r>
    </w:p>
    <w:p w14:paraId="058DDAD8">
      <w:pPr>
        <w:autoSpaceDE w:val="0"/>
        <w:autoSpaceDN w:val="0"/>
        <w:adjustRightIn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（4）改变工程的基线、标高、位置和尺寸</w:t>
      </w:r>
      <w:r>
        <w:rPr>
          <w:rFonts w:hint="eastAsia" w:ascii="宋体" w:hAnsi="宋体" w:eastAsia="宋体" w:cs="宋体"/>
          <w:sz w:val="24"/>
          <w:szCs w:val="24"/>
        </w:rPr>
        <w:t>；</w:t>
      </w:r>
    </w:p>
    <w:p w14:paraId="4F0FB87F">
      <w:pPr>
        <w:autoSpaceDE w:val="0"/>
        <w:autoSpaceDN w:val="0"/>
        <w:adjustRightInd w:val="0"/>
        <w:spacing w:line="460" w:lineRule="exact"/>
        <w:ind w:firstLine="480" w:firstLineChars="200"/>
        <w:rPr>
          <w:rFonts w:hint="eastAsia" w:ascii="宋体" w:hAnsi="宋体" w:eastAsia="宋体" w:cs="宋体"/>
          <w:b/>
          <w:sz w:val="24"/>
          <w:szCs w:val="24"/>
        </w:rPr>
      </w:pPr>
      <w:r>
        <w:rPr>
          <w:rFonts w:hint="eastAsia" w:ascii="宋体" w:hAnsi="宋体" w:eastAsia="宋体" w:cs="宋体"/>
          <w:sz w:val="24"/>
          <w:szCs w:val="24"/>
          <w:u w:val="single"/>
        </w:rPr>
        <w:t xml:space="preserve">（5）改变工程的时间安排或实施顺序    </w:t>
      </w:r>
      <w:r>
        <w:rPr>
          <w:rFonts w:hint="eastAsia" w:ascii="宋体" w:hAnsi="宋体" w:eastAsia="宋体" w:cs="宋体"/>
          <w:sz w:val="24"/>
          <w:szCs w:val="24"/>
        </w:rPr>
        <w:t>。</w:t>
      </w:r>
    </w:p>
    <w:p w14:paraId="3F1164A6">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10.4 变更估价</w:t>
      </w:r>
    </w:p>
    <w:p w14:paraId="40C79E3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10.4.1 变更估价原则</w:t>
      </w:r>
    </w:p>
    <w:p w14:paraId="228D8EAE">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关于变更估价的约定: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30"/>
          <w:szCs w:val="24"/>
          <w:u w:val="single"/>
          <w:lang w:val="en-US" w:eastAsia="zh-CN"/>
        </w:rPr>
        <w:t>/</w:t>
      </w:r>
      <w:r>
        <w:rPr>
          <w:rFonts w:hint="eastAsia" w:ascii="宋体" w:hAnsi="宋体" w:eastAsia="宋体" w:cs="宋体"/>
          <w:sz w:val="24"/>
          <w:szCs w:val="24"/>
        </w:rPr>
        <w:t>。</w:t>
      </w:r>
    </w:p>
    <w:p w14:paraId="050D3205">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Start w:id="852" w:name="_Toc296347196"/>
      <w:bookmarkStart w:id="853" w:name="_Toc296891025"/>
      <w:bookmarkStart w:id="854" w:name="_Toc296891237"/>
      <w:bookmarkStart w:id="855" w:name="_Toc292559907"/>
      <w:bookmarkStart w:id="856" w:name="_Toc297123544"/>
      <w:bookmarkStart w:id="857" w:name="_Toc303539150"/>
      <w:bookmarkStart w:id="858" w:name="_Toc296346698"/>
      <w:bookmarkStart w:id="859" w:name="_Toc300934993"/>
      <w:bookmarkStart w:id="860" w:name="_Toc296944536"/>
      <w:bookmarkStart w:id="861" w:name="_Toc297120497"/>
      <w:bookmarkStart w:id="862" w:name="_Toc292559402"/>
      <w:bookmarkStart w:id="863" w:name="_Toc297216203"/>
      <w:bookmarkStart w:id="864" w:name="_Toc297048383"/>
      <w:bookmarkStart w:id="865" w:name="_Toc296503197"/>
      <w:bookmarkStart w:id="866" w:name="_Toc312677503"/>
      <w:bookmarkStart w:id="867" w:name="_Toc312678029"/>
      <w:bookmarkStart w:id="868" w:name="_Toc304295570"/>
      <w:r>
        <w:rPr>
          <w:rFonts w:hint="eastAsia" w:ascii="宋体" w:hAnsi="宋体" w:eastAsia="宋体" w:cs="宋体"/>
          <w:color w:val="000000"/>
          <w:sz w:val="24"/>
          <w:szCs w:val="24"/>
        </w:rPr>
        <w:t>0.5承</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Start w:id="869" w:name="_Toc296891031"/>
      <w:bookmarkStart w:id="870" w:name="_Toc296891243"/>
      <w:bookmarkStart w:id="871" w:name="_Toc297120503"/>
      <w:bookmarkStart w:id="872" w:name="_Toc296944542"/>
      <w:bookmarkStart w:id="873" w:name="_Toc297123545"/>
      <w:bookmarkStart w:id="874" w:name="_Toc292559913"/>
      <w:bookmarkStart w:id="875" w:name="_Toc292559408"/>
      <w:bookmarkStart w:id="876" w:name="_Toc297048389"/>
      <w:bookmarkStart w:id="877" w:name="_Toc297216204"/>
      <w:bookmarkStart w:id="878" w:name="_Toc303539151"/>
      <w:bookmarkStart w:id="879" w:name="_Toc296346704"/>
      <w:bookmarkStart w:id="880" w:name="_Toc296503203"/>
      <w:bookmarkStart w:id="881" w:name="_Toc300934994"/>
      <w:bookmarkStart w:id="882" w:name="_Toc296347202"/>
      <w:r>
        <w:rPr>
          <w:rFonts w:hint="eastAsia" w:ascii="宋体" w:hAnsi="宋体" w:eastAsia="宋体" w:cs="宋体"/>
          <w:color w:val="000000"/>
          <w:sz w:val="24"/>
          <w:szCs w:val="24"/>
        </w:rPr>
        <w:t>包人的合理化建议</w:t>
      </w:r>
    </w:p>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14:paraId="343DB034">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7F9A8BF">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B14509B">
      <w:pPr>
        <w:spacing w:line="46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承</w:t>
      </w:r>
      <w:bookmarkStart w:id="883" w:name="_Toc318581175"/>
      <w:bookmarkStart w:id="884" w:name="_Toc297216205"/>
      <w:bookmarkStart w:id="885" w:name="_Toc304295571"/>
      <w:bookmarkStart w:id="886" w:name="_Toc296891032"/>
      <w:bookmarkStart w:id="887" w:name="_Toc296346705"/>
      <w:bookmarkStart w:id="888" w:name="_Toc296503204"/>
      <w:bookmarkStart w:id="889" w:name="_Toc312677504"/>
      <w:bookmarkStart w:id="890" w:name="_Toc303539152"/>
      <w:bookmarkStart w:id="891" w:name="_Toc297120504"/>
      <w:bookmarkStart w:id="892" w:name="_Toc297048390"/>
      <w:bookmarkStart w:id="893" w:name="_Toc292559914"/>
      <w:bookmarkStart w:id="894" w:name="_Toc312678030"/>
      <w:bookmarkStart w:id="895" w:name="_Toc300934995"/>
      <w:bookmarkStart w:id="896" w:name="_Toc296891244"/>
      <w:bookmarkStart w:id="897" w:name="_Toc296347203"/>
      <w:bookmarkStart w:id="898" w:name="_Toc292559409"/>
      <w:bookmarkStart w:id="899" w:name="_Toc297123546"/>
      <w:bookmarkStart w:id="900" w:name="_Toc296944543"/>
      <w:r>
        <w:rPr>
          <w:rFonts w:hint="eastAsia" w:ascii="宋体" w:hAnsi="宋体" w:eastAsia="宋体" w:cs="宋体"/>
          <w:sz w:val="24"/>
          <w:szCs w:val="24"/>
        </w:rPr>
        <w:t>包人提出的合理化建议降低了合同价格或者提高了工程经济效益的奖励的方法和金额为：</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14:paraId="585970E3">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901" w:name="_Toc296891239"/>
      <w:bookmarkStart w:id="902" w:name="_Toc297216207"/>
      <w:bookmarkStart w:id="903" w:name="_Toc296503199"/>
      <w:bookmarkStart w:id="904" w:name="_Toc296347198"/>
      <w:bookmarkStart w:id="905" w:name="_Toc304295574"/>
      <w:bookmarkStart w:id="906" w:name="_Toc297120499"/>
      <w:bookmarkStart w:id="907" w:name="_Toc312678033"/>
      <w:bookmarkStart w:id="908" w:name="_Toc296944538"/>
      <w:bookmarkStart w:id="909" w:name="_Toc300934997"/>
      <w:bookmarkStart w:id="910" w:name="_Toc312677507"/>
      <w:bookmarkStart w:id="911" w:name="_Toc297048385"/>
      <w:bookmarkStart w:id="912" w:name="_Toc296346700"/>
      <w:bookmarkStart w:id="913" w:name="_Toc297123548"/>
      <w:bookmarkStart w:id="914" w:name="_Toc296891027"/>
      <w:bookmarkStart w:id="915" w:name="_Toc292559404"/>
      <w:bookmarkStart w:id="916" w:name="_Toc292559909"/>
      <w:bookmarkStart w:id="917" w:name="_Toc303539154"/>
      <w:r>
        <w:rPr>
          <w:rFonts w:hint="eastAsia" w:ascii="宋体" w:hAnsi="宋体" w:eastAsia="宋体" w:cs="宋体"/>
          <w:color w:val="000000"/>
          <w:sz w:val="24"/>
          <w:szCs w:val="24"/>
        </w:rPr>
        <w:t>0.7 暂估价</w:t>
      </w:r>
    </w:p>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14:paraId="57078449">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暂</w:t>
      </w:r>
      <w:bookmarkStart w:id="918" w:name="_Toc312677508"/>
      <w:bookmarkStart w:id="919" w:name="_Toc312678034"/>
      <w:bookmarkStart w:id="920" w:name="_Toc318581176"/>
      <w:r>
        <w:rPr>
          <w:rFonts w:hint="eastAsia" w:ascii="宋体" w:hAnsi="宋体" w:eastAsia="宋体" w:cs="宋体"/>
          <w:kern w:val="0"/>
          <w:sz w:val="24"/>
          <w:szCs w:val="24"/>
        </w:rPr>
        <w:t>估价材料和工程设备的明细详见附件11：《</w:t>
      </w:r>
      <w:r>
        <w:rPr>
          <w:rFonts w:hint="eastAsia" w:ascii="宋体" w:hAnsi="宋体" w:eastAsia="宋体" w:cs="宋体"/>
          <w:color w:val="000000"/>
          <w:sz w:val="24"/>
          <w:szCs w:val="24"/>
        </w:rPr>
        <w:t>暂估价一览表》</w:t>
      </w:r>
      <w:r>
        <w:rPr>
          <w:rFonts w:hint="eastAsia" w:ascii="宋体" w:hAnsi="宋体" w:eastAsia="宋体" w:cs="宋体"/>
          <w:kern w:val="0"/>
          <w:sz w:val="24"/>
          <w:szCs w:val="24"/>
        </w:rPr>
        <w:t>。</w:t>
      </w:r>
    </w:p>
    <w:bookmarkEnd w:id="918"/>
    <w:bookmarkEnd w:id="919"/>
    <w:bookmarkEnd w:id="920"/>
    <w:p w14:paraId="7F13F18A">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bookmarkStart w:id="921" w:name="_Toc312677509"/>
      <w:bookmarkStart w:id="922" w:name="_Toc318581177"/>
      <w:bookmarkStart w:id="923" w:name="_Toc312678035"/>
      <w:r>
        <w:rPr>
          <w:rFonts w:hint="eastAsia" w:ascii="宋体" w:hAnsi="宋体" w:eastAsia="宋体" w:cs="宋体"/>
          <w:sz w:val="24"/>
          <w:szCs w:val="24"/>
        </w:rPr>
        <w:t>0.7.1 依法必须招标的暂估价项目</w:t>
      </w:r>
    </w:p>
    <w:bookmarkEnd w:id="921"/>
    <w:bookmarkEnd w:id="922"/>
    <w:bookmarkEnd w:id="923"/>
    <w:p w14:paraId="6382C347">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对于依法必须招标的暂估价项目的确认和批准采取第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种方式确定。</w:t>
      </w:r>
    </w:p>
    <w:p w14:paraId="430E5EA2">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不属于依法必须招标的暂估价项目</w:t>
      </w:r>
    </w:p>
    <w:p w14:paraId="1DA04F7A">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对于不属于依法必须招标的暂估价项目的确认和批准采取第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种方式确定。</w:t>
      </w:r>
    </w:p>
    <w:p w14:paraId="55F0AF94">
      <w:pPr>
        <w:spacing w:line="46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第3种方式：</w:t>
      </w:r>
      <w:r>
        <w:rPr>
          <w:rFonts w:hint="eastAsia" w:ascii="宋体" w:hAnsi="宋体" w:eastAsia="宋体" w:cs="宋体"/>
          <w:color w:val="auto"/>
          <w:kern w:val="0"/>
          <w:sz w:val="24"/>
          <w:szCs w:val="24"/>
        </w:rPr>
        <w:t>承包人直接实施的暂估价项目</w:t>
      </w:r>
    </w:p>
    <w:p w14:paraId="6B62D09D">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 暂估价项目的定价程序：①先由承包人把所需要定价的设备（或材料）的调查价格报给发包人（并报监理单位、造价管理站等相关部门）；②由发包人汇同相关部门核查相关的设备（或材料）的价格；③相关的设备（或材料）价格的签证（由发包人、承包人、监理单位会同相关部门共同签证） </w:t>
      </w:r>
      <w:r>
        <w:rPr>
          <w:rFonts w:hint="eastAsia" w:ascii="宋体" w:hAnsi="宋体" w:eastAsia="宋体" w:cs="宋体"/>
          <w:color w:val="auto"/>
          <w:sz w:val="24"/>
          <w:szCs w:val="24"/>
        </w:rPr>
        <w:t>。</w:t>
      </w:r>
    </w:p>
    <w:p w14:paraId="650D613D">
      <w:pPr>
        <w:spacing w:after="120"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10.8 暂列金额</w:t>
      </w:r>
    </w:p>
    <w:p w14:paraId="6911DB5A">
      <w:pPr>
        <w:autoSpaceDE w:val="0"/>
        <w:autoSpaceDN w:val="0"/>
        <w:adjustRightInd w:val="0"/>
        <w:spacing w:line="46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合同当事人关于暂列金额使用的约定：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kern w:val="0"/>
          <w:sz w:val="24"/>
          <w:szCs w:val="24"/>
        </w:rPr>
        <w:t>。</w:t>
      </w:r>
    </w:p>
    <w:p w14:paraId="36E4E52F">
      <w:pPr>
        <w:pStyle w:val="5"/>
        <w:spacing w:before="120" w:after="120" w:line="460" w:lineRule="exact"/>
        <w:rPr>
          <w:rFonts w:hint="eastAsia" w:ascii="宋体" w:hAnsi="宋体" w:eastAsia="宋体" w:cs="宋体"/>
          <w:b w:val="0"/>
          <w:color w:val="000000"/>
          <w:sz w:val="24"/>
          <w:szCs w:val="24"/>
        </w:rPr>
      </w:pPr>
      <w:bookmarkStart w:id="924" w:name="_Toc351203643"/>
      <w:r>
        <w:rPr>
          <w:rFonts w:hint="eastAsia" w:ascii="宋体" w:hAnsi="宋体" w:eastAsia="宋体" w:cs="宋体"/>
          <w:b w:val="0"/>
          <w:color w:val="000000"/>
          <w:sz w:val="24"/>
          <w:szCs w:val="24"/>
        </w:rPr>
        <w:t>11. 价格调整</w:t>
      </w:r>
      <w:bookmarkEnd w:id="924"/>
    </w:p>
    <w:p w14:paraId="352B909B">
      <w:pPr>
        <w:spacing w:after="120" w:line="460" w:lineRule="exact"/>
        <w:ind w:firstLine="480" w:firstLineChars="200"/>
        <w:rPr>
          <w:rFonts w:hint="eastAsia" w:ascii="宋体" w:hAnsi="宋体" w:eastAsia="宋体" w:cs="宋体"/>
          <w:color w:val="000000"/>
          <w:sz w:val="24"/>
          <w:szCs w:val="24"/>
        </w:rPr>
      </w:pPr>
      <w:bookmarkStart w:id="925" w:name="_Toc296891029"/>
      <w:bookmarkStart w:id="926" w:name="_Toc296503201"/>
      <w:bookmarkStart w:id="927" w:name="_Toc304295577"/>
      <w:bookmarkStart w:id="928" w:name="_Toc292559406"/>
      <w:bookmarkStart w:id="929" w:name="_Toc303539157"/>
      <w:bookmarkStart w:id="930" w:name="_Toc296891241"/>
      <w:bookmarkStart w:id="931" w:name="_Toc297048387"/>
      <w:bookmarkStart w:id="932" w:name="_Toc300935000"/>
      <w:bookmarkStart w:id="933" w:name="_Toc296347200"/>
      <w:bookmarkStart w:id="934" w:name="_Toc297216209"/>
      <w:bookmarkStart w:id="935" w:name="_Toc296944540"/>
      <w:bookmarkStart w:id="936" w:name="_Toc312678039"/>
      <w:bookmarkStart w:id="937" w:name="_Toc297123550"/>
      <w:bookmarkStart w:id="938" w:name="_Toc296346702"/>
      <w:bookmarkStart w:id="939" w:name="_Toc297120501"/>
      <w:bookmarkStart w:id="940" w:name="_Toc292559911"/>
      <w:r>
        <w:rPr>
          <w:rFonts w:hint="eastAsia" w:ascii="宋体" w:hAnsi="宋体" w:eastAsia="宋体" w:cs="宋体"/>
          <w:color w:val="000000"/>
          <w:sz w:val="24"/>
          <w:szCs w:val="24"/>
        </w:rPr>
        <w:t>11.1 市场价格波动引起的调整</w:t>
      </w:r>
    </w:p>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14:paraId="1DE8FF84">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市场价格波动是否调整合同价格的约定：</w:t>
      </w:r>
      <w:r>
        <w:rPr>
          <w:rFonts w:hint="eastAsia" w:ascii="宋体" w:hAnsi="宋体" w:eastAsia="宋体" w:cs="宋体"/>
          <w:sz w:val="24"/>
          <w:szCs w:val="24"/>
          <w:u w:val="single"/>
        </w:rPr>
        <w:t xml:space="preserve">  否  </w:t>
      </w:r>
      <w:r>
        <w:rPr>
          <w:rFonts w:hint="eastAsia" w:ascii="宋体" w:hAnsi="宋体" w:eastAsia="宋体" w:cs="宋体"/>
          <w:sz w:val="24"/>
          <w:szCs w:val="24"/>
        </w:rPr>
        <w:t>。</w:t>
      </w:r>
    </w:p>
    <w:p w14:paraId="09D86B38">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种方式对合同价格进行调整：</w:t>
      </w:r>
    </w:p>
    <w:p w14:paraId="3464EC51">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14:paraId="56280BCF">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关于各可调因子、定值和变值权重，以及基本价格指数及其来源的约定：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14:paraId="4841CDF3">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14:paraId="780EC8FC">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（1）关于基准价格的约定：</w:t>
      </w:r>
      <w:r>
        <w:rPr>
          <w:rFonts w:hint="eastAsia" w:ascii="宋体" w:hAnsi="宋体" w:eastAsia="宋体" w:cs="宋体"/>
          <w:sz w:val="24"/>
          <w:szCs w:val="24"/>
          <w:u w:val="single"/>
        </w:rPr>
        <w:t xml:space="preserve"> 主要材料信息价参考202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年第</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期《钦州市建设工程造价信息》浦北价，没有的材料信息价则参考浦北或钦州市场调查价 </w:t>
      </w:r>
      <w:r>
        <w:rPr>
          <w:rFonts w:hint="eastAsia" w:ascii="宋体" w:hAnsi="宋体" w:eastAsia="宋体" w:cs="宋体"/>
          <w:sz w:val="24"/>
          <w:szCs w:val="24"/>
        </w:rPr>
        <w:t>。</w:t>
      </w:r>
    </w:p>
    <w:p w14:paraId="5FC9E7C9">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%时，或材料单价跌幅以已标价工程量清单或预算书中载明材料单价为基础超过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%时，其超过部分据实调整。</w:t>
      </w:r>
    </w:p>
    <w:p w14:paraId="771FE6E7">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%时，材料单价涨幅以已标价工程量清单或预算书中载明材料单价为基础超过</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%时，其超过部分据实调整。</w:t>
      </w:r>
    </w:p>
    <w:p w14:paraId="6F7A7497">
      <w:pPr>
        <w:spacing w:line="460" w:lineRule="exact"/>
        <w:ind w:firstLine="645"/>
        <w:jc w:val="left"/>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u w:val="single"/>
        </w:rPr>
        <w:t xml:space="preserve">±5  </w:t>
      </w:r>
      <w:r>
        <w:rPr>
          <w:rFonts w:hint="eastAsia" w:ascii="宋体" w:hAnsi="宋体" w:eastAsia="宋体" w:cs="宋体"/>
          <w:color w:val="000000"/>
          <w:sz w:val="24"/>
          <w:szCs w:val="24"/>
        </w:rPr>
        <w:t>%时，其超过部分据实调整。</w:t>
      </w:r>
    </w:p>
    <w:p w14:paraId="6484EF95">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第3种方式：其他价格调整方式：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bookmarkEnd w:id="828"/>
    <w:bookmarkEnd w:id="829"/>
    <w:bookmarkEnd w:id="830"/>
    <w:bookmarkEnd w:id="831"/>
    <w:bookmarkEnd w:id="832"/>
    <w:bookmarkEnd w:id="833"/>
    <w:p w14:paraId="4A2289FD">
      <w:pPr>
        <w:pStyle w:val="5"/>
        <w:spacing w:before="120" w:after="120" w:line="460" w:lineRule="exact"/>
        <w:rPr>
          <w:rFonts w:hint="eastAsia" w:ascii="宋体" w:hAnsi="宋体" w:eastAsia="宋体" w:cs="宋体"/>
          <w:b w:val="0"/>
          <w:color w:val="000000"/>
          <w:sz w:val="24"/>
          <w:szCs w:val="24"/>
        </w:rPr>
      </w:pPr>
      <w:bookmarkStart w:id="941" w:name="_Toc296347204"/>
      <w:bookmarkStart w:id="942" w:name="_Toc296346706"/>
      <w:bookmarkStart w:id="943" w:name="_Toc296891245"/>
      <w:bookmarkStart w:id="944" w:name="_Toc297120505"/>
      <w:bookmarkStart w:id="945" w:name="_Toc296503205"/>
      <w:bookmarkStart w:id="946" w:name="_Toc296944544"/>
      <w:bookmarkStart w:id="947" w:name="_Toc292559915"/>
      <w:bookmarkStart w:id="948" w:name="_Toc296891033"/>
      <w:bookmarkStart w:id="949" w:name="_Toc292559410"/>
      <w:bookmarkStart w:id="950" w:name="_Toc297048391"/>
      <w:bookmarkStart w:id="951" w:name="_Toc351203644"/>
      <w:bookmarkStart w:id="952" w:name="_Toc297216211"/>
      <w:bookmarkStart w:id="953" w:name="_Toc304295579"/>
      <w:bookmarkStart w:id="954" w:name="_Toc312678040"/>
      <w:bookmarkStart w:id="955" w:name="_Toc297123552"/>
      <w:bookmarkStart w:id="956" w:name="_Toc303539159"/>
      <w:bookmarkStart w:id="957" w:name="_Toc300935002"/>
      <w:r>
        <w:rPr>
          <w:rFonts w:hint="eastAsia" w:ascii="宋体" w:hAnsi="宋体" w:eastAsia="宋体" w:cs="宋体"/>
          <w:b w:val="0"/>
          <w:color w:val="000000"/>
          <w:sz w:val="24"/>
          <w:szCs w:val="24"/>
        </w:rPr>
        <w:t xml:space="preserve">12. </w:t>
      </w:r>
      <w:bookmarkEnd w:id="941"/>
      <w:bookmarkEnd w:id="942"/>
      <w:bookmarkEnd w:id="943"/>
      <w:bookmarkEnd w:id="944"/>
      <w:bookmarkEnd w:id="945"/>
      <w:bookmarkEnd w:id="946"/>
      <w:bookmarkEnd w:id="947"/>
      <w:bookmarkEnd w:id="948"/>
      <w:bookmarkEnd w:id="949"/>
      <w:bookmarkEnd w:id="950"/>
      <w:r>
        <w:rPr>
          <w:rFonts w:hint="eastAsia" w:ascii="宋体" w:hAnsi="宋体" w:eastAsia="宋体" w:cs="宋体"/>
          <w:b w:val="0"/>
          <w:color w:val="000000"/>
          <w:sz w:val="24"/>
          <w:szCs w:val="24"/>
        </w:rPr>
        <w:t>合同价格、计量与支付</w:t>
      </w:r>
      <w:bookmarkEnd w:id="951"/>
    </w:p>
    <w:bookmarkEnd w:id="952"/>
    <w:bookmarkEnd w:id="953"/>
    <w:bookmarkEnd w:id="954"/>
    <w:bookmarkEnd w:id="955"/>
    <w:bookmarkEnd w:id="956"/>
    <w:bookmarkEnd w:id="957"/>
    <w:p w14:paraId="7C94CEEC">
      <w:pPr>
        <w:spacing w:after="120" w:line="460" w:lineRule="exact"/>
        <w:ind w:firstLine="480" w:firstLineChars="200"/>
        <w:rPr>
          <w:rFonts w:hint="eastAsia" w:ascii="宋体" w:hAnsi="宋体" w:eastAsia="宋体" w:cs="宋体"/>
          <w:color w:val="000000"/>
          <w:sz w:val="24"/>
          <w:szCs w:val="24"/>
        </w:rPr>
      </w:pPr>
      <w:bookmarkStart w:id="958" w:name="_Toc292559411"/>
      <w:bookmarkStart w:id="959" w:name="_Toc267251461"/>
      <w:bookmarkStart w:id="960" w:name="_Toc292559916"/>
      <w:bookmarkStart w:id="961" w:name="_Toc297120506"/>
      <w:bookmarkStart w:id="962" w:name="_Toc296944545"/>
      <w:bookmarkStart w:id="963" w:name="_Toc296347205"/>
      <w:bookmarkStart w:id="964" w:name="_Toc296346707"/>
      <w:bookmarkStart w:id="965" w:name="_Toc296891034"/>
      <w:bookmarkStart w:id="966" w:name="_Toc297048392"/>
      <w:bookmarkStart w:id="967" w:name="_Toc296891246"/>
      <w:bookmarkStart w:id="968" w:name="_Toc296503206"/>
      <w:bookmarkStart w:id="969" w:name="_Toc312678041"/>
      <w:bookmarkStart w:id="970" w:name="_Toc304295580"/>
      <w:bookmarkStart w:id="971" w:name="_Toc303539160"/>
      <w:bookmarkStart w:id="972" w:name="_Toc297216212"/>
      <w:bookmarkStart w:id="973" w:name="_Toc300935003"/>
      <w:bookmarkStart w:id="974" w:name="_Toc297123553"/>
      <w:r>
        <w:rPr>
          <w:rFonts w:hint="eastAsia" w:ascii="宋体" w:hAnsi="宋体" w:eastAsia="宋体" w:cs="宋体"/>
          <w:color w:val="000000"/>
          <w:sz w:val="24"/>
          <w:szCs w:val="24"/>
        </w:rPr>
        <w:t>12.1 合</w:t>
      </w:r>
      <w:bookmarkEnd w:id="958"/>
      <w:bookmarkEnd w:id="959"/>
      <w:bookmarkEnd w:id="960"/>
      <w:r>
        <w:rPr>
          <w:rFonts w:hint="eastAsia" w:ascii="宋体" w:hAnsi="宋体" w:eastAsia="宋体" w:cs="宋体"/>
          <w:color w:val="000000"/>
          <w:sz w:val="24"/>
          <w:szCs w:val="24"/>
        </w:rPr>
        <w:t>同价</w:t>
      </w:r>
      <w:bookmarkEnd w:id="961"/>
      <w:bookmarkEnd w:id="962"/>
      <w:bookmarkEnd w:id="963"/>
      <w:bookmarkEnd w:id="964"/>
      <w:bookmarkEnd w:id="965"/>
      <w:bookmarkEnd w:id="966"/>
      <w:bookmarkEnd w:id="967"/>
      <w:bookmarkEnd w:id="968"/>
      <w:r>
        <w:rPr>
          <w:rFonts w:hint="eastAsia" w:ascii="宋体" w:hAnsi="宋体" w:eastAsia="宋体" w:cs="宋体"/>
          <w:color w:val="000000"/>
          <w:sz w:val="24"/>
          <w:szCs w:val="24"/>
        </w:rPr>
        <w:t>格形式</w:t>
      </w:r>
    </w:p>
    <w:bookmarkEnd w:id="969"/>
    <w:bookmarkEnd w:id="970"/>
    <w:bookmarkEnd w:id="971"/>
    <w:bookmarkEnd w:id="972"/>
    <w:bookmarkEnd w:id="973"/>
    <w:bookmarkEnd w:id="974"/>
    <w:p w14:paraId="4953C09B">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1、单价合同。</w:t>
      </w:r>
    </w:p>
    <w:p w14:paraId="3B36BE09">
      <w:pPr>
        <w:spacing w:line="460" w:lineRule="exact"/>
        <w:ind w:firstLine="480" w:firstLineChars="200"/>
        <w:jc w:val="left"/>
        <w:rPr>
          <w:rFonts w:hint="eastAsia" w:ascii="宋体" w:hAnsi="宋体" w:eastAsia="宋体" w:cs="宋体"/>
          <w:sz w:val="24"/>
        </w:rPr>
      </w:pPr>
      <w:r>
        <w:rPr>
          <w:rFonts w:hint="eastAsia" w:ascii="宋体" w:hAnsi="宋体" w:eastAsia="宋体" w:cs="宋体"/>
          <w:sz w:val="24"/>
          <w:szCs w:val="24"/>
        </w:rPr>
        <w:t>本合同价款采用</w:t>
      </w:r>
      <w:r>
        <w:rPr>
          <w:rFonts w:hint="eastAsia" w:ascii="宋体" w:hAnsi="宋体" w:eastAsia="宋体" w:cs="宋体"/>
          <w:bCs/>
          <w:sz w:val="24"/>
          <w:szCs w:val="24"/>
          <w:u w:val="single"/>
        </w:rPr>
        <w:t>固定综合单价</w:t>
      </w:r>
      <w:r>
        <w:rPr>
          <w:rFonts w:hint="eastAsia" w:ascii="宋体" w:hAnsi="宋体" w:eastAsia="宋体" w:cs="宋体"/>
          <w:sz w:val="24"/>
          <w:szCs w:val="24"/>
        </w:rPr>
        <w:t>方式确定。</w:t>
      </w:r>
    </w:p>
    <w:p w14:paraId="44A1D193">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综合单价包含的风险范围：</w:t>
      </w:r>
      <w:r>
        <w:rPr>
          <w:rFonts w:hint="eastAsia" w:ascii="宋体" w:hAnsi="宋体" w:eastAsia="宋体" w:cs="宋体"/>
          <w:color w:val="000000"/>
          <w:sz w:val="24"/>
          <w:szCs w:val="24"/>
          <w:u w:val="single"/>
        </w:rPr>
        <w:t xml:space="preserve">  按通用条款12.1条来执行  </w:t>
      </w:r>
      <w:r>
        <w:rPr>
          <w:rFonts w:hint="eastAsia" w:ascii="宋体" w:hAnsi="宋体" w:eastAsia="宋体" w:cs="宋体"/>
          <w:color w:val="000000"/>
          <w:sz w:val="24"/>
          <w:szCs w:val="24"/>
        </w:rPr>
        <w:t>。</w:t>
      </w:r>
    </w:p>
    <w:p w14:paraId="46B99D4A">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按专用条款11.1条执行        </w:t>
      </w:r>
      <w:r>
        <w:rPr>
          <w:rFonts w:hint="eastAsia" w:ascii="宋体" w:hAnsi="宋体" w:eastAsia="宋体" w:cs="宋体"/>
          <w:color w:val="000000"/>
          <w:sz w:val="24"/>
          <w:szCs w:val="24"/>
        </w:rPr>
        <w:t>。</w:t>
      </w:r>
    </w:p>
    <w:p w14:paraId="306255EC">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按专用条款11.1条执行  </w:t>
      </w:r>
      <w:r>
        <w:rPr>
          <w:rFonts w:hint="eastAsia" w:ascii="宋体" w:hAnsi="宋体" w:eastAsia="宋体" w:cs="宋体"/>
          <w:color w:val="000000"/>
          <w:sz w:val="24"/>
          <w:szCs w:val="24"/>
        </w:rPr>
        <w:t>。</w:t>
      </w:r>
    </w:p>
    <w:p w14:paraId="3EC0EFC4">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2、总价合同。</w:t>
      </w:r>
    </w:p>
    <w:p w14:paraId="56B952D4">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总价包含的风险范围：</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0EB3E3A8">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079BC09F">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10714010">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3、其他价格方式：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6617A658">
      <w:pPr>
        <w:spacing w:after="120" w:line="460" w:lineRule="exact"/>
        <w:ind w:firstLine="480" w:firstLineChars="200"/>
        <w:rPr>
          <w:rFonts w:hint="eastAsia" w:ascii="宋体" w:hAnsi="宋体" w:eastAsia="宋体" w:cs="宋体"/>
          <w:color w:val="000000"/>
          <w:sz w:val="24"/>
          <w:szCs w:val="24"/>
        </w:rPr>
      </w:pPr>
      <w:bookmarkStart w:id="975" w:name="_Toc300935004"/>
      <w:bookmarkStart w:id="976" w:name="_Toc304295581"/>
      <w:bookmarkStart w:id="977" w:name="_Toc297123554"/>
      <w:bookmarkStart w:id="978" w:name="_Toc303539161"/>
      <w:bookmarkStart w:id="979" w:name="_Toc297216213"/>
      <w:bookmarkStart w:id="980" w:name="_Toc312678042"/>
      <w:bookmarkStart w:id="981" w:name="_Toc296346708"/>
      <w:bookmarkStart w:id="982" w:name="_Toc297120507"/>
      <w:bookmarkStart w:id="983" w:name="_Toc297048393"/>
      <w:bookmarkStart w:id="984" w:name="_Toc292559917"/>
      <w:bookmarkStart w:id="985" w:name="_Toc296891247"/>
      <w:bookmarkStart w:id="986" w:name="_Toc292559412"/>
      <w:bookmarkStart w:id="987" w:name="_Toc296503207"/>
      <w:bookmarkStart w:id="988" w:name="_Toc296347206"/>
      <w:bookmarkStart w:id="989" w:name="_Toc296891035"/>
      <w:bookmarkStart w:id="990" w:name="_Toc296944546"/>
      <w:r>
        <w:rPr>
          <w:rFonts w:hint="eastAsia" w:ascii="宋体" w:hAnsi="宋体" w:eastAsia="宋体" w:cs="宋体"/>
          <w:color w:val="000000"/>
          <w:sz w:val="24"/>
          <w:szCs w:val="24"/>
        </w:rPr>
        <w:t>12.2 预付款</w:t>
      </w:r>
    </w:p>
    <w:bookmarkEnd w:id="975"/>
    <w:bookmarkEnd w:id="976"/>
    <w:bookmarkEnd w:id="977"/>
    <w:bookmarkEnd w:id="978"/>
    <w:bookmarkEnd w:id="979"/>
    <w:bookmarkEnd w:id="980"/>
    <w:p w14:paraId="10305119">
      <w:pPr>
        <w:pageBreakBefore w:val="0"/>
        <w:widowControl w:val="0"/>
        <w:shd w:val="clear" w:color="auto" w:fill="auto"/>
        <w:kinsoku/>
        <w:wordWrap/>
        <w:overflowPunct/>
        <w:topLinePunct w:val="0"/>
        <w:autoSpaceDE/>
        <w:autoSpaceDN/>
        <w:bidi w:val="0"/>
        <w:spacing w:line="380" w:lineRule="exact"/>
        <w:ind w:firstLine="480" w:firstLineChars="200"/>
        <w:jc w:val="left"/>
        <w:textAlignment w:val="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rPr>
        <w:t>12.2.1 预付款的支付</w:t>
      </w:r>
    </w:p>
    <w:p w14:paraId="6E2F1B73">
      <w:pPr>
        <w:pStyle w:val="10"/>
        <w:spacing w:line="460" w:lineRule="exact"/>
        <w:ind w:right="63"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rPr>
        <w:t>预付款支付比例或金额：</w:t>
      </w:r>
      <w:r>
        <w:rPr>
          <w:rFonts w:hint="eastAsia" w:ascii="宋体" w:hAnsi="宋体" w:eastAsia="宋体" w:cs="宋体"/>
          <w:spacing w:val="-2"/>
          <w:sz w:val="24"/>
          <w:szCs w:val="24"/>
          <w:u w:val="single"/>
          <w:lang w:eastAsia="zh-CN"/>
        </w:rPr>
        <w:t>无</w:t>
      </w:r>
      <w:r>
        <w:rPr>
          <w:rFonts w:hint="eastAsia" w:ascii="宋体" w:hAnsi="宋体" w:eastAsia="宋体" w:cs="宋体"/>
          <w:spacing w:val="-10"/>
          <w:sz w:val="24"/>
          <w:szCs w:val="24"/>
        </w:rPr>
        <w:t>。</w:t>
      </w:r>
    </w:p>
    <w:p w14:paraId="63808BFE">
      <w:pPr>
        <w:pStyle w:val="10"/>
        <w:spacing w:before="24" w:line="460" w:lineRule="exact"/>
        <w:ind w:left="63" w:right="63"/>
        <w:jc w:val="left"/>
        <w:rPr>
          <w:rFonts w:hint="eastAsia" w:ascii="宋体" w:hAnsi="宋体" w:eastAsia="宋体" w:cs="宋体"/>
          <w:sz w:val="24"/>
          <w:szCs w:val="24"/>
        </w:rPr>
      </w:pPr>
      <w:r>
        <w:rPr>
          <w:rFonts w:hint="eastAsia" w:ascii="宋体" w:hAnsi="宋体" w:eastAsia="宋体" w:cs="宋体"/>
          <w:spacing w:val="-2"/>
          <w:sz w:val="24"/>
          <w:szCs w:val="24"/>
          <w:lang w:eastAsia="zh-CN"/>
        </w:rPr>
        <w:t xml:space="preserve">    </w:t>
      </w:r>
      <w:r>
        <w:rPr>
          <w:rFonts w:hint="eastAsia" w:ascii="宋体" w:hAnsi="宋体" w:eastAsia="宋体" w:cs="宋体"/>
          <w:spacing w:val="-2"/>
          <w:sz w:val="24"/>
          <w:szCs w:val="24"/>
        </w:rPr>
        <w:t>预付款支付期限：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highlight w:val="none"/>
          <w:u w:val="single"/>
          <w:lang w:val="en-US" w:eastAsia="zh-CN"/>
        </w:rPr>
        <w:t>/</w:t>
      </w:r>
      <w:r>
        <w:rPr>
          <w:rFonts w:hint="eastAsia" w:ascii="宋体" w:hAnsi="宋体" w:eastAsia="宋体" w:cs="宋体"/>
          <w:spacing w:val="-3"/>
          <w:sz w:val="24"/>
          <w:szCs w:val="24"/>
          <w:u w:val="single"/>
        </w:rPr>
        <w:t>。</w:t>
      </w:r>
    </w:p>
    <w:p w14:paraId="1C3C2C55">
      <w:pPr>
        <w:pStyle w:val="10"/>
        <w:spacing w:line="460" w:lineRule="exact"/>
        <w:ind w:left="63" w:right="63" w:firstLine="480" w:firstLineChars="200"/>
        <w:jc w:val="both"/>
        <w:rPr>
          <w:rFonts w:hint="eastAsia" w:ascii="宋体" w:hAnsi="宋体" w:eastAsia="宋体" w:cs="宋体"/>
          <w:sz w:val="24"/>
          <w:szCs w:val="24"/>
        </w:rPr>
      </w:pPr>
      <w:r>
        <w:rPr>
          <w:rFonts w:hint="eastAsia" w:ascii="宋体" w:hAnsi="宋体" w:eastAsia="宋体" w:cs="宋体"/>
          <w:sz w:val="24"/>
          <w:szCs w:val="24"/>
        </w:rPr>
        <w:t>预付款扣回的方式：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highlight w:val="none"/>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spacing w:val="-1"/>
          <w:sz w:val="24"/>
          <w:szCs w:val="24"/>
          <w:u w:val="single"/>
        </w:rPr>
        <w:t>。</w:t>
      </w:r>
    </w:p>
    <w:p w14:paraId="1098884B">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14:paraId="4D11B551">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2D9897DE">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bookmarkEnd w:id="981"/>
    <w:bookmarkEnd w:id="982"/>
    <w:bookmarkEnd w:id="983"/>
    <w:bookmarkEnd w:id="984"/>
    <w:bookmarkEnd w:id="985"/>
    <w:bookmarkEnd w:id="986"/>
    <w:bookmarkEnd w:id="987"/>
    <w:bookmarkEnd w:id="988"/>
    <w:bookmarkEnd w:id="989"/>
    <w:bookmarkEnd w:id="990"/>
    <w:p w14:paraId="3D934D44">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14:paraId="059C92AB">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14:paraId="38261213">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r>
        <w:rPr>
          <w:rFonts w:hint="eastAsia" w:ascii="宋体" w:hAnsi="宋体" w:eastAsia="宋体" w:cs="宋体"/>
          <w:color w:val="000000"/>
          <w:sz w:val="24"/>
          <w:szCs w:val="24"/>
          <w:u w:val="single"/>
        </w:rPr>
        <w:t xml:space="preserve">  按每月实际完成工程量计算，签证及变更均计入每月实际完成工程量  </w:t>
      </w:r>
      <w:r>
        <w:rPr>
          <w:rFonts w:hint="eastAsia" w:ascii="宋体" w:hAnsi="宋体" w:eastAsia="宋体" w:cs="宋体"/>
          <w:color w:val="000000"/>
          <w:sz w:val="24"/>
          <w:szCs w:val="24"/>
        </w:rPr>
        <w:t>。</w:t>
      </w:r>
    </w:p>
    <w:p w14:paraId="066A18C8">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14:paraId="7100CA49">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w:t>
      </w:r>
      <w:r>
        <w:rPr>
          <w:rFonts w:hint="eastAsia" w:ascii="宋体" w:hAnsi="宋体" w:eastAsia="宋体" w:cs="宋体"/>
          <w:spacing w:val="-17"/>
          <w:sz w:val="24"/>
          <w:szCs w:val="24"/>
          <w:u w:val="single"/>
        </w:rPr>
        <w:t xml:space="preserve">每月 </w:t>
      </w:r>
      <w:r>
        <w:rPr>
          <w:rFonts w:hint="eastAsia" w:ascii="宋体" w:hAnsi="宋体" w:eastAsia="宋体" w:cs="宋体"/>
          <w:sz w:val="24"/>
          <w:szCs w:val="24"/>
          <w:u w:val="single"/>
        </w:rPr>
        <w:t>25</w:t>
      </w:r>
      <w:r>
        <w:rPr>
          <w:rFonts w:hint="eastAsia" w:ascii="宋体" w:hAnsi="宋体" w:eastAsia="宋体" w:cs="宋体"/>
          <w:spacing w:val="-16"/>
          <w:sz w:val="24"/>
          <w:szCs w:val="24"/>
          <w:u w:val="single"/>
        </w:rPr>
        <w:t xml:space="preserve"> 日前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EDF8E26">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14:paraId="3B6377A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按每月实际完成工程量计算，签证及变更均计入每月实际完成工程量  </w:t>
      </w:r>
      <w:r>
        <w:rPr>
          <w:rFonts w:hint="eastAsia" w:ascii="宋体" w:hAnsi="宋体" w:eastAsia="宋体" w:cs="宋体"/>
          <w:color w:val="000000"/>
          <w:sz w:val="24"/>
          <w:szCs w:val="24"/>
        </w:rPr>
        <w:t>。</w:t>
      </w:r>
    </w:p>
    <w:p w14:paraId="628A34B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14:paraId="4C41B4F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07464A5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w:t>
      </w:r>
      <w:r>
        <w:rPr>
          <w:rFonts w:hint="eastAsia" w:ascii="宋体" w:hAnsi="宋体" w:eastAsia="宋体" w:cs="宋体"/>
          <w:color w:val="000000"/>
          <w:kern w:val="0"/>
          <w:sz w:val="24"/>
          <w:szCs w:val="24"/>
        </w:rPr>
        <w:t xml:space="preserve">12.3.4 </w:t>
      </w:r>
      <w:r>
        <w:rPr>
          <w:rFonts w:hint="eastAsia" w:ascii="宋体" w:hAnsi="宋体" w:eastAsia="宋体" w:cs="宋体"/>
          <w:color w:val="000000"/>
          <w:sz w:val="24"/>
          <w:szCs w:val="24"/>
        </w:rPr>
        <w:t>项</w:t>
      </w:r>
      <w:r>
        <w:rPr>
          <w:rFonts w:hint="eastAsia" w:ascii="宋体" w:hAnsi="宋体" w:eastAsia="宋体" w:cs="宋体"/>
          <w:color w:val="000000"/>
          <w:kern w:val="0"/>
          <w:sz w:val="24"/>
          <w:szCs w:val="24"/>
        </w:rPr>
        <w:t>〔总价合同的计量〕</w:t>
      </w:r>
      <w:r>
        <w:rPr>
          <w:rFonts w:hint="eastAsia" w:ascii="宋体" w:hAnsi="宋体" w:eastAsia="宋体" w:cs="宋体"/>
          <w:color w:val="000000"/>
          <w:sz w:val="24"/>
          <w:szCs w:val="24"/>
        </w:rPr>
        <w:t>约定进行计量：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27C5956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14:paraId="7817BB7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其他价格形式的计量方式和程序：</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089E5AF1">
      <w:pPr>
        <w:keepNext w:val="0"/>
        <w:keepLines w:val="0"/>
        <w:pageBreakBefore w:val="0"/>
        <w:widowControl w:val="0"/>
        <w:kinsoku/>
        <w:wordWrap/>
        <w:overflowPunct/>
        <w:topLinePunct w:val="0"/>
        <w:autoSpaceDE/>
        <w:autoSpaceDN/>
        <w:bidi w:val="0"/>
        <w:adjustRightInd/>
        <w:snapToGrid/>
        <w:spacing w:after="120"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 工程进度款支付</w:t>
      </w:r>
    </w:p>
    <w:p w14:paraId="07E7DEB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12.4.1 付款周期</w:t>
      </w:r>
    </w:p>
    <w:p w14:paraId="1E93BE0F">
      <w:pPr>
        <w:keepNext w:val="0"/>
        <w:keepLines w:val="0"/>
        <w:pageBreakBefore w:val="0"/>
        <w:widowControl w:val="0"/>
        <w:kinsoku/>
        <w:wordWrap/>
        <w:overflowPunct/>
        <w:topLinePunct w:val="0"/>
        <w:autoSpaceDE/>
        <w:autoSpaceDN/>
        <w:bidi w:val="0"/>
        <w:adjustRightInd/>
        <w:snapToGrid/>
        <w:spacing w:after="120" w:line="48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bidi="ar"/>
        </w:rPr>
        <w:t>关于付款周期的约定：</w:t>
      </w:r>
      <w:r>
        <w:rPr>
          <w:rFonts w:hint="eastAsia" w:asciiTheme="minorEastAsia" w:hAnsiTheme="minorEastAsia" w:eastAsiaTheme="minorEastAsia" w:cstheme="minorEastAsia"/>
          <w:b w:val="0"/>
          <w:bCs w:val="0"/>
          <w:color w:val="auto"/>
          <w:spacing w:val="0"/>
          <w:sz w:val="24"/>
          <w:szCs w:val="24"/>
          <w:highlight w:val="none"/>
          <w:u w:val="single"/>
        </w:rPr>
        <w:t>①</w:t>
      </w:r>
      <w:r>
        <w:rPr>
          <w:rFonts w:hint="eastAsia" w:asciiTheme="minorEastAsia" w:hAnsiTheme="minorEastAsia" w:eastAsiaTheme="minorEastAsia" w:cstheme="minorEastAsia"/>
          <w:b w:val="0"/>
          <w:bCs w:val="0"/>
          <w:color w:val="auto"/>
          <w:spacing w:val="0"/>
          <w:sz w:val="24"/>
          <w:szCs w:val="24"/>
          <w:highlight w:val="none"/>
          <w:u w:val="single"/>
          <w:lang w:eastAsia="zh-CN"/>
        </w:rPr>
        <w:t>发包方将工程款</w:t>
      </w:r>
      <w:r>
        <w:rPr>
          <w:rFonts w:hint="eastAsia" w:asciiTheme="minorEastAsia" w:hAnsiTheme="minorEastAsia" w:eastAsiaTheme="minorEastAsia" w:cstheme="minorEastAsia"/>
          <w:color w:val="auto"/>
          <w:sz w:val="24"/>
          <w:szCs w:val="24"/>
          <w:highlight w:val="none"/>
          <w:u w:val="single"/>
        </w:rPr>
        <w:t>以转帐方式支付给承包方</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b w:val="0"/>
          <w:bCs w:val="0"/>
          <w:color w:val="auto"/>
          <w:spacing w:val="0"/>
          <w:sz w:val="24"/>
          <w:szCs w:val="24"/>
          <w:highlight w:val="none"/>
          <w:u w:val="single"/>
        </w:rPr>
        <w:t>②</w:t>
      </w:r>
      <w:r>
        <w:rPr>
          <w:rFonts w:hint="eastAsia" w:asciiTheme="minorEastAsia" w:hAnsiTheme="minorEastAsia" w:eastAsiaTheme="minorEastAsia" w:cstheme="minorEastAsia"/>
          <w:b w:val="0"/>
          <w:bCs/>
          <w:color w:val="auto"/>
          <w:sz w:val="24"/>
          <w:szCs w:val="24"/>
          <w:highlight w:val="none"/>
          <w:u w:val="single"/>
        </w:rPr>
        <w:t>每期支付金额不超过工程进度款的90%，在竣工验收结算审</w:t>
      </w:r>
      <w:r>
        <w:rPr>
          <w:rFonts w:hint="eastAsia" w:asciiTheme="minorEastAsia" w:hAnsiTheme="minorEastAsia" w:eastAsiaTheme="minorEastAsia" w:cstheme="minorEastAsia"/>
          <w:b w:val="0"/>
          <w:bCs/>
          <w:color w:val="auto"/>
          <w:sz w:val="24"/>
          <w:szCs w:val="24"/>
          <w:highlight w:val="none"/>
          <w:u w:val="single"/>
          <w:lang w:eastAsia="zh-CN"/>
        </w:rPr>
        <w:t>核</w:t>
      </w:r>
      <w:r>
        <w:rPr>
          <w:rFonts w:hint="eastAsia" w:asciiTheme="minorEastAsia" w:hAnsiTheme="minorEastAsia" w:eastAsiaTheme="minorEastAsia" w:cstheme="minorEastAsia"/>
          <w:b w:val="0"/>
          <w:bCs/>
          <w:color w:val="auto"/>
          <w:sz w:val="24"/>
          <w:szCs w:val="24"/>
          <w:highlight w:val="none"/>
          <w:u w:val="single"/>
        </w:rPr>
        <w:t>前，支付工程款总额不得超过合同金额的90%</w:t>
      </w:r>
      <w:r>
        <w:rPr>
          <w:rFonts w:hint="eastAsia" w:asciiTheme="minorEastAsia" w:hAnsiTheme="minorEastAsia" w:eastAsiaTheme="minorEastAsia" w:cstheme="minorEastAsia"/>
          <w:b w:val="0"/>
          <w:bCs/>
          <w:color w:val="auto"/>
          <w:sz w:val="24"/>
          <w:szCs w:val="24"/>
          <w:highlight w:val="none"/>
          <w:u w:val="single"/>
          <w:lang w:eastAsia="zh-CN"/>
        </w:rPr>
        <w:t>（若合同价高于财政拨款指标，则不超过财政拨款指标的</w:t>
      </w:r>
      <w:r>
        <w:rPr>
          <w:rFonts w:hint="eastAsia" w:asciiTheme="minorEastAsia" w:hAnsiTheme="minorEastAsia" w:eastAsiaTheme="minorEastAsia" w:cstheme="minorEastAsia"/>
          <w:b w:val="0"/>
          <w:bCs/>
          <w:color w:val="auto"/>
          <w:sz w:val="24"/>
          <w:szCs w:val="24"/>
          <w:highlight w:val="none"/>
          <w:u w:val="single"/>
          <w:lang w:val="en-US" w:eastAsia="zh-CN"/>
        </w:rPr>
        <w:t>90%</w:t>
      </w:r>
      <w:r>
        <w:rPr>
          <w:rFonts w:hint="eastAsia" w:asciiTheme="minorEastAsia" w:hAnsiTheme="minorEastAsia" w:eastAsiaTheme="minorEastAsia" w:cstheme="minorEastAsia"/>
          <w:b w:val="0"/>
          <w:bCs/>
          <w:color w:val="auto"/>
          <w:sz w:val="24"/>
          <w:szCs w:val="24"/>
          <w:highlight w:val="none"/>
          <w:u w:val="single"/>
          <w:lang w:eastAsia="zh-CN"/>
        </w:rPr>
        <w:t>）；③</w:t>
      </w:r>
      <w:r>
        <w:rPr>
          <w:rFonts w:hint="eastAsia" w:asciiTheme="minorEastAsia" w:hAnsiTheme="minorEastAsia" w:eastAsiaTheme="minorEastAsia" w:cstheme="minorEastAsia"/>
          <w:b w:val="0"/>
          <w:bCs/>
          <w:color w:val="auto"/>
          <w:sz w:val="24"/>
          <w:szCs w:val="24"/>
          <w:highlight w:val="none"/>
          <w:u w:val="single"/>
        </w:rPr>
        <w:t>竣工</w:t>
      </w:r>
      <w:r>
        <w:rPr>
          <w:rFonts w:hint="eastAsia" w:asciiTheme="minorEastAsia" w:hAnsiTheme="minorEastAsia" w:eastAsiaTheme="minorEastAsia" w:cstheme="minorEastAsia"/>
          <w:b w:val="0"/>
          <w:bCs/>
          <w:color w:val="auto"/>
          <w:sz w:val="24"/>
          <w:szCs w:val="24"/>
          <w:highlight w:val="none"/>
          <w:u w:val="single"/>
          <w:lang w:eastAsia="zh-CN"/>
        </w:rPr>
        <w:t>验收</w:t>
      </w:r>
      <w:r>
        <w:rPr>
          <w:rFonts w:hint="eastAsia" w:asciiTheme="minorEastAsia" w:hAnsiTheme="minorEastAsia" w:eastAsiaTheme="minorEastAsia" w:cstheme="minorEastAsia"/>
          <w:b w:val="0"/>
          <w:bCs/>
          <w:color w:val="auto"/>
          <w:sz w:val="24"/>
          <w:szCs w:val="24"/>
          <w:highlight w:val="none"/>
          <w:u w:val="single"/>
        </w:rPr>
        <w:t>结算</w:t>
      </w:r>
      <w:r>
        <w:rPr>
          <w:rFonts w:hint="eastAsia" w:asciiTheme="minorEastAsia" w:hAnsiTheme="minorEastAsia" w:eastAsiaTheme="minorEastAsia" w:cstheme="minorEastAsia"/>
          <w:b w:val="0"/>
          <w:bCs/>
          <w:color w:val="auto"/>
          <w:sz w:val="24"/>
          <w:szCs w:val="24"/>
          <w:highlight w:val="none"/>
          <w:u w:val="single"/>
          <w:lang w:eastAsia="zh-CN"/>
        </w:rPr>
        <w:t>审核</w:t>
      </w:r>
      <w:r>
        <w:rPr>
          <w:rFonts w:hint="eastAsia" w:asciiTheme="minorEastAsia" w:hAnsiTheme="minorEastAsia" w:eastAsiaTheme="minorEastAsia" w:cstheme="minorEastAsia"/>
          <w:b w:val="0"/>
          <w:bCs/>
          <w:color w:val="auto"/>
          <w:sz w:val="24"/>
          <w:szCs w:val="24"/>
          <w:highlight w:val="none"/>
          <w:u w:val="single"/>
        </w:rPr>
        <w:t>后，</w:t>
      </w:r>
      <w:r>
        <w:rPr>
          <w:rFonts w:hint="eastAsia" w:asciiTheme="minorEastAsia" w:hAnsiTheme="minorEastAsia" w:eastAsiaTheme="minorEastAsia" w:cstheme="minorEastAsia"/>
          <w:color w:val="auto"/>
          <w:sz w:val="24"/>
          <w:szCs w:val="24"/>
          <w:highlight w:val="none"/>
          <w:u w:val="single"/>
          <w:lang w:val="en-US" w:eastAsia="zh-CN"/>
        </w:rPr>
        <w:t>支付至审核结算金额100%。</w:t>
      </w:r>
    </w:p>
    <w:p w14:paraId="3869DA0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bookmarkStart w:id="991" w:name="_Toc300935006"/>
      <w:bookmarkStart w:id="992" w:name="_Toc296891251"/>
      <w:bookmarkStart w:id="993" w:name="_Toc296891039"/>
      <w:bookmarkStart w:id="994" w:name="_Toc297216215"/>
      <w:bookmarkStart w:id="995" w:name="_Toc296503211"/>
      <w:bookmarkStart w:id="996" w:name="_Toc297123556"/>
      <w:bookmarkStart w:id="997" w:name="_Toc292559416"/>
      <w:bookmarkStart w:id="998" w:name="_Toc296944550"/>
      <w:bookmarkStart w:id="999" w:name="_Toc296346712"/>
      <w:bookmarkStart w:id="1000" w:name="_Toc292559921"/>
      <w:bookmarkStart w:id="1001" w:name="_Toc297048397"/>
      <w:bookmarkStart w:id="1002" w:name="_Toc297120511"/>
      <w:bookmarkStart w:id="1003" w:name="_Toc303539163"/>
      <w:bookmarkStart w:id="1004" w:name="_Toc296347210"/>
      <w:r>
        <w:rPr>
          <w:rFonts w:hint="eastAsia" w:ascii="宋体" w:hAnsi="宋体" w:eastAsia="宋体" w:cs="宋体"/>
          <w:color w:val="000000"/>
          <w:sz w:val="24"/>
          <w:szCs w:val="24"/>
        </w:rPr>
        <w:t>12.4.2 进度付款申请单的编制</w:t>
      </w:r>
    </w:p>
    <w:p w14:paraId="49D5A50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关于进度付款申请单编制的约定：</w:t>
      </w:r>
      <w:r>
        <w:rPr>
          <w:rFonts w:hint="eastAsia" w:ascii="宋体" w:hAnsi="宋体" w:eastAsia="宋体" w:cs="宋体"/>
          <w:color w:val="000000"/>
          <w:sz w:val="24"/>
          <w:szCs w:val="24"/>
          <w:u w:val="single"/>
        </w:rPr>
        <w:t xml:space="preserve">  由承包人进行编制  </w:t>
      </w:r>
      <w:r>
        <w:rPr>
          <w:rFonts w:hint="eastAsia" w:ascii="宋体" w:hAnsi="宋体" w:eastAsia="宋体" w:cs="宋体"/>
          <w:color w:val="000000"/>
          <w:sz w:val="24"/>
          <w:szCs w:val="24"/>
        </w:rPr>
        <w:t>。</w:t>
      </w:r>
    </w:p>
    <w:p w14:paraId="3F45BC0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Pr>
          <w:rFonts w:hint="eastAsia" w:ascii="宋体" w:hAnsi="宋体" w:eastAsia="宋体" w:cs="宋体"/>
          <w:color w:val="auto"/>
          <w:sz w:val="24"/>
          <w:szCs w:val="24"/>
        </w:rPr>
        <w:t>2.4.3 进度付款申请单的提交</w:t>
      </w:r>
    </w:p>
    <w:p w14:paraId="0453D5A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（1）单价合同进度付款申请单提交的约定：</w:t>
      </w:r>
      <w:r>
        <w:rPr>
          <w:rFonts w:hint="eastAsia" w:ascii="宋体" w:hAnsi="宋体" w:eastAsia="宋体" w:cs="宋体"/>
          <w:color w:val="auto"/>
          <w:sz w:val="24"/>
          <w:szCs w:val="24"/>
          <w:u w:val="single"/>
          <w:lang w:bidi="ar"/>
        </w:rPr>
        <w:t>承包人应配合发包人提供</w:t>
      </w:r>
      <w:r>
        <w:rPr>
          <w:rFonts w:hint="eastAsia" w:ascii="宋体" w:hAnsi="宋体" w:cs="宋体"/>
          <w:color w:val="auto"/>
          <w:sz w:val="24"/>
          <w:szCs w:val="24"/>
          <w:u w:val="single"/>
          <w:lang w:eastAsia="zh-CN" w:bidi="ar"/>
        </w:rPr>
        <w:t>相关</w:t>
      </w:r>
      <w:r>
        <w:rPr>
          <w:rFonts w:hint="eastAsia" w:ascii="宋体" w:hAnsi="宋体" w:eastAsia="宋体" w:cs="宋体"/>
          <w:color w:val="auto"/>
          <w:sz w:val="24"/>
          <w:szCs w:val="24"/>
          <w:u w:val="single"/>
          <w:lang w:bidi="ar"/>
        </w:rPr>
        <w:t>资料</w:t>
      </w:r>
      <w:r>
        <w:rPr>
          <w:rFonts w:hint="eastAsia" w:ascii="宋体" w:hAnsi="宋体" w:cs="宋体"/>
          <w:color w:val="auto"/>
          <w:sz w:val="24"/>
          <w:szCs w:val="24"/>
          <w:u w:val="single"/>
          <w:lang w:eastAsia="zh-CN" w:bidi="ar"/>
        </w:rPr>
        <w:t>。</w:t>
      </w:r>
    </w:p>
    <w:p w14:paraId="29B6226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bidi="ar"/>
        </w:rPr>
        <w:t>（2）总价合同进度付款申请单提交的约定：</w:t>
      </w:r>
      <w:r>
        <w:rPr>
          <w:rFonts w:hint="eastAsia" w:ascii="宋体" w:hAnsi="宋体" w:eastAsia="宋体" w:cs="宋体"/>
          <w:sz w:val="24"/>
          <w:szCs w:val="24"/>
          <w:u w:val="single"/>
          <w:lang w:bidi="ar"/>
        </w:rPr>
        <w:t xml:space="preserve">            /               。</w:t>
      </w:r>
    </w:p>
    <w:p w14:paraId="2D9B362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u w:val="single"/>
        </w:rPr>
      </w:pPr>
      <w:r>
        <w:rPr>
          <w:rFonts w:hint="eastAsia" w:ascii="宋体" w:hAnsi="宋体" w:eastAsia="宋体" w:cs="宋体"/>
          <w:sz w:val="24"/>
          <w:szCs w:val="24"/>
          <w:lang w:bidi="ar"/>
        </w:rPr>
        <w:t>（3）其他价格形式合同进度付款申请单提交的约定：</w:t>
      </w:r>
      <w:r>
        <w:rPr>
          <w:rFonts w:hint="eastAsia" w:ascii="宋体" w:hAnsi="宋体" w:eastAsia="宋体" w:cs="宋体"/>
          <w:sz w:val="24"/>
          <w:szCs w:val="24"/>
          <w:u w:val="single"/>
          <w:lang w:bidi="ar"/>
        </w:rPr>
        <w:t xml:space="preserve">    /        </w:t>
      </w:r>
      <w:r>
        <w:rPr>
          <w:rFonts w:hint="eastAsia" w:ascii="宋体" w:hAnsi="宋体" w:eastAsia="宋体" w:cs="宋体"/>
          <w:sz w:val="24"/>
          <w:szCs w:val="24"/>
          <w:lang w:bidi="ar"/>
        </w:rPr>
        <w:t>。</w:t>
      </w:r>
    </w:p>
    <w:p w14:paraId="6612FBA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）其他价格形式合同进度付款申请单提交的约定：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5C1A849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14:paraId="058C66B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1DDE8C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08898D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（2）发包人支付进度款的期限：</w:t>
      </w:r>
      <w:r>
        <w:rPr>
          <w:rFonts w:hint="eastAsia" w:ascii="宋体" w:hAnsi="宋体" w:eastAsia="宋体" w:cs="宋体"/>
          <w:color w:val="auto"/>
          <w:sz w:val="24"/>
          <w:szCs w:val="24"/>
          <w:u w:val="single"/>
        </w:rPr>
        <w:t xml:space="preserve">  以财政部门支付资金日期为准 </w:t>
      </w:r>
      <w:r>
        <w:rPr>
          <w:rFonts w:hint="eastAsia" w:ascii="宋体" w:hAnsi="宋体" w:eastAsia="宋体" w:cs="宋体"/>
          <w:color w:val="auto"/>
          <w:sz w:val="24"/>
          <w:szCs w:val="24"/>
        </w:rPr>
        <w:t>。</w:t>
      </w:r>
    </w:p>
    <w:p w14:paraId="36DC928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62D8038E">
      <w:pPr>
        <w:keepNext w:val="0"/>
        <w:keepLines w:val="0"/>
        <w:pageBreakBefore w:val="0"/>
        <w:widowControl w:val="0"/>
        <w:kinsoku/>
        <w:wordWrap/>
        <w:overflowPunct/>
        <w:topLinePunct w:val="0"/>
        <w:autoSpaceDE/>
        <w:autoSpaceDN/>
        <w:bidi w:val="0"/>
        <w:adjustRightInd/>
        <w:snapToGrid/>
        <w:spacing w:line="480" w:lineRule="exact"/>
        <w:ind w:firstLine="600" w:firstLineChars="2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14:paraId="1F64B3A5">
      <w:pPr>
        <w:keepNext w:val="0"/>
        <w:keepLines w:val="0"/>
        <w:pageBreakBefore w:val="0"/>
        <w:widowControl w:val="0"/>
        <w:kinsoku/>
        <w:wordWrap/>
        <w:overflowPunct/>
        <w:topLinePunct w:val="0"/>
        <w:autoSpaceDE/>
        <w:autoSpaceDN/>
        <w:bidi w:val="0"/>
        <w:adjustRightInd/>
        <w:snapToGrid/>
        <w:spacing w:line="480" w:lineRule="exact"/>
        <w:ind w:left="4799" w:leftChars="228" w:hanging="4320" w:hangingChars="18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2、总价合同支付分解表的编制与审批：</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1B736B3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3、单价合同的总价项目支付分解表的编制与审批：</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bookmarkEnd w:id="834"/>
    <w:p w14:paraId="0F312B9E">
      <w:pPr>
        <w:pStyle w:val="5"/>
        <w:spacing w:before="120" w:after="120" w:line="460" w:lineRule="exact"/>
        <w:rPr>
          <w:rFonts w:hint="eastAsia" w:ascii="宋体" w:hAnsi="宋体" w:eastAsia="宋体" w:cs="宋体"/>
          <w:b w:val="0"/>
          <w:color w:val="000000"/>
          <w:sz w:val="24"/>
          <w:szCs w:val="24"/>
        </w:rPr>
      </w:pPr>
      <w:bookmarkStart w:id="1005" w:name="_Toc351203645"/>
      <w:bookmarkStart w:id="1006" w:name="_Toc296346720"/>
      <w:bookmarkStart w:id="1007" w:name="_Toc297048405"/>
      <w:bookmarkStart w:id="1008" w:name="_Toc296944558"/>
      <w:bookmarkStart w:id="1009" w:name="_Toc312678053"/>
      <w:bookmarkStart w:id="1010" w:name="_Toc296503219"/>
      <w:bookmarkStart w:id="1011" w:name="_Toc297120519"/>
      <w:bookmarkStart w:id="1012" w:name="_Toc292559424"/>
      <w:bookmarkStart w:id="1013" w:name="_Toc296347218"/>
      <w:bookmarkStart w:id="1014" w:name="_Toc297123564"/>
      <w:bookmarkStart w:id="1015" w:name="_Toc304295593"/>
      <w:bookmarkStart w:id="1016" w:name="_Toc300935015"/>
      <w:bookmarkStart w:id="1017" w:name="_Toc292559929"/>
      <w:bookmarkStart w:id="1018" w:name="_Toc303539172"/>
      <w:bookmarkStart w:id="1019" w:name="_Toc297216223"/>
      <w:bookmarkStart w:id="1020" w:name="_Toc296891047"/>
      <w:bookmarkStart w:id="1021" w:name="_Toc296891259"/>
      <w:r>
        <w:rPr>
          <w:rFonts w:hint="eastAsia" w:ascii="宋体" w:hAnsi="宋体" w:eastAsia="宋体" w:cs="宋体"/>
          <w:b w:val="0"/>
          <w:color w:val="000000"/>
          <w:sz w:val="24"/>
          <w:szCs w:val="24"/>
        </w:rPr>
        <w:t>13. 验收和工程试车</w:t>
      </w:r>
      <w:bookmarkEnd w:id="1005"/>
    </w:p>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14:paraId="2AC6FD3A">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14:paraId="1150A356">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14:paraId="271CCFEB">
      <w:pPr>
        <w:spacing w:line="460" w:lineRule="exact"/>
        <w:ind w:firstLine="480" w:firstLineChars="200"/>
        <w:jc w:val="left"/>
        <w:rPr>
          <w:rFonts w:hint="eastAsia" w:ascii="宋体" w:hAnsi="宋体" w:eastAsia="宋体" w:cs="宋体"/>
          <w:b/>
          <w:color w:val="000000"/>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14:paraId="0F09C61A">
      <w:pPr>
        <w:spacing w:after="120" w:line="460" w:lineRule="exact"/>
        <w:ind w:firstLine="480" w:firstLineChars="200"/>
        <w:rPr>
          <w:rFonts w:hint="eastAsia" w:ascii="宋体" w:hAnsi="宋体" w:eastAsia="宋体" w:cs="宋体"/>
          <w:color w:val="000000"/>
          <w:sz w:val="24"/>
          <w:szCs w:val="24"/>
        </w:rPr>
      </w:pPr>
      <w:bookmarkStart w:id="1022" w:name="_Toc296347222"/>
      <w:bookmarkStart w:id="1023" w:name="_Toc297123565"/>
      <w:bookmarkStart w:id="1024" w:name="_Toc300935016"/>
      <w:bookmarkStart w:id="1025" w:name="_Toc296891051"/>
      <w:bookmarkStart w:id="1026" w:name="_Toc296891263"/>
      <w:bookmarkStart w:id="1027" w:name="_Toc297120523"/>
      <w:bookmarkStart w:id="1028" w:name="_Toc312678056"/>
      <w:bookmarkStart w:id="1029" w:name="_Toc297048409"/>
      <w:bookmarkStart w:id="1030" w:name="_Toc292559933"/>
      <w:bookmarkStart w:id="1031" w:name="_Toc303539173"/>
      <w:bookmarkStart w:id="1032" w:name="_Toc296346724"/>
      <w:bookmarkStart w:id="1033" w:name="_Toc297216224"/>
      <w:bookmarkStart w:id="1034" w:name="_Toc296503223"/>
      <w:bookmarkStart w:id="1035" w:name="_Toc304295596"/>
      <w:bookmarkStart w:id="1036" w:name="_Toc296944562"/>
      <w:bookmarkStart w:id="1037" w:name="_Toc292559428"/>
      <w:bookmarkStart w:id="1038" w:name="_Toc267251471"/>
      <w:bookmarkStart w:id="1039" w:name="_Toc267251474"/>
      <w:bookmarkStart w:id="1040" w:name="_Toc267251475"/>
      <w:bookmarkStart w:id="1041" w:name="_Toc267251476"/>
      <w:bookmarkStart w:id="1042" w:name="_Toc267251472"/>
      <w:bookmarkStart w:id="1043" w:name="_Toc267251473"/>
      <w:bookmarkStart w:id="1044" w:name="_Toc267251470"/>
      <w:r>
        <w:rPr>
          <w:rFonts w:hint="eastAsia" w:ascii="宋体" w:hAnsi="宋体" w:eastAsia="宋体" w:cs="宋体"/>
          <w:color w:val="000000"/>
          <w:sz w:val="24"/>
          <w:szCs w:val="24"/>
        </w:rPr>
        <w:t>13.2 竣工验收</w:t>
      </w:r>
    </w:p>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14:paraId="1A40FB3A">
      <w:pPr>
        <w:spacing w:line="460" w:lineRule="exact"/>
        <w:ind w:firstLine="480" w:firstLineChars="200"/>
        <w:jc w:val="left"/>
        <w:rPr>
          <w:rFonts w:hint="eastAsia" w:ascii="宋体" w:hAnsi="宋体" w:eastAsia="宋体" w:cs="宋体"/>
          <w:color w:val="000000"/>
          <w:sz w:val="24"/>
          <w:szCs w:val="24"/>
        </w:rPr>
      </w:pPr>
      <w:bookmarkStart w:id="1045" w:name="_Toc280868704"/>
      <w:bookmarkStart w:id="1046" w:name="_Toc280868705"/>
      <w:bookmarkStart w:id="1047" w:name="_Toc280868706"/>
      <w:bookmarkStart w:id="1048" w:name="_Toc280868707"/>
      <w:bookmarkStart w:id="1049" w:name="_Toc280868708"/>
      <w:bookmarkStart w:id="1050" w:name="_Toc280868709"/>
      <w:r>
        <w:rPr>
          <w:rFonts w:hint="eastAsia" w:ascii="宋体" w:hAnsi="宋体" w:eastAsia="宋体" w:cs="宋体"/>
          <w:color w:val="000000"/>
          <w:sz w:val="24"/>
          <w:szCs w:val="24"/>
        </w:rPr>
        <w:t>13.2.2竣工验收程序</w:t>
      </w:r>
    </w:p>
    <w:bookmarkEnd w:id="1045"/>
    <w:p w14:paraId="6A080134">
      <w:pPr>
        <w:spacing w:line="460" w:lineRule="exact"/>
        <w:ind w:left="13" w:leftChars="6" w:firstLine="578" w:firstLineChars="241"/>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关于竣工验收程序的约定：</w:t>
      </w:r>
      <w:r>
        <w:rPr>
          <w:rFonts w:hint="eastAsia" w:ascii="宋体" w:hAnsi="宋体" w:eastAsia="宋体" w:cs="宋体"/>
          <w:color w:val="000000"/>
          <w:sz w:val="24"/>
          <w:szCs w:val="24"/>
          <w:u w:val="single"/>
        </w:rPr>
        <w:t xml:space="preserve"> 由发包人根据相关法律法规及行政主管部门的相关要求组织验收</w:t>
      </w:r>
      <w:r>
        <w:rPr>
          <w:rFonts w:hint="eastAsia" w:ascii="宋体" w:hAnsi="宋体" w:eastAsia="宋体" w:cs="宋体"/>
          <w:color w:val="000000"/>
          <w:sz w:val="24"/>
          <w:szCs w:val="24"/>
        </w:rPr>
        <w:t>。</w:t>
      </w:r>
    </w:p>
    <w:p w14:paraId="2A4E00F9">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发包人不按照本项约定组织竣工验收、颁发工程接收证书的违约金的计算方法：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1046"/>
    <w:p w14:paraId="24337131">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1047"/>
    <w:p w14:paraId="0D083267">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color w:val="000000"/>
          <w:sz w:val="24"/>
          <w:szCs w:val="24"/>
          <w:u w:val="single"/>
        </w:rPr>
        <w:t xml:space="preserve">  该工程竣工验收合格之日起15日内</w:t>
      </w:r>
      <w:r>
        <w:rPr>
          <w:rFonts w:hint="eastAsia" w:ascii="宋体" w:hAnsi="宋体" w:eastAsia="宋体" w:cs="宋体"/>
          <w:color w:val="000000"/>
          <w:sz w:val="24"/>
          <w:szCs w:val="24"/>
        </w:rPr>
        <w:t>。</w:t>
      </w:r>
    </w:p>
    <w:p w14:paraId="55ED281A">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发包人未按本合同约定接收全部或部分工程的，违约金的计算方法为：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bookmarkEnd w:id="1048"/>
    <w:p w14:paraId="1B341F1F">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781CCF0">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13.3 工程试车</w:t>
      </w:r>
    </w:p>
    <w:bookmarkEnd w:id="1049"/>
    <w:p w14:paraId="5D2E23FB">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 试车程序</w:t>
      </w:r>
    </w:p>
    <w:p w14:paraId="6D47F733">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工程试车内容：</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69C6A86E">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（1）单机无负荷试车费用由</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kern w:val="0"/>
          <w:sz w:val="24"/>
          <w:szCs w:val="24"/>
        </w:rPr>
        <w:t>承担；</w:t>
      </w:r>
    </w:p>
    <w:p w14:paraId="0202B467">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（2）无负荷联动试车费用由</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kern w:val="0"/>
          <w:sz w:val="24"/>
          <w:szCs w:val="24"/>
        </w:rPr>
        <w:t>承担。</w:t>
      </w:r>
    </w:p>
    <w:p w14:paraId="6FD52325">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14:paraId="5B6CF3D2">
      <w:pPr>
        <w:spacing w:line="46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关于投料试车相关事项的约定：</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14:paraId="6EAC1390">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13.6 竣工退场</w:t>
      </w:r>
    </w:p>
    <w:p w14:paraId="4409270B">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14:paraId="019F4EA6">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承包人完成竣工退场的期限：</w:t>
      </w:r>
      <w:r>
        <w:rPr>
          <w:rFonts w:hint="eastAsia" w:ascii="宋体" w:hAnsi="宋体" w:eastAsia="宋体" w:cs="宋体"/>
          <w:color w:val="000000"/>
          <w:sz w:val="24"/>
          <w:szCs w:val="24"/>
          <w:u w:val="single"/>
        </w:rPr>
        <w:t xml:space="preserve">   竣工验收合格之日起15日内  </w:t>
      </w:r>
      <w:r>
        <w:rPr>
          <w:rFonts w:hint="eastAsia" w:ascii="宋体" w:hAnsi="宋体" w:eastAsia="宋体" w:cs="宋体"/>
          <w:color w:val="000000"/>
          <w:kern w:val="0"/>
          <w:sz w:val="24"/>
          <w:szCs w:val="24"/>
        </w:rPr>
        <w:t>。</w:t>
      </w:r>
    </w:p>
    <w:p w14:paraId="4B33A3BD">
      <w:pPr>
        <w:pStyle w:val="5"/>
        <w:spacing w:before="120" w:after="120" w:line="460" w:lineRule="exact"/>
        <w:rPr>
          <w:rFonts w:hint="eastAsia" w:ascii="宋体" w:hAnsi="宋体" w:eastAsia="宋体" w:cs="宋体"/>
          <w:b w:val="0"/>
          <w:color w:val="000000"/>
          <w:sz w:val="24"/>
          <w:szCs w:val="24"/>
        </w:rPr>
      </w:pPr>
      <w:bookmarkStart w:id="1051" w:name="_Toc351203646"/>
      <w:r>
        <w:rPr>
          <w:rFonts w:hint="eastAsia" w:ascii="宋体" w:hAnsi="宋体" w:eastAsia="宋体" w:cs="宋体"/>
          <w:b w:val="0"/>
          <w:color w:val="000000"/>
          <w:sz w:val="24"/>
          <w:szCs w:val="24"/>
        </w:rPr>
        <w:t>14. 竣工结算</w:t>
      </w:r>
      <w:bookmarkEnd w:id="1051"/>
    </w:p>
    <w:p w14:paraId="7DD4E4A8">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 竣工结算申请</w:t>
      </w:r>
    </w:p>
    <w:p w14:paraId="47E5E878">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承包人提交竣工结算申请单的期限：</w:t>
      </w:r>
      <w:r>
        <w:rPr>
          <w:rFonts w:hint="eastAsia" w:ascii="宋体" w:hAnsi="宋体" w:eastAsia="宋体" w:cs="宋体"/>
          <w:color w:val="000000"/>
          <w:sz w:val="24"/>
          <w:szCs w:val="24"/>
          <w:u w:val="single"/>
        </w:rPr>
        <w:t xml:space="preserve"> 竣工验收合格之日起40天内 </w:t>
      </w:r>
      <w:r>
        <w:rPr>
          <w:rFonts w:hint="eastAsia" w:ascii="宋体" w:hAnsi="宋体" w:eastAsia="宋体" w:cs="宋体"/>
          <w:color w:val="000000"/>
          <w:sz w:val="24"/>
          <w:szCs w:val="24"/>
        </w:rPr>
        <w:t>。</w:t>
      </w:r>
    </w:p>
    <w:p w14:paraId="4466F9D2">
      <w:pPr>
        <w:spacing w:line="460" w:lineRule="exact"/>
        <w:jc w:val="left"/>
        <w:rPr>
          <w:rFonts w:hint="eastAsia" w:ascii="宋体" w:hAnsi="宋体" w:eastAsia="宋体" w:cs="宋体"/>
          <w:sz w:val="24"/>
          <w:szCs w:val="24"/>
        </w:rPr>
      </w:pPr>
      <w:r>
        <w:rPr>
          <w:rFonts w:hint="eastAsia" w:ascii="宋体" w:hAnsi="宋体" w:eastAsia="宋体" w:cs="宋体"/>
          <w:color w:val="000000"/>
          <w:sz w:val="24"/>
          <w:szCs w:val="24"/>
        </w:rPr>
        <w:t>竣工结算申请单应包括的内容：</w:t>
      </w:r>
      <w:r>
        <w:rPr>
          <w:rFonts w:hint="eastAsia" w:ascii="宋体" w:hAnsi="宋体" w:eastAsia="宋体" w:cs="宋体"/>
          <w:color w:val="000000"/>
          <w:sz w:val="24"/>
          <w:szCs w:val="24"/>
          <w:u w:val="single"/>
        </w:rPr>
        <w:t xml:space="preserve">  符合国家现行法律法规及行政主管部门的要求 </w:t>
      </w:r>
      <w:r>
        <w:rPr>
          <w:rFonts w:hint="eastAsia" w:ascii="宋体" w:hAnsi="宋体" w:eastAsia="宋体" w:cs="宋体"/>
          <w:color w:val="000000"/>
          <w:sz w:val="24"/>
          <w:szCs w:val="24"/>
        </w:rPr>
        <w:t>。</w:t>
      </w:r>
    </w:p>
    <w:p w14:paraId="0B5FEF18">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14.2 竣工结算审核</w:t>
      </w:r>
    </w:p>
    <w:p w14:paraId="1C83FC28">
      <w:pPr>
        <w:spacing w:line="460" w:lineRule="exact"/>
        <w:ind w:firstLine="480" w:firstLineChars="200"/>
        <w:jc w:val="left"/>
        <w:rPr>
          <w:rFonts w:hint="eastAsia" w:ascii="宋体" w:hAnsi="宋体" w:eastAsia="宋体" w:cs="宋体"/>
          <w:spacing w:val="-6"/>
          <w:sz w:val="24"/>
          <w:szCs w:val="24"/>
        </w:rPr>
      </w:pPr>
      <w:r>
        <w:rPr>
          <w:rFonts w:hint="eastAsia" w:ascii="宋体" w:hAnsi="宋体" w:eastAsia="宋体" w:cs="宋体"/>
          <w:sz w:val="24"/>
          <w:szCs w:val="24"/>
        </w:rPr>
        <w:t>发包人审批竣工付款申请单的期限：</w:t>
      </w:r>
      <w:r>
        <w:rPr>
          <w:rFonts w:hint="eastAsia" w:ascii="宋体" w:hAnsi="宋体" w:eastAsia="宋体" w:cs="宋体"/>
          <w:color w:val="000000"/>
          <w:spacing w:val="-6"/>
          <w:sz w:val="24"/>
          <w:szCs w:val="24"/>
          <w:u w:val="single"/>
        </w:rPr>
        <w:t>收到承包人提交的竣工结算文件之日起28天内</w:t>
      </w:r>
      <w:r>
        <w:rPr>
          <w:rFonts w:hint="eastAsia" w:ascii="宋体" w:hAnsi="宋体" w:eastAsia="宋体" w:cs="宋体"/>
          <w:color w:val="000000"/>
          <w:spacing w:val="-6"/>
          <w:sz w:val="24"/>
          <w:szCs w:val="24"/>
        </w:rPr>
        <w:t>。</w:t>
      </w:r>
    </w:p>
    <w:p w14:paraId="1BA65CFC">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发包人完成竣工付款的期限：</w:t>
      </w:r>
      <w:r>
        <w:rPr>
          <w:rFonts w:hint="eastAsia" w:ascii="宋体" w:hAnsi="宋体" w:eastAsia="宋体" w:cs="宋体"/>
          <w:color w:val="000000"/>
          <w:sz w:val="24"/>
          <w:szCs w:val="24"/>
          <w:u w:val="single"/>
        </w:rPr>
        <w:t xml:space="preserve"> 双方签字确认工程结算造价之日起60天内 </w:t>
      </w:r>
      <w:r>
        <w:rPr>
          <w:rFonts w:hint="eastAsia" w:ascii="宋体" w:hAnsi="宋体" w:eastAsia="宋体" w:cs="宋体"/>
          <w:color w:val="000000"/>
          <w:sz w:val="24"/>
          <w:szCs w:val="24"/>
        </w:rPr>
        <w:t>。</w:t>
      </w:r>
    </w:p>
    <w:p w14:paraId="4DE133FF">
      <w:pPr>
        <w:spacing w:line="460" w:lineRule="exact"/>
        <w:jc w:val="left"/>
        <w:rPr>
          <w:rFonts w:hint="eastAsia" w:ascii="宋体" w:hAnsi="宋体" w:eastAsia="宋体" w:cs="宋体"/>
          <w:color w:val="FF0000"/>
          <w:sz w:val="24"/>
          <w:szCs w:val="24"/>
        </w:rPr>
      </w:pPr>
      <w:r>
        <w:rPr>
          <w:rFonts w:hint="eastAsia" w:ascii="宋体" w:hAnsi="宋体" w:eastAsia="宋体" w:cs="宋体"/>
          <w:color w:val="000000"/>
          <w:sz w:val="24"/>
          <w:szCs w:val="24"/>
        </w:rPr>
        <w:t>关于竣工付款证书异议部分复核的方式和程序：</w:t>
      </w:r>
      <w:r>
        <w:rPr>
          <w:rFonts w:hint="eastAsia" w:ascii="宋体" w:hAnsi="宋体" w:eastAsia="宋体" w:cs="宋体"/>
          <w:color w:val="000000"/>
          <w:sz w:val="24"/>
          <w:szCs w:val="24"/>
          <w:u w:val="single"/>
        </w:rPr>
        <w:t xml:space="preserve"> </w:t>
      </w:r>
      <w:r>
        <w:rPr>
          <w:rFonts w:hint="eastAsia" w:ascii="宋体" w:hAnsi="宋体" w:eastAsia="宋体" w:cs="宋体"/>
          <w:color w:val="FF0000"/>
          <w:sz w:val="24"/>
          <w:szCs w:val="24"/>
          <w:u w:val="single"/>
        </w:rPr>
        <w:t xml:space="preserve">双方委托有资质的第三方进行审核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4585C79">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14:paraId="742DDE73">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14:paraId="1985B138">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承包人提交最终结清申请单的份数：</w:t>
      </w:r>
      <w:r>
        <w:rPr>
          <w:rFonts w:hint="eastAsia" w:ascii="宋体" w:hAnsi="宋体" w:eastAsia="宋体" w:cs="宋体"/>
          <w:color w:val="000000"/>
          <w:sz w:val="24"/>
          <w:szCs w:val="24"/>
          <w:u w:val="single"/>
        </w:rPr>
        <w:t xml:space="preserve">   叁份   </w:t>
      </w:r>
      <w:r>
        <w:rPr>
          <w:rFonts w:hint="eastAsia" w:ascii="宋体" w:hAnsi="宋体" w:eastAsia="宋体" w:cs="宋体"/>
          <w:color w:val="000000"/>
          <w:sz w:val="24"/>
          <w:szCs w:val="24"/>
        </w:rPr>
        <w:t>。</w:t>
      </w:r>
    </w:p>
    <w:p w14:paraId="7679B9F3">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承包人提交最终结算申请单的期限：</w:t>
      </w:r>
      <w:r>
        <w:rPr>
          <w:rFonts w:hint="eastAsia" w:ascii="宋体" w:hAnsi="宋体" w:eastAsia="宋体" w:cs="宋体"/>
          <w:color w:val="000000"/>
          <w:sz w:val="24"/>
          <w:szCs w:val="24"/>
          <w:u w:val="single"/>
        </w:rPr>
        <w:t xml:space="preserve"> 双方签字确认工程结算造价之日起15天内 </w:t>
      </w:r>
      <w:r>
        <w:rPr>
          <w:rFonts w:hint="eastAsia" w:ascii="宋体" w:hAnsi="宋体" w:eastAsia="宋体" w:cs="宋体"/>
          <w:color w:val="000000"/>
          <w:sz w:val="24"/>
          <w:szCs w:val="24"/>
        </w:rPr>
        <w:t>。</w:t>
      </w:r>
      <w:r>
        <w:rPr>
          <w:rFonts w:hint="eastAsia" w:ascii="宋体" w:hAnsi="宋体" w:eastAsia="宋体" w:cs="宋体"/>
          <w:sz w:val="24"/>
          <w:szCs w:val="24"/>
        </w:rPr>
        <w:t xml:space="preserve"> </w:t>
      </w:r>
    </w:p>
    <w:p w14:paraId="6816F998">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60628578">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color w:val="000000"/>
          <w:sz w:val="24"/>
          <w:szCs w:val="24"/>
          <w:u w:val="single"/>
        </w:rPr>
        <w:t xml:space="preserve"> 双方签字确认工</w:t>
      </w:r>
      <w:r>
        <w:rPr>
          <w:rFonts w:hint="eastAsia" w:ascii="宋体" w:hAnsi="宋体" w:eastAsia="宋体" w:cs="宋体"/>
          <w:color w:val="auto"/>
          <w:sz w:val="24"/>
          <w:szCs w:val="24"/>
          <w:u w:val="single"/>
        </w:rPr>
        <w:t xml:space="preserve">程结算造价之日起60天内  </w:t>
      </w:r>
      <w:r>
        <w:rPr>
          <w:rFonts w:hint="eastAsia" w:ascii="宋体" w:hAnsi="宋体" w:eastAsia="宋体" w:cs="宋体"/>
          <w:color w:val="auto"/>
          <w:sz w:val="24"/>
          <w:szCs w:val="24"/>
        </w:rPr>
        <w:t>。</w:t>
      </w:r>
    </w:p>
    <w:p w14:paraId="5A981BAD">
      <w:pPr>
        <w:spacing w:line="4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 xml:space="preserve"> 以财政部门支付资金日期为准 </w:t>
      </w:r>
      <w:r>
        <w:rPr>
          <w:rFonts w:hint="eastAsia" w:ascii="宋体" w:hAnsi="宋体" w:eastAsia="宋体" w:cs="宋体"/>
          <w:color w:val="auto"/>
          <w:sz w:val="24"/>
          <w:szCs w:val="24"/>
        </w:rPr>
        <w:t>。</w:t>
      </w:r>
    </w:p>
    <w:bookmarkEnd w:id="1038"/>
    <w:bookmarkEnd w:id="1039"/>
    <w:bookmarkEnd w:id="1040"/>
    <w:bookmarkEnd w:id="1041"/>
    <w:bookmarkEnd w:id="1042"/>
    <w:bookmarkEnd w:id="1043"/>
    <w:bookmarkEnd w:id="1044"/>
    <w:bookmarkEnd w:id="1050"/>
    <w:p w14:paraId="79AFA358">
      <w:pPr>
        <w:pStyle w:val="5"/>
        <w:spacing w:before="120" w:after="120" w:line="460" w:lineRule="exact"/>
        <w:rPr>
          <w:rFonts w:hint="eastAsia" w:ascii="宋体" w:hAnsi="宋体" w:eastAsia="宋体" w:cs="宋体"/>
          <w:b w:val="0"/>
          <w:color w:val="000000"/>
          <w:sz w:val="24"/>
          <w:szCs w:val="24"/>
        </w:rPr>
      </w:pPr>
      <w:bookmarkStart w:id="1052" w:name="_Toc351203647"/>
      <w:bookmarkStart w:id="1053" w:name="_Toc267251483"/>
      <w:bookmarkStart w:id="1054" w:name="_Toc267251484"/>
      <w:bookmarkStart w:id="1055" w:name="_Toc267251482"/>
      <w:bookmarkStart w:id="1056" w:name="_Toc267251485"/>
      <w:bookmarkStart w:id="1057" w:name="_Toc267251490"/>
      <w:bookmarkStart w:id="1058" w:name="_Toc267251489"/>
      <w:bookmarkStart w:id="1059" w:name="_Toc267251486"/>
      <w:bookmarkStart w:id="1060" w:name="_Toc267251488"/>
      <w:bookmarkStart w:id="1061" w:name="_Toc267251491"/>
      <w:bookmarkStart w:id="1062" w:name="_Toc267251501"/>
      <w:bookmarkStart w:id="1063" w:name="_Toc267251502"/>
      <w:bookmarkStart w:id="1064" w:name="_Toc267251499"/>
      <w:bookmarkStart w:id="1065" w:name="_Toc267251503"/>
      <w:bookmarkStart w:id="1066" w:name="_Toc267251496"/>
      <w:bookmarkStart w:id="1067" w:name="_Toc267251492"/>
      <w:bookmarkStart w:id="1068" w:name="_Toc267251495"/>
      <w:bookmarkStart w:id="1069" w:name="_Toc267251493"/>
      <w:bookmarkStart w:id="1070" w:name="_Toc267251494"/>
      <w:bookmarkStart w:id="1071" w:name="_Toc267251497"/>
      <w:bookmarkStart w:id="1072" w:name="_Toc267251498"/>
      <w:bookmarkStart w:id="1073" w:name="_Toc267251506"/>
      <w:bookmarkStart w:id="1074" w:name="_Toc267251504"/>
      <w:bookmarkStart w:id="1075" w:name="_Toc267251507"/>
      <w:bookmarkStart w:id="1076" w:name="_Toc267251508"/>
      <w:bookmarkStart w:id="1077" w:name="_Toc267251509"/>
      <w:bookmarkStart w:id="1078" w:name="_Toc267251513"/>
      <w:bookmarkStart w:id="1079" w:name="_Toc267251510"/>
      <w:bookmarkStart w:id="1080" w:name="_Toc267251511"/>
      <w:bookmarkStart w:id="1081" w:name="_Toc267251514"/>
      <w:bookmarkStart w:id="1082" w:name="_Toc267251515"/>
      <w:r>
        <w:rPr>
          <w:rFonts w:hint="eastAsia" w:ascii="宋体" w:hAnsi="宋体" w:eastAsia="宋体" w:cs="宋体"/>
          <w:b w:val="0"/>
          <w:color w:val="000000"/>
          <w:sz w:val="24"/>
          <w:szCs w:val="24"/>
        </w:rPr>
        <w:t>15. 缺陷责任期与保修</w:t>
      </w:r>
      <w:bookmarkEnd w:id="1052"/>
    </w:p>
    <w:p w14:paraId="163E7849">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15.2缺陷责任期</w:t>
      </w:r>
      <w:bookmarkEnd w:id="1053"/>
    </w:p>
    <w:p w14:paraId="211DC367">
      <w:pPr>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缺陷责任期的具体期限：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7799D7C">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15.3 质量保证金</w:t>
      </w:r>
    </w:p>
    <w:p w14:paraId="726310EB">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 xml:space="preserve"> 无 </w:t>
      </w:r>
      <w:r>
        <w:rPr>
          <w:rFonts w:hint="eastAsia" w:ascii="宋体" w:hAnsi="宋体" w:eastAsia="宋体" w:cs="宋体"/>
          <w:color w:val="000000"/>
          <w:sz w:val="24"/>
          <w:szCs w:val="24"/>
        </w:rPr>
        <w:t>。在工程项目竣工前，承包人按专用合同条款第3.7条提供履约担保的，发包人不得同时预留工程质量保证金。</w:t>
      </w:r>
    </w:p>
    <w:p w14:paraId="36165057">
      <w:pPr>
        <w:spacing w:line="46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15.3.1 承包人提供质量保证金的方式</w:t>
      </w:r>
    </w:p>
    <w:p w14:paraId="320213F2">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质量保证金采用以下第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种方式：</w:t>
      </w:r>
    </w:p>
    <w:p w14:paraId="67BA401C">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（1）质量保证金保函，保证金额为：</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 xml:space="preserve">； </w:t>
      </w:r>
    </w:p>
    <w:p w14:paraId="1A2F1B19">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的工程款；</w:t>
      </w:r>
    </w:p>
    <w:p w14:paraId="4CB6A1C7">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D4C193A">
      <w:pPr>
        <w:spacing w:line="46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15.3.2 质量保证金的扣留 </w:t>
      </w:r>
    </w:p>
    <w:p w14:paraId="3CC91CF0">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种方式：</w:t>
      </w:r>
    </w:p>
    <w:p w14:paraId="4067AD84">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14:paraId="78604286">
      <w:pPr>
        <w:autoSpaceDE w:val="0"/>
        <w:autoSpaceDN w:val="0"/>
        <w:adjustRightInd w:val="0"/>
        <w:spacing w:line="460" w:lineRule="exact"/>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（2）工程竣工结算时一次性扣留质量保证金；</w:t>
      </w:r>
    </w:p>
    <w:p w14:paraId="784EAC37">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（3）其他扣留式: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4176BAB8">
      <w:pPr>
        <w:spacing w:line="460" w:lineRule="exact"/>
        <w:ind w:firstLine="720" w:firstLineChars="3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1054"/>
    <w:bookmarkEnd w:id="1055"/>
    <w:p w14:paraId="1E3B2F43">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bookmarkEnd w:id="1056"/>
    <w:p w14:paraId="5BE5A401">
      <w:pPr>
        <w:spacing w:line="460" w:lineRule="exact"/>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14:paraId="232EA9B3">
      <w:pPr>
        <w:spacing w:line="460" w:lineRule="exact"/>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工程保修期为：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FD48971">
      <w:pPr>
        <w:spacing w:line="460" w:lineRule="exact"/>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14:paraId="009DF313">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承包人收到保修通知并到达工程现场的合理时间：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bookmarkEnd w:id="1057"/>
    <w:bookmarkEnd w:id="1058"/>
    <w:bookmarkEnd w:id="1059"/>
    <w:bookmarkEnd w:id="1060"/>
    <w:p w14:paraId="2E14E61B">
      <w:pPr>
        <w:pStyle w:val="5"/>
        <w:spacing w:before="120" w:after="120" w:line="460" w:lineRule="exact"/>
        <w:rPr>
          <w:rFonts w:hint="eastAsia" w:ascii="宋体" w:hAnsi="宋体" w:eastAsia="宋体" w:cs="宋体"/>
          <w:b w:val="0"/>
          <w:color w:val="000000"/>
          <w:sz w:val="24"/>
          <w:szCs w:val="24"/>
        </w:rPr>
      </w:pPr>
      <w:bookmarkStart w:id="1083" w:name="_Toc351203648"/>
      <w:bookmarkStart w:id="1084" w:name="_Toc280868717"/>
      <w:bookmarkStart w:id="1085" w:name="_Toc280868718"/>
      <w:r>
        <w:rPr>
          <w:rFonts w:hint="eastAsia" w:ascii="宋体" w:hAnsi="宋体" w:eastAsia="宋体" w:cs="宋体"/>
          <w:b w:val="0"/>
          <w:color w:val="000000"/>
          <w:sz w:val="24"/>
          <w:szCs w:val="24"/>
        </w:rPr>
        <w:t>16. 违约</w:t>
      </w:r>
      <w:bookmarkEnd w:id="1083"/>
    </w:p>
    <w:p w14:paraId="656C5007">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16.1 发包人违约</w:t>
      </w:r>
    </w:p>
    <w:p w14:paraId="4FDEAE64">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16.1.1发包人违约的情形</w:t>
      </w:r>
    </w:p>
    <w:p w14:paraId="23BE0464">
      <w:pPr>
        <w:spacing w:line="460" w:lineRule="exact"/>
        <w:ind w:left="13" w:leftChars="6" w:firstLine="578" w:firstLineChars="24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发包人违约的其他情形：</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eastAsia="zh-CN"/>
        </w:rPr>
        <w:t>无</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6355AF5">
      <w:pPr>
        <w:spacing w:line="460" w:lineRule="exact"/>
        <w:ind w:left="1200" w:hanging="1200" w:hangingChars="5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16.1.2 发包人违约的责任</w:t>
      </w:r>
    </w:p>
    <w:p w14:paraId="79201EE4">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发包人违约责任的承担方式和计算方法：</w:t>
      </w:r>
    </w:p>
    <w:p w14:paraId="3B5387DC">
      <w:pPr>
        <w:spacing w:line="460" w:lineRule="exact"/>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（1）因发包人原因未能在计划开工日期前7天内下达开工通知的违约责任：</w:t>
      </w:r>
      <w:r>
        <w:rPr>
          <w:rFonts w:hint="eastAsia" w:ascii="宋体" w:hAnsi="宋体" w:eastAsia="宋体" w:cs="宋体"/>
          <w:color w:val="000000"/>
          <w:kern w:val="0"/>
          <w:sz w:val="24"/>
          <w:szCs w:val="24"/>
          <w:u w:val="single"/>
        </w:rPr>
        <w:t xml:space="preserve"> </w:t>
      </w:r>
      <w:r>
        <w:rPr>
          <w:rFonts w:hint="eastAsia" w:ascii="仿宋_GB2312" w:eastAsia="仿宋_GB2312"/>
          <w:kern w:val="0"/>
          <w:sz w:val="28"/>
          <w:szCs w:val="28"/>
          <w:u w:val="single"/>
        </w:rPr>
        <w:t>开工时间相应顺延</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722F4EE0">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（2）因发包人原因未能按合同约定支付合同价款的违约责任：</w:t>
      </w:r>
      <w:r>
        <w:rPr>
          <w:rFonts w:hint="eastAsia" w:ascii="宋体" w:hAnsi="宋体" w:eastAsia="宋体" w:cs="宋体"/>
          <w:color w:val="000000"/>
          <w:kern w:val="0"/>
          <w:sz w:val="24"/>
          <w:szCs w:val="24"/>
          <w:u w:val="single"/>
          <w:lang w:val="en-US" w:eastAsia="zh-CN"/>
        </w:rPr>
        <w:t>/</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4A76C4A6">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（3）发包人违反第10.1款〔变更的范围〕第（2）项约定，自行实施被取消的工作或转由他人实施的违约责任：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双方另行商定，如承包人不同意实施的除外</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CEEDE14">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eastAsia="zh-CN"/>
        </w:rPr>
        <w:t>无</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07127E34">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（5）因发包人违反合同约定造成暂停施工的违约责任：</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 xml:space="preserve">工期顺延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2914721">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（6）发包人无正当理由没有在约定期限内发出复工指示，导致承包人无法复工的违约责任：</w:t>
      </w:r>
      <w:r>
        <w:rPr>
          <w:rFonts w:hint="eastAsia" w:ascii="宋体" w:hAnsi="宋体" w:eastAsia="宋体" w:cs="宋体"/>
          <w:kern w:val="0"/>
          <w:sz w:val="24"/>
          <w:szCs w:val="24"/>
          <w:u w:val="single"/>
        </w:rPr>
        <w:t xml:space="preserve">工期顺延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0BFD7E3">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（7）其他：</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77D57566">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14:paraId="3992459B">
      <w:pPr>
        <w:autoSpaceDE w:val="0"/>
        <w:autoSpaceDN w:val="0"/>
        <w:adjustRightInd w:val="0"/>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承包人按16.1.1项〔发包人违约的情形〕约定暂停施工满</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6</w:t>
      </w:r>
      <w:r>
        <w:rPr>
          <w:rFonts w:hint="eastAsia" w:ascii="宋体" w:hAnsi="宋体" w:eastAsia="宋体" w:cs="宋体"/>
          <w:color w:val="000000"/>
          <w:kern w:val="0"/>
          <w:sz w:val="24"/>
          <w:szCs w:val="24"/>
          <w:u w:val="single"/>
        </w:rPr>
        <w:t xml:space="preserve">0 </w:t>
      </w:r>
      <w:r>
        <w:rPr>
          <w:rFonts w:hint="eastAsia" w:ascii="宋体" w:hAnsi="宋体" w:eastAsia="宋体" w:cs="宋体"/>
          <w:color w:val="000000"/>
          <w:kern w:val="0"/>
          <w:sz w:val="24"/>
          <w:szCs w:val="24"/>
        </w:rPr>
        <w:t>天后发包人仍不纠正其违约行为并致使合同目的不能实现的，承包人有权解除合同。</w:t>
      </w:r>
    </w:p>
    <w:p w14:paraId="162E7E99">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16.2 承包人违约</w:t>
      </w:r>
    </w:p>
    <w:p w14:paraId="6188EAB7">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14:paraId="135317B7">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承包人违约的其他情形：</w:t>
      </w:r>
      <w:r>
        <w:rPr>
          <w:rFonts w:hint="eastAsia" w:ascii="宋体" w:hAnsi="宋体" w:eastAsia="宋体" w:cs="宋体"/>
          <w:color w:val="000000"/>
          <w:kern w:val="0"/>
          <w:sz w:val="24"/>
          <w:szCs w:val="24"/>
          <w:u w:val="single"/>
        </w:rPr>
        <w:t xml:space="preserve"> 擅自将工程转包、分包 </w:t>
      </w:r>
      <w:r>
        <w:rPr>
          <w:rFonts w:hint="eastAsia" w:ascii="宋体" w:hAnsi="宋体" w:eastAsia="宋体" w:cs="宋体"/>
          <w:color w:val="000000"/>
          <w:kern w:val="0"/>
          <w:sz w:val="24"/>
          <w:szCs w:val="24"/>
        </w:rPr>
        <w:t>。</w:t>
      </w:r>
    </w:p>
    <w:p w14:paraId="42878769">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16.2.2承包人违约的责任</w:t>
      </w:r>
    </w:p>
    <w:p w14:paraId="09E21475">
      <w:pPr>
        <w:spacing w:line="460" w:lineRule="exact"/>
        <w:ind w:left="19" w:leftChars="9" w:firstLine="458" w:firstLineChars="191"/>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承包人违约责任的承担方式和计算方法：</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auto"/>
          <w:kern w:val="0"/>
          <w:sz w:val="24"/>
          <w:szCs w:val="24"/>
          <w:u w:val="single"/>
        </w:rPr>
        <w:t xml:space="preserve">承包人违反合同约定进行转包或违法分包的，发包人可向承包人发出整改通知，要求其在指定的期限内改正 </w:t>
      </w:r>
      <w:r>
        <w:rPr>
          <w:rFonts w:hint="eastAsia" w:ascii="宋体" w:hAnsi="宋体" w:eastAsia="宋体" w:cs="宋体"/>
          <w:color w:val="000000"/>
          <w:kern w:val="0"/>
          <w:sz w:val="24"/>
          <w:szCs w:val="24"/>
        </w:rPr>
        <w:t>。</w:t>
      </w:r>
      <w:r>
        <w:rPr>
          <w:rFonts w:hint="eastAsia" w:ascii="宋体" w:hAnsi="宋体" w:eastAsia="宋体" w:cs="宋体"/>
          <w:color w:val="000000"/>
          <w:sz w:val="24"/>
          <w:szCs w:val="24"/>
        </w:rPr>
        <w:t xml:space="preserve">    </w:t>
      </w:r>
    </w:p>
    <w:p w14:paraId="0D4CDB29">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14:paraId="3884314F">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关于承包人违约解除合同的特别约定：</w:t>
      </w:r>
      <w:r>
        <w:rPr>
          <w:rFonts w:hint="eastAsia" w:ascii="宋体" w:hAnsi="宋体" w:eastAsia="宋体" w:cs="宋体"/>
          <w:color w:val="000000"/>
          <w:kern w:val="0"/>
          <w:sz w:val="24"/>
          <w:szCs w:val="24"/>
          <w:u w:val="single"/>
        </w:rPr>
        <w:t xml:space="preserve"> 由承包人承担由此给发包人带来的全部经济损失及相关法律责任并按合同约定向发包人支付违约金 </w:t>
      </w:r>
      <w:r>
        <w:rPr>
          <w:rFonts w:hint="eastAsia" w:ascii="宋体" w:hAnsi="宋体" w:eastAsia="宋体" w:cs="宋体"/>
          <w:color w:val="000000"/>
          <w:kern w:val="0"/>
          <w:sz w:val="24"/>
          <w:szCs w:val="24"/>
        </w:rPr>
        <w:t>。</w:t>
      </w:r>
    </w:p>
    <w:p w14:paraId="0FB08C3B">
      <w:pPr>
        <w:spacing w:before="120" w:after="120" w:line="4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eastAsia="zh-CN"/>
        </w:rPr>
        <w:t>双方另行商定</w:t>
      </w:r>
      <w:r>
        <w:rPr>
          <w:rFonts w:hint="eastAsia" w:ascii="宋体" w:hAnsi="宋体" w:eastAsia="宋体" w:cs="宋体"/>
          <w:color w:val="000000"/>
          <w:kern w:val="0"/>
          <w:sz w:val="24"/>
          <w:szCs w:val="24"/>
        </w:rPr>
        <w:t>。</w:t>
      </w:r>
    </w:p>
    <w:p w14:paraId="420DEF36">
      <w:pPr>
        <w:pStyle w:val="5"/>
        <w:spacing w:before="120" w:after="120" w:line="460" w:lineRule="exact"/>
        <w:rPr>
          <w:rFonts w:hint="eastAsia" w:ascii="宋体" w:hAnsi="宋体" w:eastAsia="宋体" w:cs="宋体"/>
          <w:b w:val="0"/>
          <w:color w:val="000000"/>
          <w:sz w:val="24"/>
          <w:szCs w:val="24"/>
        </w:rPr>
      </w:pPr>
      <w:bookmarkStart w:id="1086" w:name="_Toc351203649"/>
      <w:r>
        <w:rPr>
          <w:rFonts w:hint="eastAsia" w:ascii="宋体" w:hAnsi="宋体" w:eastAsia="宋体" w:cs="宋体"/>
          <w:b w:val="0"/>
          <w:color w:val="000000"/>
          <w:sz w:val="24"/>
          <w:szCs w:val="24"/>
        </w:rPr>
        <w:t>17. 不可抗力</w:t>
      </w:r>
      <w:bookmarkEnd w:id="1086"/>
      <w:r>
        <w:rPr>
          <w:rFonts w:hint="eastAsia" w:ascii="宋体" w:hAnsi="宋体" w:eastAsia="宋体" w:cs="宋体"/>
          <w:b w:val="0"/>
          <w:color w:val="000000"/>
          <w:sz w:val="24"/>
          <w:szCs w:val="24"/>
        </w:rPr>
        <w:t xml:space="preserve"> </w:t>
      </w:r>
      <w:bookmarkEnd w:id="1084"/>
    </w:p>
    <w:p w14:paraId="038F11B9">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14:paraId="6BA330A9">
      <w:pPr>
        <w:spacing w:line="460" w:lineRule="exact"/>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 xml:space="preserve">除通用合同条款约定的不可抗力事件之外，视为不可抗力的其他情形： </w:t>
      </w:r>
      <w:r>
        <w:rPr>
          <w:rFonts w:hint="eastAsia" w:ascii="仿宋_GB2312" w:hAnsi="宋体" w:eastAsia="仿宋_GB2312"/>
          <w:kern w:val="0"/>
          <w:sz w:val="28"/>
          <w:szCs w:val="28"/>
          <w:u w:val="single"/>
        </w:rPr>
        <w:t xml:space="preserve">  </w:t>
      </w:r>
      <w:r>
        <w:rPr>
          <w:rFonts w:hint="eastAsia" w:ascii="宋体" w:hAnsi="宋体" w:eastAsia="宋体" w:cs="宋体"/>
          <w:kern w:val="0"/>
          <w:sz w:val="24"/>
          <w:szCs w:val="24"/>
          <w:u w:val="single"/>
        </w:rPr>
        <w:t>十级以上的台风、连续3小时降雨达100毫米以上的暴雨、四级以上的地震、十年以上未发生过的洪水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180559B7">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17.4 因不可抗力解除合同</w:t>
      </w:r>
    </w:p>
    <w:p w14:paraId="1ACE3ED8">
      <w:pPr>
        <w:spacing w:line="460" w:lineRule="exact"/>
        <w:ind w:firstLine="436" w:firstLineChars="200"/>
        <w:jc w:val="left"/>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合同解除后，发包人应在商定或确定发包人应支付款项后</w:t>
      </w:r>
      <w:r>
        <w:rPr>
          <w:rFonts w:hint="eastAsia" w:ascii="宋体" w:hAnsi="宋体" w:eastAsia="宋体" w:cs="宋体"/>
          <w:color w:val="000000"/>
          <w:spacing w:val="-11"/>
          <w:sz w:val="24"/>
          <w:szCs w:val="24"/>
          <w:u w:val="single"/>
        </w:rPr>
        <w:t xml:space="preserve"> </w:t>
      </w:r>
      <w:r>
        <w:rPr>
          <w:rFonts w:hint="eastAsia" w:ascii="宋体" w:hAnsi="宋体" w:eastAsia="宋体" w:cs="宋体"/>
          <w:color w:val="000000"/>
          <w:spacing w:val="-11"/>
          <w:sz w:val="24"/>
          <w:szCs w:val="24"/>
          <w:u w:val="single"/>
          <w:lang w:val="en-US" w:eastAsia="zh-CN"/>
        </w:rPr>
        <w:t>90</w:t>
      </w:r>
      <w:r>
        <w:rPr>
          <w:rFonts w:hint="eastAsia" w:ascii="宋体" w:hAnsi="宋体" w:eastAsia="宋体" w:cs="宋体"/>
          <w:color w:val="000000"/>
          <w:spacing w:val="-11"/>
          <w:sz w:val="24"/>
          <w:szCs w:val="24"/>
          <w:u w:val="single"/>
        </w:rPr>
        <w:t xml:space="preserve"> </w:t>
      </w:r>
      <w:r>
        <w:rPr>
          <w:rFonts w:hint="eastAsia" w:ascii="宋体" w:hAnsi="宋体" w:eastAsia="宋体" w:cs="宋体"/>
          <w:color w:val="000000"/>
          <w:spacing w:val="-11"/>
          <w:sz w:val="24"/>
          <w:szCs w:val="24"/>
        </w:rPr>
        <w:t>天内完成款项的支付。</w:t>
      </w:r>
    </w:p>
    <w:p w14:paraId="6C28B651">
      <w:pPr>
        <w:pStyle w:val="5"/>
        <w:spacing w:before="120" w:after="120" w:line="460" w:lineRule="exact"/>
        <w:rPr>
          <w:rFonts w:hint="eastAsia" w:ascii="宋体" w:hAnsi="宋体" w:eastAsia="宋体" w:cs="宋体"/>
          <w:b w:val="0"/>
          <w:color w:val="000000"/>
          <w:sz w:val="24"/>
          <w:szCs w:val="24"/>
        </w:rPr>
      </w:pPr>
      <w:bookmarkStart w:id="1087" w:name="_Toc351203650"/>
      <w:r>
        <w:rPr>
          <w:rFonts w:hint="eastAsia" w:ascii="宋体" w:hAnsi="宋体" w:eastAsia="宋体" w:cs="宋体"/>
          <w:b w:val="0"/>
          <w:color w:val="000000"/>
          <w:sz w:val="24"/>
          <w:szCs w:val="24"/>
        </w:rPr>
        <w:t>18. 保险</w:t>
      </w:r>
      <w:bookmarkEnd w:id="1087"/>
    </w:p>
    <w:bookmarkEnd w:id="1085"/>
    <w:p w14:paraId="3D5E5BCE">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18.1 工程保险</w:t>
      </w:r>
    </w:p>
    <w:p w14:paraId="0F8A7250">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关于工程保险的特别约定：</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工伤保险由承包人按照规定标准为职工进行投保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55125EC3">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18.3 其他保险</w:t>
      </w:r>
    </w:p>
    <w:p w14:paraId="2FC1A214">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color w:val="000000"/>
          <w:kern w:val="0"/>
          <w:sz w:val="24"/>
          <w:szCs w:val="24"/>
          <w:u w:val="single"/>
        </w:rPr>
        <w:t xml:space="preserve"> 无 </w:t>
      </w:r>
      <w:r>
        <w:rPr>
          <w:rFonts w:hint="eastAsia" w:ascii="宋体" w:hAnsi="宋体" w:eastAsia="宋体" w:cs="宋体"/>
          <w:color w:val="000000"/>
          <w:kern w:val="0"/>
          <w:sz w:val="24"/>
          <w:szCs w:val="24"/>
        </w:rPr>
        <w:t>。</w:t>
      </w:r>
    </w:p>
    <w:p w14:paraId="0F2D9A96">
      <w:pPr>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E15EE8D">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14:paraId="5166DBB0">
      <w:pPr>
        <w:spacing w:line="460" w:lineRule="exac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关于变更保险合同时的通知义务的约定：</w:t>
      </w:r>
      <w:r>
        <w:rPr>
          <w:rFonts w:hint="eastAsia" w:ascii="宋体" w:hAnsi="宋体" w:eastAsia="宋体" w:cs="宋体"/>
          <w:color w:val="000000"/>
          <w:sz w:val="24"/>
          <w:szCs w:val="24"/>
          <w:u w:val="single"/>
        </w:rPr>
        <w:t xml:space="preserve"> 按通用条款18.7条执行 </w:t>
      </w:r>
      <w:r>
        <w:rPr>
          <w:rFonts w:hint="eastAsia" w:ascii="宋体" w:hAnsi="宋体" w:eastAsia="宋体" w:cs="宋体"/>
          <w:color w:val="000000"/>
          <w:sz w:val="24"/>
          <w:szCs w:val="24"/>
        </w:rPr>
        <w:t>。</w:t>
      </w:r>
    </w:p>
    <w:bookmarkEnd w:id="1061"/>
    <w:bookmarkEnd w:id="1062"/>
    <w:bookmarkEnd w:id="1063"/>
    <w:bookmarkEnd w:id="1064"/>
    <w:bookmarkEnd w:id="1065"/>
    <w:bookmarkEnd w:id="1066"/>
    <w:bookmarkEnd w:id="1067"/>
    <w:bookmarkEnd w:id="1068"/>
    <w:bookmarkEnd w:id="1069"/>
    <w:bookmarkEnd w:id="1070"/>
    <w:bookmarkEnd w:id="1071"/>
    <w:bookmarkEnd w:id="1072"/>
    <w:p w14:paraId="5D52AFE6">
      <w:pPr>
        <w:pStyle w:val="5"/>
        <w:spacing w:before="120" w:after="120" w:line="460" w:lineRule="exact"/>
        <w:rPr>
          <w:rFonts w:hint="eastAsia" w:ascii="宋体" w:hAnsi="宋体" w:eastAsia="宋体" w:cs="宋体"/>
          <w:b w:val="0"/>
          <w:color w:val="000000"/>
          <w:sz w:val="24"/>
          <w:szCs w:val="24"/>
        </w:rPr>
      </w:pPr>
      <w:bookmarkStart w:id="1088" w:name="_Toc351203651"/>
      <w:r>
        <w:rPr>
          <w:rFonts w:hint="eastAsia" w:ascii="宋体" w:hAnsi="宋体" w:eastAsia="宋体" w:cs="宋体"/>
          <w:b w:val="0"/>
          <w:color w:val="000000"/>
          <w:sz w:val="24"/>
          <w:szCs w:val="24"/>
        </w:rPr>
        <w:t>20. 争议解决</w:t>
      </w:r>
      <w:bookmarkEnd w:id="1088"/>
    </w:p>
    <w:bookmarkEnd w:id="1073"/>
    <w:bookmarkEnd w:id="1074"/>
    <w:p w14:paraId="4BCC63D0">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20.3 争</w:t>
      </w:r>
      <w:bookmarkEnd w:id="1075"/>
      <w:r>
        <w:rPr>
          <w:rFonts w:hint="eastAsia" w:ascii="宋体" w:hAnsi="宋体" w:eastAsia="宋体" w:cs="宋体"/>
          <w:color w:val="000000"/>
          <w:sz w:val="24"/>
          <w:szCs w:val="24"/>
        </w:rPr>
        <w:t>议评审</w:t>
      </w:r>
    </w:p>
    <w:p w14:paraId="09E5AD8C">
      <w:pPr>
        <w:spacing w:line="4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否 </w:t>
      </w:r>
      <w:r>
        <w:rPr>
          <w:rFonts w:hint="eastAsia" w:ascii="宋体" w:hAnsi="宋体" w:eastAsia="宋体" w:cs="宋体"/>
          <w:color w:val="000000"/>
          <w:sz w:val="24"/>
          <w:szCs w:val="24"/>
        </w:rPr>
        <w:t xml:space="preserve">。  </w:t>
      </w:r>
    </w:p>
    <w:p w14:paraId="4049027D">
      <w:pPr>
        <w:spacing w:line="460" w:lineRule="exact"/>
        <w:ind w:firstLine="480" w:firstLineChars="200"/>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20.3.1 争议评审小组的确定</w:t>
      </w:r>
    </w:p>
    <w:p w14:paraId="1BFF5F10">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219BABA7">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B29C8BD">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48573D81">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3AD7971E">
      <w:pPr>
        <w:autoSpaceDE w:val="0"/>
        <w:autoSpaceDN w:val="0"/>
        <w:adjustRightInd w:val="0"/>
        <w:spacing w:line="460" w:lineRule="exact"/>
        <w:ind w:firstLine="480" w:firstLineChars="200"/>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20.3.2 争议评审小组的决定</w:t>
      </w:r>
    </w:p>
    <w:p w14:paraId="5FBBFF02">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41876941">
      <w:pPr>
        <w:spacing w:after="120" w:line="460" w:lineRule="exact"/>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20.4仲裁或诉讼</w:t>
      </w:r>
      <w:bookmarkEnd w:id="1076"/>
    </w:p>
    <w:p w14:paraId="73CEB08D">
      <w:pPr>
        <w:spacing w:after="120"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种方式解决：</w:t>
      </w:r>
    </w:p>
    <w:p w14:paraId="57518B38">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14:paraId="0B0AF40A">
      <w:pPr>
        <w:spacing w:line="460" w:lineRule="exact"/>
        <w:ind w:firstLine="480" w:firstLineChars="200"/>
        <w:jc w:val="left"/>
        <w:rPr>
          <w:rFonts w:hint="eastAsia" w:ascii="宋体" w:hAnsi="宋体" w:eastAsia="宋体" w:cs="宋体"/>
          <w:color w:val="000000"/>
          <w:sz w:val="24"/>
          <w:szCs w:val="24"/>
        </w:rPr>
        <w:sectPr>
          <w:footerReference r:id="rId8" w:type="first"/>
          <w:footerReference r:id="rId7" w:type="default"/>
          <w:pgSz w:w="11906" w:h="16838"/>
          <w:pgMar w:top="1417" w:right="1417" w:bottom="1417" w:left="1417" w:header="851" w:footer="992" w:gutter="0"/>
          <w:cols w:space="720" w:num="1"/>
          <w:titlePg/>
          <w:docGrid w:type="lines" w:linePitch="312" w:charSpace="0"/>
        </w:sect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eastAsia="zh-CN"/>
        </w:rPr>
        <w:t>项目所在地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人民法院起诉。</w:t>
      </w:r>
      <w:bookmarkEnd w:id="1077"/>
      <w:bookmarkEnd w:id="1078"/>
      <w:bookmarkEnd w:id="1079"/>
      <w:bookmarkEnd w:id="1080"/>
      <w:bookmarkEnd w:id="1081"/>
      <w:bookmarkEnd w:id="1082"/>
    </w:p>
    <w:p w14:paraId="7AB59E7F">
      <w:pPr>
        <w:spacing w:beforeLines="50" w:afterLines="50" w:line="360" w:lineRule="auto"/>
        <w:rPr>
          <w:rFonts w:hint="default" w:ascii="宋体" w:hAnsi="宋体" w:eastAsia="宋体" w:cs="宋体"/>
          <w:color w:val="auto"/>
          <w:spacing w:val="20"/>
          <w:sz w:val="24"/>
          <w:highlight w:val="none"/>
          <w:lang w:val="en-US" w:eastAsia="zh-CN"/>
        </w:rPr>
      </w:pPr>
      <w:r>
        <w:rPr>
          <w:rFonts w:hint="eastAsia" w:ascii="宋体" w:hAnsi="宋体" w:eastAsia="宋体" w:cs="宋体"/>
          <w:color w:val="auto"/>
          <w:spacing w:val="20"/>
          <w:sz w:val="24"/>
          <w:highlight w:val="none"/>
          <w:lang w:val="en-US" w:eastAsia="zh-CN"/>
        </w:rPr>
        <w:t>附件</w:t>
      </w:r>
      <w:r>
        <w:rPr>
          <w:rFonts w:hint="eastAsia" w:ascii="宋体" w:hAnsi="宋体" w:cs="宋体"/>
          <w:color w:val="auto"/>
          <w:spacing w:val="20"/>
          <w:sz w:val="24"/>
          <w:highlight w:val="none"/>
          <w:lang w:val="en-US" w:eastAsia="zh-CN"/>
        </w:rPr>
        <w:t>1</w:t>
      </w:r>
    </w:p>
    <w:p w14:paraId="7BF43EFA">
      <w:pPr>
        <w:spacing w:line="480" w:lineRule="auto"/>
        <w:jc w:val="center"/>
        <w:outlineLvl w:val="3"/>
        <w:rPr>
          <w:rFonts w:hint="eastAsia" w:ascii="宋体" w:hAnsi="宋体" w:eastAsia="宋体" w:cs="宋体"/>
          <w:b/>
          <w:bCs/>
          <w:color w:val="auto"/>
          <w:kern w:val="1"/>
          <w:sz w:val="24"/>
          <w:szCs w:val="24"/>
          <w:highlight w:val="none"/>
        </w:rPr>
      </w:pPr>
      <w:r>
        <w:rPr>
          <w:rFonts w:hint="eastAsia" w:ascii="宋体" w:hAnsi="宋体" w:eastAsia="宋体" w:cs="宋体"/>
          <w:b/>
          <w:bCs/>
          <w:color w:val="auto"/>
          <w:sz w:val="24"/>
          <w:szCs w:val="24"/>
          <w:highlight w:val="none"/>
        </w:rPr>
        <w:t>安全生产合同</w:t>
      </w:r>
    </w:p>
    <w:p w14:paraId="0256C5B0">
      <w:pPr>
        <w:rPr>
          <w:rFonts w:hint="eastAsia" w:ascii="宋体" w:hAnsi="宋体" w:eastAsia="宋体" w:cs="宋体"/>
          <w:color w:val="auto"/>
          <w:kern w:val="1"/>
          <w:sz w:val="24"/>
          <w:szCs w:val="24"/>
          <w:highlight w:val="none"/>
        </w:rPr>
      </w:pPr>
    </w:p>
    <w:p w14:paraId="2A56980E">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为在</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color w:val="auto"/>
          <w:kern w:val="1"/>
          <w:sz w:val="24"/>
          <w:szCs w:val="24"/>
          <w:highlight w:val="none"/>
        </w:rPr>
        <w:t>的实施过程中创造安全、高效的施工环境，切实搞好本项目的安全管理工作，本项目业主</w:t>
      </w:r>
      <w:r>
        <w:rPr>
          <w:rFonts w:hint="eastAsia" w:ascii="宋体" w:hAnsi="宋体" w:eastAsia="宋体" w:cs="宋体"/>
          <w:color w:val="auto"/>
          <w:kern w:val="1"/>
          <w:sz w:val="24"/>
          <w:szCs w:val="24"/>
          <w:highlight w:val="none"/>
          <w:u w:val="single"/>
        </w:rPr>
        <w:t xml:space="preserve"> </w:t>
      </w:r>
      <w:r>
        <w:rPr>
          <w:rFonts w:hint="eastAsia" w:ascii="宋体" w:hAnsi="宋体" w:cs="宋体"/>
          <w:color w:val="auto"/>
          <w:kern w:val="1"/>
          <w:sz w:val="24"/>
          <w:szCs w:val="24"/>
          <w:highlight w:val="none"/>
          <w:u w:val="single"/>
          <w:lang w:val="en-US" w:eastAsia="zh-CN"/>
        </w:rPr>
        <w:t xml:space="preserve">      </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（以下简称“甲方”）与承包人</w:t>
      </w:r>
      <w:r>
        <w:rPr>
          <w:rFonts w:hint="eastAsia" w:ascii="宋体" w:hAnsi="宋体" w:eastAsia="宋体" w:cs="宋体"/>
          <w:b/>
          <w:bCs/>
          <w:color w:val="auto"/>
          <w:kern w:val="1"/>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color w:val="auto"/>
          <w:kern w:val="1"/>
          <w:sz w:val="24"/>
          <w:szCs w:val="24"/>
          <w:highlight w:val="none"/>
        </w:rPr>
        <w:t>（以下简称“乙方”）特此签订安全生产合同：</w:t>
      </w:r>
    </w:p>
    <w:p w14:paraId="2A6E039E">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一、甲方职责</w:t>
      </w:r>
    </w:p>
    <w:p w14:paraId="1BCAE364">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严格遵守国家有关安全生产的法律法规，认真执行工程承包合同中的有关安全要求。</w:t>
      </w:r>
    </w:p>
    <w:p w14:paraId="782D19C9">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按照“安全第一、预防为主”和坚持“管生产必须管安全”的原则进行安全生产管理，做到生产与安全工作同时计划、布置、检查、总结和评比。</w:t>
      </w:r>
    </w:p>
    <w:p w14:paraId="5FBA40F6">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重要的安全设施必须坚持与主体工程“三同时”的原则，即：同时设计、审批，同时施工，同时验收，投入使用。</w:t>
      </w:r>
    </w:p>
    <w:p w14:paraId="7E2379FD">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定期召开安全生产调度会，及时传达中央及地方有关安全生产的精神。</w:t>
      </w:r>
    </w:p>
    <w:p w14:paraId="769AE816">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组织对乙方施工现场安全生产检查，监督乙方及时处理发现的各种安全隐患。</w:t>
      </w:r>
    </w:p>
    <w:p w14:paraId="7B4AF406">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二、乙方职责</w:t>
      </w:r>
    </w:p>
    <w:p w14:paraId="6C21DF85">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严格遵守国家有关安全生产的法律法规、农业农村部、水利部颁发的有关安全生产的规定，认真执行工程承包合同中的有关安全要求。</w:t>
      </w:r>
    </w:p>
    <w:p w14:paraId="37890D18">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56C7962">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F98AEC1">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乙方在任何时候都应采取各种合理的预防措施，防止其员工发生任何违法、违禁、暴力或妨碍治安的行为。</w:t>
      </w:r>
    </w:p>
    <w:p w14:paraId="6F3C1DD1">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59E6D638">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8398DD0">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7. 操作人员上岗，必须按规定穿戴防护用品。施工负责人和安全检查员应随时检查劳动防护用品的穿戴情况，不按规定穿戴防护用品的人员不得上岗。</w:t>
      </w:r>
    </w:p>
    <w:p w14:paraId="49F26BBE">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8. 所有施工机具设备和高空作业的设备均应定期检查，并有安全员的签字记录，保证其经常处于完好状态；不合格的机具、设备和劳动保护用品严禁使用。</w:t>
      </w:r>
    </w:p>
    <w:p w14:paraId="06C77B7D">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9. 施工中采用新技术、新工艺、新设备、新材料时，必须制定相应的安全技术措施，施工现场必须具有相关的安全标志牌。</w:t>
      </w:r>
    </w:p>
    <w:p w14:paraId="320B91FD">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7062AC2">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三、违约责任</w:t>
      </w:r>
    </w:p>
    <w:p w14:paraId="218E7168">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如因甲方或乙方违约造成安全事故，将依法追究责任。</w:t>
      </w:r>
    </w:p>
    <w:p w14:paraId="5BE6ACFD">
      <w:pPr>
        <w:adjustRightInd w:val="0"/>
        <w:snapToGrid w:val="0"/>
        <w:spacing w:line="360" w:lineRule="auto"/>
        <w:ind w:firstLine="840" w:firstLineChars="300"/>
        <w:rPr>
          <w:rFonts w:hint="eastAsia" w:ascii="宋体" w:hAnsi="宋体" w:eastAsia="宋体" w:cs="宋体"/>
          <w:color w:val="auto"/>
          <w:spacing w:val="20"/>
          <w:sz w:val="24"/>
          <w:highlight w:val="none"/>
        </w:rPr>
      </w:pPr>
    </w:p>
    <w:p w14:paraId="3840BA8A">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579A9079">
      <w:pPr>
        <w:adjustRightInd w:val="0"/>
        <w:snapToGrid w:val="0"/>
        <w:spacing w:line="360" w:lineRule="auto"/>
        <w:rPr>
          <w:rFonts w:hint="eastAsia" w:ascii="宋体" w:hAnsi="宋体" w:eastAsia="宋体" w:cs="宋体"/>
          <w:color w:val="auto"/>
          <w:spacing w:val="20"/>
          <w:sz w:val="24"/>
          <w:highlight w:val="none"/>
          <w:u w:val="single"/>
          <w:lang w:eastAsia="zh-CN"/>
        </w:rPr>
      </w:pPr>
      <w:r>
        <w:rPr>
          <w:rFonts w:hint="eastAsia" w:ascii="宋体" w:hAnsi="宋体" w:cs="宋体"/>
          <w:color w:val="auto"/>
          <w:spacing w:val="20"/>
          <w:sz w:val="24"/>
          <w:highlight w:val="none"/>
          <w:lang w:val="en-US" w:eastAsia="zh-CN"/>
        </w:rPr>
        <w:t xml:space="preserve">                                             </w:t>
      </w:r>
      <w:r>
        <w:rPr>
          <w:rFonts w:hint="eastAsia" w:ascii="宋体" w:hAnsi="宋体" w:eastAsia="宋体" w:cs="宋体"/>
          <w:color w:val="auto"/>
          <w:spacing w:val="20"/>
          <w:sz w:val="24"/>
          <w:highlight w:val="none"/>
        </w:rPr>
        <w:t xml:space="preserve">             </w:t>
      </w:r>
      <w:r>
        <w:rPr>
          <w:rFonts w:hint="eastAsia" w:ascii="宋体" w:hAnsi="宋体" w:eastAsia="宋体" w:cs="宋体"/>
          <w:color w:val="auto"/>
          <w:spacing w:val="20"/>
          <w:sz w:val="24"/>
          <w:highlight w:val="none"/>
          <w:u w:val="single"/>
          <w:lang w:eastAsia="zh-CN"/>
        </w:rPr>
        <w:t xml:space="preserve">                                                       </w:t>
      </w:r>
    </w:p>
    <w:p w14:paraId="56CE6ED8">
      <w:pPr>
        <w:adjustRightInd w:val="0"/>
        <w:snapToGrid w:val="0"/>
        <w:spacing w:line="36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 xml:space="preserve">法定代表人         </w:t>
      </w:r>
      <w:r>
        <w:rPr>
          <w:rFonts w:hint="eastAsia" w:ascii="宋体" w:hAnsi="宋体" w:cs="宋体"/>
          <w:color w:val="auto"/>
          <w:spacing w:val="20"/>
          <w:sz w:val="24"/>
          <w:highlight w:val="none"/>
          <w:lang w:val="en-US" w:eastAsia="zh-CN"/>
        </w:rPr>
        <w:t xml:space="preserve">                 </w:t>
      </w:r>
      <w:r>
        <w:rPr>
          <w:rFonts w:hint="eastAsia" w:ascii="宋体" w:hAnsi="宋体" w:eastAsia="宋体" w:cs="宋体"/>
          <w:color w:val="auto"/>
          <w:spacing w:val="20"/>
          <w:sz w:val="24"/>
          <w:highlight w:val="none"/>
        </w:rPr>
        <w:t xml:space="preserve">  法定代表人</w:t>
      </w:r>
    </w:p>
    <w:p w14:paraId="081AC7E4">
      <w:pPr>
        <w:adjustRightInd w:val="0"/>
        <w:snapToGrid w:val="0"/>
        <w:spacing w:line="360" w:lineRule="auto"/>
        <w:rPr>
          <w:rFonts w:hint="default" w:ascii="宋体" w:hAnsi="宋体" w:eastAsia="宋体" w:cs="宋体"/>
          <w:color w:val="auto"/>
          <w:spacing w:val="20"/>
          <w:sz w:val="24"/>
          <w:highlight w:val="none"/>
          <w:u w:val="single"/>
          <w:lang w:val="en-US" w:eastAsia="zh-CN"/>
        </w:rPr>
      </w:pPr>
      <w:r>
        <w:rPr>
          <w:rFonts w:hint="eastAsia" w:ascii="宋体" w:hAnsi="宋体" w:cs="宋体"/>
          <w:color w:val="auto"/>
          <w:spacing w:val="20"/>
          <w:sz w:val="24"/>
          <w:highlight w:val="none"/>
        </w:rPr>
        <w:t>或其委托代理人：</w:t>
      </w:r>
      <w:r>
        <w:rPr>
          <w:rFonts w:hint="eastAsia" w:ascii="宋体" w:hAnsi="宋体" w:cs="宋体"/>
          <w:color w:val="auto"/>
          <w:spacing w:val="20"/>
          <w:sz w:val="24"/>
          <w:highlight w:val="none"/>
          <w:lang w:val="en-US" w:eastAsia="zh-CN"/>
        </w:rPr>
        <w:t xml:space="preserve">                       </w:t>
      </w:r>
      <w:r>
        <w:rPr>
          <w:rFonts w:hint="eastAsia" w:ascii="宋体" w:hAnsi="宋体" w:cs="宋体"/>
          <w:color w:val="auto"/>
          <w:spacing w:val="20"/>
          <w:sz w:val="24"/>
          <w:highlight w:val="none"/>
        </w:rPr>
        <w:t>或其委托代理人：</w:t>
      </w:r>
    </w:p>
    <w:p w14:paraId="1E21C8BD">
      <w:pPr>
        <w:spacing w:line="360" w:lineRule="auto"/>
        <w:rPr>
          <w:rFonts w:hint="eastAsia" w:ascii="宋体" w:hAnsi="宋体" w:eastAsia="宋体" w:cs="宋体"/>
          <w:color w:val="auto"/>
          <w:spacing w:val="20"/>
          <w:sz w:val="24"/>
          <w:highlight w:val="none"/>
          <w:u w:val="single"/>
          <w:lang w:eastAsia="zh-CN"/>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bookmarkEnd w:id="105"/>
      <w:bookmarkEnd w:id="106"/>
      <w:bookmarkEnd w:id="107"/>
      <w:bookmarkEnd w:id="109"/>
      <w:bookmarkEnd w:id="110"/>
      <w:bookmarkEnd w:id="111"/>
      <w:bookmarkEnd w:id="112"/>
      <w:bookmarkEnd w:id="113"/>
      <w:bookmarkEnd w:id="114"/>
    </w:p>
    <w:p w14:paraId="0B3EA18F">
      <w:pPr>
        <w:spacing w:line="360" w:lineRule="auto"/>
        <w:rPr>
          <w:rFonts w:hint="eastAsia" w:ascii="宋体" w:hAnsi="宋体" w:eastAsia="宋体" w:cs="宋体"/>
          <w:color w:val="auto"/>
          <w:spacing w:val="20"/>
          <w:sz w:val="24"/>
          <w:highlight w:val="none"/>
          <w:u w:val="single"/>
          <w:lang w:eastAsia="zh-CN"/>
        </w:rPr>
      </w:pPr>
    </w:p>
    <w:p w14:paraId="25A786BB">
      <w:pPr>
        <w:spacing w:line="360" w:lineRule="auto"/>
        <w:ind w:firstLine="723"/>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施工合同补充协议书</w:t>
      </w:r>
    </w:p>
    <w:p w14:paraId="6488902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7BF92DB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乙方:</w:t>
      </w:r>
    </w:p>
    <w:p w14:paraId="3C12A37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根据广西壮族自治区解决企业拖欠工资问题联席会议关于印发《广西壮族自治区工程建设领域工人工资支付专用账户管理办法》的通知（桂薪联发〔2016〕1号）的规定，经甲乙双方共同协商，达成如下补充协议：</w:t>
      </w:r>
    </w:p>
    <w:p w14:paraId="46E148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1、乙方必须按规定到国有专业银行开设工人工资支付专用账户。</w:t>
      </w:r>
    </w:p>
    <w:p w14:paraId="3213541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2、双方约定该项目工资占工程款的比例是</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p w14:paraId="37C1CB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3、乙方按规程办理工程进度款手续后，向甲方申请工程进度款时，甲方按约定工资比例将工程款部分划入乙方提供的工人工资支付专用账户（账户名称：</w:t>
      </w:r>
      <w:r>
        <w:rPr>
          <w:rFonts w:hint="eastAsia" w:ascii="宋体" w:hAnsi="宋体" w:eastAsia="宋体" w:cs="宋体"/>
          <w:color w:val="auto"/>
          <w:sz w:val="24"/>
          <w:szCs w:val="24"/>
          <w:lang w:val="en-US" w:eastAsia="zh-CN"/>
        </w:rPr>
        <w:t>（成交供应商名称）</w:t>
      </w:r>
      <w:r>
        <w:rPr>
          <w:rFonts w:hint="eastAsia" w:ascii="宋体" w:hAnsi="宋体" w:eastAsia="宋体" w:cs="宋体"/>
          <w:color w:val="auto"/>
          <w:sz w:val="24"/>
          <w:szCs w:val="24"/>
        </w:rPr>
        <w:t>农民工工资专户，开户银行：</w:t>
      </w:r>
      <w:r>
        <w:rPr>
          <w:rFonts w:hint="eastAsia" w:ascii="宋体" w:hAnsi="宋体" w:eastAsia="宋体" w:cs="宋体"/>
          <w:color w:val="auto"/>
          <w:sz w:val="24"/>
          <w:szCs w:val="24"/>
          <w:lang w:val="en-US" w:eastAsia="zh-CN"/>
        </w:rPr>
        <w:t>（成交供应商开户银行）</w:t>
      </w:r>
      <w:r>
        <w:rPr>
          <w:rFonts w:hint="eastAsia" w:ascii="宋体" w:hAnsi="宋体" w:eastAsia="宋体" w:cs="宋体"/>
          <w:color w:val="auto"/>
          <w:sz w:val="24"/>
          <w:szCs w:val="24"/>
        </w:rPr>
        <w:t>，账号：</w:t>
      </w:r>
      <w:r>
        <w:rPr>
          <w:rFonts w:hint="eastAsia" w:ascii="宋体" w:hAnsi="宋体" w:eastAsia="宋体" w:cs="宋体"/>
          <w:color w:val="auto"/>
          <w:sz w:val="24"/>
          <w:szCs w:val="24"/>
          <w:lang w:val="en-US" w:eastAsia="zh-CN"/>
        </w:rPr>
        <w:t>（成交供应商账号）</w:t>
      </w:r>
      <w:r>
        <w:rPr>
          <w:rFonts w:hint="eastAsia" w:ascii="宋体" w:hAnsi="宋体" w:eastAsia="宋体" w:cs="宋体"/>
          <w:color w:val="auto"/>
          <w:sz w:val="24"/>
          <w:szCs w:val="24"/>
        </w:rPr>
        <w:t xml:space="preserve"> ）用于支付工人工资，余款划入乙方提供的账户（账户名称：</w:t>
      </w:r>
      <w:r>
        <w:rPr>
          <w:rFonts w:hint="eastAsia" w:ascii="宋体" w:hAnsi="宋体" w:eastAsia="宋体" w:cs="宋体"/>
          <w:color w:val="auto"/>
          <w:sz w:val="24"/>
          <w:szCs w:val="24"/>
          <w:lang w:val="en-US" w:eastAsia="zh-CN"/>
        </w:rPr>
        <w:t>（成交供应商名称）</w:t>
      </w:r>
      <w:r>
        <w:rPr>
          <w:rFonts w:hint="eastAsia" w:ascii="宋体" w:hAnsi="宋体" w:eastAsia="宋体" w:cs="宋体"/>
          <w:color w:val="auto"/>
          <w:sz w:val="24"/>
          <w:szCs w:val="24"/>
        </w:rPr>
        <w:t>农民工工资专户，开户银行：</w:t>
      </w:r>
      <w:r>
        <w:rPr>
          <w:rFonts w:hint="eastAsia" w:ascii="宋体" w:hAnsi="宋体" w:eastAsia="宋体" w:cs="宋体"/>
          <w:color w:val="auto"/>
          <w:sz w:val="24"/>
          <w:szCs w:val="24"/>
          <w:lang w:val="en-US" w:eastAsia="zh-CN"/>
        </w:rPr>
        <w:t>（成交供应商开户银行）</w:t>
      </w:r>
      <w:r>
        <w:rPr>
          <w:rFonts w:hint="eastAsia" w:ascii="宋体" w:hAnsi="宋体" w:eastAsia="宋体" w:cs="宋体"/>
          <w:color w:val="auto"/>
          <w:sz w:val="24"/>
          <w:szCs w:val="24"/>
        </w:rPr>
        <w:t>，账号：</w:t>
      </w:r>
      <w:r>
        <w:rPr>
          <w:rFonts w:hint="eastAsia" w:ascii="宋体" w:hAnsi="宋体" w:eastAsia="宋体" w:cs="宋体"/>
          <w:color w:val="auto"/>
          <w:sz w:val="24"/>
          <w:szCs w:val="24"/>
          <w:lang w:val="en-US" w:eastAsia="zh-CN"/>
        </w:rPr>
        <w:t>（成交供应商账号）</w:t>
      </w:r>
      <w:r>
        <w:rPr>
          <w:rFonts w:hint="eastAsia" w:ascii="宋体" w:hAnsi="宋体" w:eastAsia="宋体" w:cs="宋体"/>
          <w:color w:val="auto"/>
          <w:sz w:val="24"/>
          <w:szCs w:val="24"/>
        </w:rPr>
        <w:t>）用于该工程的建设费用。</w:t>
      </w:r>
    </w:p>
    <w:p w14:paraId="07A6518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4、乙方没提交工人工资支付专用账户的，甲方有权不拨付工程进度款。</w:t>
      </w:r>
    </w:p>
    <w:p w14:paraId="5C66A41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本合同一式陆份，甲乙双方各执叁份，并与原合同共同执行。</w:t>
      </w:r>
    </w:p>
    <w:p w14:paraId="1059550A">
      <w:pPr>
        <w:spacing w:line="360" w:lineRule="auto"/>
        <w:rPr>
          <w:rFonts w:hint="eastAsia" w:ascii="宋体" w:hAnsi="宋体" w:eastAsia="宋体" w:cs="宋体"/>
          <w:color w:val="auto"/>
          <w:sz w:val="24"/>
          <w:szCs w:val="24"/>
        </w:rPr>
      </w:pPr>
    </w:p>
    <w:p w14:paraId="05EB536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                            乙方：</w:t>
      </w:r>
    </w:p>
    <w:p w14:paraId="7C6B202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代表签名：                        代表签名：</w:t>
      </w:r>
    </w:p>
    <w:p w14:paraId="6F78104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签订日期：                        签订日期：</w:t>
      </w:r>
    </w:p>
    <w:p w14:paraId="058836D2">
      <w:pPr>
        <w:pStyle w:val="10"/>
        <w:rPr>
          <w:rFonts w:hint="eastAsia" w:ascii="宋体" w:hAnsi="宋体" w:eastAsia="宋体" w:cs="宋体"/>
          <w:color w:val="auto"/>
          <w:sz w:val="24"/>
          <w:szCs w:val="24"/>
          <w:highlight w:val="none"/>
        </w:rPr>
      </w:pPr>
    </w:p>
    <w:p w14:paraId="11276BB9">
      <w:pPr>
        <w:spacing w:line="360" w:lineRule="auto"/>
        <w:rPr>
          <w:rFonts w:hint="eastAsia" w:ascii="宋体" w:hAnsi="宋体" w:eastAsia="宋体" w:cs="宋体"/>
          <w:color w:val="auto"/>
          <w:spacing w:val="20"/>
          <w:sz w:val="24"/>
          <w:szCs w:val="24"/>
          <w:highlight w:val="none"/>
          <w:u w:val="single"/>
          <w:lang w:val="en-US" w:eastAsia="zh-CN"/>
        </w:rPr>
      </w:pPr>
    </w:p>
    <w:sectPr>
      <w:headerReference r:id="rId9" w:type="default"/>
      <w:footerReference r:id="rId10"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707EDB-4FE9-4856-AB0D-23256628FB3C}"/>
  </w:font>
  <w:font w:name="黑体">
    <w:panose1 w:val="02010609060101010101"/>
    <w:charset w:val="86"/>
    <w:family w:val="auto"/>
    <w:pitch w:val="default"/>
    <w:sig w:usb0="800002BF" w:usb1="38CF7CFA" w:usb2="00000016" w:usb3="00000000" w:csb0="00040001" w:csb1="00000000"/>
    <w:embedRegular r:id="rId2" w:fontKey="{242D2AA5-8888-41BA-8CA4-8C22CB175575}"/>
  </w:font>
  <w:font w:name="Courier New">
    <w:panose1 w:val="02070309020205020404"/>
    <w:charset w:val="01"/>
    <w:family w:val="modern"/>
    <w:pitch w:val="default"/>
    <w:sig w:usb0="E0002EFF" w:usb1="C0007843" w:usb2="00000009" w:usb3="00000000" w:csb0="400001FF" w:csb1="FFFF0000"/>
    <w:embedRegular r:id="rId3" w:fontKey="{01D74D2E-C71D-4E7C-9EE3-A07274DD2BD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7590993B-B24E-4305-AC06-26981A1FA451}"/>
  </w:font>
  <w:font w:name="Cambria">
    <w:panose1 w:val="02040503050406030204"/>
    <w:charset w:val="00"/>
    <w:family w:val="auto"/>
    <w:pitch w:val="default"/>
    <w:sig w:usb0="E00006FF" w:usb1="420024FF" w:usb2="02000000" w:usb3="00000000" w:csb0="2000019F" w:csb1="00000000"/>
    <w:embedRegular r:id="rId5" w:fontKey="{DA1AEC89-3986-4DA2-8FFF-8DF66D199D3B}"/>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Helvetica">
    <w:panose1 w:val="020B0504020202030204"/>
    <w:charset w:val="00"/>
    <w:family w:val="swiss"/>
    <w:pitch w:val="default"/>
    <w:sig w:usb0="00000007" w:usb1="00000000" w:usb2="00000000" w:usb3="00000000" w:csb0="00000093" w:csb1="00000000"/>
    <w:embedRegular r:id="rId6" w:fontKey="{BD8852FF-F9A7-4715-86FE-30B77B351260}"/>
  </w:font>
  <w:font w:name="方正小标宋简体">
    <w:panose1 w:val="02000000000000000000"/>
    <w:charset w:val="86"/>
    <w:family w:val="auto"/>
    <w:pitch w:val="default"/>
    <w:sig w:usb0="00000001" w:usb1="08000000" w:usb2="00000000" w:usb3="00000000" w:csb0="00040000" w:csb1="00000000"/>
    <w:embedRegular r:id="rId7" w:fontKey="{898818BA-711E-4306-8C6B-BDD765D6A272}"/>
  </w:font>
  <w:font w:name="Tahoma">
    <w:panose1 w:val="020B0604030504040204"/>
    <w:charset w:val="00"/>
    <w:family w:val="auto"/>
    <w:pitch w:val="default"/>
    <w:sig w:usb0="E1002EFF" w:usb1="C000605B" w:usb2="00000029" w:usb3="00000000" w:csb0="200101FF" w:csb1="20280000"/>
    <w:embedRegular r:id="rId8" w:fontKey="{DBB4B90E-CE3E-4748-A497-FD26AE9680E8}"/>
  </w:font>
  <w:font w:name="仿宋">
    <w:panose1 w:val="02010609060101010101"/>
    <w:charset w:val="86"/>
    <w:family w:val="auto"/>
    <w:pitch w:val="default"/>
    <w:sig w:usb0="800002BF" w:usb1="38CF7CFA" w:usb2="00000016" w:usb3="00000000" w:csb0="00040001" w:csb1="00000000"/>
    <w:embedRegular r:id="rId9" w:fontKey="{224A3BE5-54F2-4D8A-A68C-0BB1C5F94C2F}"/>
  </w:font>
  <w:font w:name="FangSong_GB2312">
    <w:altName w:val="仿宋_GB2312"/>
    <w:panose1 w:val="02010609060101010101"/>
    <w:charset w:val="86"/>
    <w:family w:val="modern"/>
    <w:pitch w:val="default"/>
    <w:sig w:usb0="00000000" w:usb1="00000000" w:usb2="00000016" w:usb3="00000000" w:csb0="00040001" w:csb1="00000000"/>
    <w:embedRegular r:id="rId10" w:fontKey="{C013995F-06BF-4FB5-B43A-90568335D8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2021">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8B26A">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38B26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AC56E">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7ADF5">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7B7ADF5">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EA1D4">
    <w:pPr>
      <w:pStyle w:val="17"/>
      <w:jc w:val="center"/>
      <w:rPr>
        <w:rFonts w:eastAsia="FangSong_GB2312"/>
        <w:sz w:val="18"/>
        <w:szCs w:val="18"/>
      </w:rPr>
    </w:pPr>
    <w:r>
      <w:rPr>
        <w:rFonts w:eastAsia="FangSong_GB2312"/>
        <w:sz w:val="18"/>
        <w:szCs w:val="18"/>
      </w:rPr>
      <w:fldChar w:fldCharType="begin"/>
    </w:r>
    <w:r>
      <w:rPr>
        <w:rFonts w:eastAsia="FangSong_GB2312"/>
        <w:sz w:val="18"/>
        <w:szCs w:val="18"/>
      </w:rPr>
      <w:instrText xml:space="preserve"> PAGE  \* MERGEFORMAT </w:instrText>
    </w:r>
    <w:r>
      <w:rPr>
        <w:rFonts w:eastAsia="FangSong_GB2312"/>
        <w:sz w:val="18"/>
        <w:szCs w:val="18"/>
      </w:rPr>
      <w:fldChar w:fldCharType="separate"/>
    </w:r>
    <w:r>
      <w:rPr>
        <w:sz w:val="18"/>
        <w:szCs w:val="18"/>
      </w:rPr>
      <w:t>26</w:t>
    </w:r>
    <w:r>
      <w:rPr>
        <w:rFonts w:eastAsia="FangSong_GB2312"/>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C4467">
    <w:pPr>
      <w:jc w:val="center"/>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CBFA">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A67B0">
                          <w:pPr>
                            <w:pStyle w:val="1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0A67B0">
                    <w:pPr>
                      <w:pStyle w:val="1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DD952">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078E">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B8AC">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B29C11F2"/>
    <w:multiLevelType w:val="singleLevel"/>
    <w:tmpl w:val="B29C11F2"/>
    <w:lvl w:ilvl="0" w:tentative="0">
      <w:start w:val="10"/>
      <w:numFmt w:val="decimal"/>
      <w:suff w:val="nothing"/>
      <w:lvlText w:val="（%1）"/>
      <w:lvlJc w:val="left"/>
    </w:lvl>
  </w:abstractNum>
  <w:abstractNum w:abstractNumId="2">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21A205B0"/>
    <w:multiLevelType w:val="singleLevel"/>
    <w:tmpl w:val="21A205B0"/>
    <w:lvl w:ilvl="0" w:tentative="0">
      <w:start w:val="2"/>
      <w:numFmt w:val="chineseCounting"/>
      <w:suff w:val="space"/>
      <w:lvlText w:val="第%1章"/>
      <w:lvlJc w:val="left"/>
      <w:rPr>
        <w:rFonts w:hint="eastAsia"/>
      </w:rPr>
    </w:lvl>
  </w:abstractNum>
  <w:abstractNum w:abstractNumId="5">
    <w:nsid w:val="6A53F4EB"/>
    <w:multiLevelType w:val="singleLevel"/>
    <w:tmpl w:val="6A53F4EB"/>
    <w:lvl w:ilvl="0" w:tentative="0">
      <w:start w:val="11"/>
      <w:numFmt w:val="decimal"/>
      <w:suff w:val="space"/>
      <w:lvlText w:val="%1."/>
      <w:lvlJc w:val="left"/>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1CDD"/>
    <w:rsid w:val="008F25AF"/>
    <w:rsid w:val="00921DE8"/>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0521C"/>
    <w:rsid w:val="02DC227F"/>
    <w:rsid w:val="02E80E6A"/>
    <w:rsid w:val="02E93C7C"/>
    <w:rsid w:val="02F76F90"/>
    <w:rsid w:val="032075CD"/>
    <w:rsid w:val="03244D3B"/>
    <w:rsid w:val="03361F3B"/>
    <w:rsid w:val="034828B8"/>
    <w:rsid w:val="03A41F96"/>
    <w:rsid w:val="03BE5C4F"/>
    <w:rsid w:val="03C57F1D"/>
    <w:rsid w:val="03D3354B"/>
    <w:rsid w:val="043C2B7C"/>
    <w:rsid w:val="045D6149"/>
    <w:rsid w:val="04631E56"/>
    <w:rsid w:val="047553ED"/>
    <w:rsid w:val="04832496"/>
    <w:rsid w:val="048838BB"/>
    <w:rsid w:val="04903C37"/>
    <w:rsid w:val="04924FE3"/>
    <w:rsid w:val="04A24CDA"/>
    <w:rsid w:val="04AF1326"/>
    <w:rsid w:val="04CD5D15"/>
    <w:rsid w:val="04E977A2"/>
    <w:rsid w:val="04FD0E31"/>
    <w:rsid w:val="050637A5"/>
    <w:rsid w:val="050B287F"/>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6EC222A"/>
    <w:rsid w:val="07245A59"/>
    <w:rsid w:val="0745028B"/>
    <w:rsid w:val="075A22F1"/>
    <w:rsid w:val="07AD2721"/>
    <w:rsid w:val="07AF6F49"/>
    <w:rsid w:val="07BB664B"/>
    <w:rsid w:val="07F82E00"/>
    <w:rsid w:val="082006F3"/>
    <w:rsid w:val="083C3003"/>
    <w:rsid w:val="08406DEA"/>
    <w:rsid w:val="085E4A09"/>
    <w:rsid w:val="086871CD"/>
    <w:rsid w:val="086E336F"/>
    <w:rsid w:val="087B43C8"/>
    <w:rsid w:val="0882554E"/>
    <w:rsid w:val="089112ED"/>
    <w:rsid w:val="08AD7237"/>
    <w:rsid w:val="08B531C4"/>
    <w:rsid w:val="08B74801"/>
    <w:rsid w:val="08E06F07"/>
    <w:rsid w:val="0903492F"/>
    <w:rsid w:val="090A71E9"/>
    <w:rsid w:val="0916122C"/>
    <w:rsid w:val="094B34E5"/>
    <w:rsid w:val="0950282C"/>
    <w:rsid w:val="09516912"/>
    <w:rsid w:val="099D12AF"/>
    <w:rsid w:val="09AD5E3C"/>
    <w:rsid w:val="09B12057"/>
    <w:rsid w:val="09C735AB"/>
    <w:rsid w:val="09D41DD9"/>
    <w:rsid w:val="09E6082E"/>
    <w:rsid w:val="09FB0360"/>
    <w:rsid w:val="0A312D88"/>
    <w:rsid w:val="0A443EE4"/>
    <w:rsid w:val="0A6842D0"/>
    <w:rsid w:val="0A6D405E"/>
    <w:rsid w:val="0A6F7F41"/>
    <w:rsid w:val="0A9C7D1B"/>
    <w:rsid w:val="0ADB0DD6"/>
    <w:rsid w:val="0AF95B2E"/>
    <w:rsid w:val="0AFA3F41"/>
    <w:rsid w:val="0B163B89"/>
    <w:rsid w:val="0B1A6F5A"/>
    <w:rsid w:val="0B311F83"/>
    <w:rsid w:val="0B5374D4"/>
    <w:rsid w:val="0B5934C2"/>
    <w:rsid w:val="0B667091"/>
    <w:rsid w:val="0B7023F3"/>
    <w:rsid w:val="0B903ADE"/>
    <w:rsid w:val="0B9628CE"/>
    <w:rsid w:val="0B9665C6"/>
    <w:rsid w:val="0BC2585F"/>
    <w:rsid w:val="0BC4602F"/>
    <w:rsid w:val="0BC50665"/>
    <w:rsid w:val="0BE0389B"/>
    <w:rsid w:val="0C03028C"/>
    <w:rsid w:val="0C3F5BB7"/>
    <w:rsid w:val="0C5636E2"/>
    <w:rsid w:val="0C770701"/>
    <w:rsid w:val="0C78199D"/>
    <w:rsid w:val="0C816B43"/>
    <w:rsid w:val="0CB060DE"/>
    <w:rsid w:val="0CB43D56"/>
    <w:rsid w:val="0CBA47E6"/>
    <w:rsid w:val="0CBF41E0"/>
    <w:rsid w:val="0CCC6BCF"/>
    <w:rsid w:val="0D001946"/>
    <w:rsid w:val="0D006A41"/>
    <w:rsid w:val="0D1A6DAB"/>
    <w:rsid w:val="0D236286"/>
    <w:rsid w:val="0D4357F1"/>
    <w:rsid w:val="0D4C6BDF"/>
    <w:rsid w:val="0D896A37"/>
    <w:rsid w:val="0D98311E"/>
    <w:rsid w:val="0DB22432"/>
    <w:rsid w:val="0DB92613"/>
    <w:rsid w:val="0DC3449B"/>
    <w:rsid w:val="0DE8206B"/>
    <w:rsid w:val="0DF13383"/>
    <w:rsid w:val="0E1D31AF"/>
    <w:rsid w:val="0E2E5189"/>
    <w:rsid w:val="0E3B3FA0"/>
    <w:rsid w:val="0E4531F0"/>
    <w:rsid w:val="0E5114F5"/>
    <w:rsid w:val="0E8A703D"/>
    <w:rsid w:val="0EB12B04"/>
    <w:rsid w:val="0EB8284C"/>
    <w:rsid w:val="0EBF4D9D"/>
    <w:rsid w:val="0EC853E9"/>
    <w:rsid w:val="0EDA48F5"/>
    <w:rsid w:val="0F37609A"/>
    <w:rsid w:val="0F5E7FAF"/>
    <w:rsid w:val="0F666CCA"/>
    <w:rsid w:val="0F801C32"/>
    <w:rsid w:val="0FC73BE9"/>
    <w:rsid w:val="0FDD010F"/>
    <w:rsid w:val="0FEC00EE"/>
    <w:rsid w:val="0FEE6836"/>
    <w:rsid w:val="101A1FFE"/>
    <w:rsid w:val="105253A5"/>
    <w:rsid w:val="10574280"/>
    <w:rsid w:val="108A2DF9"/>
    <w:rsid w:val="109218D9"/>
    <w:rsid w:val="109501C0"/>
    <w:rsid w:val="10A1515D"/>
    <w:rsid w:val="10AB7642"/>
    <w:rsid w:val="10B637C0"/>
    <w:rsid w:val="10E66141"/>
    <w:rsid w:val="10EB474A"/>
    <w:rsid w:val="11170ED8"/>
    <w:rsid w:val="11347157"/>
    <w:rsid w:val="11467149"/>
    <w:rsid w:val="114E2AEE"/>
    <w:rsid w:val="115B567E"/>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81DF4"/>
    <w:rsid w:val="13CF3AB0"/>
    <w:rsid w:val="14034BB8"/>
    <w:rsid w:val="14236617"/>
    <w:rsid w:val="14405D22"/>
    <w:rsid w:val="1444201F"/>
    <w:rsid w:val="14990D44"/>
    <w:rsid w:val="149E3AC3"/>
    <w:rsid w:val="14BE5716"/>
    <w:rsid w:val="14C34F24"/>
    <w:rsid w:val="14EB19FB"/>
    <w:rsid w:val="14F670A8"/>
    <w:rsid w:val="151F00E8"/>
    <w:rsid w:val="153170A0"/>
    <w:rsid w:val="153C1486"/>
    <w:rsid w:val="1574696E"/>
    <w:rsid w:val="15907FBE"/>
    <w:rsid w:val="15BD2C4B"/>
    <w:rsid w:val="15C15585"/>
    <w:rsid w:val="15C6474A"/>
    <w:rsid w:val="15D613A5"/>
    <w:rsid w:val="15D762E2"/>
    <w:rsid w:val="15F232AA"/>
    <w:rsid w:val="15F46539"/>
    <w:rsid w:val="15F815D5"/>
    <w:rsid w:val="161E3C66"/>
    <w:rsid w:val="16326427"/>
    <w:rsid w:val="16433642"/>
    <w:rsid w:val="16441BC9"/>
    <w:rsid w:val="164A3658"/>
    <w:rsid w:val="164E4553"/>
    <w:rsid w:val="16621C8D"/>
    <w:rsid w:val="1665243A"/>
    <w:rsid w:val="167E64D5"/>
    <w:rsid w:val="16950C3B"/>
    <w:rsid w:val="16A13E1C"/>
    <w:rsid w:val="16E35DCD"/>
    <w:rsid w:val="16E77B3D"/>
    <w:rsid w:val="16F23CD8"/>
    <w:rsid w:val="16FA4E2C"/>
    <w:rsid w:val="171C17FB"/>
    <w:rsid w:val="171D46C2"/>
    <w:rsid w:val="171F74F7"/>
    <w:rsid w:val="17580A4C"/>
    <w:rsid w:val="17593127"/>
    <w:rsid w:val="17607065"/>
    <w:rsid w:val="176F2E6E"/>
    <w:rsid w:val="17716EB9"/>
    <w:rsid w:val="17863661"/>
    <w:rsid w:val="17A24DB8"/>
    <w:rsid w:val="17A941B6"/>
    <w:rsid w:val="17E2165E"/>
    <w:rsid w:val="180C7126"/>
    <w:rsid w:val="181C7503"/>
    <w:rsid w:val="18236833"/>
    <w:rsid w:val="18333BE2"/>
    <w:rsid w:val="185C0A48"/>
    <w:rsid w:val="18664E5B"/>
    <w:rsid w:val="18776039"/>
    <w:rsid w:val="188305B7"/>
    <w:rsid w:val="18836AA1"/>
    <w:rsid w:val="1910625E"/>
    <w:rsid w:val="191C7213"/>
    <w:rsid w:val="1977008B"/>
    <w:rsid w:val="19813A83"/>
    <w:rsid w:val="19845EE9"/>
    <w:rsid w:val="199D157A"/>
    <w:rsid w:val="199D5C40"/>
    <w:rsid w:val="19A940E1"/>
    <w:rsid w:val="19BA6784"/>
    <w:rsid w:val="19E80221"/>
    <w:rsid w:val="1A0B3DC0"/>
    <w:rsid w:val="1A2F6BB8"/>
    <w:rsid w:val="1A397664"/>
    <w:rsid w:val="1A3F6DFB"/>
    <w:rsid w:val="1A700B7C"/>
    <w:rsid w:val="1A9C70C5"/>
    <w:rsid w:val="1AB8269D"/>
    <w:rsid w:val="1AE41258"/>
    <w:rsid w:val="1AEB00AB"/>
    <w:rsid w:val="1B070751"/>
    <w:rsid w:val="1B090479"/>
    <w:rsid w:val="1B093739"/>
    <w:rsid w:val="1B093B1D"/>
    <w:rsid w:val="1B305F40"/>
    <w:rsid w:val="1B356C3A"/>
    <w:rsid w:val="1B3A401D"/>
    <w:rsid w:val="1B4B17D0"/>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92A10"/>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EEA2F16"/>
    <w:rsid w:val="1F5C5D3E"/>
    <w:rsid w:val="1F5E1AA4"/>
    <w:rsid w:val="1F655403"/>
    <w:rsid w:val="1F7171A3"/>
    <w:rsid w:val="1F807C45"/>
    <w:rsid w:val="1F86142A"/>
    <w:rsid w:val="1F8D47B9"/>
    <w:rsid w:val="1F8E2E26"/>
    <w:rsid w:val="1F905D42"/>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3425F"/>
    <w:rsid w:val="22001A09"/>
    <w:rsid w:val="22096FE7"/>
    <w:rsid w:val="221E50FA"/>
    <w:rsid w:val="222D1D02"/>
    <w:rsid w:val="227B4DAD"/>
    <w:rsid w:val="22AD31A5"/>
    <w:rsid w:val="22B4097F"/>
    <w:rsid w:val="22B5662B"/>
    <w:rsid w:val="22B64134"/>
    <w:rsid w:val="22D15291"/>
    <w:rsid w:val="22F22FF9"/>
    <w:rsid w:val="2302130E"/>
    <w:rsid w:val="230F42A2"/>
    <w:rsid w:val="231247D0"/>
    <w:rsid w:val="23141D1B"/>
    <w:rsid w:val="231470B2"/>
    <w:rsid w:val="23260413"/>
    <w:rsid w:val="232E5C5F"/>
    <w:rsid w:val="234571CE"/>
    <w:rsid w:val="236B31BC"/>
    <w:rsid w:val="236D4D88"/>
    <w:rsid w:val="237B3D5E"/>
    <w:rsid w:val="237D3953"/>
    <w:rsid w:val="23856F77"/>
    <w:rsid w:val="239177CA"/>
    <w:rsid w:val="23961D95"/>
    <w:rsid w:val="23CB3857"/>
    <w:rsid w:val="23F35D0C"/>
    <w:rsid w:val="23FA7E69"/>
    <w:rsid w:val="241412F8"/>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9321D"/>
    <w:rsid w:val="262D2DD3"/>
    <w:rsid w:val="26322B7B"/>
    <w:rsid w:val="26361BCE"/>
    <w:rsid w:val="264A53DE"/>
    <w:rsid w:val="26501172"/>
    <w:rsid w:val="265509DB"/>
    <w:rsid w:val="26565B0A"/>
    <w:rsid w:val="26616E22"/>
    <w:rsid w:val="266B1340"/>
    <w:rsid w:val="2670250C"/>
    <w:rsid w:val="267257B3"/>
    <w:rsid w:val="267A636E"/>
    <w:rsid w:val="26845D15"/>
    <w:rsid w:val="268D7140"/>
    <w:rsid w:val="269711B9"/>
    <w:rsid w:val="26B26A7B"/>
    <w:rsid w:val="26BD6D0E"/>
    <w:rsid w:val="26D121AE"/>
    <w:rsid w:val="26E873DA"/>
    <w:rsid w:val="270933F2"/>
    <w:rsid w:val="27187560"/>
    <w:rsid w:val="27290C01"/>
    <w:rsid w:val="272A0C68"/>
    <w:rsid w:val="273D765A"/>
    <w:rsid w:val="27433C4E"/>
    <w:rsid w:val="27665E21"/>
    <w:rsid w:val="27736981"/>
    <w:rsid w:val="277C2603"/>
    <w:rsid w:val="278230B3"/>
    <w:rsid w:val="279961FC"/>
    <w:rsid w:val="27AE44D5"/>
    <w:rsid w:val="27B75E91"/>
    <w:rsid w:val="27D80610"/>
    <w:rsid w:val="27E72880"/>
    <w:rsid w:val="27F52732"/>
    <w:rsid w:val="27F938F7"/>
    <w:rsid w:val="280944AF"/>
    <w:rsid w:val="282646EC"/>
    <w:rsid w:val="282C6E8B"/>
    <w:rsid w:val="283C2BCC"/>
    <w:rsid w:val="2855489F"/>
    <w:rsid w:val="28662581"/>
    <w:rsid w:val="28687751"/>
    <w:rsid w:val="286B4291"/>
    <w:rsid w:val="288A1B89"/>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5916A8"/>
    <w:rsid w:val="2A652BD4"/>
    <w:rsid w:val="2A6C420C"/>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DD2828"/>
    <w:rsid w:val="2D1D294F"/>
    <w:rsid w:val="2D28535E"/>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403E2"/>
    <w:rsid w:val="2E451A7C"/>
    <w:rsid w:val="2E4C1EBA"/>
    <w:rsid w:val="2EAE301C"/>
    <w:rsid w:val="2ED36202"/>
    <w:rsid w:val="2EE13B2F"/>
    <w:rsid w:val="2EE15691"/>
    <w:rsid w:val="2F1F4FB0"/>
    <w:rsid w:val="2F4A5657"/>
    <w:rsid w:val="2F4D6B27"/>
    <w:rsid w:val="2F543A38"/>
    <w:rsid w:val="2F553B82"/>
    <w:rsid w:val="2F7B59FE"/>
    <w:rsid w:val="2F7D2448"/>
    <w:rsid w:val="2F9C2E37"/>
    <w:rsid w:val="2FB000FC"/>
    <w:rsid w:val="2FC1191E"/>
    <w:rsid w:val="2FC93316"/>
    <w:rsid w:val="2FCC5583"/>
    <w:rsid w:val="2FD61001"/>
    <w:rsid w:val="300852DE"/>
    <w:rsid w:val="301902C6"/>
    <w:rsid w:val="30464020"/>
    <w:rsid w:val="30497A4F"/>
    <w:rsid w:val="306B512F"/>
    <w:rsid w:val="306D5C41"/>
    <w:rsid w:val="30A83EC2"/>
    <w:rsid w:val="30B80D4C"/>
    <w:rsid w:val="30BD2B5F"/>
    <w:rsid w:val="30C114AB"/>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274807"/>
    <w:rsid w:val="37712166"/>
    <w:rsid w:val="37734130"/>
    <w:rsid w:val="37936580"/>
    <w:rsid w:val="37A34A15"/>
    <w:rsid w:val="37A52ECC"/>
    <w:rsid w:val="37A54714"/>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8E5C34"/>
    <w:rsid w:val="3C9A335A"/>
    <w:rsid w:val="3CAD3C40"/>
    <w:rsid w:val="3CBB635D"/>
    <w:rsid w:val="3CC05722"/>
    <w:rsid w:val="3CDC396E"/>
    <w:rsid w:val="3CF248ED"/>
    <w:rsid w:val="3D0D4A0D"/>
    <w:rsid w:val="3D312940"/>
    <w:rsid w:val="3D681D5A"/>
    <w:rsid w:val="3D6A1C0B"/>
    <w:rsid w:val="3D6C76C2"/>
    <w:rsid w:val="3D8D6ED1"/>
    <w:rsid w:val="3D8F3E21"/>
    <w:rsid w:val="3DC31ADA"/>
    <w:rsid w:val="3DFD7731"/>
    <w:rsid w:val="3E0C733A"/>
    <w:rsid w:val="3E356E35"/>
    <w:rsid w:val="3E492A9D"/>
    <w:rsid w:val="3E874902"/>
    <w:rsid w:val="3E921361"/>
    <w:rsid w:val="3EA96219"/>
    <w:rsid w:val="3EB06A0E"/>
    <w:rsid w:val="3EB31640"/>
    <w:rsid w:val="3EB54AE2"/>
    <w:rsid w:val="3EB92D62"/>
    <w:rsid w:val="3EF16D0C"/>
    <w:rsid w:val="3F15023A"/>
    <w:rsid w:val="3F2476CE"/>
    <w:rsid w:val="3F273217"/>
    <w:rsid w:val="3F2A77CA"/>
    <w:rsid w:val="3F36616F"/>
    <w:rsid w:val="3F5C67E0"/>
    <w:rsid w:val="3F6046C3"/>
    <w:rsid w:val="3F816C8A"/>
    <w:rsid w:val="3FA93691"/>
    <w:rsid w:val="3FC568AC"/>
    <w:rsid w:val="3FD0385B"/>
    <w:rsid w:val="3FD16045"/>
    <w:rsid w:val="3FD417C3"/>
    <w:rsid w:val="3FE6347C"/>
    <w:rsid w:val="4024246B"/>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3B5CBF"/>
    <w:rsid w:val="415C5513"/>
    <w:rsid w:val="41661CEC"/>
    <w:rsid w:val="417304D2"/>
    <w:rsid w:val="41756B51"/>
    <w:rsid w:val="41784401"/>
    <w:rsid w:val="41B67760"/>
    <w:rsid w:val="4200486D"/>
    <w:rsid w:val="42084854"/>
    <w:rsid w:val="420A4AA8"/>
    <w:rsid w:val="421B33FA"/>
    <w:rsid w:val="42204EB5"/>
    <w:rsid w:val="422E54B9"/>
    <w:rsid w:val="42341E3D"/>
    <w:rsid w:val="423C231C"/>
    <w:rsid w:val="424E5D3B"/>
    <w:rsid w:val="42894103"/>
    <w:rsid w:val="42DA35EB"/>
    <w:rsid w:val="42DC1373"/>
    <w:rsid w:val="42EB5F3F"/>
    <w:rsid w:val="42EE4ACA"/>
    <w:rsid w:val="433B4FAD"/>
    <w:rsid w:val="43494E83"/>
    <w:rsid w:val="434A1ED7"/>
    <w:rsid w:val="434B5F61"/>
    <w:rsid w:val="43715868"/>
    <w:rsid w:val="437769C4"/>
    <w:rsid w:val="439452CD"/>
    <w:rsid w:val="43987C3E"/>
    <w:rsid w:val="43DF168F"/>
    <w:rsid w:val="43F70347"/>
    <w:rsid w:val="440D2A75"/>
    <w:rsid w:val="44151500"/>
    <w:rsid w:val="44225771"/>
    <w:rsid w:val="442E2C0A"/>
    <w:rsid w:val="443415E8"/>
    <w:rsid w:val="44471AAC"/>
    <w:rsid w:val="447C2777"/>
    <w:rsid w:val="4491321B"/>
    <w:rsid w:val="449604FB"/>
    <w:rsid w:val="449A2A3E"/>
    <w:rsid w:val="44C0114A"/>
    <w:rsid w:val="44CA2639"/>
    <w:rsid w:val="44D50E68"/>
    <w:rsid w:val="44E25F72"/>
    <w:rsid w:val="44E32866"/>
    <w:rsid w:val="44EB189F"/>
    <w:rsid w:val="44ED3CA5"/>
    <w:rsid w:val="44EE129A"/>
    <w:rsid w:val="44F867C4"/>
    <w:rsid w:val="44FD7B3F"/>
    <w:rsid w:val="451136F6"/>
    <w:rsid w:val="45127E77"/>
    <w:rsid w:val="451417BD"/>
    <w:rsid w:val="45355F69"/>
    <w:rsid w:val="45387544"/>
    <w:rsid w:val="453975C8"/>
    <w:rsid w:val="453B0148"/>
    <w:rsid w:val="453B36EE"/>
    <w:rsid w:val="45611A6C"/>
    <w:rsid w:val="45681A93"/>
    <w:rsid w:val="458047D3"/>
    <w:rsid w:val="459020E6"/>
    <w:rsid w:val="45BF7797"/>
    <w:rsid w:val="45DB76CD"/>
    <w:rsid w:val="45EB5B41"/>
    <w:rsid w:val="45FC5122"/>
    <w:rsid w:val="4608625E"/>
    <w:rsid w:val="460E37F4"/>
    <w:rsid w:val="46284338"/>
    <w:rsid w:val="462E28FA"/>
    <w:rsid w:val="463D21F4"/>
    <w:rsid w:val="4674757D"/>
    <w:rsid w:val="46A9191C"/>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496DCE"/>
    <w:rsid w:val="496443D5"/>
    <w:rsid w:val="498D72D3"/>
    <w:rsid w:val="49A25D9E"/>
    <w:rsid w:val="49A96B07"/>
    <w:rsid w:val="49C51CAF"/>
    <w:rsid w:val="49F53957"/>
    <w:rsid w:val="4A1E3E10"/>
    <w:rsid w:val="4A2057D5"/>
    <w:rsid w:val="4A2A06C4"/>
    <w:rsid w:val="4A4A11FE"/>
    <w:rsid w:val="4A6819DC"/>
    <w:rsid w:val="4A8A479E"/>
    <w:rsid w:val="4A8F0E29"/>
    <w:rsid w:val="4A902D26"/>
    <w:rsid w:val="4AC17322"/>
    <w:rsid w:val="4AEB7F8C"/>
    <w:rsid w:val="4B017B7E"/>
    <w:rsid w:val="4B1506E1"/>
    <w:rsid w:val="4B182BCD"/>
    <w:rsid w:val="4B2E3F72"/>
    <w:rsid w:val="4B341A2A"/>
    <w:rsid w:val="4B375FBE"/>
    <w:rsid w:val="4B3B7B1E"/>
    <w:rsid w:val="4B414BEA"/>
    <w:rsid w:val="4B587F93"/>
    <w:rsid w:val="4B7103C2"/>
    <w:rsid w:val="4B812B8E"/>
    <w:rsid w:val="4B85737C"/>
    <w:rsid w:val="4B9F74CF"/>
    <w:rsid w:val="4BA34B8C"/>
    <w:rsid w:val="4BD22165"/>
    <w:rsid w:val="4BE6443D"/>
    <w:rsid w:val="4C073223"/>
    <w:rsid w:val="4C1A464A"/>
    <w:rsid w:val="4C274913"/>
    <w:rsid w:val="4C941131"/>
    <w:rsid w:val="4CA14D01"/>
    <w:rsid w:val="4CAC3D23"/>
    <w:rsid w:val="4CBB0999"/>
    <w:rsid w:val="4CCF792C"/>
    <w:rsid w:val="4CED7708"/>
    <w:rsid w:val="4CFB7F38"/>
    <w:rsid w:val="4CFE7AD0"/>
    <w:rsid w:val="4D033455"/>
    <w:rsid w:val="4D10719D"/>
    <w:rsid w:val="4D2211D8"/>
    <w:rsid w:val="4D250288"/>
    <w:rsid w:val="4D381304"/>
    <w:rsid w:val="4D583F97"/>
    <w:rsid w:val="4D725764"/>
    <w:rsid w:val="4DC002E1"/>
    <w:rsid w:val="4DC07059"/>
    <w:rsid w:val="4DC332C4"/>
    <w:rsid w:val="4DD44A19"/>
    <w:rsid w:val="4DE75FC1"/>
    <w:rsid w:val="4E23527B"/>
    <w:rsid w:val="4E3721BB"/>
    <w:rsid w:val="4E6E58E7"/>
    <w:rsid w:val="4E9B5FEF"/>
    <w:rsid w:val="4EA551CE"/>
    <w:rsid w:val="4EA57992"/>
    <w:rsid w:val="4EBE2807"/>
    <w:rsid w:val="4EC86811"/>
    <w:rsid w:val="4F112BD8"/>
    <w:rsid w:val="4F2359D6"/>
    <w:rsid w:val="4F27534F"/>
    <w:rsid w:val="4F3A6B04"/>
    <w:rsid w:val="4F6621C1"/>
    <w:rsid w:val="4F69181E"/>
    <w:rsid w:val="4F9A2167"/>
    <w:rsid w:val="4FD0029E"/>
    <w:rsid w:val="4FD96283"/>
    <w:rsid w:val="4FEA6A82"/>
    <w:rsid w:val="502B1AD6"/>
    <w:rsid w:val="50596932"/>
    <w:rsid w:val="50731A41"/>
    <w:rsid w:val="50833C49"/>
    <w:rsid w:val="50880633"/>
    <w:rsid w:val="508F5958"/>
    <w:rsid w:val="509F4C2A"/>
    <w:rsid w:val="50A32944"/>
    <w:rsid w:val="50A32F39"/>
    <w:rsid w:val="50C37B52"/>
    <w:rsid w:val="50D650BC"/>
    <w:rsid w:val="50DD469C"/>
    <w:rsid w:val="50E26118"/>
    <w:rsid w:val="50E41AF7"/>
    <w:rsid w:val="50EC3EA9"/>
    <w:rsid w:val="50ED0E10"/>
    <w:rsid w:val="51053BF3"/>
    <w:rsid w:val="511931FB"/>
    <w:rsid w:val="513B0119"/>
    <w:rsid w:val="513C7D41"/>
    <w:rsid w:val="515A0C65"/>
    <w:rsid w:val="515E27BB"/>
    <w:rsid w:val="518C4D4D"/>
    <w:rsid w:val="51A45F6D"/>
    <w:rsid w:val="51AA4F17"/>
    <w:rsid w:val="51B907B6"/>
    <w:rsid w:val="51DF0CDF"/>
    <w:rsid w:val="51E30B98"/>
    <w:rsid w:val="51E97071"/>
    <w:rsid w:val="51F20B5F"/>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1E5096"/>
    <w:rsid w:val="53311A2E"/>
    <w:rsid w:val="5366484D"/>
    <w:rsid w:val="53731EF1"/>
    <w:rsid w:val="53733493"/>
    <w:rsid w:val="53912B90"/>
    <w:rsid w:val="53A5684B"/>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0404A9"/>
    <w:rsid w:val="5714339A"/>
    <w:rsid w:val="5717042A"/>
    <w:rsid w:val="571A1A7B"/>
    <w:rsid w:val="57267BD0"/>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717E7"/>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001BD"/>
    <w:rsid w:val="59E75FD1"/>
    <w:rsid w:val="5A065F4B"/>
    <w:rsid w:val="5A0B1C28"/>
    <w:rsid w:val="5A2255E6"/>
    <w:rsid w:val="5A317807"/>
    <w:rsid w:val="5A5D5D65"/>
    <w:rsid w:val="5A851E01"/>
    <w:rsid w:val="5A8F2EB6"/>
    <w:rsid w:val="5AA15ABA"/>
    <w:rsid w:val="5AB06C76"/>
    <w:rsid w:val="5AC07644"/>
    <w:rsid w:val="5AF63E2E"/>
    <w:rsid w:val="5B070568"/>
    <w:rsid w:val="5B1128EC"/>
    <w:rsid w:val="5B29025F"/>
    <w:rsid w:val="5B3143F9"/>
    <w:rsid w:val="5B351579"/>
    <w:rsid w:val="5B503CB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16DE5"/>
    <w:rsid w:val="5D9B1497"/>
    <w:rsid w:val="5DA43D6D"/>
    <w:rsid w:val="5DDC51F6"/>
    <w:rsid w:val="5DE3422A"/>
    <w:rsid w:val="5E05130E"/>
    <w:rsid w:val="5E135B29"/>
    <w:rsid w:val="5E1A697B"/>
    <w:rsid w:val="5E466F37"/>
    <w:rsid w:val="5E4E0751"/>
    <w:rsid w:val="5E6A0CC2"/>
    <w:rsid w:val="5E845B3F"/>
    <w:rsid w:val="5E8D1899"/>
    <w:rsid w:val="5E9B47BF"/>
    <w:rsid w:val="5ED063E1"/>
    <w:rsid w:val="5EF4213A"/>
    <w:rsid w:val="5EF778DD"/>
    <w:rsid w:val="5F012051"/>
    <w:rsid w:val="5F150F5D"/>
    <w:rsid w:val="5F151A68"/>
    <w:rsid w:val="5F1E594E"/>
    <w:rsid w:val="5F2306D2"/>
    <w:rsid w:val="5F27034A"/>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2B47A9"/>
    <w:rsid w:val="61301AB6"/>
    <w:rsid w:val="613E3C59"/>
    <w:rsid w:val="61717233"/>
    <w:rsid w:val="61734481"/>
    <w:rsid w:val="61842912"/>
    <w:rsid w:val="619513BF"/>
    <w:rsid w:val="61A55E2E"/>
    <w:rsid w:val="61B90EE2"/>
    <w:rsid w:val="61C34C9F"/>
    <w:rsid w:val="61CF1FDD"/>
    <w:rsid w:val="61FA205F"/>
    <w:rsid w:val="620D15FF"/>
    <w:rsid w:val="624F2F20"/>
    <w:rsid w:val="626C2C39"/>
    <w:rsid w:val="626F1225"/>
    <w:rsid w:val="627A61C5"/>
    <w:rsid w:val="62841CE0"/>
    <w:rsid w:val="62957E19"/>
    <w:rsid w:val="62A12AD9"/>
    <w:rsid w:val="62B524F7"/>
    <w:rsid w:val="62E513AE"/>
    <w:rsid w:val="62EF4D57"/>
    <w:rsid w:val="62F1602A"/>
    <w:rsid w:val="630860C9"/>
    <w:rsid w:val="63203A10"/>
    <w:rsid w:val="6321699F"/>
    <w:rsid w:val="63360CF0"/>
    <w:rsid w:val="63554E4D"/>
    <w:rsid w:val="63652DBD"/>
    <w:rsid w:val="63687E84"/>
    <w:rsid w:val="637257E9"/>
    <w:rsid w:val="63951967"/>
    <w:rsid w:val="63B50F8C"/>
    <w:rsid w:val="63D22FCA"/>
    <w:rsid w:val="63E27F79"/>
    <w:rsid w:val="63F44780"/>
    <w:rsid w:val="63F4777B"/>
    <w:rsid w:val="640E61DB"/>
    <w:rsid w:val="641206A9"/>
    <w:rsid w:val="643D1673"/>
    <w:rsid w:val="64545838"/>
    <w:rsid w:val="64575064"/>
    <w:rsid w:val="645F02B5"/>
    <w:rsid w:val="64681B01"/>
    <w:rsid w:val="64867FEE"/>
    <w:rsid w:val="649007B3"/>
    <w:rsid w:val="64906A84"/>
    <w:rsid w:val="64973DF9"/>
    <w:rsid w:val="64AE06FA"/>
    <w:rsid w:val="64D401A5"/>
    <w:rsid w:val="65024685"/>
    <w:rsid w:val="652A7FEB"/>
    <w:rsid w:val="652B00E3"/>
    <w:rsid w:val="65535A5A"/>
    <w:rsid w:val="658D5BFA"/>
    <w:rsid w:val="659361E9"/>
    <w:rsid w:val="659D0DEE"/>
    <w:rsid w:val="65A6262A"/>
    <w:rsid w:val="65D219C2"/>
    <w:rsid w:val="65D21E1C"/>
    <w:rsid w:val="65DA54B3"/>
    <w:rsid w:val="65F549BD"/>
    <w:rsid w:val="65FB4D18"/>
    <w:rsid w:val="660A7073"/>
    <w:rsid w:val="660E3C9E"/>
    <w:rsid w:val="66164CE6"/>
    <w:rsid w:val="66425F55"/>
    <w:rsid w:val="664E5D65"/>
    <w:rsid w:val="665C5C0C"/>
    <w:rsid w:val="66BF254A"/>
    <w:rsid w:val="66E10ADE"/>
    <w:rsid w:val="66EE49DE"/>
    <w:rsid w:val="6764746E"/>
    <w:rsid w:val="676F09D5"/>
    <w:rsid w:val="67790849"/>
    <w:rsid w:val="67AA7DCF"/>
    <w:rsid w:val="67B34464"/>
    <w:rsid w:val="67BD22B9"/>
    <w:rsid w:val="67FE1162"/>
    <w:rsid w:val="681B0E12"/>
    <w:rsid w:val="682B7285"/>
    <w:rsid w:val="688F28E2"/>
    <w:rsid w:val="68A11DD7"/>
    <w:rsid w:val="68A51FB8"/>
    <w:rsid w:val="68B731E7"/>
    <w:rsid w:val="68DB53E7"/>
    <w:rsid w:val="68EA3016"/>
    <w:rsid w:val="68EB7ABC"/>
    <w:rsid w:val="69062705"/>
    <w:rsid w:val="691B0B6B"/>
    <w:rsid w:val="69782CD3"/>
    <w:rsid w:val="697F5EFC"/>
    <w:rsid w:val="698A7439"/>
    <w:rsid w:val="69936875"/>
    <w:rsid w:val="69964E32"/>
    <w:rsid w:val="69AE114D"/>
    <w:rsid w:val="69DC7E67"/>
    <w:rsid w:val="69E80350"/>
    <w:rsid w:val="69EF047B"/>
    <w:rsid w:val="69FB1963"/>
    <w:rsid w:val="6A087387"/>
    <w:rsid w:val="6A12703C"/>
    <w:rsid w:val="6A1D56B2"/>
    <w:rsid w:val="6A2B6FC3"/>
    <w:rsid w:val="6A2E3D63"/>
    <w:rsid w:val="6A3A339B"/>
    <w:rsid w:val="6A3A5E65"/>
    <w:rsid w:val="6A5C2B3B"/>
    <w:rsid w:val="6A6F1C4C"/>
    <w:rsid w:val="6A7202DC"/>
    <w:rsid w:val="6AA45DD3"/>
    <w:rsid w:val="6AA74E35"/>
    <w:rsid w:val="6AC6225B"/>
    <w:rsid w:val="6B505BBB"/>
    <w:rsid w:val="6B6333A7"/>
    <w:rsid w:val="6B9076EB"/>
    <w:rsid w:val="6BCA5C39"/>
    <w:rsid w:val="6BE02E3B"/>
    <w:rsid w:val="6BE27CF9"/>
    <w:rsid w:val="6C2B32C6"/>
    <w:rsid w:val="6C2D1409"/>
    <w:rsid w:val="6C2D7D63"/>
    <w:rsid w:val="6C3206C8"/>
    <w:rsid w:val="6C357AB5"/>
    <w:rsid w:val="6C3628E8"/>
    <w:rsid w:val="6C3934B6"/>
    <w:rsid w:val="6C577FF8"/>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4676F5"/>
    <w:rsid w:val="6E5D69C5"/>
    <w:rsid w:val="6E6903A5"/>
    <w:rsid w:val="6E9905B2"/>
    <w:rsid w:val="6EB87125"/>
    <w:rsid w:val="6EBB6069"/>
    <w:rsid w:val="6EBB7EF6"/>
    <w:rsid w:val="6EC11D71"/>
    <w:rsid w:val="6EC407F2"/>
    <w:rsid w:val="6EC647CC"/>
    <w:rsid w:val="6ED3687D"/>
    <w:rsid w:val="6EEB4982"/>
    <w:rsid w:val="6F1222C5"/>
    <w:rsid w:val="6F161214"/>
    <w:rsid w:val="6F317DD0"/>
    <w:rsid w:val="6F322D6E"/>
    <w:rsid w:val="6F3A0D2D"/>
    <w:rsid w:val="6F3E040D"/>
    <w:rsid w:val="6F710F7D"/>
    <w:rsid w:val="6F757BA3"/>
    <w:rsid w:val="6F794E16"/>
    <w:rsid w:val="6F8E0F7C"/>
    <w:rsid w:val="6FA611F9"/>
    <w:rsid w:val="6FA813AA"/>
    <w:rsid w:val="6FAF019B"/>
    <w:rsid w:val="6FB202FC"/>
    <w:rsid w:val="6FBA5851"/>
    <w:rsid w:val="6FD431BC"/>
    <w:rsid w:val="6FD64D8A"/>
    <w:rsid w:val="704D5E2D"/>
    <w:rsid w:val="705B1FF4"/>
    <w:rsid w:val="70934920"/>
    <w:rsid w:val="709649ED"/>
    <w:rsid w:val="70A84AD3"/>
    <w:rsid w:val="70AE3508"/>
    <w:rsid w:val="70B351A6"/>
    <w:rsid w:val="70BF773C"/>
    <w:rsid w:val="70C41831"/>
    <w:rsid w:val="70CF7DE8"/>
    <w:rsid w:val="70E94F37"/>
    <w:rsid w:val="7117334E"/>
    <w:rsid w:val="711F7F62"/>
    <w:rsid w:val="712719C8"/>
    <w:rsid w:val="71336359"/>
    <w:rsid w:val="713B523C"/>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C641CB"/>
    <w:rsid w:val="72EF7206"/>
    <w:rsid w:val="7303055F"/>
    <w:rsid w:val="73032A0D"/>
    <w:rsid w:val="731F3B82"/>
    <w:rsid w:val="733D0DD5"/>
    <w:rsid w:val="734D21A1"/>
    <w:rsid w:val="73836ECE"/>
    <w:rsid w:val="738A025C"/>
    <w:rsid w:val="73C67500"/>
    <w:rsid w:val="73C864B5"/>
    <w:rsid w:val="73DE7E71"/>
    <w:rsid w:val="73F456D6"/>
    <w:rsid w:val="74087657"/>
    <w:rsid w:val="743656BE"/>
    <w:rsid w:val="744D411F"/>
    <w:rsid w:val="745C2CF4"/>
    <w:rsid w:val="74641182"/>
    <w:rsid w:val="74744A68"/>
    <w:rsid w:val="749D4770"/>
    <w:rsid w:val="74A622B2"/>
    <w:rsid w:val="74B50C75"/>
    <w:rsid w:val="74BE5CD1"/>
    <w:rsid w:val="74D43FCD"/>
    <w:rsid w:val="74D736BD"/>
    <w:rsid w:val="74E403D4"/>
    <w:rsid w:val="74EA6DE6"/>
    <w:rsid w:val="74FC6F38"/>
    <w:rsid w:val="74FE3413"/>
    <w:rsid w:val="751029AE"/>
    <w:rsid w:val="751111C4"/>
    <w:rsid w:val="751C7514"/>
    <w:rsid w:val="753649D0"/>
    <w:rsid w:val="756A1040"/>
    <w:rsid w:val="75921044"/>
    <w:rsid w:val="75970512"/>
    <w:rsid w:val="759944E1"/>
    <w:rsid w:val="759B5199"/>
    <w:rsid w:val="75BB6B8A"/>
    <w:rsid w:val="75E51BAC"/>
    <w:rsid w:val="76053BCA"/>
    <w:rsid w:val="76073EC6"/>
    <w:rsid w:val="761A6BC1"/>
    <w:rsid w:val="763E74B8"/>
    <w:rsid w:val="765C476B"/>
    <w:rsid w:val="765D6FD0"/>
    <w:rsid w:val="76764904"/>
    <w:rsid w:val="76952171"/>
    <w:rsid w:val="76B7564F"/>
    <w:rsid w:val="76BA690C"/>
    <w:rsid w:val="76EF17B7"/>
    <w:rsid w:val="76F00025"/>
    <w:rsid w:val="76F275B7"/>
    <w:rsid w:val="77057570"/>
    <w:rsid w:val="773118FC"/>
    <w:rsid w:val="77313A2D"/>
    <w:rsid w:val="774A6DC8"/>
    <w:rsid w:val="77503EB2"/>
    <w:rsid w:val="77752D13"/>
    <w:rsid w:val="77953B9B"/>
    <w:rsid w:val="77CD4DD9"/>
    <w:rsid w:val="77DD0A83"/>
    <w:rsid w:val="77EB51F5"/>
    <w:rsid w:val="77F2017E"/>
    <w:rsid w:val="77FA423A"/>
    <w:rsid w:val="78005019"/>
    <w:rsid w:val="78092CC0"/>
    <w:rsid w:val="780C2435"/>
    <w:rsid w:val="7825164E"/>
    <w:rsid w:val="782A0B51"/>
    <w:rsid w:val="78353363"/>
    <w:rsid w:val="783A31FE"/>
    <w:rsid w:val="78486CF0"/>
    <w:rsid w:val="78534919"/>
    <w:rsid w:val="785663DA"/>
    <w:rsid w:val="78584462"/>
    <w:rsid w:val="7895462E"/>
    <w:rsid w:val="78D631FC"/>
    <w:rsid w:val="78FC2FBF"/>
    <w:rsid w:val="78FD5501"/>
    <w:rsid w:val="790740FD"/>
    <w:rsid w:val="791467F0"/>
    <w:rsid w:val="79430114"/>
    <w:rsid w:val="79430A37"/>
    <w:rsid w:val="795E7C16"/>
    <w:rsid w:val="795F01E3"/>
    <w:rsid w:val="79A81D28"/>
    <w:rsid w:val="79AD6C40"/>
    <w:rsid w:val="79B10333"/>
    <w:rsid w:val="79C95ADF"/>
    <w:rsid w:val="79EF0BCC"/>
    <w:rsid w:val="79FF02D1"/>
    <w:rsid w:val="7A0612C2"/>
    <w:rsid w:val="7A1833CE"/>
    <w:rsid w:val="7A1F3257"/>
    <w:rsid w:val="7A27753D"/>
    <w:rsid w:val="7A3C1967"/>
    <w:rsid w:val="7A5D7213"/>
    <w:rsid w:val="7A60132A"/>
    <w:rsid w:val="7A6E2CF1"/>
    <w:rsid w:val="7A817696"/>
    <w:rsid w:val="7AA05017"/>
    <w:rsid w:val="7AA86BBE"/>
    <w:rsid w:val="7AC51B7A"/>
    <w:rsid w:val="7AC94AC1"/>
    <w:rsid w:val="7AC977F9"/>
    <w:rsid w:val="7ACA7597"/>
    <w:rsid w:val="7AE11572"/>
    <w:rsid w:val="7AE31524"/>
    <w:rsid w:val="7AE70BEB"/>
    <w:rsid w:val="7AF53F82"/>
    <w:rsid w:val="7B057C25"/>
    <w:rsid w:val="7B4C6C66"/>
    <w:rsid w:val="7B5C332E"/>
    <w:rsid w:val="7B904C22"/>
    <w:rsid w:val="7B9E18EF"/>
    <w:rsid w:val="7BB9672E"/>
    <w:rsid w:val="7BE45955"/>
    <w:rsid w:val="7C0968F5"/>
    <w:rsid w:val="7C1235AA"/>
    <w:rsid w:val="7C160893"/>
    <w:rsid w:val="7C5622FF"/>
    <w:rsid w:val="7C571497"/>
    <w:rsid w:val="7C920181"/>
    <w:rsid w:val="7CB95588"/>
    <w:rsid w:val="7CBA56FF"/>
    <w:rsid w:val="7CE64D15"/>
    <w:rsid w:val="7CF732D1"/>
    <w:rsid w:val="7D131D7B"/>
    <w:rsid w:val="7D1E10B2"/>
    <w:rsid w:val="7D3D5EFF"/>
    <w:rsid w:val="7D435739"/>
    <w:rsid w:val="7D4B1C96"/>
    <w:rsid w:val="7D586CD5"/>
    <w:rsid w:val="7D93221A"/>
    <w:rsid w:val="7DA977AA"/>
    <w:rsid w:val="7DAB12F0"/>
    <w:rsid w:val="7DAC0454"/>
    <w:rsid w:val="7DDA3B8E"/>
    <w:rsid w:val="7DED2A89"/>
    <w:rsid w:val="7DFA3D48"/>
    <w:rsid w:val="7E4D4360"/>
    <w:rsid w:val="7E63789F"/>
    <w:rsid w:val="7E980733"/>
    <w:rsid w:val="7E9B4DC3"/>
    <w:rsid w:val="7EC57197"/>
    <w:rsid w:val="7EFB4248"/>
    <w:rsid w:val="7EFD7DC7"/>
    <w:rsid w:val="7F274E2A"/>
    <w:rsid w:val="7F2C2F55"/>
    <w:rsid w:val="7F45439F"/>
    <w:rsid w:val="7F484B27"/>
    <w:rsid w:val="7F4A4D43"/>
    <w:rsid w:val="7F545830"/>
    <w:rsid w:val="7F590F20"/>
    <w:rsid w:val="7F5D047E"/>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qFormat/>
    <w:uiPriority w:val="0"/>
    <w:pPr>
      <w:keepNext/>
      <w:keepLines/>
      <w:spacing w:line="372" w:lineRule="auto"/>
      <w:outlineLvl w:val="4"/>
    </w:pPr>
    <w:rPr>
      <w:b/>
      <w:bCs/>
      <w:sz w:val="28"/>
      <w:szCs w:val="28"/>
    </w:rPr>
  </w:style>
  <w:style w:type="paragraph" w:styleId="7">
    <w:name w:val="heading 7"/>
    <w:basedOn w:val="1"/>
    <w:next w:val="1"/>
    <w:unhideWhenUsed/>
    <w:qFormat/>
    <w:uiPriority w:val="0"/>
    <w:pPr>
      <w:ind w:left="448"/>
      <w:outlineLvl w:val="6"/>
    </w:pPr>
    <w:rPr>
      <w:rFonts w:ascii="宋体" w:hAnsi="宋体" w:cs="宋体"/>
      <w:sz w:val="24"/>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0"/>
    <w:pPr>
      <w:ind w:firstLine="420" w:firstLineChars="200"/>
    </w:pPr>
  </w:style>
  <w:style w:type="paragraph" w:styleId="9">
    <w:name w:val="annotation text"/>
    <w:basedOn w:val="1"/>
    <w:link w:val="43"/>
    <w:qFormat/>
    <w:uiPriority w:val="0"/>
    <w:pPr>
      <w:jc w:val="left"/>
    </w:pPr>
  </w:style>
  <w:style w:type="paragraph" w:styleId="10">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qFormat/>
    <w:uiPriority w:val="0"/>
    <w:pPr>
      <w:ind w:firstLine="830" w:firstLineChars="352"/>
    </w:pPr>
    <w:rPr>
      <w:rFonts w:ascii="仿宋_GB2312" w:eastAsia="仿宋_GB2312"/>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pPr>
      <w:ind w:left="100" w:leftChars="2500"/>
    </w:pPr>
    <w:rPr>
      <w:rFonts w:ascii="宋体" w:hAnsi="Courier New"/>
      <w:bCs/>
      <w:sz w:val="24"/>
    </w:rPr>
  </w:style>
  <w:style w:type="paragraph" w:styleId="15">
    <w:name w:val="Body Text Indent 2"/>
    <w:basedOn w:val="1"/>
    <w:qFormat/>
    <w:uiPriority w:val="0"/>
    <w:pPr>
      <w:spacing w:after="120" w:line="480" w:lineRule="auto"/>
      <w:ind w:leftChars="200"/>
    </w:pPr>
  </w:style>
  <w:style w:type="paragraph" w:styleId="16">
    <w:name w:val="Balloon Text"/>
    <w:basedOn w:val="1"/>
    <w:link w:val="4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unhideWhenUsed/>
    <w:qFormat/>
    <w:uiPriority w:val="0"/>
    <w:pPr>
      <w:snapToGrid w:val="0"/>
    </w:pPr>
    <w:rPr>
      <w:rFonts w:ascii="Arial" w:hAnsi="Arial"/>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spacing w:after="120"/>
      <w:ind w:left="420" w:leftChars="200"/>
    </w:pPr>
    <w:rPr>
      <w:sz w:val="16"/>
      <w:szCs w:val="16"/>
    </w:rPr>
  </w:style>
  <w:style w:type="paragraph" w:styleId="2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qFormat/>
    <w:uiPriority w:val="0"/>
    <w:rPr>
      <w:lang w:eastAsia="en-US"/>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44"/>
    <w:qFormat/>
    <w:uiPriority w:val="0"/>
    <w:rPr>
      <w:b/>
      <w:bCs/>
    </w:rPr>
  </w:style>
  <w:style w:type="paragraph" w:styleId="28">
    <w:name w:val="Body Text First Indent"/>
    <w:basedOn w:val="10"/>
    <w:next w:val="1"/>
    <w:qFormat/>
    <w:uiPriority w:val="0"/>
    <w:pPr>
      <w:ind w:firstLine="420" w:firstLineChars="100"/>
    </w:pPr>
    <w:rPr>
      <w:rFonts w:ascii="Times New Roman"/>
      <w:sz w:val="21"/>
      <w:szCs w:val="24"/>
    </w:rPr>
  </w:style>
  <w:style w:type="paragraph" w:styleId="29">
    <w:name w:val="Body Text First Indent 2"/>
    <w:basedOn w:val="11"/>
    <w:next w:val="1"/>
    <w:qFormat/>
    <w:uiPriority w:val="0"/>
    <w:pPr>
      <w:spacing w:line="360" w:lineRule="auto"/>
      <w:ind w:firstLine="420" w:firstLineChars="200"/>
    </w:pPr>
    <w:rPr>
      <w:sz w:val="24"/>
      <w:szCs w:val="24"/>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basedOn w:val="32"/>
    <w:qFormat/>
    <w:uiPriority w:val="0"/>
  </w:style>
  <w:style w:type="character" w:styleId="35">
    <w:name w:val="Hyperlink"/>
    <w:basedOn w:val="32"/>
    <w:unhideWhenUsed/>
    <w:qFormat/>
    <w:uiPriority w:val="99"/>
    <w:rPr>
      <w:color w:val="0000FF"/>
      <w:u w:val="single"/>
    </w:rPr>
  </w:style>
  <w:style w:type="character" w:styleId="36">
    <w:name w:val="annotation reference"/>
    <w:qFormat/>
    <w:uiPriority w:val="0"/>
    <w:rPr>
      <w:sz w:val="21"/>
      <w:szCs w:val="21"/>
    </w:rPr>
  </w:style>
  <w:style w:type="character" w:styleId="37">
    <w:name w:val="HTML Sample"/>
    <w:basedOn w:val="32"/>
    <w:qFormat/>
    <w:uiPriority w:val="0"/>
    <w:rPr>
      <w:rFonts w:ascii="Courier New" w:hAnsi="Courier New"/>
    </w:rPr>
  </w:style>
  <w:style w:type="paragraph" w:customStyle="1" w:styleId="38">
    <w:name w:val="表格文字"/>
    <w:basedOn w:val="11"/>
    <w:qFormat/>
    <w:uiPriority w:val="99"/>
    <w:pPr>
      <w:spacing w:before="25" w:after="25"/>
      <w:jc w:val="left"/>
    </w:pPr>
    <w:rPr>
      <w:bCs/>
      <w:spacing w:val="10"/>
      <w:kern w:val="0"/>
      <w:sz w:val="24"/>
    </w:rPr>
  </w:style>
  <w:style w:type="paragraph" w:customStyle="1" w:styleId="39">
    <w:name w:val="Default"/>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Plain Text1"/>
    <w:basedOn w:val="1"/>
    <w:qFormat/>
    <w:uiPriority w:val="0"/>
    <w:rPr>
      <w:rFonts w:ascii="宋体" w:hAnsi="Courier New" w:cs="Courier New"/>
      <w:szCs w:val="21"/>
    </w:rPr>
  </w:style>
  <w:style w:type="paragraph" w:customStyle="1" w:styleId="42">
    <w:name w:val="Table Paragraph"/>
    <w:basedOn w:val="1"/>
    <w:qFormat/>
    <w:uiPriority w:val="1"/>
    <w:rPr>
      <w:rFonts w:ascii="宋体" w:hAnsi="宋体" w:cs="宋体"/>
      <w:lang w:val="zh-CN" w:bidi="zh-CN"/>
    </w:rPr>
  </w:style>
  <w:style w:type="character" w:customStyle="1" w:styleId="43">
    <w:name w:val="批注文字 Char"/>
    <w:basedOn w:val="32"/>
    <w:link w:val="9"/>
    <w:qFormat/>
    <w:uiPriority w:val="0"/>
    <w:rPr>
      <w:kern w:val="2"/>
      <w:sz w:val="21"/>
      <w:szCs w:val="24"/>
    </w:rPr>
  </w:style>
  <w:style w:type="character" w:customStyle="1" w:styleId="44">
    <w:name w:val="批注主题 Char"/>
    <w:basedOn w:val="43"/>
    <w:link w:val="27"/>
    <w:qFormat/>
    <w:uiPriority w:val="0"/>
    <w:rPr>
      <w:b/>
      <w:bCs/>
      <w:kern w:val="2"/>
      <w:sz w:val="21"/>
      <w:szCs w:val="24"/>
    </w:rPr>
  </w:style>
  <w:style w:type="character" w:customStyle="1" w:styleId="45">
    <w:name w:val="批注框文本 Char"/>
    <w:basedOn w:val="32"/>
    <w:link w:val="16"/>
    <w:qFormat/>
    <w:uiPriority w:val="0"/>
    <w:rPr>
      <w:kern w:val="2"/>
      <w:sz w:val="18"/>
      <w:szCs w:val="18"/>
    </w:rPr>
  </w:style>
  <w:style w:type="paragraph" w:customStyle="1" w:styleId="46">
    <w:name w:val="纯文本1"/>
    <w:basedOn w:val="1"/>
    <w:qFormat/>
    <w:uiPriority w:val="0"/>
    <w:pPr>
      <w:suppressAutoHyphens/>
    </w:pPr>
    <w:rPr>
      <w:rFonts w:ascii="宋体" w:hAnsi="宋体" w:cs="Courier New"/>
      <w:szCs w:val="21"/>
      <w:lang w:eastAsia="ar-SA"/>
    </w:rPr>
  </w:style>
  <w:style w:type="paragraph" w:customStyle="1" w:styleId="4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2"/>
    <w:qFormat/>
    <w:uiPriority w:val="0"/>
  </w:style>
  <w:style w:type="paragraph" w:customStyle="1" w:styleId="49">
    <w:name w:val="正文2"/>
    <w:basedOn w:val="1"/>
    <w:qFormat/>
    <w:uiPriority w:val="0"/>
    <w:pPr>
      <w:adjustRightInd w:val="0"/>
      <w:spacing w:before="156" w:line="360" w:lineRule="auto"/>
      <w:ind w:firstLine="510" w:firstLineChars="200"/>
    </w:pPr>
    <w:rPr>
      <w:kern w:val="0"/>
      <w:sz w:val="24"/>
      <w:szCs w:val="20"/>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qFormat/>
    <w:uiPriority w:val="0"/>
    <w:rPr>
      <w:rFonts w:ascii="Times New Roman" w:hAnsi="Times New Roman" w:eastAsia="Times New Roman" w:cs="Times New Roman"/>
      <w:sz w:val="24"/>
      <w:szCs w:val="24"/>
    </w:rPr>
  </w:style>
  <w:style w:type="paragraph" w:customStyle="1" w:styleId="55">
    <w:name w:val="Body text|1_2"/>
    <w:basedOn w:val="52"/>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qFormat/>
    <w:uiPriority w:val="0"/>
    <w:rPr>
      <w:rFonts w:eastAsia="宋体"/>
      <w:lang w:eastAsia="zh-CN" w:bidi="ar-SA"/>
    </w:rPr>
  </w:style>
  <w:style w:type="paragraph" w:customStyle="1" w:styleId="62">
    <w:name w:val="标题 3_1"/>
    <w:basedOn w:val="60"/>
    <w:next w:val="60"/>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qFormat/>
    <w:uiPriority w:val="0"/>
    <w:pPr>
      <w:spacing w:after="30"/>
      <w:ind w:firstLine="420"/>
    </w:pPr>
    <w:rPr>
      <w:rFonts w:eastAsia="宋体"/>
      <w:color w:val="auto"/>
      <w:sz w:val="20"/>
      <w:szCs w:val="20"/>
      <w:lang w:bidi="ar-SA"/>
    </w:rPr>
  </w:style>
  <w:style w:type="paragraph" w:customStyle="1" w:styleId="65">
    <w:name w:val="Other|1_1"/>
    <w:basedOn w:val="60"/>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qFormat/>
    <w:uiPriority w:val="0"/>
    <w:rPr>
      <w:rFonts w:eastAsia="宋体"/>
      <w:lang w:eastAsia="zh-CN" w:bidi="ar-SA"/>
    </w:rPr>
  </w:style>
  <w:style w:type="character" w:customStyle="1" w:styleId="67">
    <w:name w:val="10"/>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qFormat/>
    <w:uiPriority w:val="99"/>
    <w:rPr>
      <w:szCs w:val="20"/>
    </w:rPr>
  </w:style>
  <w:style w:type="paragraph" w:customStyle="1" w:styleId="73">
    <w:name w:val="纯文本_0"/>
    <w:basedOn w:val="1"/>
    <w:qFormat/>
    <w:uiPriority w:val="99"/>
    <w:rPr>
      <w:szCs w:val="20"/>
    </w:rPr>
  </w:style>
  <w:style w:type="paragraph" w:customStyle="1" w:styleId="74">
    <w:name w:val="Normal_0"/>
    <w:qFormat/>
    <w:uiPriority w:val="0"/>
    <w:rPr>
      <w:rFonts w:ascii="Times New Roman" w:hAnsi="Times New Roman" w:eastAsia="Times New Roman" w:cs="Times New Roman"/>
      <w:sz w:val="24"/>
      <w:szCs w:val="24"/>
    </w:rPr>
  </w:style>
  <w:style w:type="paragraph" w:customStyle="1" w:styleId="75">
    <w:name w:val="正文_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wmf"/><Relationship Id="rId21" Type="http://schemas.openxmlformats.org/officeDocument/2006/relationships/oleObject" Target="embeddings/oleObject5.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4.wmf"/><Relationship Id="rId17" Type="http://schemas.openxmlformats.org/officeDocument/2006/relationships/oleObject" Target="embeddings/oleObject3.bin"/><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142</Pages>
  <Words>25312</Words>
  <Characters>27254</Characters>
  <Lines>51</Lines>
  <Paragraphs>59</Paragraphs>
  <TotalTime>25</TotalTime>
  <ScaleCrop>false</ScaleCrop>
  <LinksUpToDate>false</LinksUpToDate>
  <CharactersWithSpaces>37642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WPS_1492677407</cp:lastModifiedBy>
  <cp:lastPrinted>2025-06-13T02:21:00Z</cp:lastPrinted>
  <dcterms:modified xsi:type="dcterms:W3CDTF">2025-06-17T01:28:50Z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B4F11B0C4B1044E6933CEA860604A3D8_13</vt:lpwstr>
  </property>
  <property fmtid="{D5CDD505-2E9C-101B-9397-08002B2CF9AE}" pid="4" name="KSOTemplateDocerSaveRecord">
    <vt:lpwstr>eyJoZGlkIjoiODRjODNlMjNhM2VmN2ViNTg0Mzg0YzJjNzE2NzFhMDgiLCJ1c2VySWQiOiIyNzYwNDU2NjUifQ==</vt:lpwstr>
  </property>
</Properties>
</file>