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2A07">
      <w:pPr>
        <w:widowControl/>
        <w:kinsoku w:val="0"/>
        <w:autoSpaceDE w:val="0"/>
        <w:autoSpaceDN w:val="0"/>
        <w:adjustRightInd w:val="0"/>
        <w:snapToGrid w:val="0"/>
        <w:spacing w:line="242" w:lineRule="auto"/>
        <w:jc w:val="center"/>
        <w:textAlignment w:val="baseline"/>
        <w:rPr>
          <w:rFonts w:hint="eastAsia" w:ascii="宋体" w:hAnsi="宋体" w:eastAsia="宋体" w:cs="宋体"/>
          <w:b/>
          <w:bCs/>
          <w:snapToGrid w:val="0"/>
          <w:color w:val="auto"/>
          <w:spacing w:val="10"/>
          <w:kern w:val="0"/>
          <w:sz w:val="52"/>
          <w:szCs w:val="52"/>
          <w:highlight w:val="none"/>
          <w:lang w:val="en-US" w:eastAsia="zh-CN"/>
        </w:rPr>
      </w:pPr>
      <w:r>
        <w:rPr>
          <w:rFonts w:hint="eastAsia" w:ascii="宋体" w:hAnsi="宋体" w:eastAsia="宋体" w:cs="宋体"/>
          <w:b/>
          <w:bCs/>
          <w:snapToGrid w:val="0"/>
          <w:color w:val="auto"/>
          <w:spacing w:val="10"/>
          <w:kern w:val="0"/>
          <w:sz w:val="52"/>
          <w:szCs w:val="52"/>
          <w:highlight w:val="none"/>
          <w:lang w:val="en-US" w:eastAsia="zh-CN"/>
        </w:rPr>
        <w:t>中鸿亿博集团有限公司</w:t>
      </w:r>
    </w:p>
    <w:p w14:paraId="276F5DC7">
      <w:pPr>
        <w:spacing w:line="900" w:lineRule="exact"/>
        <w:jc w:val="center"/>
        <w:rPr>
          <w:rFonts w:hint="eastAsia" w:ascii="宋体" w:hAnsi="宋体" w:cs="宋体"/>
          <w:b/>
          <w:color w:val="auto"/>
          <w:sz w:val="72"/>
          <w:szCs w:val="72"/>
          <w:highlight w:val="none"/>
          <w:shd w:val="clear" w:color="auto" w:fill="auto"/>
        </w:rPr>
      </w:pPr>
    </w:p>
    <w:p w14:paraId="4B98D612">
      <w:pPr>
        <w:pStyle w:val="33"/>
        <w:rPr>
          <w:rFonts w:hint="eastAsia" w:ascii="宋体" w:hAnsi="宋体" w:cs="宋体"/>
          <w:b/>
          <w:color w:val="auto"/>
          <w:sz w:val="52"/>
          <w:szCs w:val="52"/>
          <w:highlight w:val="none"/>
          <w:shd w:val="clear" w:color="auto" w:fill="auto"/>
        </w:rPr>
      </w:pPr>
    </w:p>
    <w:p w14:paraId="6D70FB11">
      <w:pPr>
        <w:pStyle w:val="33"/>
        <w:rPr>
          <w:rFonts w:hint="eastAsia" w:ascii="宋体" w:hAnsi="宋体" w:cs="宋体"/>
          <w:b/>
          <w:color w:val="auto"/>
          <w:sz w:val="72"/>
          <w:szCs w:val="72"/>
          <w:highlight w:val="none"/>
          <w:shd w:val="clear" w:color="auto" w:fill="auto"/>
        </w:rPr>
      </w:pPr>
    </w:p>
    <w:p w14:paraId="4A8F07D5">
      <w:pPr>
        <w:pStyle w:val="33"/>
        <w:rPr>
          <w:rFonts w:hint="eastAsia" w:ascii="宋体" w:hAnsi="宋体" w:cs="宋体"/>
          <w:b/>
          <w:color w:val="auto"/>
          <w:sz w:val="72"/>
          <w:szCs w:val="72"/>
          <w:highlight w:val="none"/>
          <w:shd w:val="clear" w:color="auto" w:fill="auto"/>
        </w:rPr>
      </w:pPr>
    </w:p>
    <w:p w14:paraId="75F0A3F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宋体" w:hAnsi="宋体" w:eastAsia="宋体" w:cs="宋体"/>
          <w:b/>
          <w:color w:val="auto"/>
          <w:sz w:val="72"/>
          <w:szCs w:val="72"/>
          <w:highlight w:val="none"/>
          <w:shd w:val="clear" w:color="auto" w:fill="auto"/>
          <w:lang w:val="en-US" w:eastAsia="zh-CN"/>
        </w:rPr>
      </w:pPr>
      <w:r>
        <w:rPr>
          <w:rFonts w:hint="eastAsia" w:ascii="宋体" w:hAnsi="宋体" w:eastAsia="宋体" w:cs="宋体"/>
          <w:b/>
          <w:color w:val="auto"/>
          <w:sz w:val="72"/>
          <w:szCs w:val="72"/>
          <w:highlight w:val="none"/>
          <w:shd w:val="clear" w:color="auto" w:fill="auto"/>
          <w:lang w:val="en-US" w:eastAsia="zh-CN"/>
        </w:rPr>
        <w:t>竞争性磋商文件</w:t>
      </w:r>
    </w:p>
    <w:p w14:paraId="2915EAB9">
      <w:pPr>
        <w:spacing w:line="900" w:lineRule="exact"/>
        <w:rPr>
          <w:rFonts w:ascii="宋体" w:hAnsi="宋体" w:cs="宋体"/>
          <w:color w:val="auto"/>
          <w:sz w:val="24"/>
          <w:highlight w:val="none"/>
          <w:shd w:val="clear" w:color="auto" w:fill="auto"/>
        </w:rPr>
      </w:pPr>
    </w:p>
    <w:p w14:paraId="5D0EB475">
      <w:pPr>
        <w:pStyle w:val="6"/>
        <w:rPr>
          <w:color w:val="auto"/>
          <w:highlight w:val="none"/>
          <w:shd w:val="clear" w:color="auto" w:fill="auto"/>
        </w:rPr>
      </w:pPr>
    </w:p>
    <w:p w14:paraId="515BAE6F">
      <w:pPr>
        <w:pStyle w:val="33"/>
        <w:rPr>
          <w:color w:val="auto"/>
          <w:highlight w:val="none"/>
          <w:shd w:val="clear" w:color="auto" w:fill="auto"/>
        </w:rPr>
      </w:pPr>
    </w:p>
    <w:p w14:paraId="7E74BBFC">
      <w:pPr>
        <w:pStyle w:val="33"/>
        <w:rPr>
          <w:color w:val="auto"/>
          <w:highlight w:val="none"/>
          <w:shd w:val="clear" w:color="auto" w:fill="auto"/>
        </w:rPr>
      </w:pPr>
    </w:p>
    <w:p w14:paraId="44066283">
      <w:pPr>
        <w:pStyle w:val="33"/>
        <w:rPr>
          <w:color w:val="auto"/>
          <w:highlight w:val="none"/>
          <w:shd w:val="clear" w:color="auto" w:fill="auto"/>
        </w:rPr>
      </w:pPr>
    </w:p>
    <w:p w14:paraId="3A68F901">
      <w:pPr>
        <w:pStyle w:val="33"/>
        <w:rPr>
          <w:color w:val="auto"/>
          <w:highlight w:val="none"/>
          <w:shd w:val="clear" w:color="auto" w:fill="auto"/>
        </w:rPr>
      </w:pPr>
    </w:p>
    <w:p w14:paraId="5F7A32A0">
      <w:pPr>
        <w:pStyle w:val="33"/>
        <w:rPr>
          <w:color w:val="auto"/>
          <w:highlight w:val="none"/>
          <w:shd w:val="clear" w:color="auto" w:fill="auto"/>
        </w:rPr>
      </w:pPr>
    </w:p>
    <w:p w14:paraId="2173B38D">
      <w:pPr>
        <w:pStyle w:val="33"/>
        <w:rPr>
          <w:color w:val="auto"/>
          <w:highlight w:val="none"/>
          <w:shd w:val="clear" w:color="auto" w:fill="auto"/>
        </w:rPr>
      </w:pPr>
    </w:p>
    <w:p w14:paraId="232C5B00">
      <w:pPr>
        <w:pStyle w:val="33"/>
        <w:rPr>
          <w:color w:val="auto"/>
          <w:highlight w:val="none"/>
          <w:shd w:val="clear" w:color="auto" w:fill="auto"/>
        </w:rPr>
      </w:pPr>
    </w:p>
    <w:p w14:paraId="4B1FE0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1796" w:firstLineChars="600"/>
        <w:rPr>
          <w:rFonts w:hint="eastAsia"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项目编号：</w:t>
      </w:r>
      <w:r>
        <w:rPr>
          <w:rFonts w:hint="eastAsia" w:ascii="宋体" w:hAnsi="宋体" w:eastAsia="宋体" w:cs="宋体"/>
          <w:b/>
          <w:bCs/>
          <w:color w:val="auto"/>
          <w:spacing w:val="-11"/>
          <w:sz w:val="32"/>
          <w:szCs w:val="32"/>
          <w:highlight w:val="none"/>
          <w:lang w:eastAsia="zh-CN"/>
        </w:rPr>
        <w:t>GLZC2025-C2-290068-ZHYB</w:t>
      </w:r>
    </w:p>
    <w:p w14:paraId="799E8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eastAsia" w:ascii="宋体" w:hAnsi="宋体" w:eastAsia="宋体" w:cs="宋体"/>
          <w:b/>
          <w:bCs/>
          <w:color w:val="auto"/>
          <w:spacing w:val="-11"/>
          <w:sz w:val="32"/>
          <w:szCs w:val="32"/>
          <w:highlight w:val="none"/>
          <w:lang w:eastAsia="zh-CN"/>
        </w:rPr>
      </w:pPr>
    </w:p>
    <w:p w14:paraId="6063EB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1796" w:firstLineChars="600"/>
        <w:rPr>
          <w:rFonts w:hint="default"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rPr>
        <w:t>项目名称：</w:t>
      </w:r>
      <w:r>
        <w:rPr>
          <w:rFonts w:hint="eastAsia" w:ascii="宋体" w:hAnsi="宋体" w:eastAsia="宋体" w:cs="宋体"/>
          <w:b/>
          <w:bCs/>
          <w:color w:val="auto"/>
          <w:spacing w:val="-11"/>
          <w:sz w:val="32"/>
          <w:szCs w:val="32"/>
          <w:highlight w:val="none"/>
          <w:lang w:eastAsia="zh-CN"/>
        </w:rPr>
        <w:t>资源镇城关村便民桥</w:t>
      </w:r>
    </w:p>
    <w:p w14:paraId="22C77F10">
      <w:pPr>
        <w:spacing w:before="114" w:line="224" w:lineRule="auto"/>
        <w:rPr>
          <w:rFonts w:ascii="宋体" w:hAnsi="宋体" w:eastAsia="宋体" w:cs="宋体"/>
          <w:b/>
          <w:bCs/>
          <w:color w:val="auto"/>
          <w:spacing w:val="-14"/>
          <w:sz w:val="32"/>
          <w:szCs w:val="32"/>
          <w:highlight w:val="none"/>
        </w:rPr>
      </w:pPr>
    </w:p>
    <w:p w14:paraId="7D208532">
      <w:pPr>
        <w:spacing w:before="114" w:line="224" w:lineRule="auto"/>
        <w:ind w:firstLine="1173" w:firstLineChars="400"/>
        <w:rPr>
          <w:rFonts w:ascii="宋体" w:hAnsi="宋体" w:eastAsia="宋体" w:cs="宋体"/>
          <w:b/>
          <w:bCs/>
          <w:color w:val="auto"/>
          <w:spacing w:val="-14"/>
          <w:sz w:val="32"/>
          <w:szCs w:val="32"/>
          <w:highlight w:val="none"/>
        </w:rPr>
      </w:pPr>
    </w:p>
    <w:p w14:paraId="4C534516">
      <w:pPr>
        <w:spacing w:before="114" w:line="224" w:lineRule="auto"/>
        <w:ind w:firstLine="1173" w:firstLineChars="400"/>
        <w:rPr>
          <w:rFonts w:hint="eastAsia" w:ascii="宋体" w:hAnsi="宋体" w:eastAsia="宋体" w:cs="宋体"/>
          <w:b/>
          <w:bCs/>
          <w:color w:val="auto"/>
          <w:spacing w:val="-7"/>
          <w:sz w:val="32"/>
          <w:szCs w:val="32"/>
          <w:highlight w:val="none"/>
          <w:lang w:val="en-US" w:eastAsia="zh-CN"/>
        </w:rPr>
      </w:pPr>
      <w:r>
        <w:rPr>
          <w:rFonts w:ascii="宋体" w:hAnsi="宋体" w:eastAsia="宋体" w:cs="宋体"/>
          <w:b/>
          <w:bCs/>
          <w:color w:val="auto"/>
          <w:spacing w:val="-14"/>
          <w:sz w:val="32"/>
          <w:szCs w:val="32"/>
          <w:highlight w:val="none"/>
        </w:rPr>
        <w:t>采购</w:t>
      </w:r>
      <w:r>
        <w:rPr>
          <w:rFonts w:ascii="宋体" w:hAnsi="宋体" w:eastAsia="宋体" w:cs="宋体"/>
          <w:b/>
          <w:bCs/>
          <w:color w:val="auto"/>
          <w:spacing w:val="-8"/>
          <w:sz w:val="32"/>
          <w:szCs w:val="32"/>
          <w:highlight w:val="none"/>
        </w:rPr>
        <w:t>代</w:t>
      </w:r>
      <w:r>
        <w:rPr>
          <w:rFonts w:ascii="宋体" w:hAnsi="宋体" w:eastAsia="宋体" w:cs="宋体"/>
          <w:b/>
          <w:bCs/>
          <w:color w:val="auto"/>
          <w:spacing w:val="-7"/>
          <w:sz w:val="32"/>
          <w:szCs w:val="32"/>
          <w:highlight w:val="none"/>
        </w:rPr>
        <w:t>理机构：</w:t>
      </w:r>
      <w:r>
        <w:rPr>
          <w:rFonts w:hint="eastAsia" w:ascii="宋体" w:hAnsi="宋体" w:eastAsia="宋体" w:cs="宋体"/>
          <w:b/>
          <w:bCs/>
          <w:color w:val="auto"/>
          <w:spacing w:val="-7"/>
          <w:sz w:val="32"/>
          <w:szCs w:val="32"/>
          <w:highlight w:val="none"/>
          <w:lang w:val="en-US" w:eastAsia="zh-CN"/>
        </w:rPr>
        <w:t>中鸿亿博集团有限公司</w:t>
      </w:r>
    </w:p>
    <w:p w14:paraId="41638737">
      <w:pPr>
        <w:pStyle w:val="6"/>
        <w:rPr>
          <w:rFonts w:hint="eastAsia" w:ascii="宋体" w:hAnsi="宋体" w:eastAsia="宋体" w:cs="宋体"/>
          <w:b/>
          <w:bCs/>
          <w:color w:val="auto"/>
          <w:spacing w:val="-7"/>
          <w:sz w:val="32"/>
          <w:szCs w:val="32"/>
          <w:highlight w:val="none"/>
          <w:lang w:eastAsia="zh-CN"/>
        </w:rPr>
      </w:pPr>
    </w:p>
    <w:p w14:paraId="171A10A1">
      <w:pPr>
        <w:jc w:val="center"/>
        <w:rPr>
          <w:rFonts w:hint="default"/>
          <w:b/>
          <w:bCs/>
          <w:color w:val="auto"/>
          <w:sz w:val="32"/>
          <w:szCs w:val="32"/>
          <w:highlight w:val="none"/>
          <w:lang w:val="en-US" w:eastAsia="zh-CN"/>
        </w:rPr>
        <w:sectPr>
          <w:pgSz w:w="11905" w:h="16839"/>
          <w:pgMar w:top="1417" w:right="1417" w:bottom="1417" w:left="1417" w:header="0" w:footer="2062" w:gutter="0"/>
          <w:pgNumType w:fmt="decimal" w:start="1"/>
          <w:cols w:space="720" w:num="1"/>
        </w:sectPr>
      </w:pPr>
      <w:r>
        <w:rPr>
          <w:rFonts w:hint="eastAsia" w:ascii="宋体" w:hAnsi="宋体" w:eastAsia="宋体" w:cs="宋体"/>
          <w:b/>
          <w:bCs/>
          <w:color w:val="auto"/>
          <w:spacing w:val="-7"/>
          <w:sz w:val="32"/>
          <w:szCs w:val="32"/>
          <w:highlight w:val="none"/>
          <w:lang w:val="en-US" w:eastAsia="zh-CN"/>
        </w:rPr>
        <w:t>2025年7月</w:t>
      </w:r>
    </w:p>
    <w:sdt>
      <w:sdtPr>
        <w:rPr>
          <w:rFonts w:ascii="宋体" w:hAnsi="宋体" w:eastAsia="宋体" w:cs="Arial"/>
          <w:snapToGrid w:val="0"/>
          <w:color w:val="auto"/>
          <w:kern w:val="0"/>
          <w:sz w:val="21"/>
          <w:szCs w:val="21"/>
          <w:highlight w:val="none"/>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auto"/>
          <w:kern w:val="0"/>
          <w:sz w:val="36"/>
          <w:szCs w:val="36"/>
          <w:highlight w:val="none"/>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color w:val="auto"/>
              <w:sz w:val="40"/>
              <w:szCs w:val="40"/>
              <w:highlight w:val="none"/>
              <w:lang w:eastAsia="zh-CN"/>
            </w:rPr>
          </w:pPr>
          <w:r>
            <w:rPr>
              <w:rFonts w:hint="eastAsia" w:ascii="宋体" w:hAnsi="宋体" w:eastAsia="宋体"/>
              <w:b/>
              <w:bCs/>
              <w:color w:val="auto"/>
              <w:sz w:val="40"/>
              <w:szCs w:val="40"/>
              <w:highlight w:val="none"/>
              <w:lang w:eastAsia="zh-CN"/>
            </w:rPr>
            <w:tab/>
          </w: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02A87A3C">
          <w:pPr>
            <w:pStyle w:val="27"/>
            <w:tabs>
              <w:tab w:val="right" w:leader="dot" w:pos="9746"/>
            </w:tabs>
            <w:spacing w:line="360" w:lineRule="auto"/>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rPr>
            <w:fldChar w:fldCharType="begin"/>
          </w:r>
          <w:r>
            <w:rPr>
              <w:rFonts w:hint="eastAsia" w:ascii="宋体" w:hAnsi="宋体" w:eastAsia="宋体" w:cs="宋体"/>
              <w:b w:val="0"/>
              <w:bCs w:val="0"/>
              <w:color w:val="auto"/>
              <w:sz w:val="36"/>
              <w:szCs w:val="36"/>
              <w:highlight w:val="none"/>
            </w:rPr>
            <w:instrText xml:space="preserve">TOC \o "1-1" \h \u </w:instrText>
          </w:r>
          <w:r>
            <w:rPr>
              <w:rFonts w:hint="eastAsia" w:ascii="宋体" w:hAnsi="宋体" w:eastAsia="宋体" w:cs="宋体"/>
              <w:b w:val="0"/>
              <w:bCs w:val="0"/>
              <w:color w:val="auto"/>
              <w:sz w:val="36"/>
              <w:szCs w:val="36"/>
              <w:highlight w:val="none"/>
            </w:rPr>
            <w:fldChar w:fldCharType="separate"/>
          </w:r>
        </w:p>
        <w:p w14:paraId="51EE09DE">
          <w:pPr>
            <w:jc w:val="distribute"/>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fldChar w:fldCharType="end"/>
          </w:r>
        </w:p>
      </w:sdtContent>
    </w:sdt>
    <w:p w14:paraId="5E31181F">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bookmarkStart w:id="0" w:name="_Toc6907"/>
      <w:bookmarkStart w:id="1" w:name="_Toc17536"/>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_Toc6907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b w:val="0"/>
          <w:bCs w:val="0"/>
          <w:color w:val="auto"/>
          <w:spacing w:val="9"/>
          <w:sz w:val="28"/>
          <w:szCs w:val="28"/>
          <w:highlight w:val="none"/>
        </w:rPr>
        <w:t xml:space="preserve"> </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竞争性磋商公告</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fldChar w:fldCharType="end"/>
      </w:r>
    </w:p>
    <w:p w14:paraId="118A28EA">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_Toc22264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b w:val="0"/>
          <w:bCs w:val="0"/>
          <w:color w:val="auto"/>
          <w:spacing w:val="8"/>
          <w:sz w:val="28"/>
          <w:szCs w:val="28"/>
          <w:highlight w:val="none"/>
        </w:rPr>
        <w:t xml:space="preserve"> </w:t>
      </w:r>
      <w:r>
        <w:rPr>
          <w:rFonts w:hint="eastAsia" w:ascii="宋体" w:hAnsi="宋体" w:eastAsia="宋体" w:cs="宋体"/>
          <w:b w:val="0"/>
          <w:bCs w:val="0"/>
          <w:color w:val="auto"/>
          <w:spacing w:val="8"/>
          <w:sz w:val="28"/>
          <w:szCs w:val="28"/>
          <w:highlight w:val="none"/>
          <w14:textOutline w14:w="5793" w14:cap="sq" w14:cmpd="sng">
            <w14:solidFill>
              <w14:srgbClr w14:val="000000"/>
            </w14:solidFill>
            <w14:prstDash w14:val="solid"/>
            <w14:bevel/>
          </w14:textOutline>
        </w:rPr>
        <w:t>供应商须知</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fldChar w:fldCharType="end"/>
      </w:r>
    </w:p>
    <w:p w14:paraId="284B7E67">
      <w:pPr>
        <w:pStyle w:val="27"/>
        <w:tabs>
          <w:tab w:val="right" w:leader="dot" w:pos="9746"/>
        </w:tabs>
        <w:spacing w:line="360" w:lineRule="auto"/>
        <w:jc w:val="distribut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_Toc26919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第三章 工程量清单及图纸</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4</w:t>
      </w:r>
    </w:p>
    <w:p w14:paraId="0C489E8E">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_Toc24174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1"/>
          <w:sz w:val="28"/>
          <w:szCs w:val="28"/>
          <w:highlight w:val="none"/>
          <w14:textOutline w14:w="5103" w14:cap="sq" w14:cmpd="sng">
            <w14:solidFill>
              <w14:srgbClr w14:val="000000"/>
            </w14:solidFill>
            <w14:prstDash w14:val="solid"/>
            <w14:bevel/>
          </w14:textOutline>
        </w:rPr>
        <w:t>第四章 评审办法</w:t>
      </w:r>
      <w:r>
        <w:rPr>
          <w:rFonts w:hint="eastAsia" w:ascii="宋体" w:hAnsi="宋体" w:cs="宋体"/>
          <w:b w:val="0"/>
          <w:bCs w:val="0"/>
          <w:color w:val="auto"/>
          <w:sz w:val="28"/>
          <w:szCs w:val="28"/>
          <w:highlight w:val="none"/>
          <w:lang w:val="en-US" w:eastAsia="zh-CN"/>
        </w:rPr>
        <w:t>---------------------------------------------35</w:t>
      </w:r>
      <w:r>
        <w:rPr>
          <w:rFonts w:hint="eastAsia" w:ascii="宋体" w:hAnsi="宋体" w:eastAsia="宋体" w:cs="宋体"/>
          <w:b w:val="0"/>
          <w:bCs w:val="0"/>
          <w:color w:val="auto"/>
          <w:sz w:val="28"/>
          <w:szCs w:val="28"/>
          <w:highlight w:val="none"/>
        </w:rPr>
        <w:fldChar w:fldCharType="end"/>
      </w:r>
    </w:p>
    <w:p w14:paraId="4C65A066">
      <w:pPr>
        <w:pStyle w:val="27"/>
        <w:tabs>
          <w:tab w:val="right" w:leader="dot" w:pos="9746"/>
        </w:tabs>
        <w:spacing w:line="360" w:lineRule="auto"/>
        <w:jc w:val="distribute"/>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_Toc5122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b w:val="0"/>
          <w:bCs w:val="0"/>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color w:val="auto"/>
          <w:spacing w:val="9"/>
          <w:sz w:val="28"/>
          <w:szCs w:val="28"/>
          <w:highlight w:val="none"/>
          <w14:textOutline w14:w="5793" w14:cap="sq" w14:cmpd="sng">
            <w14:solidFill>
              <w14:srgbClr w14:val="000000"/>
            </w14:solidFill>
            <w14:prstDash w14:val="solid"/>
            <w14:bevel/>
          </w14:textOutline>
        </w:rPr>
        <w:t>合同（合同主要条款及格式）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40</w:t>
      </w:r>
      <w:r>
        <w:rPr>
          <w:rFonts w:hint="eastAsia" w:ascii="宋体" w:hAnsi="宋体" w:eastAsia="宋体" w:cs="宋体"/>
          <w:b w:val="0"/>
          <w:bCs w:val="0"/>
          <w:color w:val="auto"/>
          <w:sz w:val="28"/>
          <w:szCs w:val="28"/>
          <w:highlight w:val="none"/>
        </w:rPr>
        <w:fldChar w:fldCharType="end"/>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_Toc24257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第六章</w:t>
      </w:r>
      <w:r>
        <w:rPr>
          <w:rFonts w:hint="eastAsia" w:ascii="宋体" w:hAnsi="宋体" w:eastAsia="宋体" w:cs="宋体"/>
          <w:b w:val="0"/>
          <w:bCs w:val="0"/>
          <w:color w:val="auto"/>
          <w:spacing w:val="8"/>
          <w:position w:val="6"/>
          <w:sz w:val="28"/>
          <w:szCs w:val="28"/>
          <w:highlight w:val="none"/>
        </w:rPr>
        <w:t xml:space="preserve"> </w:t>
      </w:r>
      <w:r>
        <w:rPr>
          <w:rFonts w:hint="eastAsia" w:ascii="宋体" w:hAnsi="宋体" w:eastAsia="宋体" w:cs="宋体"/>
          <w:b w:val="0"/>
          <w:bCs w:val="0"/>
          <w:color w:val="auto"/>
          <w:spacing w:val="8"/>
          <w:position w:val="6"/>
          <w:sz w:val="28"/>
          <w:szCs w:val="28"/>
          <w:highlight w:val="none"/>
          <w14:textOutline w14:w="5793" w14:cap="sq" w14:cmpd="sng">
            <w14:solidFill>
              <w14:srgbClr w14:val="000000"/>
            </w14:solidFill>
            <w14:prstDash w14:val="solid"/>
            <w14:bevel/>
          </w14:textOutline>
        </w:rPr>
        <w:t>响应文件（格式）</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lang w:val="en-US" w:eastAsia="zh-CN"/>
        </w:rPr>
        <w:t>3</w:t>
      </w:r>
    </w:p>
    <w:p w14:paraId="12542086">
      <w:pP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竞争性磋商公告</w:t>
      </w:r>
      <w:bookmarkEnd w:id="0"/>
      <w:bookmarkEnd w:id="1"/>
    </w:p>
    <w:tbl>
      <w:tblPr>
        <w:tblStyle w:val="24"/>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项目概况</w:t>
            </w:r>
          </w:p>
          <w:p w14:paraId="5555E8A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u w:val="single" w:color="auto"/>
                <w:lang w:eastAsia="zh-CN"/>
              </w:rPr>
              <w:t>资源镇城关村便民桥</w:t>
            </w:r>
            <w:r>
              <w:rPr>
                <w:rFonts w:hint="eastAsia" w:ascii="宋体" w:hAnsi="宋体" w:eastAsia="宋体" w:cs="宋体"/>
                <w:color w:val="auto"/>
                <w:spacing w:val="6"/>
                <w:sz w:val="21"/>
                <w:szCs w:val="21"/>
                <w:highlight w:val="none"/>
              </w:rPr>
              <w:t>采购项目的潜在供应商应在</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6"/>
                <w:sz w:val="21"/>
                <w:szCs w:val="21"/>
                <w:highlight w:val="none"/>
                <w:u w:val="single" w:color="auto"/>
                <w:lang w:eastAsia="zh-CN"/>
              </w:rPr>
              <w:t>广西政府采购云平台</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”平台（</w:t>
            </w:r>
            <w:r>
              <w:rPr>
                <w:rFonts w:hint="eastAsia" w:ascii="宋体" w:hAnsi="宋体" w:eastAsia="宋体" w:cs="宋体"/>
                <w:color w:val="auto"/>
                <w:sz w:val="21"/>
                <w:szCs w:val="21"/>
                <w:highlight w:val="none"/>
                <w:u w:val="none" w:color="auto"/>
              </w:rPr>
              <w:t>http</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none" w:color="auto"/>
              </w:rPr>
              <w:t>www</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none" w:color="auto"/>
              </w:rPr>
              <w:t>zcygov</w:t>
            </w:r>
            <w:r>
              <w:rPr>
                <w:rFonts w:hint="eastAsia" w:ascii="宋体" w:hAnsi="宋体" w:eastAsia="宋体" w:cs="宋体"/>
                <w:color w:val="auto"/>
                <w:spacing w:val="6"/>
                <w:sz w:val="21"/>
                <w:szCs w:val="21"/>
                <w:highlight w:val="none"/>
                <w:u w:val="none" w:color="auto"/>
              </w:rPr>
              <w:t>.</w:t>
            </w:r>
            <w:r>
              <w:rPr>
                <w:rFonts w:hint="eastAsia" w:ascii="宋体" w:hAnsi="宋体" w:eastAsia="宋体" w:cs="宋体"/>
                <w:color w:val="auto"/>
                <w:sz w:val="21"/>
                <w:szCs w:val="21"/>
                <w:highlight w:val="none"/>
                <w:u w:val="single" w:color="auto"/>
              </w:rPr>
              <w:t>cn</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
                <w:sz w:val="21"/>
                <w:szCs w:val="21"/>
                <w:highlight w:val="none"/>
              </w:rPr>
              <w:t>获取采购文件，并于</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lang w:eastAsia="zh-CN"/>
              </w:rPr>
              <w:t>月</w:t>
            </w:r>
            <w:r>
              <w:rPr>
                <w:rFonts w:hint="eastAsia" w:cs="宋体"/>
                <w:color w:val="auto"/>
                <w:spacing w:val="6"/>
                <w:sz w:val="21"/>
                <w:szCs w:val="21"/>
                <w:highlight w:val="none"/>
                <w:lang w:val="en-US" w:eastAsia="zh-CN"/>
              </w:rPr>
              <w:t>21</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09</w:t>
            </w:r>
            <w:r>
              <w:rPr>
                <w:rFonts w:hint="eastAsia" w:ascii="宋体" w:hAnsi="宋体" w:eastAsia="宋体" w:cs="宋体"/>
                <w:color w:val="auto"/>
                <w:spacing w:val="6"/>
                <w:sz w:val="21"/>
                <w:szCs w:val="21"/>
                <w:highlight w:val="none"/>
                <w:lang w:eastAsia="zh-CN"/>
              </w:rPr>
              <w:t>时30分</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北京时间）前提交响应文件。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eastAsia="zh-CN"/>
        </w:rPr>
      </w:pPr>
      <w:r>
        <w:rPr>
          <w:rFonts w:hint="eastAsia" w:ascii="宋体" w:hAnsi="宋体" w:eastAsia="宋体" w:cs="宋体"/>
          <w:b w:val="0"/>
          <w:bCs w:val="0"/>
          <w:color w:val="auto"/>
          <w:spacing w:val="9"/>
          <w:sz w:val="21"/>
          <w:szCs w:val="21"/>
          <w:highlight w:val="none"/>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eastAsia="zh-CN"/>
        </w:rPr>
        <w:t>项目编号：</w:t>
      </w:r>
      <w:r>
        <w:rPr>
          <w:rFonts w:hint="eastAsia" w:cs="宋体"/>
          <w:color w:val="auto"/>
          <w:spacing w:val="9"/>
          <w:sz w:val="21"/>
          <w:szCs w:val="21"/>
          <w:highlight w:val="none"/>
          <w:lang w:val="en-US" w:eastAsia="zh-CN"/>
        </w:rPr>
        <w:t>GLZC2025-C2-290068-ZHYB</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w:t>
      </w:r>
      <w:r>
        <w:rPr>
          <w:rFonts w:hint="eastAsia" w:cs="宋体"/>
          <w:color w:val="auto"/>
          <w:spacing w:val="9"/>
          <w:sz w:val="21"/>
          <w:szCs w:val="21"/>
          <w:highlight w:val="none"/>
          <w:lang w:eastAsia="zh-CN"/>
        </w:rPr>
        <w:t>资源镇城关村便民桥</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预算</w:t>
      </w:r>
      <w:r>
        <w:rPr>
          <w:rFonts w:hint="eastAsia" w:ascii="宋体" w:hAnsi="宋体" w:eastAsia="宋体" w:cs="宋体"/>
          <w:color w:val="auto"/>
          <w:spacing w:val="9"/>
          <w:sz w:val="21"/>
          <w:szCs w:val="21"/>
          <w:highlight w:val="none"/>
          <w:lang w:val="en-US" w:eastAsia="zh-CN"/>
        </w:rPr>
        <w:t>总</w:t>
      </w:r>
      <w:r>
        <w:rPr>
          <w:rFonts w:hint="eastAsia" w:ascii="宋体" w:hAnsi="宋体" w:eastAsia="宋体" w:cs="宋体"/>
          <w:color w:val="auto"/>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2837795.43元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标项名称：</w:t>
      </w:r>
      <w:r>
        <w:rPr>
          <w:rFonts w:hint="eastAsia" w:cs="宋体"/>
          <w:color w:val="auto"/>
          <w:spacing w:val="9"/>
          <w:sz w:val="21"/>
          <w:szCs w:val="21"/>
          <w:highlight w:val="none"/>
          <w:lang w:eastAsia="zh-CN"/>
        </w:rPr>
        <w:t>资源镇城关村便民桥</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3558940C">
      <w:pPr>
        <w:numPr>
          <w:ilvl w:val="0"/>
          <w:numId w:val="0"/>
        </w:numPr>
        <w:spacing w:line="360" w:lineRule="auto"/>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项目基本概况介绍、</w:t>
      </w:r>
      <w:r>
        <w:rPr>
          <w:rFonts w:hint="eastAsia" w:ascii="宋体" w:hAnsi="宋体" w:eastAsia="宋体" w:cs="宋体"/>
          <w:snapToGrid w:val="0"/>
          <w:color w:val="auto"/>
          <w:spacing w:val="9"/>
          <w:kern w:val="0"/>
          <w:sz w:val="21"/>
          <w:szCs w:val="21"/>
          <w:highlight w:val="none"/>
          <w:lang w:val="en-US" w:eastAsia="zh-CN" w:bidi="ar-SA"/>
        </w:rPr>
        <w:t>用途：钢管桥、风雨亭廊等内容，桥梁长68.68米。</w:t>
      </w:r>
      <w:r>
        <w:rPr>
          <w:rFonts w:hint="eastAsia" w:ascii="宋体" w:hAnsi="宋体" w:eastAsia="宋体" w:cs="宋体"/>
          <w:color w:val="auto"/>
          <w:spacing w:val="9"/>
          <w:sz w:val="21"/>
          <w:szCs w:val="21"/>
          <w:highlight w:val="none"/>
          <w:lang w:val="en-US" w:eastAsia="zh-CN"/>
        </w:rPr>
        <w:t>具体内容详见工程量清单及施工图纸。</w:t>
      </w:r>
    </w:p>
    <w:p w14:paraId="2A082054">
      <w:pPr>
        <w:wordWrap w:val="0"/>
        <w:spacing w:line="360" w:lineRule="exact"/>
        <w:ind w:firstLine="456" w:firstLineChars="200"/>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施工工期：</w:t>
      </w:r>
      <w:r>
        <w:rPr>
          <w:rFonts w:hint="eastAsia" w:ascii="宋体" w:hAnsi="宋体" w:eastAsia="宋体" w:cs="宋体"/>
          <w:color w:val="auto"/>
          <w:spacing w:val="9"/>
          <w:sz w:val="21"/>
          <w:szCs w:val="21"/>
          <w:highlight w:val="none"/>
          <w:shd w:val="clear" w:color="FFFFFF" w:fill="D9D9D9"/>
          <w:lang w:val="en-US" w:eastAsia="zh-CN"/>
        </w:rPr>
        <w:t>100</w:t>
      </w:r>
      <w:r>
        <w:rPr>
          <w:rFonts w:hint="eastAsia" w:ascii="宋体" w:hAnsi="宋体" w:eastAsia="宋体" w:cs="宋体"/>
          <w:color w:val="auto"/>
          <w:spacing w:val="9"/>
          <w:sz w:val="21"/>
          <w:szCs w:val="21"/>
          <w:highlight w:val="none"/>
          <w:lang w:val="en-US" w:eastAsia="zh-CN"/>
        </w:rPr>
        <w:t>日历天。</w:t>
      </w:r>
    </w:p>
    <w:p w14:paraId="56C1C450">
      <w:pPr>
        <w:wordWrap w:val="0"/>
        <w:spacing w:line="36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质量要求：达到国家施工验收规范合格标准；如需进一步了解详细内容，</w:t>
      </w:r>
      <w:r>
        <w:rPr>
          <w:rFonts w:hint="eastAsia" w:ascii="宋体" w:hAnsi="宋体" w:eastAsia="宋体" w:cs="宋体"/>
          <w:color w:val="auto"/>
          <w:spacing w:val="9"/>
          <w:sz w:val="21"/>
          <w:szCs w:val="21"/>
          <w:highlight w:val="none"/>
          <w:lang w:eastAsia="zh-CN"/>
        </w:rPr>
        <w:t>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最高限价（如有）：</w:t>
      </w:r>
      <w:r>
        <w:rPr>
          <w:rFonts w:hint="eastAsia" w:cs="宋体"/>
          <w:color w:val="auto"/>
          <w:spacing w:val="9"/>
          <w:sz w:val="21"/>
          <w:szCs w:val="21"/>
          <w:highlight w:val="none"/>
          <w:lang w:val="en-US" w:eastAsia="zh-CN"/>
        </w:rPr>
        <w:t>2695905.65元</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2.落实政府采购政策需满足的资格要求：供应商为</w:t>
      </w:r>
      <w:r>
        <w:rPr>
          <w:rFonts w:hint="eastAsia" w:cs="宋体"/>
          <w:color w:val="auto"/>
          <w:spacing w:val="9"/>
          <w:sz w:val="21"/>
          <w:szCs w:val="21"/>
          <w:highlight w:val="none"/>
          <w:lang w:val="en-US" w:eastAsia="zh-CN"/>
        </w:rPr>
        <w:t>中</w:t>
      </w:r>
      <w:r>
        <w:rPr>
          <w:rFonts w:hint="eastAsia" w:ascii="宋体" w:hAnsi="宋体" w:eastAsia="宋体" w:cs="宋体"/>
          <w:color w:val="auto"/>
          <w:spacing w:val="9"/>
          <w:sz w:val="21"/>
          <w:szCs w:val="21"/>
          <w:highlight w:val="none"/>
          <w:lang w:eastAsia="zh-CN"/>
        </w:rPr>
        <w:t>小微企业。</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val="en-US" w:eastAsia="zh-CN"/>
        </w:rPr>
        <w:t>3.1</w:t>
      </w:r>
      <w:r>
        <w:rPr>
          <w:rFonts w:hint="eastAsia" w:ascii="宋体" w:hAnsi="宋体" w:eastAsia="宋体" w:cs="宋体"/>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color w:val="auto"/>
          <w:spacing w:val="9"/>
          <w:sz w:val="21"/>
          <w:szCs w:val="21"/>
          <w:highlight w:val="none"/>
          <w:lang w:val="en-US" w:eastAsia="zh-CN"/>
        </w:rPr>
        <w:t>公路</w:t>
      </w:r>
      <w:r>
        <w:rPr>
          <w:rFonts w:hint="eastAsia" w:ascii="宋体" w:hAnsi="宋体" w:eastAsia="宋体" w:cs="宋体"/>
          <w:color w:val="auto"/>
          <w:spacing w:val="9"/>
          <w:sz w:val="21"/>
          <w:szCs w:val="21"/>
          <w:highlight w:val="none"/>
          <w:lang w:eastAsia="zh-CN"/>
        </w:rPr>
        <w:t>工程专业</w:t>
      </w:r>
      <w:r>
        <w:rPr>
          <w:rFonts w:hint="eastAsia" w:cs="宋体"/>
          <w:color w:val="auto"/>
          <w:spacing w:val="9"/>
          <w:sz w:val="21"/>
          <w:szCs w:val="21"/>
          <w:highlight w:val="none"/>
          <w:lang w:eastAsia="zh-CN"/>
        </w:rPr>
        <w:t>二级(含本级</w:t>
      </w:r>
      <w:r>
        <w:rPr>
          <w:rFonts w:hint="eastAsia" w:ascii="宋体" w:hAnsi="宋体" w:eastAsia="宋体" w:cs="宋体"/>
          <w:color w:val="auto"/>
          <w:spacing w:val="9"/>
          <w:sz w:val="21"/>
          <w:szCs w:val="21"/>
          <w:highlight w:val="none"/>
          <w:lang w:val="en-US" w:eastAsia="zh-CN"/>
        </w:rPr>
        <w:t>）或二级以上</w:t>
      </w:r>
      <w:r>
        <w:rPr>
          <w:rFonts w:hint="eastAsia" w:ascii="宋体" w:hAnsi="宋体" w:eastAsia="宋体" w:cs="宋体"/>
          <w:color w:val="auto"/>
          <w:spacing w:val="9"/>
          <w:sz w:val="21"/>
          <w:szCs w:val="21"/>
          <w:highlight w:val="none"/>
          <w:lang w:eastAsia="zh-CN"/>
        </w:rPr>
        <w:t>建造师执业资格，具备有效的安全生产考核合格证书(B类)。</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pacing w:val="1"/>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时间：</w:t>
      </w:r>
      <w:r>
        <w:rPr>
          <w:rFonts w:hint="eastAsia" w:ascii="宋体" w:hAnsi="宋体" w:eastAsia="宋体" w:cs="宋体"/>
          <w:color w:val="auto"/>
          <w:spacing w:val="1"/>
          <w:sz w:val="21"/>
          <w:szCs w:val="21"/>
          <w:highlight w:val="none"/>
          <w:lang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lang w:eastAsia="zh-CN"/>
        </w:rPr>
        <w:t>日至</w:t>
      </w:r>
      <w:r>
        <w:rPr>
          <w:rFonts w:hint="eastAsia" w:ascii="宋体" w:hAnsi="宋体" w:eastAsia="宋体" w:cs="宋体"/>
          <w:color w:val="auto"/>
          <w:spacing w:val="1"/>
          <w:sz w:val="21"/>
          <w:szCs w:val="21"/>
          <w:highlight w:val="none"/>
          <w:lang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年</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eastAsia="zh-CN"/>
        </w:rPr>
        <w:t>月</w:t>
      </w:r>
      <w:r>
        <w:rPr>
          <w:rFonts w:hint="eastAsia" w:cs="宋体"/>
          <w:color w:val="auto"/>
          <w:spacing w:val="1"/>
          <w:sz w:val="21"/>
          <w:szCs w:val="21"/>
          <w:highlight w:val="none"/>
          <w:lang w:val="en-US" w:eastAsia="zh-CN"/>
        </w:rPr>
        <w:t>21</w:t>
      </w:r>
      <w:r>
        <w:rPr>
          <w:rFonts w:hint="eastAsia" w:ascii="宋体" w:hAnsi="宋体" w:eastAsia="宋体" w:cs="宋体"/>
          <w:color w:val="auto"/>
          <w:spacing w:val="1"/>
          <w:sz w:val="21"/>
          <w:szCs w:val="21"/>
          <w:highlight w:val="none"/>
          <w:lang w:eastAsia="zh-CN"/>
        </w:rPr>
        <w:t>日</w:t>
      </w:r>
      <w:r>
        <w:rPr>
          <w:rFonts w:hint="eastAsia" w:ascii="宋体" w:hAnsi="宋体" w:eastAsia="宋体" w:cs="宋体"/>
          <w:color w:val="auto"/>
          <w:spacing w:val="1"/>
          <w:sz w:val="21"/>
          <w:szCs w:val="21"/>
          <w:highlight w:val="none"/>
        </w:rPr>
        <w:t>，每天上午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获取方式</w:t>
      </w:r>
      <w:r>
        <w:rPr>
          <w:rFonts w:hint="eastAsia" w:ascii="宋体" w:hAnsi="宋体" w:eastAsia="宋体" w:cs="宋体"/>
          <w:color w:val="auto"/>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1、响应文件递交截止时间：</w:t>
      </w:r>
      <w:r>
        <w:rPr>
          <w:rFonts w:hint="eastAsia" w:ascii="宋体" w:hAnsi="宋体" w:eastAsia="宋体" w:cs="宋体"/>
          <w:color w:val="auto"/>
          <w:spacing w:val="1"/>
          <w:sz w:val="21"/>
          <w:szCs w:val="21"/>
          <w:highlight w:val="none"/>
          <w:lang w:val="en-US"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21</w:t>
      </w:r>
      <w:r>
        <w:rPr>
          <w:rFonts w:hint="eastAsia" w:ascii="宋体" w:hAnsi="宋体" w:eastAsia="宋体" w:cs="宋体"/>
          <w:color w:val="auto"/>
          <w:spacing w:val="1"/>
          <w:sz w:val="21"/>
          <w:szCs w:val="21"/>
          <w:highlight w:val="none"/>
          <w:lang w:val="en-US" w:eastAsia="zh-CN"/>
        </w:rPr>
        <w:t>日</w:t>
      </w:r>
      <w:r>
        <w:rPr>
          <w:rFonts w:hint="eastAsia" w:ascii="宋体" w:hAnsi="宋体" w:eastAsia="宋体" w:cs="宋体"/>
          <w:color w:val="auto"/>
          <w:spacing w:val="1"/>
          <w:sz w:val="21"/>
          <w:szCs w:val="21"/>
          <w:highlight w:val="none"/>
          <w:lang w:val="en-US" w:eastAsia="zh-CN"/>
        </w:rPr>
        <w:t>09点30分（北京时间）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2、响应文件开启时间：</w:t>
      </w:r>
      <w:r>
        <w:rPr>
          <w:rFonts w:hint="eastAsia" w:ascii="宋体" w:hAnsi="宋体" w:eastAsia="宋体" w:cs="宋体"/>
          <w:color w:val="auto"/>
          <w:spacing w:val="1"/>
          <w:sz w:val="21"/>
          <w:szCs w:val="21"/>
          <w:highlight w:val="none"/>
          <w:lang w:val="en-US" w:eastAsia="zh-CN"/>
        </w:rPr>
        <w:t>202</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val="en-US" w:eastAsia="zh-CN"/>
        </w:rPr>
        <w:t>年</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lang w:val="en-US" w:eastAsia="zh-CN"/>
        </w:rPr>
        <w:t>月</w:t>
      </w:r>
      <w:r>
        <w:rPr>
          <w:rFonts w:hint="eastAsia" w:cs="宋体"/>
          <w:color w:val="auto"/>
          <w:spacing w:val="1"/>
          <w:sz w:val="21"/>
          <w:szCs w:val="21"/>
          <w:highlight w:val="none"/>
          <w:lang w:val="en-US" w:eastAsia="zh-CN"/>
        </w:rPr>
        <w:t>21</w:t>
      </w:r>
      <w:r>
        <w:rPr>
          <w:rFonts w:hint="eastAsia" w:ascii="宋体" w:hAnsi="宋体" w:eastAsia="宋体" w:cs="宋体"/>
          <w:color w:val="auto"/>
          <w:spacing w:val="1"/>
          <w:sz w:val="21"/>
          <w:szCs w:val="21"/>
          <w:highlight w:val="none"/>
          <w:lang w:val="en-US" w:eastAsia="zh-CN"/>
        </w:rPr>
        <w:t>日</w:t>
      </w:r>
      <w:r>
        <w:rPr>
          <w:rFonts w:hint="eastAsia" w:ascii="宋体" w:hAnsi="宋体" w:eastAsia="宋体" w:cs="宋体"/>
          <w:color w:val="auto"/>
          <w:spacing w:val="1"/>
          <w:sz w:val="21"/>
          <w:szCs w:val="21"/>
          <w:highlight w:val="none"/>
          <w:lang w:val="en-US" w:eastAsia="zh-CN"/>
        </w:rPr>
        <w:t>09点30分（北京时间）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自本公告发布之日起</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4"/>
          <w:sz w:val="21"/>
          <w:szCs w:val="21"/>
          <w:highlight w:val="none"/>
        </w:rPr>
        <w:t>5</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4"/>
          <w:sz w:val="21"/>
          <w:szCs w:val="21"/>
          <w:highlight w:val="none"/>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七、其他补充事宜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（1）单位负责人为同一人或者存在直接控股、管理关系的不同供应商，不得参加同一合同项下的政</w:t>
      </w:r>
      <w:r>
        <w:rPr>
          <w:rFonts w:hint="eastAsia" w:ascii="宋体" w:hAnsi="宋体" w:eastAsia="宋体" w:cs="宋体"/>
          <w:color w:val="auto"/>
          <w:spacing w:val="9"/>
          <w:sz w:val="21"/>
          <w:szCs w:val="21"/>
          <w:highlight w:val="none"/>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（2）对在“信用中国</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)、中国政府采购网(</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)等渠道</w:t>
      </w:r>
      <w:r>
        <w:rPr>
          <w:rFonts w:hint="eastAsia" w:ascii="宋体" w:hAnsi="宋体" w:eastAsia="宋体" w:cs="宋体"/>
          <w:color w:val="auto"/>
          <w:spacing w:val="5"/>
          <w:sz w:val="21"/>
          <w:szCs w:val="21"/>
          <w:highlight w:val="none"/>
        </w:rPr>
        <w:t>列入失信被执行人、重大税收违法案件当事人名单、政府采购严重违法失信行为记录</w:t>
      </w:r>
      <w:r>
        <w:rPr>
          <w:rFonts w:hint="eastAsia" w:ascii="宋体" w:hAnsi="宋体" w:eastAsia="宋体" w:cs="宋体"/>
          <w:color w:val="auto"/>
          <w:spacing w:val="4"/>
          <w:sz w:val="21"/>
          <w:szCs w:val="21"/>
          <w:highlight w:val="none"/>
        </w:rPr>
        <w:t>名单及其他不符合《中</w:t>
      </w:r>
      <w:r>
        <w:rPr>
          <w:rFonts w:hint="eastAsia" w:ascii="宋体" w:hAnsi="宋体" w:eastAsia="宋体" w:cs="宋体"/>
          <w:color w:val="auto"/>
          <w:spacing w:val="9"/>
          <w:sz w:val="21"/>
          <w:szCs w:val="21"/>
          <w:highlight w:val="none"/>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（6）本项目专门面向小微企业采购。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（7）中小企业划分标准所属行业：“建筑业”。</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3.信息公告发布媒体：</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6"/>
          <w:sz w:val="21"/>
          <w:szCs w:val="21"/>
          <w:highlight w:val="none"/>
        </w:rPr>
        <w:t>（中国政府采购网）、</w:t>
      </w:r>
      <w:r>
        <w:rPr>
          <w:rFonts w:hint="eastAsia" w:ascii="宋体" w:hAnsi="宋体" w:eastAsia="宋体" w:cs="宋体"/>
          <w:color w:val="auto"/>
          <w:sz w:val="21"/>
          <w:szCs w:val="21"/>
          <w:highlight w:val="none"/>
        </w:rPr>
        <w:t>http</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zfcg</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gxzf</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5"/>
          <w:sz w:val="21"/>
          <w:szCs w:val="21"/>
          <w:highlight w:val="none"/>
        </w:rPr>
        <w:t>（广</w:t>
      </w:r>
      <w:r>
        <w:rPr>
          <w:rFonts w:hint="eastAsia" w:ascii="宋体" w:hAnsi="宋体" w:eastAsia="宋体" w:cs="宋体"/>
          <w:color w:val="auto"/>
          <w:spacing w:val="11"/>
          <w:sz w:val="21"/>
          <w:szCs w:val="21"/>
          <w:highlight w:val="none"/>
        </w:rPr>
        <w:t>西壮族自治区政府采购网）、</w:t>
      </w:r>
      <w:r>
        <w:rPr>
          <w:rFonts w:hint="eastAsia" w:ascii="宋体" w:hAnsi="宋体" w:eastAsia="宋体" w:cs="宋体"/>
          <w:color w:val="auto"/>
          <w:sz w:val="21"/>
          <w:szCs w:val="21"/>
          <w:highlight w:val="none"/>
          <w:u w:val="none"/>
        </w:rPr>
        <w:t>http</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zfcg</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czj</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guilin</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gov</w:t>
      </w:r>
      <w:r>
        <w:rPr>
          <w:rFonts w:hint="eastAsia" w:ascii="宋体" w:hAnsi="宋体" w:eastAsia="宋体" w:cs="宋体"/>
          <w:color w:val="auto"/>
          <w:spacing w:val="11"/>
          <w:sz w:val="21"/>
          <w:szCs w:val="21"/>
          <w:highlight w:val="none"/>
          <w:u w:val="none"/>
        </w:rPr>
        <w:t>.</w:t>
      </w:r>
      <w:r>
        <w:rPr>
          <w:rFonts w:hint="eastAsia" w:ascii="宋体" w:hAnsi="宋体" w:eastAsia="宋体" w:cs="宋体"/>
          <w:color w:val="auto"/>
          <w:sz w:val="21"/>
          <w:szCs w:val="21"/>
          <w:highlight w:val="none"/>
          <w:u w:val="none"/>
        </w:rPr>
        <w:t>cn</w:t>
      </w:r>
      <w:r>
        <w:rPr>
          <w:rFonts w:hint="eastAsia" w:ascii="宋体" w:hAnsi="宋体" w:eastAsia="宋体" w:cs="宋体"/>
          <w:color w:val="auto"/>
          <w:spacing w:val="11"/>
          <w:sz w:val="21"/>
          <w:szCs w:val="21"/>
          <w:highlight w:val="none"/>
        </w:rPr>
        <w:t>（桂林市政府采购网）</w:t>
      </w:r>
      <w:r>
        <w:rPr>
          <w:rFonts w:hint="eastAsia" w:ascii="宋体" w:hAnsi="宋体" w:eastAsia="宋体" w:cs="宋体"/>
          <w:color w:val="auto"/>
          <w:sz w:val="21"/>
          <w:szCs w:val="21"/>
          <w:highlight w:val="none"/>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名    称：</w:t>
      </w:r>
      <w:r>
        <w:rPr>
          <w:rFonts w:hint="eastAsia" w:cs="宋体"/>
          <w:color w:val="auto"/>
          <w:spacing w:val="6"/>
          <w:sz w:val="21"/>
          <w:szCs w:val="21"/>
          <w:highlight w:val="none"/>
          <w:lang w:eastAsia="zh-CN"/>
        </w:rPr>
        <w:t>资源县政府采购管理办公室</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    话：</w:t>
      </w:r>
      <w:r>
        <w:rPr>
          <w:rFonts w:hint="eastAsia" w:cs="宋体"/>
          <w:color w:val="auto"/>
          <w:spacing w:val="6"/>
          <w:sz w:val="21"/>
          <w:szCs w:val="21"/>
          <w:highlight w:val="none"/>
          <w:lang w:eastAsia="zh-CN"/>
        </w:rPr>
        <w:t>0773-4315648</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.在线投标</w:t>
      </w:r>
      <w:r>
        <w:rPr>
          <w:rFonts w:hint="eastAsia" w:ascii="宋体" w:hAnsi="宋体" w:eastAsia="宋体" w:cs="宋体"/>
          <w:color w:val="auto"/>
          <w:spacing w:val="8"/>
          <w:sz w:val="21"/>
          <w:szCs w:val="21"/>
          <w:highlight w:val="none"/>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响应文件提交截止时间后30分钟内（</w:t>
      </w:r>
      <w:r>
        <w:rPr>
          <w:rFonts w:hint="eastAsia" w:ascii="宋体" w:hAnsi="宋体" w:eastAsia="宋体" w:cs="宋体"/>
          <w:color w:val="auto"/>
          <w:spacing w:val="11"/>
          <w:sz w:val="21"/>
          <w:szCs w:val="21"/>
          <w:highlight w:val="none"/>
          <w:lang w:val="en-US" w:eastAsia="zh-CN"/>
        </w:rPr>
        <w:t>202</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val="en-US" w:eastAsia="zh-CN"/>
        </w:rPr>
        <w:t>年</w:t>
      </w:r>
      <w:r>
        <w:rPr>
          <w:rFonts w:hint="eastAsia" w:cs="宋体"/>
          <w:color w:val="auto"/>
          <w:spacing w:val="11"/>
          <w:sz w:val="21"/>
          <w:szCs w:val="21"/>
          <w:highlight w:val="none"/>
          <w:lang w:val="en-US" w:eastAsia="zh-CN"/>
        </w:rPr>
        <w:t>7</w:t>
      </w:r>
      <w:r>
        <w:rPr>
          <w:rFonts w:hint="eastAsia" w:ascii="宋体" w:hAnsi="宋体" w:eastAsia="宋体" w:cs="宋体"/>
          <w:color w:val="auto"/>
          <w:spacing w:val="11"/>
          <w:sz w:val="21"/>
          <w:szCs w:val="21"/>
          <w:highlight w:val="none"/>
          <w:lang w:val="en-US" w:eastAsia="zh-CN"/>
        </w:rPr>
        <w:t>月</w:t>
      </w:r>
      <w:r>
        <w:rPr>
          <w:rFonts w:hint="eastAsia" w:cs="宋体"/>
          <w:color w:val="auto"/>
          <w:spacing w:val="11"/>
          <w:sz w:val="21"/>
          <w:szCs w:val="21"/>
          <w:highlight w:val="none"/>
          <w:lang w:val="en-US" w:eastAsia="zh-CN"/>
        </w:rPr>
        <w:t>21</w:t>
      </w:r>
      <w:r>
        <w:rPr>
          <w:rFonts w:hint="eastAsia" w:ascii="宋体" w:hAnsi="宋体" w:eastAsia="宋体" w:cs="宋体"/>
          <w:color w:val="auto"/>
          <w:spacing w:val="11"/>
          <w:sz w:val="21"/>
          <w:szCs w:val="21"/>
          <w:highlight w:val="none"/>
          <w:lang w:val="en-US" w:eastAsia="zh-CN"/>
        </w:rPr>
        <w:t>日</w:t>
      </w:r>
      <w:r>
        <w:rPr>
          <w:rFonts w:hint="eastAsia" w:ascii="宋体" w:hAnsi="宋体" w:eastAsia="宋体" w:cs="宋体"/>
          <w:color w:val="auto"/>
          <w:spacing w:val="11"/>
          <w:sz w:val="21"/>
          <w:szCs w:val="21"/>
          <w:highlight w:val="none"/>
          <w:lang w:val="en-US" w:eastAsia="zh-CN"/>
        </w:rPr>
        <w:t>09时30分至10时00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cs="宋体"/>
          <w:color w:val="auto"/>
          <w:spacing w:val="11"/>
          <w:sz w:val="21"/>
          <w:szCs w:val="21"/>
          <w:highlight w:val="none"/>
          <w:u w:val="single"/>
          <w:lang w:val="en-US" w:eastAsia="zh-CN"/>
        </w:rPr>
        <w:t>8号政采开标仓</w:t>
      </w:r>
      <w:r>
        <w:rPr>
          <w:rFonts w:hint="eastAsia" w:ascii="宋体" w:hAnsi="宋体" w:eastAsia="宋体" w:cs="宋体"/>
          <w:color w:val="auto"/>
          <w:spacing w:val="11"/>
          <w:sz w:val="21"/>
          <w:szCs w:val="21"/>
          <w:highlight w:val="none"/>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八、凡对本次招标提出询问，请按以下方式联系</w:t>
      </w:r>
    </w:p>
    <w:p w14:paraId="7F214F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bookmarkStart w:id="2" w:name="_Toc3288"/>
      <w:bookmarkStart w:id="3" w:name="_Toc22264"/>
      <w:r>
        <w:rPr>
          <w:rFonts w:hint="eastAsia" w:ascii="宋体" w:hAnsi="宋体" w:eastAsia="宋体" w:cs="宋体"/>
          <w:color w:val="auto"/>
          <w:spacing w:val="4"/>
          <w:position w:val="11"/>
          <w:sz w:val="21"/>
          <w:szCs w:val="21"/>
          <w:highlight w:val="none"/>
          <w:lang w:eastAsia="zh-CN"/>
        </w:rPr>
        <w:t>1.采购人信息</w:t>
      </w:r>
    </w:p>
    <w:p w14:paraId="23B9D5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名    称：</w:t>
      </w:r>
      <w:r>
        <w:rPr>
          <w:rFonts w:hint="eastAsia" w:cs="宋体"/>
          <w:color w:val="auto"/>
          <w:spacing w:val="4"/>
          <w:position w:val="11"/>
          <w:sz w:val="21"/>
          <w:szCs w:val="21"/>
          <w:highlight w:val="none"/>
          <w:lang w:eastAsia="zh-CN"/>
        </w:rPr>
        <w:t>资源县交通运输局</w:t>
      </w:r>
    </w:p>
    <w:p w14:paraId="490E1C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地    址：</w:t>
      </w:r>
      <w:r>
        <w:rPr>
          <w:rFonts w:hint="eastAsia" w:cs="宋体"/>
          <w:color w:val="auto"/>
          <w:spacing w:val="4"/>
          <w:position w:val="11"/>
          <w:sz w:val="21"/>
          <w:szCs w:val="21"/>
          <w:highlight w:val="none"/>
          <w:lang w:val="en-US" w:eastAsia="zh-CN"/>
        </w:rPr>
        <w:t>资源县城北开发区</w:t>
      </w:r>
    </w:p>
    <w:p w14:paraId="66443F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val="en-US" w:eastAsia="zh-CN"/>
        </w:rPr>
      </w:pPr>
      <w:r>
        <w:rPr>
          <w:rFonts w:hint="eastAsia" w:ascii="宋体" w:hAnsi="宋体" w:eastAsia="宋体" w:cs="宋体"/>
          <w:color w:val="auto"/>
          <w:spacing w:val="4"/>
          <w:position w:val="11"/>
          <w:sz w:val="21"/>
          <w:szCs w:val="21"/>
          <w:highlight w:val="none"/>
          <w:lang w:eastAsia="zh-CN"/>
        </w:rPr>
        <w:t>项目联系人：蒋工</w:t>
      </w:r>
      <w:r>
        <w:rPr>
          <w:rFonts w:hint="eastAsia" w:cs="宋体"/>
          <w:color w:val="auto"/>
          <w:spacing w:val="4"/>
          <w:position w:val="11"/>
          <w:sz w:val="21"/>
          <w:szCs w:val="21"/>
          <w:highlight w:val="none"/>
          <w:lang w:val="en-US" w:eastAsia="zh-CN"/>
        </w:rPr>
        <w:t xml:space="preserve">  </w:t>
      </w:r>
    </w:p>
    <w:p w14:paraId="3113B0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项目联系方式：13907830790</w:t>
      </w:r>
      <w:r>
        <w:rPr>
          <w:rFonts w:hint="eastAsia" w:cs="宋体"/>
          <w:color w:val="auto"/>
          <w:spacing w:val="4"/>
          <w:position w:val="11"/>
          <w:sz w:val="21"/>
          <w:szCs w:val="21"/>
          <w:highlight w:val="none"/>
          <w:lang w:val="en-US" w:eastAsia="zh-CN"/>
        </w:rPr>
        <w:t xml:space="preserve">  </w:t>
      </w:r>
    </w:p>
    <w:p w14:paraId="08CD01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pacing w:val="4"/>
          <w:position w:val="11"/>
          <w:sz w:val="21"/>
          <w:szCs w:val="21"/>
          <w:highlight w:val="none"/>
          <w:lang w:eastAsia="zh-CN"/>
        </w:rPr>
      </w:pPr>
      <w:r>
        <w:rPr>
          <w:rFonts w:hint="eastAsia" w:ascii="宋体" w:hAnsi="宋体" w:eastAsia="宋体" w:cs="宋体"/>
          <w:color w:val="auto"/>
          <w:spacing w:val="4"/>
          <w:position w:val="11"/>
          <w:sz w:val="21"/>
          <w:szCs w:val="21"/>
          <w:highlight w:val="none"/>
          <w:lang w:eastAsia="zh-CN"/>
        </w:rPr>
        <w:t>2.采购代理机构信息</w:t>
      </w:r>
    </w:p>
    <w:p w14:paraId="2AA1F1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名    称：</w:t>
      </w:r>
      <w:r>
        <w:rPr>
          <w:rFonts w:hint="eastAsia" w:cs="宋体"/>
          <w:color w:val="auto"/>
          <w:spacing w:val="8"/>
          <w:sz w:val="21"/>
          <w:szCs w:val="21"/>
          <w:highlight w:val="none"/>
          <w:lang w:eastAsia="zh-CN"/>
        </w:rPr>
        <w:t>中鸿亿博集团有限公司</w:t>
      </w:r>
    </w:p>
    <w:p w14:paraId="31EBAE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position w:val="11"/>
          <w:sz w:val="21"/>
          <w:szCs w:val="21"/>
          <w:highlight w:val="none"/>
        </w:rPr>
        <w:t>地    址：</w:t>
      </w:r>
      <w:r>
        <w:rPr>
          <w:rFonts w:hint="eastAsia" w:cs="宋体"/>
          <w:color w:val="auto"/>
          <w:spacing w:val="4"/>
          <w:position w:val="11"/>
          <w:sz w:val="21"/>
          <w:szCs w:val="21"/>
          <w:highlight w:val="none"/>
          <w:lang w:eastAsia="zh-CN"/>
        </w:rPr>
        <w:t>桂林市临桂区临桂镇西城北路山水凤凰城B-Z109</w:t>
      </w:r>
    </w:p>
    <w:p w14:paraId="7CF6DD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rPr>
        <w:t>项目联系人：</w:t>
      </w:r>
      <w:r>
        <w:rPr>
          <w:rFonts w:hint="eastAsia" w:cs="宋体"/>
          <w:color w:val="auto"/>
          <w:spacing w:val="8"/>
          <w:sz w:val="21"/>
          <w:szCs w:val="21"/>
          <w:highlight w:val="none"/>
          <w:lang w:eastAsia="zh-CN"/>
        </w:rPr>
        <w:t>余金凤</w:t>
      </w:r>
    </w:p>
    <w:p w14:paraId="687CC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项目联系方式：</w:t>
      </w:r>
      <w:r>
        <w:rPr>
          <w:rFonts w:hint="eastAsia" w:cs="宋体"/>
          <w:color w:val="auto"/>
          <w:spacing w:val="6"/>
          <w:sz w:val="21"/>
          <w:szCs w:val="21"/>
          <w:highlight w:val="none"/>
          <w:lang w:eastAsia="zh-CN"/>
        </w:rPr>
        <w:t>18978343319</w:t>
      </w:r>
    </w:p>
    <w:p w14:paraId="558B3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4B1C8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color w:val="auto"/>
          <w:sz w:val="21"/>
          <w:szCs w:val="21"/>
          <w:highlight w:val="none"/>
        </w:rPr>
      </w:pPr>
    </w:p>
    <w:p w14:paraId="5828A9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color w:val="auto"/>
          <w:spacing w:val="-6"/>
          <w:sz w:val="21"/>
          <w:szCs w:val="21"/>
          <w:highlight w:val="none"/>
        </w:rPr>
      </w:pPr>
      <w:r>
        <w:rPr>
          <w:rFonts w:hint="eastAsia" w:cs="宋体"/>
          <w:color w:val="auto"/>
          <w:spacing w:val="9"/>
          <w:sz w:val="21"/>
          <w:szCs w:val="21"/>
          <w:highlight w:val="none"/>
          <w:lang w:eastAsia="zh-CN"/>
        </w:rPr>
        <w:t>中鸿亿博集团有限公司</w:t>
      </w:r>
      <w:r>
        <w:rPr>
          <w:rFonts w:hint="eastAsia" w:ascii="宋体" w:hAnsi="宋体" w:eastAsia="宋体" w:cs="宋体"/>
          <w:color w:val="auto"/>
          <w:spacing w:val="2"/>
          <w:sz w:val="21"/>
          <w:szCs w:val="21"/>
          <w:highlight w:val="none"/>
        </w:rPr>
        <w:t xml:space="preserve"> </w:t>
      </w:r>
    </w:p>
    <w:p w14:paraId="5DEBE4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202</w:t>
      </w:r>
      <w:r>
        <w:rPr>
          <w:rFonts w:hint="eastAsia"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年</w:t>
      </w:r>
      <w:r>
        <w:rPr>
          <w:rFonts w:hint="eastAsia" w:cs="宋体"/>
          <w:color w:val="auto"/>
          <w:spacing w:val="-6"/>
          <w:sz w:val="21"/>
          <w:szCs w:val="21"/>
          <w:highlight w:val="none"/>
          <w:lang w:val="en-US" w:eastAsia="zh-CN"/>
        </w:rPr>
        <w:t>7</w:t>
      </w:r>
      <w:r>
        <w:rPr>
          <w:rFonts w:hint="eastAsia" w:ascii="宋体" w:hAnsi="宋体" w:eastAsia="宋体" w:cs="宋体"/>
          <w:color w:val="auto"/>
          <w:spacing w:val="-6"/>
          <w:sz w:val="21"/>
          <w:szCs w:val="21"/>
          <w:highlight w:val="none"/>
        </w:rPr>
        <w:t>月</w:t>
      </w:r>
      <w:r>
        <w:rPr>
          <w:rFonts w:hint="eastAsia" w:cs="宋体"/>
          <w:color w:val="auto"/>
          <w:spacing w:val="-6"/>
          <w:sz w:val="21"/>
          <w:szCs w:val="21"/>
          <w:highlight w:val="none"/>
          <w:lang w:val="en-US" w:eastAsia="zh-CN"/>
        </w:rPr>
        <w:t>9</w:t>
      </w:r>
      <w:r>
        <w:rPr>
          <w:rFonts w:hint="eastAsia" w:ascii="宋体" w:hAnsi="宋体" w:eastAsia="宋体" w:cs="宋体"/>
          <w:color w:val="auto"/>
          <w:spacing w:val="-6"/>
          <w:sz w:val="21"/>
          <w:szCs w:val="21"/>
          <w:highlight w:val="none"/>
        </w:rPr>
        <w:t>日</w:t>
      </w:r>
    </w:p>
    <w:p w14:paraId="5EC86DFB">
      <w:pPr>
        <w:spacing w:line="280" w:lineRule="auto"/>
        <w:rPr>
          <w:rFonts w:hint="eastAsia" w:ascii="宋体" w:hAnsi="宋体" w:eastAsia="宋体" w:cs="宋体"/>
          <w:color w:val="auto"/>
          <w:sz w:val="20"/>
          <w:szCs w:val="20"/>
          <w:highlight w:val="none"/>
        </w:rPr>
        <w:sectPr>
          <w:footerReference r:id="rId5" w:type="default"/>
          <w:pgSz w:w="11906" w:h="16839"/>
          <w:pgMar w:top="1431" w:right="1133" w:bottom="1362" w:left="1134" w:header="0" w:footer="1200" w:gutter="0"/>
          <w:pgNumType w:fmt="decimal"/>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8"/>
          <w:sz w:val="28"/>
          <w:szCs w:val="28"/>
          <w:highlight w:val="none"/>
          <w14:textOutline w14:w="5793" w14:cap="sq" w14:cmpd="sng">
            <w14:solidFill>
              <w14:srgbClr w14:val="000000"/>
            </w14:solidFill>
            <w14:prstDash w14:val="solid"/>
            <w14:bevel/>
          </w14:textOutline>
        </w:rPr>
        <w:t>供应商须知</w:t>
      </w:r>
      <w:bookmarkEnd w:id="2"/>
      <w:bookmarkEnd w:id="3"/>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4358" w14:cap="sq" w14:cmpd="sng">
            <w14:solidFill>
              <w14:srgbClr w14:val="000000"/>
            </w14:solidFill>
            <w14:prstDash w14:val="solid"/>
            <w14:bevel/>
          </w14:textOutline>
        </w:rPr>
        <w:t>供应商须知前附表</w:t>
      </w:r>
    </w:p>
    <w:tbl>
      <w:tblPr>
        <w:tblStyle w:val="24"/>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97"/>
        <w:gridCol w:w="701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条款号</w:t>
            </w:r>
          </w:p>
        </w:tc>
        <w:tc>
          <w:tcPr>
            <w:tcW w:w="1497" w:type="dxa"/>
            <w:shd w:val="clear" w:color="auto" w:fill="8DB3E2"/>
            <w:vAlign w:val="center"/>
          </w:tcPr>
          <w:p w14:paraId="636BDC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条款名称</w:t>
            </w:r>
          </w:p>
        </w:tc>
        <w:tc>
          <w:tcPr>
            <w:tcW w:w="7017" w:type="dxa"/>
            <w:shd w:val="clear" w:color="auto" w:fill="8DB3E2"/>
            <w:vAlign w:val="center"/>
          </w:tcPr>
          <w:p w14:paraId="6045BEB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506C1D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w:t>
            </w:r>
          </w:p>
        </w:tc>
        <w:tc>
          <w:tcPr>
            <w:tcW w:w="720" w:type="dxa"/>
            <w:vAlign w:val="center"/>
          </w:tcPr>
          <w:p w14:paraId="57C0CB7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1497" w:type="dxa"/>
            <w:vAlign w:val="center"/>
          </w:tcPr>
          <w:p w14:paraId="3008C9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项目名称及</w:t>
            </w:r>
          </w:p>
          <w:p w14:paraId="51FDE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p>
        </w:tc>
        <w:tc>
          <w:tcPr>
            <w:tcW w:w="7017" w:type="dxa"/>
            <w:vAlign w:val="center"/>
          </w:tcPr>
          <w:p w14:paraId="6F854D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项目名称：</w:t>
            </w:r>
            <w:r>
              <w:rPr>
                <w:rFonts w:hint="eastAsia" w:cs="宋体"/>
                <w:snapToGrid w:val="0"/>
                <w:color w:val="auto"/>
                <w:spacing w:val="11"/>
                <w:kern w:val="0"/>
                <w:sz w:val="21"/>
                <w:szCs w:val="21"/>
                <w:highlight w:val="none"/>
                <w:lang w:val="en-US" w:eastAsia="zh-CN" w:bidi="ar-SA"/>
              </w:rPr>
              <w:t>资源镇城关村便民桥</w:t>
            </w:r>
          </w:p>
          <w:p w14:paraId="1DB836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项目编号：</w:t>
            </w:r>
            <w:r>
              <w:rPr>
                <w:rFonts w:hint="eastAsia" w:ascii="宋体" w:hAnsi="宋体" w:eastAsia="宋体" w:cs="宋体"/>
                <w:color w:val="auto"/>
                <w:spacing w:val="7"/>
                <w:sz w:val="21"/>
                <w:szCs w:val="21"/>
                <w:highlight w:val="none"/>
                <w:lang w:val="en-US" w:eastAsia="zh-CN"/>
              </w:rPr>
              <w:t xml:space="preserve"> </w:t>
            </w:r>
            <w:r>
              <w:rPr>
                <w:rFonts w:hint="eastAsia" w:cs="宋体"/>
                <w:color w:val="auto"/>
                <w:spacing w:val="7"/>
                <w:sz w:val="21"/>
                <w:szCs w:val="21"/>
                <w:highlight w:val="none"/>
                <w:lang w:val="en-US" w:eastAsia="zh-CN"/>
              </w:rPr>
              <w:t>GLZC2025-C2-290068-ZHYB</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w:t>
            </w:r>
          </w:p>
        </w:tc>
        <w:tc>
          <w:tcPr>
            <w:tcW w:w="720" w:type="dxa"/>
            <w:vAlign w:val="center"/>
          </w:tcPr>
          <w:p w14:paraId="38C2452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1497" w:type="dxa"/>
            <w:vAlign w:val="center"/>
          </w:tcPr>
          <w:p w14:paraId="7828152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en-US" w:bidi="ar-SA"/>
              </w:rPr>
              <w:t>供应商资格</w:t>
            </w:r>
          </w:p>
        </w:tc>
        <w:tc>
          <w:tcPr>
            <w:tcW w:w="7017" w:type="dxa"/>
            <w:vAlign w:val="center"/>
          </w:tcPr>
          <w:p w14:paraId="2262AAC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1.满足《中华人民共和国政府采购法》第二十二条规定；</w:t>
            </w:r>
          </w:p>
          <w:p w14:paraId="36A123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2.落实政府采购政策需满足的资格要求：供应商为</w:t>
            </w:r>
            <w:r>
              <w:rPr>
                <w:rFonts w:hint="eastAsia" w:cs="宋体"/>
                <w:snapToGrid w:val="0"/>
                <w:color w:val="auto"/>
                <w:spacing w:val="11"/>
                <w:kern w:val="0"/>
                <w:sz w:val="21"/>
                <w:szCs w:val="21"/>
                <w:highlight w:val="none"/>
                <w:lang w:val="en-US" w:eastAsia="zh-CN" w:bidi="ar-SA"/>
              </w:rPr>
              <w:t>中</w:t>
            </w:r>
            <w:r>
              <w:rPr>
                <w:rFonts w:hint="eastAsia" w:ascii="宋体" w:hAnsi="宋体" w:eastAsia="宋体" w:cs="宋体"/>
                <w:snapToGrid w:val="0"/>
                <w:color w:val="auto"/>
                <w:spacing w:val="11"/>
                <w:kern w:val="0"/>
                <w:sz w:val="21"/>
                <w:szCs w:val="21"/>
                <w:highlight w:val="none"/>
                <w:lang w:val="en-US" w:eastAsia="zh-CN" w:bidi="ar-SA"/>
              </w:rPr>
              <w:t>小微企业。</w:t>
            </w:r>
          </w:p>
          <w:p w14:paraId="5FD7366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3.本项目的特定资格要求：</w:t>
            </w:r>
          </w:p>
          <w:p w14:paraId="3D1AC5D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en-US" w:bidi="ar-SA"/>
              </w:rPr>
            </w:pPr>
            <w:r>
              <w:rPr>
                <w:rFonts w:hint="eastAsia" w:ascii="宋体" w:hAnsi="宋体" w:eastAsia="宋体" w:cs="宋体"/>
                <w:snapToGrid w:val="0"/>
                <w:color w:val="auto"/>
                <w:spacing w:val="11"/>
                <w:kern w:val="0"/>
                <w:sz w:val="21"/>
                <w:szCs w:val="21"/>
                <w:highlight w:val="none"/>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w:t>
            </w:r>
            <w:r>
              <w:rPr>
                <w:rFonts w:hint="eastAsia" w:cs="宋体"/>
                <w:snapToGrid w:val="0"/>
                <w:color w:val="auto"/>
                <w:spacing w:val="11"/>
                <w:kern w:val="0"/>
                <w:sz w:val="21"/>
                <w:szCs w:val="21"/>
                <w:highlight w:val="none"/>
                <w:lang w:val="en-US" w:eastAsia="zh-CN" w:bidi="ar-SA"/>
              </w:rPr>
              <w:t>二级(含本级</w:t>
            </w:r>
            <w:r>
              <w:rPr>
                <w:rFonts w:hint="eastAsia" w:ascii="宋体" w:hAnsi="宋体" w:eastAsia="宋体" w:cs="宋体"/>
                <w:snapToGrid w:val="0"/>
                <w:color w:val="auto"/>
                <w:spacing w:val="11"/>
                <w:kern w:val="0"/>
                <w:sz w:val="21"/>
                <w:szCs w:val="21"/>
                <w:highlight w:val="none"/>
                <w:lang w:val="en-US" w:eastAsia="zh-CN" w:bidi="ar-SA"/>
              </w:rPr>
              <w:t>）或二级以上建造师执业资格，具备有效的安全生产考核合格证书(B类)。</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w:t>
            </w:r>
          </w:p>
        </w:tc>
        <w:tc>
          <w:tcPr>
            <w:tcW w:w="720" w:type="dxa"/>
            <w:vAlign w:val="center"/>
          </w:tcPr>
          <w:p w14:paraId="7D8E168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1497" w:type="dxa"/>
            <w:vAlign w:val="center"/>
          </w:tcPr>
          <w:p w14:paraId="156F9CB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磋商费用</w:t>
            </w:r>
          </w:p>
        </w:tc>
        <w:tc>
          <w:tcPr>
            <w:tcW w:w="7017" w:type="dxa"/>
            <w:vAlign w:val="center"/>
          </w:tcPr>
          <w:p w14:paraId="70D35B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4</w:t>
            </w:r>
          </w:p>
        </w:tc>
        <w:tc>
          <w:tcPr>
            <w:tcW w:w="720" w:type="dxa"/>
            <w:vAlign w:val="center"/>
          </w:tcPr>
          <w:p w14:paraId="32C27B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1497" w:type="dxa"/>
            <w:vAlign w:val="center"/>
          </w:tcPr>
          <w:p w14:paraId="2BCDE04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磋商报价及招标控制价</w:t>
            </w:r>
          </w:p>
        </w:tc>
        <w:tc>
          <w:tcPr>
            <w:tcW w:w="7017" w:type="dxa"/>
            <w:vAlign w:val="center"/>
          </w:tcPr>
          <w:p w14:paraId="6BCC593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b/>
                <w:bCs/>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13.1</w:t>
            </w:r>
            <w:r>
              <w:rPr>
                <w:rFonts w:hint="eastAsia" w:ascii="宋体" w:hAnsi="宋体" w:eastAsia="宋体" w:cs="宋体"/>
                <w:b/>
                <w:bCs/>
                <w:snapToGrid w:val="0"/>
                <w:color w:val="auto"/>
                <w:spacing w:val="11"/>
                <w:kern w:val="0"/>
                <w:sz w:val="21"/>
                <w:szCs w:val="21"/>
                <w:highlight w:val="none"/>
                <w:lang w:val="en-US" w:eastAsia="zh-CN" w:bidi="ar-SA"/>
              </w:rPr>
              <w:t>本工程</w:t>
            </w:r>
            <w:r>
              <w:rPr>
                <w:rFonts w:hint="eastAsia" w:cs="宋体"/>
                <w:b/>
                <w:bCs/>
                <w:snapToGrid w:val="0"/>
                <w:color w:val="auto"/>
                <w:spacing w:val="11"/>
                <w:kern w:val="0"/>
                <w:sz w:val="21"/>
                <w:szCs w:val="21"/>
                <w:highlight w:val="none"/>
                <w:lang w:val="en-US" w:eastAsia="zh-CN" w:bidi="ar-SA"/>
              </w:rPr>
              <w:t>预算总金额为：2837795.43元，经采购人同意</w:t>
            </w:r>
            <w:r>
              <w:rPr>
                <w:rFonts w:hint="eastAsia" w:ascii="宋体" w:hAnsi="宋体" w:eastAsia="宋体" w:cs="宋体"/>
                <w:b/>
                <w:bCs/>
                <w:snapToGrid w:val="0"/>
                <w:color w:val="auto"/>
                <w:spacing w:val="11"/>
                <w:kern w:val="0"/>
                <w:sz w:val="21"/>
                <w:szCs w:val="21"/>
                <w:highlight w:val="none"/>
                <w:lang w:val="en-US" w:eastAsia="zh-CN" w:bidi="ar-SA"/>
              </w:rPr>
              <w:t>招标上限控制价为人民币：</w:t>
            </w:r>
            <w:r>
              <w:rPr>
                <w:rFonts w:hint="eastAsia" w:cs="宋体"/>
                <w:b/>
                <w:bCs/>
                <w:snapToGrid w:val="0"/>
                <w:color w:val="auto"/>
                <w:spacing w:val="11"/>
                <w:kern w:val="0"/>
                <w:sz w:val="21"/>
                <w:szCs w:val="21"/>
                <w:highlight w:val="none"/>
                <w:lang w:val="en-US" w:eastAsia="zh-CN" w:bidi="ar-SA"/>
              </w:rPr>
              <w:t>2695905.65元</w:t>
            </w:r>
            <w:r>
              <w:rPr>
                <w:rFonts w:hint="eastAsia" w:ascii="宋体" w:hAnsi="宋体" w:eastAsia="宋体" w:cs="宋体"/>
                <w:b/>
                <w:bCs/>
                <w:snapToGrid w:val="0"/>
                <w:color w:val="auto"/>
                <w:spacing w:val="11"/>
                <w:kern w:val="0"/>
                <w:sz w:val="21"/>
                <w:szCs w:val="21"/>
                <w:highlight w:val="none"/>
                <w:lang w:val="en-US" w:eastAsia="zh-CN" w:bidi="ar-SA"/>
              </w:rPr>
              <w:t>，供应商磋商总报价不得高于本标段招标上限控制价。</w:t>
            </w:r>
          </w:p>
          <w:p w14:paraId="16E6D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13.2供应商应在规定时间</w:t>
            </w:r>
            <w:r>
              <w:rPr>
                <w:rFonts w:hint="eastAsia" w:ascii="宋体" w:hAnsi="宋体" w:eastAsia="宋体" w:cs="宋体"/>
                <w:snapToGrid w:val="0"/>
                <w:color w:val="auto"/>
                <w:spacing w:val="11"/>
                <w:kern w:val="0"/>
                <w:sz w:val="21"/>
                <w:szCs w:val="21"/>
                <w:highlight w:val="none"/>
                <w:lang w:val="en-US" w:eastAsia="en-US" w:bidi="ar-SA"/>
              </w:rPr>
              <w:t>内在</w:t>
            </w:r>
            <w:r>
              <w:rPr>
                <w:rFonts w:hint="eastAsia" w:ascii="宋体" w:hAnsi="宋体" w:eastAsia="宋体" w:cs="宋体"/>
                <w:snapToGrid w:val="0"/>
                <w:color w:val="auto"/>
                <w:spacing w:val="11"/>
                <w:kern w:val="0"/>
                <w:sz w:val="21"/>
                <w:szCs w:val="21"/>
                <w:highlight w:val="none"/>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5</w:t>
            </w:r>
          </w:p>
        </w:tc>
        <w:tc>
          <w:tcPr>
            <w:tcW w:w="720" w:type="dxa"/>
            <w:vAlign w:val="center"/>
          </w:tcPr>
          <w:p w14:paraId="40E92B7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14.1</w:t>
            </w:r>
          </w:p>
        </w:tc>
        <w:tc>
          <w:tcPr>
            <w:tcW w:w="1497" w:type="dxa"/>
            <w:vAlign w:val="center"/>
          </w:tcPr>
          <w:p w14:paraId="4562C3A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40CB9D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有效期</w:t>
            </w:r>
          </w:p>
        </w:tc>
        <w:tc>
          <w:tcPr>
            <w:tcW w:w="7017" w:type="dxa"/>
            <w:vAlign w:val="center"/>
          </w:tcPr>
          <w:p w14:paraId="52DF773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自响应文件递交截止时间之日起90天，有效期不足的响应文件将被拒绝。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6</w:t>
            </w:r>
          </w:p>
        </w:tc>
        <w:tc>
          <w:tcPr>
            <w:tcW w:w="720" w:type="dxa"/>
            <w:vAlign w:val="center"/>
          </w:tcPr>
          <w:p w14:paraId="1E31A8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1497" w:type="dxa"/>
            <w:vAlign w:val="center"/>
          </w:tcPr>
          <w:p w14:paraId="28972A7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磋商保证金</w:t>
            </w:r>
          </w:p>
        </w:tc>
        <w:tc>
          <w:tcPr>
            <w:tcW w:w="7017" w:type="dxa"/>
            <w:vAlign w:val="center"/>
          </w:tcPr>
          <w:p w14:paraId="0B46D2F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7</w:t>
            </w:r>
          </w:p>
        </w:tc>
        <w:tc>
          <w:tcPr>
            <w:tcW w:w="720" w:type="dxa"/>
            <w:vAlign w:val="center"/>
          </w:tcPr>
          <w:p w14:paraId="396F429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1497" w:type="dxa"/>
            <w:vAlign w:val="center"/>
          </w:tcPr>
          <w:p w14:paraId="6A9793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w:t>
            </w:r>
          </w:p>
          <w:p w14:paraId="340519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的制作</w:t>
            </w:r>
          </w:p>
        </w:tc>
        <w:tc>
          <w:tcPr>
            <w:tcW w:w="7017" w:type="dxa"/>
            <w:vAlign w:val="center"/>
          </w:tcPr>
          <w:p w14:paraId="305FC0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16.1电子响应文件中须加盖供应商公章部分均采用 CA 签章，并根据“政府采购项目电子交易管理操作指南-供应商 ”及本磋商文件规定的格式和顺序编制电子响应文件并进行关联定位，以便磋商。</w:t>
            </w:r>
          </w:p>
          <w:p w14:paraId="36D345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16.2供应商法定代表人（负责人）或授权委托人持有广西政府采购云平台个人CA签章的，应在响应文件中涉及到签字的位置使用个人CA签章，没有办理广西政府采购云平台个人CA签章的可在响应文件中涉及到签字的位置 手写签字后扫描或者拍照做成PDF的格式上传即可。</w:t>
            </w:r>
          </w:p>
          <w:p w14:paraId="2A5A3B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16.3 响应文件不得涂改，若有修改错漏处，须法定代表人（负责 人）或授权委托人签字（或个人 CA 签章）。响应文件因字迹潦草或表达不清所引起的后果由供应商负责。</w:t>
            </w:r>
          </w:p>
          <w:p w14:paraId="422C7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 磋商前准备</w:t>
            </w:r>
          </w:p>
          <w:p w14:paraId="19837AC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16.4.1 本项目实行在线磋商，采用电子响应文件。若供应商参与 磋商，自行承担磋商一切费用。</w:t>
            </w:r>
          </w:p>
          <w:p w14:paraId="1DDC36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16.4.2各供应商在截标前应确保成为广西政府采购云平台正式注册入库供应商，并完成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8</w:t>
            </w:r>
          </w:p>
        </w:tc>
        <w:tc>
          <w:tcPr>
            <w:tcW w:w="720" w:type="dxa"/>
            <w:vAlign w:val="center"/>
          </w:tcPr>
          <w:p w14:paraId="0891F6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18.1</w:t>
            </w:r>
          </w:p>
        </w:tc>
        <w:tc>
          <w:tcPr>
            <w:tcW w:w="1497" w:type="dxa"/>
            <w:vAlign w:val="center"/>
          </w:tcPr>
          <w:p w14:paraId="2A3A92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响应文件递交截止时间</w:t>
            </w:r>
          </w:p>
        </w:tc>
        <w:tc>
          <w:tcPr>
            <w:tcW w:w="7017" w:type="dxa"/>
            <w:vAlign w:val="center"/>
          </w:tcPr>
          <w:p w14:paraId="67CDCF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供应商应于</w:t>
            </w:r>
            <w:r>
              <w:rPr>
                <w:rFonts w:hint="eastAsia" w:ascii="宋体" w:hAnsi="宋体" w:eastAsia="宋体" w:cs="宋体"/>
                <w:snapToGrid w:val="0"/>
                <w:color w:val="auto"/>
                <w:spacing w:val="11"/>
                <w:kern w:val="0"/>
                <w:sz w:val="21"/>
                <w:szCs w:val="21"/>
                <w:highlight w:val="none"/>
                <w:lang w:val="en-US" w:eastAsia="zh-CN" w:bidi="ar-SA"/>
              </w:rPr>
              <w:t>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7</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21</w:t>
            </w:r>
            <w:r>
              <w:rPr>
                <w:rFonts w:hint="eastAsia" w:ascii="宋体" w:hAnsi="宋体" w:eastAsia="宋体" w:cs="宋体"/>
                <w:snapToGrid w:val="0"/>
                <w:color w:val="auto"/>
                <w:spacing w:val="11"/>
                <w:kern w:val="0"/>
                <w:sz w:val="21"/>
                <w:szCs w:val="21"/>
                <w:highlight w:val="none"/>
                <w:lang w:val="en-US" w:eastAsia="zh-CN" w:bidi="ar-SA"/>
              </w:rPr>
              <w:t>日</w:t>
            </w:r>
            <w:r>
              <w:rPr>
                <w:rFonts w:hint="eastAsia" w:ascii="宋体" w:hAnsi="宋体" w:eastAsia="宋体" w:cs="宋体"/>
                <w:snapToGrid w:val="0"/>
                <w:color w:val="auto"/>
                <w:spacing w:val="11"/>
                <w:kern w:val="0"/>
                <w:sz w:val="21"/>
                <w:szCs w:val="21"/>
                <w:highlight w:val="none"/>
                <w:lang w:val="en-US" w:eastAsia="zh-CN" w:bidi="ar-SA"/>
              </w:rPr>
              <w:t>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9</w:t>
            </w:r>
          </w:p>
        </w:tc>
        <w:tc>
          <w:tcPr>
            <w:tcW w:w="720" w:type="dxa"/>
            <w:vAlign w:val="center"/>
          </w:tcPr>
          <w:p w14:paraId="18E6C8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18.2</w:t>
            </w:r>
          </w:p>
        </w:tc>
        <w:tc>
          <w:tcPr>
            <w:tcW w:w="1497" w:type="dxa"/>
            <w:vAlign w:val="center"/>
          </w:tcPr>
          <w:p w14:paraId="608A805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响应文件解</w:t>
            </w:r>
          </w:p>
          <w:p w14:paraId="209F44A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密时间</w:t>
            </w:r>
          </w:p>
        </w:tc>
        <w:tc>
          <w:tcPr>
            <w:tcW w:w="7017" w:type="dxa"/>
            <w:vAlign w:val="center"/>
          </w:tcPr>
          <w:p w14:paraId="3ABE7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截标时间后30分钟内（</w:t>
            </w:r>
            <w:r>
              <w:rPr>
                <w:rFonts w:hint="eastAsia" w:ascii="宋体" w:hAnsi="宋体" w:eastAsia="宋体" w:cs="宋体"/>
                <w:snapToGrid w:val="0"/>
                <w:color w:val="auto"/>
                <w:spacing w:val="11"/>
                <w:kern w:val="0"/>
                <w:sz w:val="21"/>
                <w:szCs w:val="21"/>
                <w:highlight w:val="none"/>
                <w:lang w:val="en-US" w:eastAsia="zh-CN" w:bidi="ar-SA"/>
              </w:rPr>
              <w:t>202</w:t>
            </w:r>
            <w:r>
              <w:rPr>
                <w:rFonts w:hint="eastAsia" w:cs="宋体"/>
                <w:snapToGrid w:val="0"/>
                <w:color w:val="auto"/>
                <w:spacing w:val="11"/>
                <w:kern w:val="0"/>
                <w:sz w:val="21"/>
                <w:szCs w:val="21"/>
                <w:highlight w:val="none"/>
                <w:lang w:val="en-US" w:eastAsia="zh-CN" w:bidi="ar-SA"/>
              </w:rPr>
              <w:t>5</w:t>
            </w:r>
            <w:r>
              <w:rPr>
                <w:rFonts w:hint="eastAsia" w:ascii="宋体" w:hAnsi="宋体" w:eastAsia="宋体" w:cs="宋体"/>
                <w:snapToGrid w:val="0"/>
                <w:color w:val="auto"/>
                <w:spacing w:val="11"/>
                <w:kern w:val="0"/>
                <w:sz w:val="21"/>
                <w:szCs w:val="21"/>
                <w:highlight w:val="none"/>
                <w:lang w:val="en-US" w:eastAsia="zh-CN" w:bidi="ar-SA"/>
              </w:rPr>
              <w:t>年</w:t>
            </w:r>
            <w:r>
              <w:rPr>
                <w:rFonts w:hint="eastAsia" w:cs="宋体"/>
                <w:snapToGrid w:val="0"/>
                <w:color w:val="auto"/>
                <w:spacing w:val="11"/>
                <w:kern w:val="0"/>
                <w:sz w:val="21"/>
                <w:szCs w:val="21"/>
                <w:highlight w:val="none"/>
                <w:lang w:val="en-US" w:eastAsia="zh-CN" w:bidi="ar-SA"/>
              </w:rPr>
              <w:t>7</w:t>
            </w:r>
            <w:r>
              <w:rPr>
                <w:rFonts w:hint="eastAsia" w:ascii="宋体" w:hAnsi="宋体" w:eastAsia="宋体" w:cs="宋体"/>
                <w:snapToGrid w:val="0"/>
                <w:color w:val="auto"/>
                <w:spacing w:val="11"/>
                <w:kern w:val="0"/>
                <w:sz w:val="21"/>
                <w:szCs w:val="21"/>
                <w:highlight w:val="none"/>
                <w:lang w:val="en-US" w:eastAsia="zh-CN" w:bidi="ar-SA"/>
              </w:rPr>
              <w:t>月</w:t>
            </w:r>
            <w:r>
              <w:rPr>
                <w:rFonts w:hint="eastAsia" w:cs="宋体"/>
                <w:snapToGrid w:val="0"/>
                <w:color w:val="auto"/>
                <w:spacing w:val="11"/>
                <w:kern w:val="0"/>
                <w:sz w:val="21"/>
                <w:szCs w:val="21"/>
                <w:highlight w:val="none"/>
                <w:lang w:val="en-US" w:eastAsia="zh-CN" w:bidi="ar-SA"/>
              </w:rPr>
              <w:t>21</w:t>
            </w:r>
            <w:r>
              <w:rPr>
                <w:rFonts w:hint="eastAsia" w:ascii="宋体" w:hAnsi="宋体" w:eastAsia="宋体" w:cs="宋体"/>
                <w:snapToGrid w:val="0"/>
                <w:color w:val="auto"/>
                <w:spacing w:val="11"/>
                <w:kern w:val="0"/>
                <w:sz w:val="21"/>
                <w:szCs w:val="21"/>
                <w:highlight w:val="none"/>
                <w:lang w:val="en-US" w:eastAsia="zh-CN" w:bidi="ar-SA"/>
              </w:rPr>
              <w:t>日上</w:t>
            </w:r>
            <w:r>
              <w:rPr>
                <w:rFonts w:hint="eastAsia" w:ascii="宋体" w:hAnsi="宋体" w:eastAsia="宋体" w:cs="宋体"/>
                <w:snapToGrid w:val="0"/>
                <w:color w:val="auto"/>
                <w:spacing w:val="11"/>
                <w:kern w:val="0"/>
                <w:sz w:val="21"/>
                <w:szCs w:val="21"/>
                <w:highlight w:val="none"/>
                <w:lang w:val="en-US" w:eastAsia="zh-CN" w:bidi="ar-SA"/>
              </w:rPr>
              <w:t>午09时30分至10时00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s="宋体"/>
                <w:snapToGrid w:val="0"/>
                <w:color w:val="auto"/>
                <w:spacing w:val="11"/>
                <w:kern w:val="0"/>
                <w:sz w:val="21"/>
                <w:szCs w:val="21"/>
                <w:highlight w:val="none"/>
                <w:u w:val="single"/>
                <w:lang w:val="en-US" w:eastAsia="zh-CN" w:bidi="ar-SA"/>
              </w:rPr>
              <w:t>8号政采开标仓</w:t>
            </w:r>
            <w:r>
              <w:rPr>
                <w:rFonts w:hint="eastAsia" w:ascii="宋体" w:hAnsi="宋体" w:eastAsia="宋体" w:cs="宋体"/>
                <w:snapToGrid w:val="0"/>
                <w:color w:val="auto"/>
                <w:spacing w:val="11"/>
                <w:kern w:val="0"/>
                <w:sz w:val="21"/>
                <w:szCs w:val="21"/>
                <w:highlight w:val="none"/>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10</w:t>
            </w:r>
          </w:p>
        </w:tc>
        <w:tc>
          <w:tcPr>
            <w:tcW w:w="720" w:type="dxa"/>
            <w:vAlign w:val="center"/>
          </w:tcPr>
          <w:p w14:paraId="52D7801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19.1</w:t>
            </w:r>
          </w:p>
        </w:tc>
        <w:tc>
          <w:tcPr>
            <w:tcW w:w="1497" w:type="dxa"/>
            <w:vAlign w:val="center"/>
          </w:tcPr>
          <w:p w14:paraId="23E244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磋商小组组成</w:t>
            </w:r>
          </w:p>
        </w:tc>
        <w:tc>
          <w:tcPr>
            <w:tcW w:w="7017" w:type="dxa"/>
            <w:vAlign w:val="center"/>
          </w:tcPr>
          <w:p w14:paraId="3AF2022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磋商及评审工作由采购代理机构负责组织，具体磋商、评审工作由依法组建的磋商小组负责，本项目的磋商小组由采购人代表和有关技术、经济等方面的专家组成。磋商小组的构成：</w:t>
            </w:r>
            <w:r>
              <w:rPr>
                <w:rFonts w:hint="eastAsia" w:cs="宋体"/>
                <w:snapToGrid w:val="0"/>
                <w:color w:val="auto"/>
                <w:spacing w:val="11"/>
                <w:kern w:val="0"/>
                <w:sz w:val="21"/>
                <w:szCs w:val="21"/>
                <w:highlight w:val="none"/>
                <w:lang w:val="en-US" w:eastAsia="zh-CN" w:bidi="ar-SA"/>
              </w:rPr>
              <w:t>3</w:t>
            </w:r>
            <w:r>
              <w:rPr>
                <w:rFonts w:hint="eastAsia" w:ascii="宋体" w:hAnsi="宋体" w:eastAsia="宋体" w:cs="宋体"/>
                <w:snapToGrid w:val="0"/>
                <w:color w:val="auto"/>
                <w:spacing w:val="11"/>
                <w:kern w:val="0"/>
                <w:sz w:val="21"/>
                <w:szCs w:val="21"/>
                <w:highlight w:val="none"/>
                <w:lang w:val="en-US" w:eastAsia="zh-CN" w:bidi="ar-SA"/>
              </w:rPr>
              <w:t xml:space="preserve">人，其中采购人代表1人（委托专家作为采购人代表），技术、经济等专家 </w:t>
            </w:r>
            <w:r>
              <w:rPr>
                <w:rFonts w:hint="eastAsia" w:cs="宋体"/>
                <w:snapToGrid w:val="0"/>
                <w:color w:val="auto"/>
                <w:spacing w:val="11"/>
                <w:kern w:val="0"/>
                <w:sz w:val="21"/>
                <w:szCs w:val="21"/>
                <w:highlight w:val="none"/>
                <w:lang w:val="en-US" w:eastAsia="zh-CN" w:bidi="ar-SA"/>
              </w:rPr>
              <w:t>2</w:t>
            </w:r>
            <w:r>
              <w:rPr>
                <w:rFonts w:hint="eastAsia" w:ascii="宋体" w:hAnsi="宋体" w:eastAsia="宋体" w:cs="宋体"/>
                <w:snapToGrid w:val="0"/>
                <w:color w:val="auto"/>
                <w:spacing w:val="11"/>
                <w:kern w:val="0"/>
                <w:sz w:val="21"/>
                <w:szCs w:val="21"/>
                <w:highlight w:val="none"/>
                <w:lang w:val="en-US" w:eastAsia="zh-CN" w:bidi="ar-SA"/>
              </w:rPr>
              <w:t>人</w:t>
            </w:r>
            <w:r>
              <w:rPr>
                <w:rFonts w:hint="eastAsia" w:cs="宋体"/>
                <w:snapToGrid w:val="0"/>
                <w:color w:val="auto"/>
                <w:spacing w:val="11"/>
                <w:kern w:val="0"/>
                <w:sz w:val="21"/>
                <w:szCs w:val="21"/>
                <w:highlight w:val="none"/>
                <w:lang w:val="en-US" w:eastAsia="zh-CN" w:bidi="ar-SA"/>
              </w:rPr>
              <w:t>。</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11</w:t>
            </w:r>
          </w:p>
        </w:tc>
        <w:tc>
          <w:tcPr>
            <w:tcW w:w="720" w:type="dxa"/>
            <w:vAlign w:val="center"/>
          </w:tcPr>
          <w:p w14:paraId="3CBEB0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w:t>
            </w:r>
          </w:p>
        </w:tc>
        <w:tc>
          <w:tcPr>
            <w:tcW w:w="1497" w:type="dxa"/>
            <w:vAlign w:val="center"/>
          </w:tcPr>
          <w:p w14:paraId="0D138D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磋商时间、地点、 人员</w:t>
            </w:r>
          </w:p>
        </w:tc>
        <w:tc>
          <w:tcPr>
            <w:tcW w:w="7017" w:type="dxa"/>
            <w:vAlign w:val="center"/>
          </w:tcPr>
          <w:p w14:paraId="235E25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19.2.1 磋商时间：首次响应文件提交截止时间后。</w:t>
            </w:r>
          </w:p>
          <w:p w14:paraId="3C461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19.2.2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19.2.3磋商参加人员：供应商法定代表人(负责人、自然人)或相应的委托代理人参加磋商。请供应商实时登录“广西政府采购云平台 ”平台等候在线磋商。</w:t>
            </w:r>
          </w:p>
          <w:p w14:paraId="3228456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19.2.4首次响应文件提交截止时间后，登录“广西政府采购云平台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12</w:t>
            </w:r>
          </w:p>
        </w:tc>
        <w:tc>
          <w:tcPr>
            <w:tcW w:w="720" w:type="dxa"/>
            <w:vAlign w:val="center"/>
          </w:tcPr>
          <w:p w14:paraId="1BD970C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20.2</w:t>
            </w:r>
          </w:p>
        </w:tc>
        <w:tc>
          <w:tcPr>
            <w:tcW w:w="1497" w:type="dxa"/>
            <w:vAlign w:val="center"/>
          </w:tcPr>
          <w:p w14:paraId="3CBAF13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评审办法</w:t>
            </w:r>
          </w:p>
        </w:tc>
        <w:tc>
          <w:tcPr>
            <w:tcW w:w="7017" w:type="dxa"/>
            <w:vAlign w:val="center"/>
          </w:tcPr>
          <w:p w14:paraId="0B694F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13</w:t>
            </w:r>
          </w:p>
        </w:tc>
        <w:tc>
          <w:tcPr>
            <w:tcW w:w="720" w:type="dxa"/>
            <w:vAlign w:val="center"/>
          </w:tcPr>
          <w:p w14:paraId="79F902A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27</w:t>
            </w:r>
          </w:p>
        </w:tc>
        <w:tc>
          <w:tcPr>
            <w:tcW w:w="1497" w:type="dxa"/>
            <w:vAlign w:val="center"/>
          </w:tcPr>
          <w:p w14:paraId="6909FAC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信用查询</w:t>
            </w:r>
          </w:p>
        </w:tc>
        <w:tc>
          <w:tcPr>
            <w:tcW w:w="7017" w:type="dxa"/>
            <w:vAlign w:val="center"/>
          </w:tcPr>
          <w:p w14:paraId="7570E8B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⑴查询渠道：“信用中国 ”网站(www.creditchina.gov.cn)、中国 政府采购网(www.ccgp.gov.cn)等；</w:t>
            </w:r>
          </w:p>
          <w:p w14:paraId="61E5D78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⑵查询截止时间：成交通知书发出前；</w:t>
            </w:r>
          </w:p>
          <w:p w14:paraId="1C7F0EC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⑶信用信息查询记录和证据留存方式：在查询网站中直接打印查询 记录，打印材料作为采购活动资料保存；</w:t>
            </w:r>
          </w:p>
          <w:p w14:paraId="0A60D3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14</w:t>
            </w:r>
          </w:p>
        </w:tc>
        <w:tc>
          <w:tcPr>
            <w:tcW w:w="720" w:type="dxa"/>
            <w:vAlign w:val="center"/>
          </w:tcPr>
          <w:p w14:paraId="66BB4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w:t>
            </w:r>
          </w:p>
        </w:tc>
        <w:tc>
          <w:tcPr>
            <w:tcW w:w="1497" w:type="dxa"/>
            <w:vAlign w:val="center"/>
          </w:tcPr>
          <w:p w14:paraId="4699188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成交公告及</w:t>
            </w:r>
          </w:p>
          <w:p w14:paraId="2B09A3A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w:t>
            </w:r>
          </w:p>
        </w:tc>
        <w:tc>
          <w:tcPr>
            <w:tcW w:w="7017" w:type="dxa"/>
            <w:vAlign w:val="center"/>
          </w:tcPr>
          <w:p w14:paraId="31F683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28.2在发布成交公告的同时，采购代理机构向成交供应商发出成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15</w:t>
            </w:r>
          </w:p>
        </w:tc>
        <w:tc>
          <w:tcPr>
            <w:tcW w:w="720" w:type="dxa"/>
            <w:vAlign w:val="center"/>
          </w:tcPr>
          <w:p w14:paraId="118F29C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29.1</w:t>
            </w:r>
          </w:p>
        </w:tc>
        <w:tc>
          <w:tcPr>
            <w:tcW w:w="1497" w:type="dxa"/>
            <w:vAlign w:val="center"/>
          </w:tcPr>
          <w:p w14:paraId="7DE79F9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履约保证金</w:t>
            </w:r>
          </w:p>
        </w:tc>
        <w:tc>
          <w:tcPr>
            <w:tcW w:w="7017" w:type="dxa"/>
            <w:vAlign w:val="center"/>
          </w:tcPr>
          <w:p w14:paraId="17C459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根据《桂林市财政局关于贯彻落实政府采购优化营商环境百日攻坚行动方案的通知》（市财采〔2020〕24号）第四条的规定，本项目免收履约保证金。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16</w:t>
            </w:r>
          </w:p>
        </w:tc>
        <w:tc>
          <w:tcPr>
            <w:tcW w:w="720" w:type="dxa"/>
            <w:vAlign w:val="center"/>
          </w:tcPr>
          <w:p w14:paraId="7432AF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30.1</w:t>
            </w:r>
          </w:p>
        </w:tc>
        <w:tc>
          <w:tcPr>
            <w:tcW w:w="1497" w:type="dxa"/>
            <w:vAlign w:val="center"/>
          </w:tcPr>
          <w:p w14:paraId="2808CF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签订合同时间</w:t>
            </w:r>
          </w:p>
        </w:tc>
        <w:tc>
          <w:tcPr>
            <w:tcW w:w="7017" w:type="dxa"/>
            <w:vAlign w:val="center"/>
          </w:tcPr>
          <w:p w14:paraId="4D616AC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成交通知书发出之日起8个工作日内。成交供应商领取成交通知书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17</w:t>
            </w:r>
          </w:p>
        </w:tc>
        <w:tc>
          <w:tcPr>
            <w:tcW w:w="720" w:type="dxa"/>
            <w:vAlign w:val="center"/>
          </w:tcPr>
          <w:p w14:paraId="672A2A0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30.3</w:t>
            </w:r>
          </w:p>
        </w:tc>
        <w:tc>
          <w:tcPr>
            <w:tcW w:w="1497" w:type="dxa"/>
            <w:vAlign w:val="center"/>
          </w:tcPr>
          <w:p w14:paraId="560741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合同备案存档</w:t>
            </w:r>
          </w:p>
        </w:tc>
        <w:tc>
          <w:tcPr>
            <w:tcW w:w="7017" w:type="dxa"/>
            <w:vAlign w:val="center"/>
          </w:tcPr>
          <w:p w14:paraId="4AFE91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18</w:t>
            </w:r>
          </w:p>
        </w:tc>
        <w:tc>
          <w:tcPr>
            <w:tcW w:w="720" w:type="dxa"/>
            <w:vAlign w:val="center"/>
          </w:tcPr>
          <w:p w14:paraId="60A9B3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31</w:t>
            </w:r>
          </w:p>
        </w:tc>
        <w:tc>
          <w:tcPr>
            <w:tcW w:w="1497" w:type="dxa"/>
            <w:vAlign w:val="center"/>
          </w:tcPr>
          <w:p w14:paraId="51CF718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采购代理</w:t>
            </w:r>
          </w:p>
          <w:p w14:paraId="4F84820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服务费</w:t>
            </w:r>
          </w:p>
        </w:tc>
        <w:tc>
          <w:tcPr>
            <w:tcW w:w="7017" w:type="dxa"/>
            <w:vAlign w:val="center"/>
          </w:tcPr>
          <w:p w14:paraId="16DF3EC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成交供应商领取成交通知书前，向</w:t>
            </w:r>
            <w:r>
              <w:rPr>
                <w:rFonts w:hint="eastAsia" w:cs="宋体"/>
                <w:snapToGrid w:val="0"/>
                <w:color w:val="auto"/>
                <w:spacing w:val="11"/>
                <w:kern w:val="0"/>
                <w:sz w:val="21"/>
                <w:szCs w:val="21"/>
                <w:highlight w:val="none"/>
                <w:lang w:val="en-US" w:eastAsia="zh-CN" w:bidi="ar-SA"/>
              </w:rPr>
              <w:t>中鸿亿博集团有限公司</w:t>
            </w:r>
            <w:r>
              <w:rPr>
                <w:rFonts w:hint="eastAsia" w:ascii="宋体" w:hAnsi="宋体" w:eastAsia="宋体" w:cs="宋体"/>
                <w:snapToGrid w:val="0"/>
                <w:color w:val="auto"/>
                <w:spacing w:val="11"/>
                <w:kern w:val="0"/>
                <w:sz w:val="21"/>
                <w:szCs w:val="21"/>
                <w:highlight w:val="none"/>
                <w:lang w:val="en-US" w:eastAsia="zh-CN" w:bidi="ar-SA"/>
              </w:rPr>
              <w:t>一次性付清代理服务费，本项目的代理服务收费标准参照计价格〔2002〕1980号《招标代理服务收费管理暂行办法》工程类收费标准</w:t>
            </w:r>
            <w:r>
              <w:rPr>
                <w:rFonts w:hint="eastAsia" w:cs="宋体"/>
                <w:snapToGrid w:val="0"/>
                <w:color w:val="auto"/>
                <w:spacing w:val="11"/>
                <w:kern w:val="0"/>
                <w:sz w:val="21"/>
                <w:szCs w:val="21"/>
                <w:highlight w:val="none"/>
                <w:lang w:val="en-US" w:eastAsia="zh-CN" w:bidi="ar-SA"/>
              </w:rPr>
              <w:t>的90%</w:t>
            </w:r>
            <w:bookmarkStart w:id="230" w:name="_GoBack"/>
            <w:bookmarkEnd w:id="230"/>
            <w:r>
              <w:rPr>
                <w:rFonts w:hint="eastAsia" w:ascii="宋体" w:hAnsi="宋体" w:eastAsia="宋体" w:cs="宋体"/>
                <w:snapToGrid w:val="0"/>
                <w:color w:val="auto"/>
                <w:spacing w:val="11"/>
                <w:kern w:val="0"/>
                <w:sz w:val="21"/>
                <w:szCs w:val="21"/>
                <w:highlight w:val="none"/>
                <w:lang w:val="en-US" w:eastAsia="zh-CN" w:bidi="ar-SA"/>
              </w:rPr>
              <w:t>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19</w:t>
            </w:r>
          </w:p>
        </w:tc>
        <w:tc>
          <w:tcPr>
            <w:tcW w:w="720" w:type="dxa"/>
            <w:vAlign w:val="center"/>
          </w:tcPr>
          <w:p w14:paraId="57B3A82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33</w:t>
            </w:r>
          </w:p>
        </w:tc>
        <w:tc>
          <w:tcPr>
            <w:tcW w:w="1497" w:type="dxa"/>
            <w:vAlign w:val="center"/>
          </w:tcPr>
          <w:p w14:paraId="15C146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解释权</w:t>
            </w:r>
          </w:p>
        </w:tc>
        <w:tc>
          <w:tcPr>
            <w:tcW w:w="7017" w:type="dxa"/>
            <w:vAlign w:val="center"/>
          </w:tcPr>
          <w:p w14:paraId="23DCE83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20</w:t>
            </w:r>
          </w:p>
        </w:tc>
        <w:tc>
          <w:tcPr>
            <w:tcW w:w="720" w:type="dxa"/>
            <w:vAlign w:val="center"/>
          </w:tcPr>
          <w:p w14:paraId="0E7381D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34</w:t>
            </w:r>
          </w:p>
        </w:tc>
        <w:tc>
          <w:tcPr>
            <w:tcW w:w="1497" w:type="dxa"/>
            <w:vAlign w:val="center"/>
          </w:tcPr>
          <w:p w14:paraId="7D8447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ascii="宋体" w:hAnsi="宋体" w:eastAsia="宋体" w:cs="宋体"/>
                <w:snapToGrid w:val="0"/>
                <w:color w:val="auto"/>
                <w:spacing w:val="11"/>
                <w:kern w:val="0"/>
                <w:sz w:val="21"/>
                <w:szCs w:val="21"/>
                <w:highlight w:val="none"/>
                <w:lang w:val="en-US" w:eastAsia="zh-CN" w:bidi="ar-SA"/>
              </w:rPr>
              <w:t>监督管理机构</w:t>
            </w:r>
          </w:p>
        </w:tc>
        <w:tc>
          <w:tcPr>
            <w:tcW w:w="7017" w:type="dxa"/>
            <w:vAlign w:val="center"/>
          </w:tcPr>
          <w:p w14:paraId="58F77E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11"/>
                <w:kern w:val="0"/>
                <w:sz w:val="21"/>
                <w:szCs w:val="21"/>
                <w:highlight w:val="none"/>
                <w:lang w:val="en-US" w:eastAsia="zh-CN" w:bidi="ar-SA"/>
              </w:rPr>
            </w:pPr>
            <w:r>
              <w:rPr>
                <w:rFonts w:hint="eastAsia" w:cs="宋体"/>
                <w:snapToGrid w:val="0"/>
                <w:color w:val="auto"/>
                <w:spacing w:val="11"/>
                <w:kern w:val="0"/>
                <w:sz w:val="21"/>
                <w:szCs w:val="21"/>
                <w:highlight w:val="none"/>
                <w:lang w:val="en-US" w:eastAsia="zh-CN" w:bidi="ar-SA"/>
              </w:rPr>
              <w:t>资源县政府采购管理办公室</w:t>
            </w:r>
            <w:r>
              <w:rPr>
                <w:rFonts w:hint="eastAsia" w:ascii="宋体" w:hAnsi="宋体" w:eastAsia="宋体" w:cs="宋体"/>
                <w:snapToGrid w:val="0"/>
                <w:color w:val="auto"/>
                <w:spacing w:val="11"/>
                <w:kern w:val="0"/>
                <w:sz w:val="21"/>
                <w:szCs w:val="21"/>
                <w:highlight w:val="none"/>
                <w:lang w:val="en-US" w:eastAsia="zh-CN" w:bidi="ar-SA"/>
              </w:rPr>
              <w:t xml:space="preserve"> 联系电话：</w:t>
            </w:r>
            <w:r>
              <w:rPr>
                <w:rFonts w:hint="eastAsia" w:cs="宋体"/>
                <w:snapToGrid w:val="0"/>
                <w:color w:val="auto"/>
                <w:spacing w:val="11"/>
                <w:kern w:val="0"/>
                <w:sz w:val="21"/>
                <w:szCs w:val="21"/>
                <w:highlight w:val="none"/>
                <w:lang w:val="en-US" w:eastAsia="zh-CN" w:bidi="ar-SA"/>
              </w:rPr>
              <w:t>0773-4315648</w:t>
            </w:r>
          </w:p>
        </w:tc>
      </w:tr>
    </w:tbl>
    <w:p w14:paraId="796BD0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6"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color w:val="auto"/>
          <w:spacing w:val="8"/>
          <w:sz w:val="24"/>
          <w:szCs w:val="24"/>
          <w:highlight w:val="none"/>
          <w:lang w:eastAsia="zh-CN"/>
        </w:rPr>
      </w:pPr>
      <w:r>
        <w:rPr>
          <w:rFonts w:hint="eastAsia" w:ascii="宋体" w:hAnsi="宋体" w:eastAsia="宋体" w:cs="宋体"/>
          <w:b/>
          <w:bCs/>
          <w:color w:val="auto"/>
          <w:spacing w:val="8"/>
          <w:sz w:val="24"/>
          <w:szCs w:val="24"/>
          <w:highlight w:val="none"/>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项目名称：</w:t>
      </w:r>
      <w:r>
        <w:rPr>
          <w:rFonts w:hint="eastAsia" w:asciiTheme="minorEastAsia" w:hAnsiTheme="minorEastAsia" w:eastAsiaTheme="minorEastAsia" w:cstheme="minorEastAsia"/>
          <w:color w:val="auto"/>
          <w:spacing w:val="8"/>
          <w:sz w:val="21"/>
          <w:szCs w:val="21"/>
          <w:highlight w:val="none"/>
          <w:lang w:eastAsia="zh-CN"/>
        </w:rPr>
        <w:t>资源镇城关村便民桥</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项目编号：</w:t>
      </w:r>
      <w:r>
        <w:rPr>
          <w:rFonts w:hint="eastAsia" w:asciiTheme="minorEastAsia" w:hAnsiTheme="minorEastAsia" w:eastAsiaTheme="minorEastAsia" w:cstheme="minorEastAsia"/>
          <w:color w:val="auto"/>
          <w:spacing w:val="8"/>
          <w:sz w:val="21"/>
          <w:szCs w:val="21"/>
          <w:highlight w:val="none"/>
          <w:lang w:val="en-US" w:eastAsia="zh-CN"/>
        </w:rPr>
        <w:t>GLZC2025-C2-290068-ZHYB</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1.2 本竞争性磋商文件（以下简称磋商文件）适用于本磋商项目的磋商、评审、合同履约、验收、付款等行为（法律、法规另有规定的，从其规定）。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 “供应商</w:t>
      </w:r>
      <w:r>
        <w:rPr>
          <w:rFonts w:hint="eastAsia" w:asciiTheme="minorEastAsia" w:hAnsiTheme="minorEastAsia" w:eastAsiaTheme="minorEastAsia" w:cstheme="minorEastAsia"/>
          <w:color w:val="auto"/>
          <w:spacing w:val="-6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”是指符合本次采购项目的供应商资格并提交响应文件、参加磋商的供应商。如果该供</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应商在本次磋商中成交，即成为“成交供应商</w:t>
      </w:r>
      <w:r>
        <w:rPr>
          <w:rFonts w:hint="eastAsia" w:asciiTheme="minorEastAsia" w:hAnsiTheme="minorEastAsia" w:eastAsiaTheme="minorEastAsia" w:cstheme="minorEastAsia"/>
          <w:color w:val="auto"/>
          <w:spacing w:val="-6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2.2 “项目</w:t>
      </w:r>
      <w:r>
        <w:rPr>
          <w:rFonts w:hint="eastAsia" w:asciiTheme="minorEastAsia" w:hAnsiTheme="minorEastAsia" w:eastAsiaTheme="minorEastAsia" w:cstheme="minorEastAsia"/>
          <w:color w:val="auto"/>
          <w:spacing w:val="-7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”系指供应商按磋商文件规定向采购人</w:t>
      </w:r>
      <w:r>
        <w:rPr>
          <w:rFonts w:hint="eastAsia" w:asciiTheme="minorEastAsia" w:hAnsiTheme="minorEastAsia" w:eastAsiaTheme="minorEastAsia" w:cstheme="minorEastAsia"/>
          <w:color w:val="auto"/>
          <w:spacing w:val="7"/>
          <w:sz w:val="21"/>
          <w:szCs w:val="21"/>
          <w:highlight w:val="none"/>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2.3 “书面形式</w:t>
      </w:r>
      <w:r>
        <w:rPr>
          <w:rFonts w:hint="eastAsia" w:asciiTheme="minorEastAsia" w:hAnsiTheme="minorEastAsia" w:eastAsiaTheme="minorEastAsia" w:cstheme="minorEastAsia"/>
          <w:color w:val="auto"/>
          <w:spacing w:val="-52"/>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”包括信函、传真、</w:t>
      </w:r>
      <w:r>
        <w:rPr>
          <w:rFonts w:hint="eastAsia" w:asciiTheme="minorEastAsia" w:hAnsiTheme="minorEastAsia" w:eastAsiaTheme="minorEastAsia" w:cstheme="minorEastAsia"/>
          <w:color w:val="auto"/>
          <w:spacing w:val="-59"/>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2.落实政府采购政策需满足的资格要求：供应商为</w:t>
      </w:r>
      <w:r>
        <w:rPr>
          <w:rFonts w:hint="eastAsia" w:asciiTheme="minorEastAsia" w:hAnsiTheme="minorEastAsia" w:eastAsiaTheme="minorEastAsia" w:cstheme="minorEastAsia"/>
          <w:color w:val="auto"/>
          <w:spacing w:val="9"/>
          <w:sz w:val="21"/>
          <w:szCs w:val="21"/>
          <w:highlight w:val="none"/>
          <w:lang w:val="en-US" w:eastAsia="zh-CN"/>
        </w:rPr>
        <w:t>中</w:t>
      </w:r>
      <w:r>
        <w:rPr>
          <w:rFonts w:hint="eastAsia" w:asciiTheme="minorEastAsia" w:hAnsiTheme="minorEastAsia" w:eastAsiaTheme="minorEastAsia" w:cstheme="minorEastAsia"/>
          <w:color w:val="auto"/>
          <w:spacing w:val="9"/>
          <w:sz w:val="21"/>
          <w:szCs w:val="21"/>
          <w:highlight w:val="none"/>
          <w:lang w:eastAsia="zh-CN"/>
        </w:rPr>
        <w:t>小微企业。</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val="en-US" w:eastAsia="zh-CN"/>
        </w:rPr>
        <w:t>3.1</w:t>
      </w:r>
      <w:r>
        <w:rPr>
          <w:rFonts w:hint="eastAsia" w:asciiTheme="minorEastAsia" w:hAnsiTheme="minorEastAsia" w:eastAsiaTheme="minorEastAsia" w:cstheme="minorEastAsia"/>
          <w:color w:val="auto"/>
          <w:spacing w:val="9"/>
          <w:sz w:val="21"/>
          <w:szCs w:val="21"/>
          <w:highlight w:val="none"/>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Theme="minorEastAsia" w:hAnsiTheme="minorEastAsia" w:eastAsiaTheme="minorEastAsia" w:cstheme="minorEastAsia"/>
          <w:color w:val="auto"/>
          <w:spacing w:val="9"/>
          <w:sz w:val="21"/>
          <w:szCs w:val="21"/>
          <w:highlight w:val="none"/>
          <w:lang w:val="en-US" w:eastAsia="zh-CN"/>
        </w:rPr>
        <w:t>公路</w:t>
      </w:r>
      <w:r>
        <w:rPr>
          <w:rFonts w:hint="eastAsia" w:asciiTheme="minorEastAsia" w:hAnsiTheme="minorEastAsia" w:eastAsiaTheme="minorEastAsia" w:cstheme="minorEastAsia"/>
          <w:color w:val="auto"/>
          <w:spacing w:val="9"/>
          <w:sz w:val="21"/>
          <w:szCs w:val="21"/>
          <w:highlight w:val="none"/>
          <w:lang w:eastAsia="zh-CN"/>
        </w:rPr>
        <w:t>工程专业二级(含本级</w:t>
      </w:r>
      <w:r>
        <w:rPr>
          <w:rFonts w:hint="eastAsia" w:asciiTheme="minorEastAsia" w:hAnsiTheme="minorEastAsia" w:eastAsiaTheme="minorEastAsia" w:cstheme="minorEastAsia"/>
          <w:color w:val="auto"/>
          <w:spacing w:val="9"/>
          <w:sz w:val="21"/>
          <w:szCs w:val="21"/>
          <w:highlight w:val="none"/>
          <w:lang w:val="en-US" w:eastAsia="zh-CN"/>
        </w:rPr>
        <w:t>）或二级以上</w:t>
      </w:r>
      <w:r>
        <w:rPr>
          <w:rFonts w:hint="eastAsia" w:asciiTheme="minorEastAsia" w:hAnsiTheme="minorEastAsia" w:eastAsiaTheme="minorEastAsia" w:cstheme="minorEastAsia"/>
          <w:color w:val="auto"/>
          <w:spacing w:val="9"/>
          <w:sz w:val="21"/>
          <w:szCs w:val="21"/>
          <w:highlight w:val="none"/>
          <w:lang w:eastAsia="zh-CN"/>
        </w:rPr>
        <w:t>建造师执业资格，具备有效的安全生产考核合格证书(B类)。</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4.</w:t>
      </w:r>
      <w:r>
        <w:rPr>
          <w:rFonts w:hint="eastAsia" w:asciiTheme="minorEastAsia" w:hAnsiTheme="minorEastAsia" w:eastAsiaTheme="minorEastAsia" w:cstheme="minorEastAsia"/>
          <w:b/>
          <w:bCs/>
          <w:color w:val="auto"/>
          <w:spacing w:val="8"/>
          <w:sz w:val="21"/>
          <w:szCs w:val="21"/>
          <w:highlight w:val="none"/>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lang w:val="en-US" w:eastAsia="zh-CN"/>
        </w:rPr>
        <w:t>5</w:t>
      </w:r>
      <w:r>
        <w:rPr>
          <w:rFonts w:hint="eastAsia" w:asciiTheme="minorEastAsia" w:hAnsiTheme="minorEastAsia" w:eastAsiaTheme="minorEastAsia" w:cstheme="minorEastAsia"/>
          <w:b/>
          <w:bCs/>
          <w:color w:val="auto"/>
          <w:spacing w:val="8"/>
          <w:sz w:val="21"/>
          <w:szCs w:val="21"/>
          <w:highlight w:val="none"/>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6.1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供应商认为磋商文件使自己的合法权益受到损害的，应当在公告期限届满之日起七个</w:t>
      </w:r>
      <w:r>
        <w:rPr>
          <w:rFonts w:hint="eastAsia" w:asciiTheme="minorEastAsia" w:hAnsiTheme="minorEastAsia" w:eastAsiaTheme="minorEastAsia" w:cstheme="minorEastAsia"/>
          <w:color w:val="auto"/>
          <w:spacing w:val="9"/>
          <w:sz w:val="21"/>
          <w:szCs w:val="21"/>
          <w:highlight w:val="none"/>
        </w:rPr>
        <w:t>工作日内</w:t>
      </w:r>
      <w:r>
        <w:rPr>
          <w:rFonts w:hint="eastAsia" w:asciiTheme="minorEastAsia" w:hAnsiTheme="minorEastAsia" w:eastAsiaTheme="minorEastAsia" w:cstheme="minorEastAsia"/>
          <w:color w:val="auto"/>
          <w:spacing w:val="9"/>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Theme="minorEastAsia" w:hAnsiTheme="minorEastAsia" w:eastAsiaTheme="minorEastAsia" w:cstheme="minorEastAsia"/>
          <w:color w:val="auto"/>
          <w:spacing w:val="5"/>
          <w:sz w:val="21"/>
          <w:szCs w:val="21"/>
          <w:highlight w:val="none"/>
        </w:rPr>
        <w:t>质疑</w:t>
      </w:r>
      <w:r>
        <w:rPr>
          <w:rFonts w:hint="eastAsia" w:asciiTheme="minorEastAsia" w:hAnsiTheme="minorEastAsia" w:eastAsiaTheme="minorEastAsia" w:cstheme="minorEastAsia"/>
          <w:b/>
          <w:bCs/>
          <w:color w:val="auto"/>
          <w:spacing w:val="8"/>
          <w:sz w:val="21"/>
          <w:szCs w:val="21"/>
          <w:highlight w:val="none"/>
          <w:lang w:eastAsia="zh-CN"/>
        </w:rPr>
        <w:t>（“质疑函”格式见附表1）</w:t>
      </w:r>
      <w:r>
        <w:rPr>
          <w:rFonts w:hint="eastAsia" w:asciiTheme="minorEastAsia" w:hAnsiTheme="minorEastAsia" w:eastAsiaTheme="minorEastAsia" w:cstheme="minorEastAsia"/>
          <w:color w:val="auto"/>
          <w:spacing w:val="5"/>
          <w:sz w:val="21"/>
          <w:szCs w:val="21"/>
          <w:highlight w:val="none"/>
        </w:rPr>
        <w:t>。否则，采购代理机构有</w:t>
      </w:r>
      <w:r>
        <w:rPr>
          <w:rFonts w:hint="eastAsia" w:asciiTheme="minorEastAsia" w:hAnsiTheme="minorEastAsia" w:eastAsiaTheme="minorEastAsia" w:cstheme="minorEastAsia"/>
          <w:color w:val="auto"/>
          <w:spacing w:val="4"/>
          <w:sz w:val="21"/>
          <w:szCs w:val="21"/>
          <w:highlight w:val="none"/>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采购代理机构应认真做好质疑处理工作，对于质疑供应商在法定质疑期内提出的质疑函，应当在收到质疑函后</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7</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个工作日内作出答复，并以书面形式通知</w:t>
      </w:r>
      <w:r>
        <w:rPr>
          <w:rFonts w:hint="eastAsia" w:asciiTheme="minorEastAsia" w:hAnsiTheme="minorEastAsia" w:eastAsiaTheme="minorEastAsia" w:cstheme="minorEastAsia"/>
          <w:color w:val="auto"/>
          <w:spacing w:val="8"/>
          <w:sz w:val="21"/>
          <w:szCs w:val="21"/>
          <w:highlight w:val="none"/>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10"/>
          <w:sz w:val="21"/>
          <w:szCs w:val="21"/>
          <w:highlight w:val="none"/>
        </w:rPr>
        <w:t>6.2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供应商对采购代理机构的质疑答复不满意或者采购代理机构未在规定的时间内</w:t>
      </w:r>
      <w:r>
        <w:rPr>
          <w:rFonts w:hint="eastAsia" w:asciiTheme="minorEastAsia" w:hAnsiTheme="minorEastAsia" w:eastAsiaTheme="minorEastAsia" w:cstheme="minorEastAsia"/>
          <w:color w:val="auto"/>
          <w:spacing w:val="9"/>
          <w:sz w:val="21"/>
          <w:szCs w:val="21"/>
          <w:highlight w:val="none"/>
        </w:rPr>
        <w:t>作出答复的，可以</w:t>
      </w:r>
      <w:r>
        <w:rPr>
          <w:rFonts w:hint="eastAsia" w:asciiTheme="minorEastAsia" w:hAnsiTheme="minorEastAsia" w:eastAsiaTheme="minorEastAsia" w:cstheme="minorEastAsia"/>
          <w:color w:val="auto"/>
          <w:spacing w:val="7"/>
          <w:sz w:val="21"/>
          <w:szCs w:val="21"/>
          <w:highlight w:val="none"/>
        </w:rPr>
        <w:t>在答复期满后十五个工作日内</w:t>
      </w:r>
      <w:r>
        <w:rPr>
          <w:rFonts w:hint="eastAsia" w:asciiTheme="minorEastAsia" w:hAnsiTheme="minorEastAsia" w:eastAsiaTheme="minorEastAsia" w:cstheme="minorEastAsia"/>
          <w:color w:val="auto"/>
          <w:spacing w:val="10"/>
          <w:sz w:val="21"/>
          <w:szCs w:val="21"/>
          <w:highlight w:val="none"/>
        </w:rPr>
        <w:t>向</w:t>
      </w:r>
      <w:r>
        <w:rPr>
          <w:rFonts w:hint="eastAsia" w:asciiTheme="minorEastAsia" w:hAnsiTheme="minorEastAsia" w:eastAsiaTheme="minorEastAsia" w:cstheme="minorEastAsia"/>
          <w:color w:val="auto"/>
          <w:spacing w:val="10"/>
          <w:sz w:val="21"/>
          <w:szCs w:val="21"/>
          <w:highlight w:val="none"/>
          <w:lang w:eastAsia="zh-CN"/>
        </w:rPr>
        <w:t>资源县政府采购管理办公室</w:t>
      </w:r>
      <w:r>
        <w:rPr>
          <w:rFonts w:hint="eastAsia" w:asciiTheme="minorEastAsia" w:hAnsiTheme="minorEastAsia" w:eastAsiaTheme="minorEastAsia" w:cstheme="minorEastAsia"/>
          <w:color w:val="auto"/>
          <w:spacing w:val="10"/>
          <w:sz w:val="21"/>
          <w:szCs w:val="21"/>
          <w:highlight w:val="none"/>
        </w:rPr>
        <w:t>投诉</w:t>
      </w:r>
      <w:r>
        <w:rPr>
          <w:rFonts w:hint="eastAsia" w:asciiTheme="minorEastAsia" w:hAnsiTheme="minorEastAsia" w:eastAsiaTheme="minorEastAsia" w:cstheme="minorEastAsia"/>
          <w:color w:val="auto"/>
          <w:spacing w:val="10"/>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6.3</w:t>
      </w:r>
      <w:r>
        <w:rPr>
          <w:rFonts w:hint="eastAsia" w:asciiTheme="minorEastAsia" w:hAnsiTheme="minorEastAsia" w:eastAsiaTheme="minorEastAsia" w:cstheme="minorEastAsia"/>
          <w:color w:val="auto"/>
          <w:spacing w:val="-2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供应商提出质疑、投诉，应当遵守中华人民共和国财政部令第</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94</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号《政府采购质疑和投诉办法》</w:t>
      </w:r>
      <w:r>
        <w:rPr>
          <w:rFonts w:hint="eastAsia" w:asciiTheme="minorEastAsia" w:hAnsiTheme="minorEastAsia" w:eastAsiaTheme="minorEastAsia" w:cstheme="minorEastAsia"/>
          <w:color w:val="auto"/>
          <w:spacing w:val="9"/>
          <w:sz w:val="21"/>
          <w:szCs w:val="21"/>
          <w:highlight w:val="none"/>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供应商提出质疑应当提交质疑函和必要的证明材料，针对同一采购程序环节的质疑必须在法定质疑期</w:t>
      </w:r>
      <w:r>
        <w:rPr>
          <w:rFonts w:hint="eastAsia" w:asciiTheme="minorEastAsia" w:hAnsiTheme="minorEastAsia" w:eastAsiaTheme="minorEastAsia" w:cstheme="minorEastAsia"/>
          <w:color w:val="auto"/>
          <w:spacing w:val="7"/>
          <w:sz w:val="21"/>
          <w:szCs w:val="21"/>
          <w:highlight w:val="none"/>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position w:val="11"/>
          <w:sz w:val="21"/>
          <w:szCs w:val="21"/>
          <w:highlight w:val="none"/>
        </w:rPr>
        <w:t>（1）供应商的姓名或者名称、地址、邮编、联系人</w:t>
      </w:r>
      <w:r>
        <w:rPr>
          <w:rFonts w:hint="eastAsia" w:asciiTheme="minorEastAsia" w:hAnsiTheme="minorEastAsia" w:eastAsiaTheme="minorEastAsia" w:cstheme="minorEastAsia"/>
          <w:color w:val="auto"/>
          <w:spacing w:val="8"/>
          <w:position w:val="11"/>
          <w:sz w:val="21"/>
          <w:szCs w:val="21"/>
          <w:highlight w:val="none"/>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position w:val="11"/>
          <w:sz w:val="21"/>
          <w:szCs w:val="21"/>
          <w:highlight w:val="none"/>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position w:val="11"/>
          <w:sz w:val="21"/>
          <w:szCs w:val="21"/>
          <w:highlight w:val="none"/>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接收质疑函方式：</w:t>
      </w:r>
      <w:r>
        <w:rPr>
          <w:rFonts w:hint="eastAsia" w:asciiTheme="minorEastAsia" w:hAnsiTheme="minorEastAsia" w:eastAsiaTheme="minorEastAsia" w:cstheme="minorEastAsia"/>
          <w:color w:val="auto"/>
          <w:spacing w:val="-58"/>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质疑联系部门及联系方式：</w:t>
      </w:r>
      <w:r>
        <w:rPr>
          <w:rFonts w:hint="eastAsia" w:asciiTheme="minorEastAsia" w:hAnsiTheme="minorEastAsia" w:eastAsiaTheme="minorEastAsia" w:cstheme="minorEastAsia"/>
          <w:color w:val="auto"/>
          <w:spacing w:val="8"/>
          <w:sz w:val="21"/>
          <w:szCs w:val="21"/>
          <w:highlight w:val="none"/>
          <w:lang w:eastAsia="zh-CN"/>
        </w:rPr>
        <w:t>中鸿亿博集团有限公司</w:t>
      </w:r>
      <w:r>
        <w:rPr>
          <w:rFonts w:hint="eastAsia" w:asciiTheme="minorEastAsia" w:hAnsiTheme="minorEastAsia" w:eastAsiaTheme="minorEastAsia" w:cstheme="minorEastAsia"/>
          <w:color w:val="auto"/>
          <w:spacing w:val="8"/>
          <w:sz w:val="21"/>
          <w:szCs w:val="21"/>
          <w:highlight w:val="none"/>
        </w:rPr>
        <w:t>，联系人：</w:t>
      </w:r>
      <w:r>
        <w:rPr>
          <w:rFonts w:hint="eastAsia" w:asciiTheme="minorEastAsia" w:hAnsiTheme="minorEastAsia" w:eastAsiaTheme="minorEastAsia" w:cstheme="minorEastAsia"/>
          <w:color w:val="auto"/>
          <w:spacing w:val="8"/>
          <w:sz w:val="21"/>
          <w:szCs w:val="21"/>
          <w:highlight w:val="none"/>
          <w:lang w:eastAsia="zh-CN"/>
        </w:rPr>
        <w:t>余金凤</w:t>
      </w:r>
      <w:r>
        <w:rPr>
          <w:rFonts w:hint="eastAsia" w:asciiTheme="minorEastAsia" w:hAnsiTheme="minorEastAsia" w:eastAsiaTheme="minorEastAsia" w:cstheme="minorEastAsia"/>
          <w:color w:val="auto"/>
          <w:spacing w:val="8"/>
          <w:sz w:val="21"/>
          <w:szCs w:val="21"/>
          <w:highlight w:val="none"/>
        </w:rPr>
        <w:t>，联系电话：</w:t>
      </w:r>
      <w:r>
        <w:rPr>
          <w:rFonts w:hint="eastAsia" w:asciiTheme="minorEastAsia" w:hAnsiTheme="minorEastAsia" w:eastAsiaTheme="minorEastAsia" w:cstheme="minorEastAsia"/>
          <w:color w:val="auto"/>
          <w:spacing w:val="8"/>
          <w:sz w:val="21"/>
          <w:szCs w:val="21"/>
          <w:highlight w:val="none"/>
          <w:lang w:val="en-US" w:eastAsia="zh-CN"/>
        </w:rPr>
        <w:t>18978343319</w:t>
      </w:r>
      <w:r>
        <w:rPr>
          <w:rFonts w:hint="eastAsia" w:asciiTheme="minorEastAsia" w:hAnsiTheme="minorEastAsia" w:eastAsiaTheme="minorEastAsia" w:cstheme="minorEastAsia"/>
          <w:color w:val="auto"/>
          <w:spacing w:val="5"/>
          <w:sz w:val="21"/>
          <w:szCs w:val="21"/>
          <w:highlight w:val="none"/>
        </w:rPr>
        <w:t>；通讯地址：</w:t>
      </w:r>
      <w:r>
        <w:rPr>
          <w:rFonts w:hint="eastAsia" w:asciiTheme="minorEastAsia" w:hAnsiTheme="minorEastAsia" w:eastAsiaTheme="minorEastAsia" w:cstheme="minorEastAsia"/>
          <w:color w:val="auto"/>
          <w:spacing w:val="5"/>
          <w:sz w:val="21"/>
          <w:szCs w:val="21"/>
          <w:highlight w:val="none"/>
          <w:lang w:eastAsia="zh-CN"/>
        </w:rPr>
        <w:t>桂林市临桂区临桂镇西城北路山水凤凰城B-Z109</w:t>
      </w:r>
      <w:r>
        <w:rPr>
          <w:rFonts w:hint="eastAsia" w:asciiTheme="minorEastAsia" w:hAnsiTheme="minorEastAsia" w:eastAsiaTheme="minorEastAsia" w:cstheme="minorEastAsia"/>
          <w:color w:val="auto"/>
          <w:spacing w:val="4"/>
          <w:sz w:val="21"/>
          <w:szCs w:val="21"/>
          <w:highlight w:val="none"/>
        </w:rPr>
        <w:t>。</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7.1</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7.2</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8.1关联供应商不得参加同一合同项下政府采购活动，否则</w:t>
      </w:r>
      <w:r>
        <w:rPr>
          <w:rFonts w:hint="eastAsia" w:asciiTheme="minorEastAsia" w:hAnsiTheme="minorEastAsia" w:eastAsiaTheme="minorEastAsia" w:cstheme="minorEastAsia"/>
          <w:color w:val="auto"/>
          <w:spacing w:val="8"/>
          <w:sz w:val="21"/>
          <w:szCs w:val="21"/>
          <w:highlight w:val="none"/>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（2）为本采购项目提供整体设计、规</w:t>
      </w:r>
      <w:r>
        <w:rPr>
          <w:rFonts w:hint="eastAsia" w:asciiTheme="minorEastAsia" w:hAnsiTheme="minorEastAsia" w:eastAsiaTheme="minorEastAsia" w:cstheme="minorEastAsia"/>
          <w:color w:val="auto"/>
          <w:spacing w:val="11"/>
          <w:sz w:val="21"/>
          <w:szCs w:val="21"/>
          <w:highlight w:val="none"/>
        </w:rPr>
        <w:t>范编制或者项目管理、监理、检测等服务的供应商，不得再参</w:t>
      </w:r>
      <w:r>
        <w:rPr>
          <w:rFonts w:hint="eastAsia" w:asciiTheme="minorEastAsia" w:hAnsiTheme="minorEastAsia" w:eastAsiaTheme="minorEastAsia" w:cstheme="minorEastAsia"/>
          <w:color w:val="auto"/>
          <w:spacing w:val="7"/>
          <w:sz w:val="21"/>
          <w:szCs w:val="21"/>
          <w:highlight w:val="none"/>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8.2</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供应商磋商所使用的资格、信誉、荣誉、业绩与企业认证必须为本法人所拥有，</w:t>
      </w:r>
      <w:r>
        <w:rPr>
          <w:rFonts w:hint="eastAsia" w:asciiTheme="minorEastAsia" w:hAnsiTheme="minorEastAsia" w:eastAsiaTheme="minorEastAsia" w:cstheme="minorEastAsia"/>
          <w:color w:val="auto"/>
          <w:spacing w:val="9"/>
          <w:sz w:val="21"/>
          <w:szCs w:val="21"/>
          <w:highlight w:val="none"/>
        </w:rPr>
        <w:t>供应商磋商所使</w:t>
      </w:r>
      <w:r>
        <w:rPr>
          <w:rFonts w:hint="eastAsia" w:asciiTheme="minorEastAsia" w:hAnsiTheme="minorEastAsia" w:eastAsiaTheme="minorEastAsia" w:cstheme="minorEastAsia"/>
          <w:color w:val="auto"/>
          <w:spacing w:val="8"/>
          <w:sz w:val="21"/>
          <w:szCs w:val="21"/>
          <w:highlight w:val="none"/>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8.3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供应商应仔细阅读竞争性磋商文件的所有内容，按照竞争性磋商文件的要求提交</w:t>
      </w:r>
      <w:r>
        <w:rPr>
          <w:rFonts w:hint="eastAsia" w:asciiTheme="minorEastAsia" w:hAnsiTheme="minorEastAsia" w:eastAsiaTheme="minorEastAsia" w:cstheme="minorEastAsia"/>
          <w:color w:val="auto"/>
          <w:spacing w:val="9"/>
          <w:sz w:val="21"/>
          <w:szCs w:val="21"/>
          <w:highlight w:val="none"/>
        </w:rPr>
        <w:t>响应文件，并对</w:t>
      </w:r>
      <w:r>
        <w:rPr>
          <w:rFonts w:hint="eastAsia" w:asciiTheme="minorEastAsia" w:hAnsiTheme="minorEastAsia" w:eastAsiaTheme="minorEastAsia" w:cstheme="minorEastAsia"/>
          <w:color w:val="auto"/>
          <w:spacing w:val="8"/>
          <w:sz w:val="21"/>
          <w:szCs w:val="21"/>
          <w:highlight w:val="none"/>
        </w:rPr>
        <w:t>所提供的全部资料的真实性承担法律责任。</w:t>
      </w:r>
    </w:p>
    <w:p w14:paraId="206635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10"/>
          <w:sz w:val="21"/>
          <w:szCs w:val="21"/>
          <w:highlight w:val="none"/>
        </w:rPr>
        <w:t>8.4</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供应商在采购活动中提供任何虚假材料，其响应文件作无效处理，并报监管部门</w:t>
      </w:r>
      <w:r>
        <w:rPr>
          <w:rFonts w:hint="eastAsia" w:asciiTheme="minorEastAsia" w:hAnsiTheme="minorEastAsia" w:eastAsiaTheme="minorEastAsia" w:cstheme="minorEastAsia"/>
          <w:color w:val="auto"/>
          <w:spacing w:val="9"/>
          <w:sz w:val="21"/>
          <w:szCs w:val="21"/>
          <w:highlight w:val="none"/>
        </w:rPr>
        <w:t>查处；成交后发现的，成交供应商须依照《中华人民共和国消费者权益保护法》规定赔偿采购人，且民事赔偿并不免除违</w:t>
      </w:r>
      <w:r>
        <w:rPr>
          <w:rFonts w:hint="eastAsia" w:asciiTheme="minorEastAsia" w:hAnsiTheme="minorEastAsia" w:eastAsiaTheme="minorEastAsia" w:cstheme="minorEastAsia"/>
          <w:color w:val="auto"/>
          <w:spacing w:val="8"/>
          <w:sz w:val="21"/>
          <w:szCs w:val="21"/>
          <w:highlight w:val="none"/>
        </w:rPr>
        <w:t>法供应商的行政与刑事责任。</w:t>
      </w:r>
    </w:p>
    <w:p w14:paraId="6DC9DE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7EB233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10.1提交首次响应文件截止之日前，采购代理机构可以对已发出的磋商文</w:t>
      </w:r>
      <w:r>
        <w:rPr>
          <w:rFonts w:hint="eastAsia" w:asciiTheme="minorEastAsia" w:hAnsiTheme="minorEastAsia" w:eastAsiaTheme="minorEastAsia" w:cstheme="minorEastAsia"/>
          <w:color w:val="auto"/>
          <w:spacing w:val="7"/>
          <w:sz w:val="21"/>
          <w:szCs w:val="21"/>
          <w:highlight w:val="none"/>
        </w:rPr>
        <w:t>件进行必要澄清或者修改，</w:t>
      </w:r>
      <w:r>
        <w:rPr>
          <w:rFonts w:hint="eastAsia" w:asciiTheme="minorEastAsia" w:hAnsiTheme="minorEastAsia" w:eastAsiaTheme="minorEastAsia" w:cstheme="minorEastAsia"/>
          <w:color w:val="auto"/>
          <w:spacing w:val="9"/>
          <w:sz w:val="21"/>
          <w:szCs w:val="21"/>
          <w:highlight w:val="none"/>
        </w:rPr>
        <w:t>澄清或者修改的内容作为磋商文件的组成部分。澄清或者修改的内容可能影响响应文件编制的，采购代理</w:t>
      </w:r>
      <w:r>
        <w:rPr>
          <w:rFonts w:hint="eastAsia" w:asciiTheme="minorEastAsia" w:hAnsiTheme="minorEastAsia" w:eastAsiaTheme="minorEastAsia" w:cstheme="minorEastAsia"/>
          <w:color w:val="auto"/>
          <w:spacing w:val="14"/>
          <w:sz w:val="21"/>
          <w:szCs w:val="21"/>
          <w:highlight w:val="none"/>
        </w:rPr>
        <w:t>机构应当在提交首次响应文件递交截止时间五日前在本项目竞争性磋商公告发布的同一媒体上发</w:t>
      </w:r>
      <w:r>
        <w:rPr>
          <w:rFonts w:hint="eastAsia" w:asciiTheme="minorEastAsia" w:hAnsiTheme="minorEastAsia" w:eastAsiaTheme="minorEastAsia" w:cstheme="minorEastAsia"/>
          <w:color w:val="auto"/>
          <w:spacing w:val="13"/>
          <w:sz w:val="21"/>
          <w:szCs w:val="21"/>
          <w:highlight w:val="none"/>
        </w:rPr>
        <w:t>布更正</w:t>
      </w:r>
      <w:r>
        <w:rPr>
          <w:rFonts w:hint="eastAsia" w:asciiTheme="minorEastAsia" w:hAnsiTheme="minorEastAsia" w:eastAsiaTheme="minorEastAsia" w:cstheme="minorEastAsia"/>
          <w:color w:val="auto"/>
          <w:spacing w:val="9"/>
          <w:sz w:val="21"/>
          <w:szCs w:val="21"/>
          <w:highlight w:val="none"/>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jc w:val="both"/>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10.2供应商下载竞争性磋商文件后应实时关注相关网站了解澄清、修改等与项目有关的内容，如因供应商未及时登录相关网站了解澄清、修改等与项目有关的内容，从而导致磋商无效的，由供应商自行承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10.3</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澄清或者修改的内容为磋商文件的组成部分。当澄清或者修改通知就同</w:t>
      </w:r>
      <w:r>
        <w:rPr>
          <w:rFonts w:hint="eastAsia" w:asciiTheme="minorEastAsia" w:hAnsiTheme="minorEastAsia" w:eastAsiaTheme="minorEastAsia" w:cstheme="minorEastAsia"/>
          <w:color w:val="auto"/>
          <w:spacing w:val="7"/>
          <w:sz w:val="21"/>
          <w:szCs w:val="21"/>
          <w:highlight w:val="none"/>
        </w:rPr>
        <w:t>一内容的表述不一致时，</w:t>
      </w:r>
      <w:r>
        <w:rPr>
          <w:rFonts w:hint="eastAsia" w:asciiTheme="minorEastAsia" w:hAnsiTheme="minorEastAsia" w:eastAsiaTheme="minorEastAsia" w:cstheme="minorEastAsia"/>
          <w:color w:val="auto"/>
          <w:spacing w:val="6"/>
          <w:sz w:val="21"/>
          <w:szCs w:val="21"/>
          <w:highlight w:val="none"/>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10.4磋商文件的澄清或者修改都应该通过本项目采购代理机构以法定</w:t>
      </w:r>
      <w:r>
        <w:rPr>
          <w:rFonts w:hint="eastAsia" w:asciiTheme="minorEastAsia" w:hAnsiTheme="minorEastAsia" w:eastAsiaTheme="minorEastAsia" w:cstheme="minorEastAsia"/>
          <w:color w:val="auto"/>
          <w:spacing w:val="10"/>
          <w:sz w:val="21"/>
          <w:szCs w:val="21"/>
          <w:highlight w:val="none"/>
        </w:rPr>
        <w:t>形式发布，采购人非通过本机</w:t>
      </w:r>
      <w:r>
        <w:rPr>
          <w:rFonts w:hint="eastAsia" w:asciiTheme="minorEastAsia" w:hAnsiTheme="minorEastAsia" w:eastAsiaTheme="minorEastAsia" w:cstheme="minorEastAsia"/>
          <w:color w:val="auto"/>
          <w:spacing w:val="9"/>
          <w:sz w:val="21"/>
          <w:szCs w:val="21"/>
          <w:highlight w:val="none"/>
        </w:rPr>
        <w:t>构，不得擅自澄清、答复、修改或补充磋商文件。</w:t>
      </w:r>
    </w:p>
    <w:p w14:paraId="309A61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10.5采购人和采购代理机构可以视采购具体情况，延长响应文件递交</w:t>
      </w:r>
      <w:r>
        <w:rPr>
          <w:rFonts w:hint="eastAsia" w:asciiTheme="minorEastAsia" w:hAnsiTheme="minorEastAsia" w:eastAsiaTheme="minorEastAsia" w:cstheme="minorEastAsia"/>
          <w:color w:val="auto"/>
          <w:spacing w:val="10"/>
          <w:sz w:val="21"/>
          <w:szCs w:val="21"/>
          <w:highlight w:val="none"/>
        </w:rPr>
        <w:t>截止时间和磋商时间，并在本</w:t>
      </w:r>
      <w:r>
        <w:rPr>
          <w:rFonts w:hint="eastAsia" w:asciiTheme="minorEastAsia" w:hAnsiTheme="minorEastAsia" w:eastAsiaTheme="minorEastAsia" w:cstheme="minorEastAsia"/>
          <w:color w:val="auto"/>
          <w:spacing w:val="9"/>
          <w:sz w:val="21"/>
          <w:szCs w:val="21"/>
          <w:highlight w:val="none"/>
        </w:rPr>
        <w:t>项目竞争性磋商公告发布的同一媒体上发布变更公告。</w:t>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420" w:firstLineChars="200"/>
        <w:jc w:val="center"/>
        <w:textAlignment w:val="baseline"/>
        <w:outlineLvl w:val="1"/>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position w:val="9"/>
          <w:sz w:val="21"/>
          <w:szCs w:val="21"/>
          <w:highlight w:val="none"/>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jc w:val="both"/>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本项目实行电子投标，供应商应准备电子响应文件。电子响应文件按</w:t>
      </w:r>
      <w:r>
        <w:rPr>
          <w:rFonts w:hint="eastAsia" w:asciiTheme="minorEastAsia" w:hAnsiTheme="minorEastAsia" w:eastAsiaTheme="minorEastAsia" w:cstheme="minorEastAsia"/>
          <w:b w:val="0"/>
          <w:bCs w:val="0"/>
          <w:color w:val="auto"/>
          <w:spacing w:val="8"/>
          <w:sz w:val="21"/>
          <w:szCs w:val="21"/>
          <w:highlight w:val="none"/>
          <w:lang w:eastAsia="zh-CN"/>
        </w:rPr>
        <w:t>广西政府采购云平台</w:t>
      </w:r>
      <w:r>
        <w:rPr>
          <w:rFonts w:hint="eastAsia" w:asciiTheme="minorEastAsia" w:hAnsiTheme="minorEastAsia" w:eastAsiaTheme="minorEastAsia" w:cstheme="minorEastAsia"/>
          <w:b w:val="0"/>
          <w:bCs w:val="0"/>
          <w:color w:val="auto"/>
          <w:spacing w:val="8"/>
          <w:sz w:val="21"/>
          <w:szCs w:val="21"/>
          <w:highlight w:val="none"/>
        </w:rPr>
        <w:t>平台要求及本磋商文件要求制作、加密并递交。具体操作流程可参考《政府采购项目电子交易管理操作指南-供应商》，指南可在“</w:t>
      </w:r>
      <w:r>
        <w:rPr>
          <w:rFonts w:hint="eastAsia" w:asciiTheme="minorEastAsia" w:hAnsiTheme="minorEastAsia" w:eastAsiaTheme="minorEastAsia" w:cstheme="minorEastAsia"/>
          <w:b w:val="0"/>
          <w:bCs w:val="0"/>
          <w:color w:val="auto"/>
          <w:spacing w:val="8"/>
          <w:sz w:val="21"/>
          <w:szCs w:val="21"/>
          <w:highlight w:val="none"/>
          <w:u w:val="none"/>
        </w:rPr>
        <w:t>http://www.ccgpguangxi.gov.cn/PurchaseAdvisory/ImportantNotice/2866753.html</w:t>
      </w:r>
      <w:r>
        <w:rPr>
          <w:rFonts w:hint="eastAsia" w:asciiTheme="minorEastAsia" w:hAnsiTheme="minorEastAsia" w:eastAsiaTheme="minorEastAsia" w:cstheme="minorEastAsia"/>
          <w:b w:val="0"/>
          <w:bCs w:val="0"/>
          <w:color w:val="auto"/>
          <w:spacing w:val="8"/>
          <w:sz w:val="21"/>
          <w:szCs w:val="21"/>
          <w:highlight w:val="none"/>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（1）响应函及响应函附录</w:t>
      </w:r>
      <w:r>
        <w:rPr>
          <w:rFonts w:hint="eastAsia" w:asciiTheme="minorEastAsia" w:hAnsiTheme="minorEastAsia" w:eastAsiaTheme="minorEastAsia" w:cstheme="minorEastAsia"/>
          <w:b/>
          <w:bCs/>
          <w:color w:val="auto"/>
          <w:spacing w:val="8"/>
          <w:sz w:val="21"/>
          <w:szCs w:val="21"/>
          <w:highlight w:val="none"/>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（2）供应商相应的法定代表人身份证正反两面复印件</w:t>
      </w:r>
      <w:r>
        <w:rPr>
          <w:rFonts w:hint="eastAsia" w:asciiTheme="minorEastAsia" w:hAnsiTheme="minorEastAsia" w:eastAsiaTheme="minorEastAsia" w:cstheme="minorEastAsia"/>
          <w:b/>
          <w:bCs/>
          <w:color w:val="auto"/>
          <w:spacing w:val="8"/>
          <w:sz w:val="21"/>
          <w:szCs w:val="21"/>
          <w:highlight w:val="none"/>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（3）供应商的授权委托书原件、委托代理人身份证正反面复印件以及由县级以上（含县级）社会养</w:t>
      </w:r>
      <w:r>
        <w:rPr>
          <w:rFonts w:hint="eastAsia" w:asciiTheme="minorEastAsia" w:hAnsiTheme="minorEastAsia" w:eastAsiaTheme="minorEastAsia" w:cstheme="minorEastAsia"/>
          <w:color w:val="auto"/>
          <w:spacing w:val="14"/>
          <w:sz w:val="21"/>
          <w:szCs w:val="21"/>
          <w:highlight w:val="none"/>
        </w:rPr>
        <w:t>老保险经办机构出具的供应商为委托代理人交纳的响应文件递交截止时间前半年内任意</w:t>
      </w:r>
      <w:r>
        <w:rPr>
          <w:rFonts w:hint="eastAsia" w:asciiTheme="minorEastAsia" w:hAnsiTheme="minorEastAsia" w:eastAsiaTheme="minorEastAsia" w:cstheme="minorEastAsia"/>
          <w:color w:val="auto"/>
          <w:spacing w:val="14"/>
          <w:sz w:val="21"/>
          <w:szCs w:val="21"/>
          <w:highlight w:val="none"/>
          <w:lang w:eastAsia="zh-CN"/>
        </w:rPr>
        <w:t>一</w:t>
      </w:r>
      <w:r>
        <w:rPr>
          <w:rFonts w:hint="eastAsia" w:asciiTheme="minorEastAsia" w:hAnsiTheme="minorEastAsia" w:eastAsiaTheme="minorEastAsia" w:cstheme="minorEastAsia"/>
          <w:color w:val="auto"/>
          <w:spacing w:val="13"/>
          <w:sz w:val="21"/>
          <w:szCs w:val="21"/>
          <w:highlight w:val="none"/>
        </w:rPr>
        <w:t>个月</w:t>
      </w:r>
      <w:r>
        <w:rPr>
          <w:rFonts w:hint="eastAsia" w:asciiTheme="minorEastAsia" w:hAnsiTheme="minorEastAsia" w:eastAsiaTheme="minorEastAsia" w:cstheme="minorEastAsia"/>
          <w:color w:val="auto"/>
          <w:spacing w:val="13"/>
          <w:sz w:val="21"/>
          <w:szCs w:val="21"/>
          <w:highlight w:val="none"/>
          <w:lang w:val="en-US" w:eastAsia="zh-CN"/>
        </w:rPr>
        <w:t>养老保险</w:t>
      </w:r>
      <w:r>
        <w:rPr>
          <w:rFonts w:hint="eastAsia" w:asciiTheme="minorEastAsia" w:hAnsiTheme="minorEastAsia" w:eastAsiaTheme="minorEastAsia" w:cstheme="minorEastAsia"/>
          <w:color w:val="auto"/>
          <w:spacing w:val="10"/>
          <w:sz w:val="21"/>
          <w:szCs w:val="21"/>
          <w:highlight w:val="none"/>
        </w:rPr>
        <w:t>证明复印件</w:t>
      </w:r>
      <w:r>
        <w:rPr>
          <w:rFonts w:hint="eastAsia" w:asciiTheme="minorEastAsia" w:hAnsiTheme="minorEastAsia" w:eastAsiaTheme="minorEastAsia" w:cstheme="minorEastAsia"/>
          <w:b/>
          <w:bCs/>
          <w:color w:val="auto"/>
          <w:spacing w:val="8"/>
          <w:sz w:val="21"/>
          <w:szCs w:val="21"/>
          <w:highlight w:val="none"/>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（4）供应商基本情况表</w:t>
      </w:r>
      <w:r>
        <w:rPr>
          <w:rFonts w:hint="eastAsia" w:asciiTheme="minorEastAsia" w:hAnsiTheme="minorEastAsia" w:eastAsiaTheme="minorEastAsia" w:cstheme="minorEastAsia"/>
          <w:b/>
          <w:bCs/>
          <w:color w:val="auto"/>
          <w:spacing w:val="8"/>
          <w:sz w:val="21"/>
          <w:szCs w:val="21"/>
          <w:highlight w:val="none"/>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（5）供应商参加政府采购活动前</w:t>
      </w:r>
      <w:r>
        <w:rPr>
          <w:rFonts w:hint="eastAsia" w:asciiTheme="minorEastAsia" w:hAnsiTheme="minorEastAsia" w:eastAsiaTheme="minorEastAsia" w:cstheme="minorEastAsia"/>
          <w:color w:val="auto"/>
          <w:spacing w:val="-33"/>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3</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11"/>
          <w:sz w:val="21"/>
          <w:szCs w:val="21"/>
          <w:highlight w:val="none"/>
        </w:rPr>
        <w:t>年内在经营活动中没有</w:t>
      </w:r>
      <w:r>
        <w:rPr>
          <w:rFonts w:hint="eastAsia" w:asciiTheme="minorEastAsia" w:hAnsiTheme="minorEastAsia" w:eastAsiaTheme="minorEastAsia" w:cstheme="minorEastAsia"/>
          <w:color w:val="auto"/>
          <w:spacing w:val="10"/>
          <w:sz w:val="21"/>
          <w:szCs w:val="21"/>
          <w:highlight w:val="none"/>
        </w:rPr>
        <w:t>重大违法记录及有关信用信息的书面声明</w:t>
      </w:r>
      <w:r>
        <w:rPr>
          <w:rFonts w:hint="eastAsia" w:asciiTheme="minorEastAsia" w:hAnsiTheme="minorEastAsia" w:eastAsiaTheme="minorEastAsia" w:cstheme="minorEastAsia"/>
          <w:b/>
          <w:bCs/>
          <w:color w:val="auto"/>
          <w:spacing w:val="8"/>
          <w:sz w:val="21"/>
          <w:szCs w:val="21"/>
          <w:highlight w:val="none"/>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（6）承诺函</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color w:val="auto"/>
          <w:sz w:val="21"/>
          <w:szCs w:val="21"/>
          <w:highlight w:val="none"/>
        </w:rPr>
        <w:t>；</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7</w:t>
      </w:r>
      <w:r>
        <w:rPr>
          <w:rFonts w:hint="eastAsia" w:asciiTheme="minorEastAsia" w:hAnsiTheme="minorEastAsia" w:eastAsiaTheme="minorEastAsia" w:cstheme="minorEastAsia"/>
          <w:color w:val="auto"/>
          <w:spacing w:val="11"/>
          <w:sz w:val="21"/>
          <w:szCs w:val="21"/>
          <w:highlight w:val="none"/>
        </w:rPr>
        <w:t>）《中小企业声明函》（见附件）</w:t>
      </w:r>
      <w:r>
        <w:rPr>
          <w:rFonts w:hint="eastAsia" w:asciiTheme="minorEastAsia" w:hAnsiTheme="minorEastAsia" w:eastAsiaTheme="minorEastAsia" w:cstheme="minorEastAsia"/>
          <w:b/>
          <w:bCs/>
          <w:color w:val="auto"/>
          <w:spacing w:val="8"/>
          <w:sz w:val="21"/>
          <w:szCs w:val="21"/>
          <w:highlight w:val="none"/>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left"/>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9"/>
          <w:sz w:val="21"/>
          <w:szCs w:val="21"/>
          <w:highlight w:val="none"/>
          <w:lang w:val="en-US" w:eastAsia="zh-CN"/>
        </w:rPr>
        <w:t>8</w:t>
      </w:r>
      <w:r>
        <w:rPr>
          <w:rFonts w:hint="eastAsia" w:asciiTheme="minorEastAsia" w:hAnsiTheme="minorEastAsia" w:eastAsiaTheme="minorEastAsia" w:cstheme="minorEastAsia"/>
          <w:color w:val="auto"/>
          <w:spacing w:val="11"/>
          <w:sz w:val="21"/>
          <w:szCs w:val="21"/>
          <w:highlight w:val="none"/>
        </w:rPr>
        <w:t>）如供应商属于监狱企业的，应当提供由省级以上监狱管理局、戒毒管理局等（含新疆生产建设兵团）出具的属于监狱企业的证明文件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color w:val="auto"/>
          <w:spacing w:val="8"/>
          <w:sz w:val="21"/>
          <w:szCs w:val="21"/>
          <w:highlight w:val="none"/>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11"/>
          <w:sz w:val="21"/>
          <w:szCs w:val="21"/>
          <w:highlight w:val="none"/>
          <w:lang w:val="en-US" w:eastAsia="zh-CN"/>
        </w:rPr>
        <w:t>9</w:t>
      </w:r>
      <w:r>
        <w:rPr>
          <w:rFonts w:hint="eastAsia" w:asciiTheme="minorEastAsia" w:hAnsiTheme="minorEastAsia" w:eastAsiaTheme="minorEastAsia" w:cstheme="minorEastAsia"/>
          <w:color w:val="auto"/>
          <w:spacing w:val="11"/>
          <w:sz w:val="21"/>
          <w:szCs w:val="21"/>
          <w:highlight w:val="none"/>
        </w:rPr>
        <w:t>）符合条件的残疾人福利性单位在参加政府采购活动时，应当提供《残疾人福利性单位声明函》（见附件），并对声明的真实性负责</w:t>
      </w:r>
      <w:r>
        <w:rPr>
          <w:rFonts w:hint="eastAsia" w:asciiTheme="minorEastAsia" w:hAnsiTheme="minorEastAsia" w:eastAsiaTheme="minorEastAsia" w:cstheme="minorEastAsia"/>
          <w:b/>
          <w:bCs/>
          <w:color w:val="auto"/>
          <w:spacing w:val="8"/>
          <w:sz w:val="21"/>
          <w:szCs w:val="21"/>
          <w:highlight w:val="none"/>
        </w:rPr>
        <w:t>（如供应商属于残疾人福利性单位的，则必须提供）。</w:t>
      </w:r>
    </w:p>
    <w:p w14:paraId="465EFA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b/>
          <w:bCs/>
          <w:color w:val="auto"/>
          <w:spacing w:val="8"/>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（1）已标价工程量清单</w:t>
      </w:r>
      <w:r>
        <w:rPr>
          <w:rFonts w:hint="eastAsia" w:asciiTheme="minorEastAsia" w:hAnsiTheme="minorEastAsia" w:eastAsiaTheme="minorEastAsia" w:cstheme="minorEastAsia"/>
          <w:b/>
          <w:bCs/>
          <w:color w:val="auto"/>
          <w:spacing w:val="8"/>
          <w:sz w:val="21"/>
          <w:szCs w:val="21"/>
          <w:highlight w:val="none"/>
        </w:rPr>
        <w:t>（必须提供）；</w:t>
      </w:r>
    </w:p>
    <w:p w14:paraId="476047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rPr>
        <w:t>（2）施工组织设计</w:t>
      </w:r>
      <w:r>
        <w:rPr>
          <w:rFonts w:hint="eastAsia" w:asciiTheme="minorEastAsia" w:hAnsiTheme="minorEastAsia" w:eastAsiaTheme="minorEastAsia" w:cstheme="minorEastAsia"/>
          <w:b/>
          <w:bCs/>
          <w:color w:val="auto"/>
          <w:spacing w:val="8"/>
          <w:sz w:val="21"/>
          <w:szCs w:val="21"/>
          <w:highlight w:val="none"/>
        </w:rPr>
        <w:t>（必须提供）</w:t>
      </w:r>
      <w:r>
        <w:rPr>
          <w:rFonts w:hint="eastAsia" w:asciiTheme="minorEastAsia" w:hAnsiTheme="minorEastAsia" w:eastAsiaTheme="minorEastAsia" w:cstheme="minorEastAsia"/>
          <w:b/>
          <w:bCs/>
          <w:color w:val="auto"/>
          <w:spacing w:val="8"/>
          <w:sz w:val="21"/>
          <w:szCs w:val="21"/>
          <w:highlight w:val="none"/>
          <w:lang w:eastAsia="zh-CN"/>
        </w:rPr>
        <w:t>；</w:t>
      </w:r>
    </w:p>
    <w:p w14:paraId="08DE15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（3）项目管理机构组成表</w:t>
      </w:r>
      <w:r>
        <w:rPr>
          <w:rFonts w:hint="eastAsia" w:asciiTheme="minorEastAsia" w:hAnsiTheme="minorEastAsia" w:eastAsiaTheme="minorEastAsia" w:cstheme="minorEastAsia"/>
          <w:color w:val="auto"/>
          <w:spacing w:val="11"/>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rPr>
        <w:t>项目经理应附身份证、</w:t>
      </w:r>
      <w:r>
        <w:rPr>
          <w:rFonts w:hint="eastAsia" w:asciiTheme="minorEastAsia" w:hAnsiTheme="minorEastAsia" w:eastAsiaTheme="minorEastAsia" w:cstheme="minorEastAsia"/>
          <w:b/>
          <w:bCs/>
          <w:color w:val="auto"/>
          <w:spacing w:val="11"/>
          <w:sz w:val="21"/>
          <w:szCs w:val="21"/>
          <w:highlight w:val="none"/>
        </w:rPr>
        <w:t>建造师</w:t>
      </w:r>
      <w:r>
        <w:rPr>
          <w:rFonts w:hint="eastAsia" w:asciiTheme="minorEastAsia" w:hAnsiTheme="minorEastAsia" w:eastAsiaTheme="minorEastAsia" w:cstheme="minorEastAsia"/>
          <w:b/>
          <w:bCs/>
          <w:color w:val="auto"/>
          <w:spacing w:val="11"/>
          <w:sz w:val="21"/>
          <w:szCs w:val="21"/>
          <w:highlight w:val="none"/>
          <w:lang w:val="en-US" w:eastAsia="zh-CN"/>
        </w:rPr>
        <w:t>注册</w:t>
      </w:r>
      <w:r>
        <w:rPr>
          <w:rFonts w:hint="eastAsia" w:asciiTheme="minorEastAsia" w:hAnsiTheme="minorEastAsia" w:eastAsiaTheme="minorEastAsia" w:cstheme="minorEastAsia"/>
          <w:b/>
          <w:bCs/>
          <w:color w:val="auto"/>
          <w:spacing w:val="11"/>
          <w:sz w:val="21"/>
          <w:szCs w:val="21"/>
          <w:highlight w:val="none"/>
        </w:rPr>
        <w:t>证书</w:t>
      </w:r>
      <w:r>
        <w:rPr>
          <w:rFonts w:hint="eastAsia" w:asciiTheme="minorEastAsia" w:hAnsiTheme="minorEastAsia" w:eastAsiaTheme="minorEastAsia" w:cstheme="minorEastAsia"/>
          <w:color w:val="auto"/>
          <w:spacing w:val="11"/>
          <w:sz w:val="21"/>
          <w:szCs w:val="21"/>
          <w:highlight w:val="none"/>
        </w:rPr>
        <w:t>、安全生产考核合格证书（B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Theme="minorEastAsia" w:hAnsiTheme="minorEastAsia" w:eastAsiaTheme="minorEastAsia" w:cstheme="minorEastAsia"/>
          <w:color w:val="auto"/>
          <w:spacing w:val="11"/>
          <w:sz w:val="21"/>
          <w:szCs w:val="21"/>
          <w:highlight w:val="none"/>
          <w:lang w:eastAsia="zh-CN"/>
        </w:rPr>
        <w:t>养老保险</w:t>
      </w:r>
      <w:r>
        <w:rPr>
          <w:rFonts w:hint="eastAsia" w:asciiTheme="minorEastAsia" w:hAnsiTheme="minorEastAsia" w:eastAsiaTheme="minorEastAsia" w:cstheme="minorEastAsia"/>
          <w:color w:val="auto"/>
          <w:spacing w:val="11"/>
          <w:sz w:val="21"/>
          <w:szCs w:val="21"/>
          <w:highlight w:val="none"/>
        </w:rPr>
        <w:t>部门出具的供应商为其交纳的响应文件递交截止时间前半年内任意</w:t>
      </w:r>
      <w:r>
        <w:rPr>
          <w:rFonts w:hint="eastAsia" w:asciiTheme="minorEastAsia" w:hAnsiTheme="minorEastAsia" w:eastAsiaTheme="minorEastAsia" w:cstheme="minorEastAsia"/>
          <w:color w:val="auto"/>
          <w:spacing w:val="11"/>
          <w:sz w:val="21"/>
          <w:szCs w:val="21"/>
          <w:highlight w:val="none"/>
          <w:lang w:eastAsia="zh-CN"/>
        </w:rPr>
        <w:t>一</w:t>
      </w:r>
      <w:r>
        <w:rPr>
          <w:rFonts w:hint="eastAsia" w:asciiTheme="minorEastAsia" w:hAnsiTheme="minorEastAsia" w:eastAsiaTheme="minorEastAsia" w:cstheme="minorEastAsia"/>
          <w:color w:val="auto"/>
          <w:spacing w:val="11"/>
          <w:sz w:val="21"/>
          <w:szCs w:val="21"/>
          <w:highlight w:val="none"/>
        </w:rPr>
        <w:t>个月</w:t>
      </w:r>
      <w:r>
        <w:rPr>
          <w:rFonts w:hint="eastAsia" w:asciiTheme="minorEastAsia" w:hAnsiTheme="minorEastAsia" w:eastAsiaTheme="minorEastAsia" w:cstheme="minorEastAsia"/>
          <w:color w:val="auto"/>
          <w:spacing w:val="11"/>
          <w:sz w:val="21"/>
          <w:szCs w:val="21"/>
          <w:highlight w:val="none"/>
          <w:lang w:val="en-US" w:eastAsia="zh-CN"/>
        </w:rPr>
        <w:t>养老保险</w:t>
      </w:r>
      <w:r>
        <w:rPr>
          <w:rFonts w:hint="eastAsia" w:asciiTheme="minorEastAsia" w:hAnsiTheme="minorEastAsia" w:eastAsiaTheme="minorEastAsia" w:cstheme="minorEastAsia"/>
          <w:color w:val="auto"/>
          <w:spacing w:val="11"/>
          <w:sz w:val="21"/>
          <w:szCs w:val="21"/>
          <w:highlight w:val="none"/>
        </w:rPr>
        <w:t>证明复印件；若为新进员工，请提供劳动合同扫描件。</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b/>
          <w:bCs/>
          <w:color w:val="auto"/>
          <w:spacing w:val="8"/>
          <w:sz w:val="21"/>
          <w:szCs w:val="21"/>
          <w:highlight w:val="none"/>
        </w:rPr>
        <w:t>（必须提供）；</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lang w:val="en-US" w:eastAsia="zh-CN"/>
        </w:rPr>
        <w:t>1</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供应商202</w:t>
      </w:r>
      <w:r>
        <w:rPr>
          <w:rFonts w:hint="eastAsia" w:asciiTheme="minorEastAsia" w:hAnsiTheme="minorEastAsia" w:eastAsiaTheme="minorEastAsia" w:cstheme="minorEastAsia"/>
          <w:color w:val="auto"/>
          <w:spacing w:val="11"/>
          <w:sz w:val="21"/>
          <w:szCs w:val="21"/>
          <w:highlight w:val="none"/>
          <w:lang w:val="en-US" w:eastAsia="zh-CN"/>
        </w:rPr>
        <w:t>2</w:t>
      </w:r>
      <w:r>
        <w:rPr>
          <w:rFonts w:hint="eastAsia" w:asciiTheme="minorEastAsia" w:hAnsiTheme="minorEastAsia" w:eastAsiaTheme="minorEastAsia" w:cstheme="minorEastAsia"/>
          <w:color w:val="auto"/>
          <w:spacing w:val="11"/>
          <w:sz w:val="21"/>
          <w:szCs w:val="21"/>
          <w:highlight w:val="none"/>
        </w:rPr>
        <w:t>年以来具有</w:t>
      </w:r>
      <w:r>
        <w:rPr>
          <w:rFonts w:hint="eastAsia" w:asciiTheme="minorEastAsia" w:hAnsiTheme="minorEastAsia" w:eastAsiaTheme="minorEastAsia" w:cstheme="minorEastAsia"/>
          <w:color w:val="auto"/>
          <w:spacing w:val="11"/>
          <w:sz w:val="21"/>
          <w:szCs w:val="21"/>
          <w:highlight w:val="none"/>
          <w:lang w:val="en-US" w:eastAsia="zh-CN"/>
        </w:rPr>
        <w:t>公路工程</w:t>
      </w:r>
      <w:r>
        <w:rPr>
          <w:rFonts w:hint="eastAsia" w:asciiTheme="minorEastAsia" w:hAnsiTheme="minorEastAsia" w:eastAsiaTheme="minorEastAsia" w:cstheme="minorEastAsia"/>
          <w:color w:val="auto"/>
          <w:spacing w:val="11"/>
          <w:sz w:val="21"/>
          <w:szCs w:val="21"/>
          <w:highlight w:val="none"/>
        </w:rPr>
        <w:t>业绩的相关证明材料（无不良记录，以中标、成交通知书或签订的合同为准，并能清晰反映项目名称、金额、日期等）（如有，请提供）</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（2）供应商相关获奖证书、认证证书等复印件</w:t>
      </w:r>
      <w:r>
        <w:rPr>
          <w:rFonts w:hint="eastAsia" w:asciiTheme="minorEastAsia" w:hAnsiTheme="minorEastAsia" w:eastAsiaTheme="minorEastAsia" w:cstheme="minorEastAsia"/>
          <w:b/>
          <w:bCs/>
          <w:color w:val="auto"/>
          <w:spacing w:val="8"/>
          <w:sz w:val="21"/>
          <w:szCs w:val="21"/>
          <w:highlight w:val="none"/>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（3）供应商可结合本项目自身情况自行提交其它相关证明材料</w:t>
      </w:r>
      <w:r>
        <w:rPr>
          <w:rFonts w:hint="eastAsia" w:asciiTheme="minorEastAsia" w:hAnsiTheme="minorEastAsia" w:eastAsiaTheme="minorEastAsia" w:cstheme="minorEastAsia"/>
          <w:b/>
          <w:bCs/>
          <w:color w:val="auto"/>
          <w:spacing w:val="8"/>
          <w:sz w:val="21"/>
          <w:szCs w:val="21"/>
          <w:highlight w:val="none"/>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0" w:firstLineChars="200"/>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11.2 供应商应按竞争性磋商文件“第六章 响应文件（格式）</w:t>
      </w:r>
      <w:r>
        <w:rPr>
          <w:rFonts w:hint="eastAsia" w:asciiTheme="minorEastAsia" w:hAnsiTheme="minorEastAsia" w:eastAsiaTheme="minorEastAsia" w:cstheme="minorEastAsia"/>
          <w:b/>
          <w:bCs/>
          <w:color w:val="auto"/>
          <w:spacing w:val="-53"/>
          <w:sz w:val="21"/>
          <w:szCs w:val="21"/>
          <w:highlight w:val="none"/>
        </w:rPr>
        <w:t xml:space="preserve"> </w:t>
      </w:r>
      <w:r>
        <w:rPr>
          <w:rFonts w:hint="eastAsia" w:asciiTheme="minorEastAsia" w:hAnsiTheme="minorEastAsia" w:eastAsiaTheme="minorEastAsia" w:cstheme="minorEastAsia"/>
          <w:b/>
          <w:bCs/>
          <w:color w:val="auto"/>
          <w:spacing w:val="7"/>
          <w:sz w:val="21"/>
          <w:szCs w:val="21"/>
          <w:highlight w:val="none"/>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（1）响应文件中所须加盖公章部分均采用 CA 签章。若磋商文件中有专门标注的某关联点，并要求供 应商在电子投标系统中作出磋商响应的，如供应商未对关联点进行响应或者在响应文件其它内容进行描述，造成电子评审不能查询的责任由供应商自行承担。</w:t>
      </w:r>
    </w:p>
    <w:p w14:paraId="128C16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b w:val="0"/>
          <w:bCs w:val="0"/>
          <w:color w:val="auto"/>
          <w:spacing w:val="8"/>
          <w:sz w:val="21"/>
          <w:szCs w:val="21"/>
          <w:highlight w:val="none"/>
        </w:rPr>
      </w:pPr>
      <w:r>
        <w:rPr>
          <w:rFonts w:hint="eastAsia" w:asciiTheme="minorEastAsia" w:hAnsiTheme="minorEastAsia" w:eastAsiaTheme="minorEastAsia" w:cstheme="minorEastAsia"/>
          <w:b w:val="0"/>
          <w:bCs w:val="0"/>
          <w:color w:val="auto"/>
          <w:spacing w:val="8"/>
          <w:sz w:val="21"/>
          <w:szCs w:val="21"/>
          <w:highlight w:val="none"/>
        </w:rPr>
        <w:t>（2）磋商文件要求法定代表人（负责人）或委托代理人签字的部分必须签字然后扫描或者拍照做成 pdf 格式上传（或加盖个人 CA签章），无签字的视为响应无效。</w:t>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12.1响应文件以及供应商与采购代理机构就有关磋商事宜的所有</w:t>
      </w:r>
      <w:r>
        <w:rPr>
          <w:rFonts w:hint="eastAsia" w:asciiTheme="minorEastAsia" w:hAnsiTheme="minorEastAsia" w:eastAsiaTheme="minorEastAsia" w:cstheme="minorEastAsia"/>
          <w:color w:val="auto"/>
          <w:spacing w:val="10"/>
          <w:sz w:val="21"/>
          <w:szCs w:val="21"/>
          <w:highlight w:val="none"/>
        </w:rPr>
        <w:t>来往函电，均应以中文汉语书写。</w:t>
      </w:r>
      <w:r>
        <w:rPr>
          <w:rFonts w:hint="eastAsia" w:asciiTheme="minorEastAsia" w:hAnsiTheme="minorEastAsia" w:eastAsiaTheme="minorEastAsia" w:cstheme="minorEastAsia"/>
          <w:color w:val="auto"/>
          <w:spacing w:val="9"/>
          <w:sz w:val="21"/>
          <w:szCs w:val="21"/>
          <w:highlight w:val="none"/>
        </w:rPr>
        <w:t>供应商提交的支持文件和印刷的文献可以使用别的语言，但其相应内容必须附有中文翻译文本，在解释响</w:t>
      </w:r>
      <w:r>
        <w:rPr>
          <w:rFonts w:hint="eastAsia" w:asciiTheme="minorEastAsia" w:hAnsiTheme="minorEastAsia" w:eastAsiaTheme="minorEastAsia" w:cstheme="minorEastAsia"/>
          <w:color w:val="auto"/>
          <w:spacing w:val="8"/>
          <w:sz w:val="21"/>
          <w:szCs w:val="21"/>
          <w:highlight w:val="none"/>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13.磋商报价及招标控制价</w:t>
      </w:r>
    </w:p>
    <w:p w14:paraId="64A9E34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left"/>
        <w:textAlignment w:val="baseline"/>
        <w:rPr>
          <w:rFonts w:hint="eastAsia" w:asciiTheme="minorEastAsia" w:hAnsiTheme="minorEastAsia" w:eastAsiaTheme="minorEastAsia" w:cstheme="minorEastAsia"/>
          <w:snapToGrid w:val="0"/>
          <w:color w:val="auto"/>
          <w:spacing w:val="11"/>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11"/>
          <w:kern w:val="0"/>
          <w:sz w:val="21"/>
          <w:szCs w:val="21"/>
          <w:highlight w:val="none"/>
          <w:lang w:val="en-US" w:eastAsia="en-US" w:bidi="ar-SA"/>
        </w:rPr>
        <w:t>13.1磋商报价应按磋商文件中相关附表格式填写。</w:t>
      </w:r>
      <w:r>
        <w:rPr>
          <w:rFonts w:hint="eastAsia" w:ascii="宋体" w:hAnsi="宋体" w:eastAsia="宋体" w:cs="宋体"/>
          <w:b/>
          <w:bCs/>
          <w:snapToGrid w:val="0"/>
          <w:color w:val="auto"/>
          <w:spacing w:val="11"/>
          <w:kern w:val="0"/>
          <w:sz w:val="21"/>
          <w:szCs w:val="21"/>
          <w:highlight w:val="none"/>
          <w:lang w:val="en-US" w:eastAsia="zh-CN" w:bidi="ar-SA"/>
        </w:rPr>
        <w:t>本工程</w:t>
      </w:r>
      <w:r>
        <w:rPr>
          <w:rFonts w:hint="eastAsia" w:cs="宋体"/>
          <w:b/>
          <w:bCs/>
          <w:snapToGrid w:val="0"/>
          <w:color w:val="auto"/>
          <w:spacing w:val="11"/>
          <w:kern w:val="0"/>
          <w:sz w:val="21"/>
          <w:szCs w:val="21"/>
          <w:highlight w:val="none"/>
          <w:lang w:val="en-US" w:eastAsia="zh-CN" w:bidi="ar-SA"/>
        </w:rPr>
        <w:t>预算总金额为：2837795.43元，经采购人同意</w:t>
      </w:r>
      <w:r>
        <w:rPr>
          <w:rFonts w:hint="eastAsia" w:ascii="宋体" w:hAnsi="宋体" w:eastAsia="宋体" w:cs="宋体"/>
          <w:b/>
          <w:bCs/>
          <w:snapToGrid w:val="0"/>
          <w:color w:val="auto"/>
          <w:spacing w:val="11"/>
          <w:kern w:val="0"/>
          <w:sz w:val="21"/>
          <w:szCs w:val="21"/>
          <w:highlight w:val="none"/>
          <w:lang w:val="en-US" w:eastAsia="zh-CN" w:bidi="ar-SA"/>
        </w:rPr>
        <w:t>招标上限控制价为人民币：</w:t>
      </w:r>
      <w:r>
        <w:rPr>
          <w:rFonts w:hint="eastAsia" w:cs="宋体"/>
          <w:b/>
          <w:bCs/>
          <w:snapToGrid w:val="0"/>
          <w:color w:val="auto"/>
          <w:spacing w:val="11"/>
          <w:kern w:val="0"/>
          <w:sz w:val="21"/>
          <w:szCs w:val="21"/>
          <w:highlight w:val="none"/>
          <w:lang w:val="en-US" w:eastAsia="zh-CN" w:bidi="ar-SA"/>
        </w:rPr>
        <w:t>2695905.65元</w:t>
      </w:r>
      <w:r>
        <w:rPr>
          <w:rFonts w:hint="eastAsia" w:ascii="宋体" w:hAnsi="宋体" w:eastAsia="宋体" w:cs="宋体"/>
          <w:b/>
          <w:bCs/>
          <w:snapToGrid w:val="0"/>
          <w:color w:val="auto"/>
          <w:spacing w:val="11"/>
          <w:kern w:val="0"/>
          <w:sz w:val="21"/>
          <w:szCs w:val="21"/>
          <w:highlight w:val="none"/>
          <w:lang w:val="en-US" w:eastAsia="zh-CN" w:bidi="ar-SA"/>
        </w:rPr>
        <w:t>，供应商磋商总报价不得高于本标段招标上限控制价。</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11"/>
          <w:sz w:val="21"/>
          <w:szCs w:val="21"/>
          <w:highlight w:val="none"/>
        </w:rPr>
        <w:t>13.2 供应商应在规定时间内在</w:t>
      </w:r>
      <w:r>
        <w:rPr>
          <w:rFonts w:hint="eastAsia" w:asciiTheme="minorEastAsia" w:hAnsiTheme="minorEastAsia" w:eastAsiaTheme="minorEastAsia" w:cstheme="minorEastAsia"/>
          <w:color w:val="auto"/>
          <w:spacing w:val="11"/>
          <w:sz w:val="21"/>
          <w:szCs w:val="21"/>
          <w:highlight w:val="none"/>
          <w:lang w:eastAsia="zh-CN"/>
        </w:rPr>
        <w:t>广西政府采购云平台</w:t>
      </w:r>
      <w:r>
        <w:rPr>
          <w:rFonts w:hint="eastAsia" w:asciiTheme="minorEastAsia" w:hAnsiTheme="minorEastAsia" w:eastAsiaTheme="minorEastAsia" w:cstheme="minorEastAsia"/>
          <w:color w:val="auto"/>
          <w:spacing w:val="11"/>
          <w:sz w:val="21"/>
          <w:szCs w:val="21"/>
          <w:highlight w:val="none"/>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w:t>
      </w:r>
      <w:r>
        <w:rPr>
          <w:rFonts w:hint="eastAsia" w:asciiTheme="minorEastAsia" w:hAnsiTheme="minorEastAsia" w:eastAsiaTheme="minorEastAsia" w:cstheme="minorEastAsia"/>
          <w:color w:val="auto"/>
          <w:spacing w:val="-29"/>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供应商按照采购人提供的工程量清单填写本合同各工程子目的单价、合价和总额价。磋商小组将</w:t>
      </w:r>
      <w:r>
        <w:rPr>
          <w:rFonts w:hint="eastAsia" w:asciiTheme="minorEastAsia" w:hAnsiTheme="minorEastAsia" w:eastAsiaTheme="minorEastAsia" w:cstheme="minorEastAsia"/>
          <w:color w:val="auto"/>
          <w:spacing w:val="9"/>
          <w:sz w:val="21"/>
          <w:szCs w:val="21"/>
          <w:highlight w:val="none"/>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13.4.1磋商报价有算术错误的，磋商小组按以下原则对磋商报价进行修正，修正的价格经供应商书面</w:t>
      </w:r>
      <w:r>
        <w:rPr>
          <w:rFonts w:hint="eastAsia" w:asciiTheme="minorEastAsia" w:hAnsiTheme="minorEastAsia" w:eastAsiaTheme="minorEastAsia" w:cstheme="minorEastAsia"/>
          <w:color w:val="auto"/>
          <w:spacing w:val="9"/>
          <w:sz w:val="21"/>
          <w:szCs w:val="21"/>
          <w:highlight w:val="none"/>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（1）响应文件中的大写金额与小写金额不一致的，以大写金额为准；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（2）总价金额与依据单价计算出的结果不一致的，以单价金额为准修正总价，但单价金额小数点有</w:t>
      </w:r>
      <w:r>
        <w:rPr>
          <w:rFonts w:hint="eastAsia" w:asciiTheme="minorEastAsia" w:hAnsiTheme="minorEastAsia" w:eastAsiaTheme="minorEastAsia" w:cstheme="minorEastAsia"/>
          <w:color w:val="auto"/>
          <w:spacing w:val="5"/>
          <w:sz w:val="21"/>
          <w:szCs w:val="21"/>
          <w:highlight w:val="none"/>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（3）当单价与数量相乘不等于合价时，以单价计算为准，如果单价有明显的小数点位置差错，应以</w:t>
      </w:r>
      <w:r>
        <w:rPr>
          <w:rFonts w:hint="eastAsia" w:asciiTheme="minorEastAsia" w:hAnsiTheme="minorEastAsia" w:eastAsiaTheme="minorEastAsia" w:cstheme="minorEastAsia"/>
          <w:color w:val="auto"/>
          <w:spacing w:val="8"/>
          <w:sz w:val="21"/>
          <w:szCs w:val="21"/>
          <w:highlight w:val="none"/>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13.4.2工程量清单中的磋商报价有其他错误的，磋商小组按以下原则对磋商报价进行修正，修</w:t>
      </w:r>
      <w:r>
        <w:rPr>
          <w:rFonts w:hint="eastAsia" w:asciiTheme="minorEastAsia" w:hAnsiTheme="minorEastAsia" w:eastAsiaTheme="minorEastAsia" w:cstheme="minorEastAsia"/>
          <w:color w:val="auto"/>
          <w:spacing w:val="6"/>
          <w:sz w:val="21"/>
          <w:szCs w:val="21"/>
          <w:highlight w:val="none"/>
        </w:rPr>
        <w:t>正的价</w:t>
      </w:r>
      <w:r>
        <w:rPr>
          <w:rFonts w:hint="eastAsia" w:asciiTheme="minorEastAsia" w:hAnsiTheme="minorEastAsia" w:eastAsiaTheme="minorEastAsia" w:cstheme="minorEastAsia"/>
          <w:color w:val="auto"/>
          <w:spacing w:val="9"/>
          <w:sz w:val="21"/>
          <w:szCs w:val="21"/>
          <w:highlight w:val="none"/>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（1）在采购人给定的工程量清单中漏报了某个工程子目的单价、合价或总额价，或所报单价、合价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（2）在采购人给定的工程量清单中多报了某个工程子目的单价、合价或总额价，或所报单价、合价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rPr>
        <w:t>或总额价增加了报价范围，则从磋商报价中扣除多报的工程子目报价或工程子目报价中增加了报价范围的</w:t>
      </w:r>
      <w:r>
        <w:rPr>
          <w:rFonts w:hint="eastAsia" w:asciiTheme="minorEastAsia" w:hAnsiTheme="minorEastAsia" w:eastAsiaTheme="minorEastAsia" w:cstheme="minorEastAsia"/>
          <w:color w:val="auto"/>
          <w:spacing w:val="5"/>
          <w:sz w:val="21"/>
          <w:szCs w:val="21"/>
          <w:highlight w:val="none"/>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（3）当单价与数量的乘积与合价（金额）虽然一致，但供应商修改了该子目的工程数量，则其合价</w:t>
      </w:r>
      <w:r>
        <w:rPr>
          <w:rFonts w:hint="eastAsia" w:asciiTheme="minorEastAsia" w:hAnsiTheme="minorEastAsia" w:eastAsiaTheme="minorEastAsia" w:cstheme="minorEastAsia"/>
          <w:color w:val="auto"/>
          <w:spacing w:val="9"/>
          <w:sz w:val="21"/>
          <w:szCs w:val="21"/>
          <w:highlight w:val="none"/>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13.4.3</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修正后的最终磋商报价若超过招标控制价，磋商小组应否</w:t>
      </w:r>
      <w:r>
        <w:rPr>
          <w:rFonts w:hint="eastAsia" w:asciiTheme="minorEastAsia" w:hAnsiTheme="minorEastAsia" w:eastAsiaTheme="minorEastAsia" w:cstheme="minorEastAsia"/>
          <w:color w:val="auto"/>
          <w:spacing w:val="7"/>
          <w:sz w:val="21"/>
          <w:szCs w:val="21"/>
          <w:highlight w:val="none"/>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13.5</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13.6供应商在投标截止时间前修改响应函中的磋商报价，应同时修改响应文件“已标价工程量清单”中的相应报价。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13.7</w:t>
      </w:r>
      <w:r>
        <w:rPr>
          <w:rFonts w:hint="eastAsia" w:asciiTheme="minorEastAsia" w:hAnsiTheme="minorEastAsia" w:eastAsiaTheme="minorEastAsia" w:cstheme="minorEastAsia"/>
          <w:color w:val="auto"/>
          <w:spacing w:val="-3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供应商如果发现工程量清单中的数量与图纸中数量不一致时，应立即通知采购人核查，除非采购</w:t>
      </w:r>
      <w:r>
        <w:rPr>
          <w:rFonts w:hint="eastAsia" w:asciiTheme="minorEastAsia" w:hAnsiTheme="minorEastAsia" w:eastAsiaTheme="minorEastAsia" w:cstheme="minorEastAsia"/>
          <w:color w:val="auto"/>
          <w:spacing w:val="9"/>
          <w:sz w:val="21"/>
          <w:szCs w:val="21"/>
          <w:highlight w:val="none"/>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13.8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6"/>
          <w:sz w:val="21"/>
          <w:szCs w:val="21"/>
          <w:highlight w:val="none"/>
        </w:rPr>
        <w:t>13.9在合同实施期间，供应商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14.1响应文件有效期：自响应文件递交截止时间之日起90天，有效期不足的响应文件将被拒绝。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14.2出现特殊情况下，需要延长响应文件有效期的，采购代理机构以书面形式通知供应商延长响应文件有效期。供应商同意延长的，但不能修改响应文件。供应商拒绝延长的，其响应无效。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16.2供应商法定代表人（负责人）或授权委托人持有</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个人CA签章的，应在响应文件中涉及到签字的位置使用个人CA签章，没有办理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个人CA签章的可在响应文件中涉及到签字的位置手写签字后扫描或者拍照做成 PDF的格式上传即可。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16.4.1本项目实行在线磋商，采用电子响应文件。若供应商参与磋商，自行承担磋商一切费用。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16.4.2各供应商在截标前应确保成为</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正式注册入库供应商，并完成CA数字证书申领。如因未注册入库、未办理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16.4.3供应商将</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电子交易客户端下载、安装完成后，可通过账号密码或CA登录客户端进行响应文件制作。客户端请至网站下载专区查看，如有问题可拨打</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客户服务热线95763进行咨询。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outlineLvl w:val="2"/>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17.1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17.2在响应文件递交截止时间后的响应文件有效期内，供应商不得撤回其响应文件。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18.1响应文件递交截止时间：供应商应于</w:t>
      </w:r>
      <w:r>
        <w:rPr>
          <w:rFonts w:hint="eastAsia" w:asciiTheme="minorEastAsia" w:hAnsiTheme="minorEastAsia" w:eastAsiaTheme="minorEastAsia" w:cstheme="minorEastAsia"/>
          <w:color w:val="auto"/>
          <w:spacing w:val="7"/>
          <w:sz w:val="21"/>
          <w:szCs w:val="21"/>
          <w:highlight w:val="none"/>
        </w:rPr>
        <w:t>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7</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21</w:t>
      </w:r>
      <w:r>
        <w:rPr>
          <w:rFonts w:hint="eastAsia" w:asciiTheme="minorEastAsia" w:hAnsiTheme="minorEastAsia" w:eastAsiaTheme="minorEastAsia" w:cstheme="minorEastAsia"/>
          <w:color w:val="auto"/>
          <w:spacing w:val="7"/>
          <w:sz w:val="21"/>
          <w:szCs w:val="21"/>
          <w:highlight w:val="none"/>
        </w:rPr>
        <w:t>日上</w:t>
      </w:r>
      <w:r>
        <w:rPr>
          <w:rFonts w:hint="eastAsia" w:asciiTheme="minorEastAsia" w:hAnsiTheme="minorEastAsia" w:eastAsiaTheme="minorEastAsia" w:cstheme="minorEastAsia"/>
          <w:color w:val="auto"/>
          <w:spacing w:val="7"/>
          <w:sz w:val="21"/>
          <w:szCs w:val="21"/>
          <w:highlight w:val="none"/>
        </w:rPr>
        <w:t>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时30分之前将电子响应文件上传到</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。电子响应文件应按照本项目磋商文件和</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sz w:val="21"/>
          <w:szCs w:val="21"/>
          <w:highlight w:val="none"/>
          <w:lang w:eastAsia="zh-CN"/>
        </w:rPr>
        <w:t>广西政府采购云</w:t>
      </w:r>
      <w:r>
        <w:rPr>
          <w:rFonts w:hint="eastAsia" w:asciiTheme="minorEastAsia" w:hAnsiTheme="minorEastAsia" w:eastAsiaTheme="minorEastAsia" w:cstheme="minorEastAsia"/>
          <w:color w:val="auto"/>
          <w:spacing w:val="7"/>
          <w:sz w:val="21"/>
          <w:szCs w:val="21"/>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18.2 响应文件解密时间：截标时间后30分钟内（</w:t>
      </w:r>
      <w:r>
        <w:rPr>
          <w:rFonts w:hint="eastAsia" w:asciiTheme="minorEastAsia" w:hAnsiTheme="minorEastAsia" w:eastAsiaTheme="minorEastAsia" w:cstheme="minorEastAsia"/>
          <w:color w:val="auto"/>
          <w:spacing w:val="7"/>
          <w:sz w:val="21"/>
          <w:szCs w:val="21"/>
          <w:highlight w:val="none"/>
        </w:rPr>
        <w:t>202</w:t>
      </w:r>
      <w:r>
        <w:rPr>
          <w:rFonts w:hint="eastAsia" w:asciiTheme="minorEastAsia" w:hAnsiTheme="minorEastAsia" w:eastAsiaTheme="minorEastAsia" w:cstheme="minorEastAsia"/>
          <w:color w:val="auto"/>
          <w:spacing w:val="7"/>
          <w:sz w:val="21"/>
          <w:szCs w:val="21"/>
          <w:highlight w:val="none"/>
          <w:lang w:val="en-US" w:eastAsia="zh-CN"/>
        </w:rPr>
        <w:t>5</w:t>
      </w:r>
      <w:r>
        <w:rPr>
          <w:rFonts w:hint="eastAsia" w:asciiTheme="minorEastAsia" w:hAnsiTheme="minorEastAsia" w:eastAsiaTheme="minorEastAsia" w:cstheme="minorEastAsia"/>
          <w:color w:val="auto"/>
          <w:spacing w:val="7"/>
          <w:sz w:val="21"/>
          <w:szCs w:val="21"/>
          <w:highlight w:val="none"/>
        </w:rPr>
        <w:t>年</w:t>
      </w:r>
      <w:r>
        <w:rPr>
          <w:rFonts w:hint="eastAsia" w:asciiTheme="minorEastAsia" w:hAnsiTheme="minorEastAsia" w:eastAsiaTheme="minorEastAsia" w:cstheme="minorEastAsia"/>
          <w:color w:val="auto"/>
          <w:spacing w:val="7"/>
          <w:sz w:val="21"/>
          <w:szCs w:val="21"/>
          <w:highlight w:val="none"/>
          <w:lang w:val="en-US" w:eastAsia="zh-CN"/>
        </w:rPr>
        <w:t>7</w:t>
      </w:r>
      <w:r>
        <w:rPr>
          <w:rFonts w:hint="eastAsia" w:asciiTheme="minorEastAsia" w:hAnsiTheme="minorEastAsia" w:eastAsiaTheme="minorEastAsia" w:cstheme="minorEastAsia"/>
          <w:color w:val="auto"/>
          <w:spacing w:val="7"/>
          <w:sz w:val="21"/>
          <w:szCs w:val="21"/>
          <w:highlight w:val="none"/>
        </w:rPr>
        <w:t>月</w:t>
      </w:r>
      <w:r>
        <w:rPr>
          <w:rFonts w:hint="eastAsia" w:asciiTheme="minorEastAsia" w:hAnsiTheme="minorEastAsia" w:eastAsiaTheme="minorEastAsia" w:cstheme="minorEastAsia"/>
          <w:color w:val="auto"/>
          <w:spacing w:val="7"/>
          <w:sz w:val="21"/>
          <w:szCs w:val="21"/>
          <w:highlight w:val="none"/>
          <w:lang w:val="en-US" w:eastAsia="zh-CN"/>
        </w:rPr>
        <w:t>21</w:t>
      </w:r>
      <w:r>
        <w:rPr>
          <w:rFonts w:hint="eastAsia" w:asciiTheme="minorEastAsia" w:hAnsiTheme="minorEastAsia" w:eastAsiaTheme="minorEastAsia" w:cstheme="minorEastAsia"/>
          <w:color w:val="auto"/>
          <w:spacing w:val="7"/>
          <w:sz w:val="21"/>
          <w:szCs w:val="21"/>
          <w:highlight w:val="none"/>
        </w:rPr>
        <w:t>日</w:t>
      </w:r>
      <w:r>
        <w:rPr>
          <w:rFonts w:hint="eastAsia" w:asciiTheme="minorEastAsia" w:hAnsiTheme="minorEastAsia" w:eastAsiaTheme="minorEastAsia" w:cstheme="minorEastAsia"/>
          <w:color w:val="auto"/>
          <w:spacing w:val="7"/>
          <w:sz w:val="21"/>
          <w:szCs w:val="21"/>
          <w:highlight w:val="none"/>
        </w:rPr>
        <w:t>上午</w:t>
      </w:r>
      <w:r>
        <w:rPr>
          <w:rFonts w:hint="eastAsia" w:asciiTheme="minorEastAsia" w:hAnsiTheme="minorEastAsia" w:eastAsiaTheme="minorEastAsia" w:cstheme="minorEastAsia"/>
          <w:color w:val="auto"/>
          <w:spacing w:val="7"/>
          <w:sz w:val="21"/>
          <w:szCs w:val="21"/>
          <w:highlight w:val="none"/>
          <w:lang w:val="en-US" w:eastAsia="zh-CN"/>
        </w:rPr>
        <w:t>09</w:t>
      </w:r>
      <w:r>
        <w:rPr>
          <w:rFonts w:hint="eastAsia" w:asciiTheme="minorEastAsia" w:hAnsiTheme="minorEastAsia" w:eastAsiaTheme="minorEastAsia" w:cstheme="minorEastAsia"/>
          <w:color w:val="auto"/>
          <w:spacing w:val="7"/>
          <w:sz w:val="21"/>
          <w:szCs w:val="21"/>
          <w:highlight w:val="none"/>
        </w:rPr>
        <w:t>时30分至</w:t>
      </w: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rPr>
        <w:t>时00分)供应商可以登录</w:t>
      </w:r>
      <w:r>
        <w:rPr>
          <w:rFonts w:hint="eastAsia" w:asciiTheme="minorEastAsia" w:hAnsiTheme="minorEastAsia" w:eastAsiaTheme="minorEastAsia" w:cstheme="minorEastAsia"/>
          <w:color w:val="auto"/>
          <w:spacing w:val="7"/>
          <w:sz w:val="21"/>
          <w:szCs w:val="21"/>
          <w:highlight w:val="none"/>
          <w:lang w:eastAsia="zh-CN"/>
        </w:rPr>
        <w:t>广西政府采购云平台</w:t>
      </w:r>
      <w:r>
        <w:rPr>
          <w:rFonts w:hint="eastAsia" w:asciiTheme="minorEastAsia" w:hAnsiTheme="minorEastAsia" w:eastAsiaTheme="minorEastAsia" w:cstheme="minorEastAsia"/>
          <w:color w:val="auto"/>
          <w:spacing w:val="7"/>
          <w:sz w:val="21"/>
          <w:szCs w:val="21"/>
          <w:highlight w:val="none"/>
        </w:rPr>
        <w:t>，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Theme="minorEastAsia" w:hAnsiTheme="minorEastAsia" w:eastAsiaTheme="minorEastAsia" w:cstheme="minorEastAsia"/>
          <w:color w:val="auto"/>
          <w:spacing w:val="7"/>
          <w:sz w:val="21"/>
          <w:szCs w:val="21"/>
          <w:highlight w:val="none"/>
          <w:u w:val="single"/>
          <w:lang w:val="en-US" w:eastAsia="zh-CN"/>
        </w:rPr>
        <w:t>8</w:t>
      </w:r>
      <w:r>
        <w:rPr>
          <w:rFonts w:hint="eastAsia" w:asciiTheme="minorEastAsia" w:hAnsiTheme="minorEastAsia" w:eastAsiaTheme="minorEastAsia" w:cstheme="minorEastAsia"/>
          <w:color w:val="auto"/>
          <w:spacing w:val="7"/>
          <w:sz w:val="21"/>
          <w:szCs w:val="21"/>
          <w:highlight w:val="none"/>
          <w:u w:val="single"/>
          <w:lang w:val="en-US" w:eastAsia="zh-CN"/>
        </w:rPr>
        <w:t>号开</w:t>
      </w:r>
      <w:r>
        <w:rPr>
          <w:rFonts w:hint="eastAsia" w:asciiTheme="minorEastAsia" w:hAnsiTheme="minorEastAsia" w:eastAsiaTheme="minorEastAsia" w:cstheme="minorEastAsia"/>
          <w:color w:val="auto"/>
          <w:spacing w:val="7"/>
          <w:sz w:val="21"/>
          <w:szCs w:val="21"/>
          <w:highlight w:val="none"/>
          <w:u w:val="single"/>
          <w:lang w:val="en-US" w:eastAsia="zh-CN"/>
        </w:rPr>
        <w:t>标仓</w:t>
      </w:r>
      <w:r>
        <w:rPr>
          <w:rFonts w:hint="eastAsia" w:asciiTheme="minorEastAsia" w:hAnsiTheme="minorEastAsia" w:eastAsiaTheme="minorEastAsia" w:cstheme="minorEastAsia"/>
          <w:color w:val="auto"/>
          <w:spacing w:val="7"/>
          <w:sz w:val="21"/>
          <w:szCs w:val="21"/>
          <w:highlight w:val="none"/>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9"/>
          <w:sz w:val="21"/>
          <w:szCs w:val="21"/>
          <w:highlight w:val="none"/>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19.磋商小组组成及磋商时间、地点、人员</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lang w:val="en-US" w:eastAsia="zh-CN"/>
        </w:rPr>
      </w:pPr>
      <w:r>
        <w:rPr>
          <w:rFonts w:hint="eastAsia" w:asciiTheme="minorEastAsia" w:hAnsiTheme="minorEastAsia" w:eastAsiaTheme="minorEastAsia" w:cstheme="minorEastAsia"/>
          <w:color w:val="auto"/>
          <w:spacing w:val="8"/>
          <w:sz w:val="21"/>
          <w:szCs w:val="21"/>
          <w:highlight w:val="none"/>
        </w:rPr>
        <w:t>19.1 磋商小组组成：磋商及评审工作由采购代理机构负责组织，具体磋商、评审工作由依法组建的 磋商小组负责，本项目的磋商小组由采购人代表和有关技术、经济等方面的专家组成。磋商小组的构成：</w:t>
      </w:r>
      <w:r>
        <w:rPr>
          <w:rFonts w:hint="eastAsia" w:asciiTheme="minorEastAsia" w:hAnsiTheme="minorEastAsia" w:eastAsiaTheme="minorEastAsia" w:cstheme="minorEastAsia"/>
          <w:color w:val="auto"/>
          <w:spacing w:val="8"/>
          <w:sz w:val="21"/>
          <w:szCs w:val="21"/>
          <w:highlight w:val="none"/>
          <w:lang w:val="en-US" w:eastAsia="zh-CN"/>
        </w:rPr>
        <w:t>3人，其中采购人代表1人（委托专家作为采购人代表），技术、经济等专家2人。</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19.2.1磋商时间：首次响应文件提交截止时间后。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19.2.2磋商地点：供应商代表在响应文件提交当天实时登录“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19.2.3磋商参加人员：供应商法定代表人(负责人、自然人)或相应的委托代理人参加磋商。请供应商实时登录“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19.2.4首次响应文件提交截止时间后，登录“</w:t>
      </w:r>
      <w:r>
        <w:rPr>
          <w:rFonts w:hint="eastAsia" w:asciiTheme="minorEastAsia" w:hAnsiTheme="minorEastAsia" w:eastAsiaTheme="minorEastAsia" w:cstheme="minorEastAsia"/>
          <w:color w:val="auto"/>
          <w:spacing w:val="8"/>
          <w:sz w:val="21"/>
          <w:szCs w:val="21"/>
          <w:highlight w:val="none"/>
          <w:lang w:eastAsia="zh-CN"/>
        </w:rPr>
        <w:t>广西政府采购云平台</w:t>
      </w:r>
      <w:r>
        <w:rPr>
          <w:rFonts w:hint="eastAsia" w:asciiTheme="minorEastAsia" w:hAnsiTheme="minorEastAsia" w:eastAsiaTheme="minorEastAsia" w:cstheme="minorEastAsia"/>
          <w:color w:val="auto"/>
          <w:spacing w:val="8"/>
          <w:sz w:val="21"/>
          <w:szCs w:val="21"/>
          <w:highlight w:val="none"/>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21.4磋商小组如发现供应商提供的证明文件不齐全或不符合规定格式的，应一次性告知供应商，供应商应在规定的时间内线上补正或更正。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21.5.1查询渠道：《国家企业信用信息公示系统》（网址：</w:t>
      </w:r>
      <w:r>
        <w:rPr>
          <w:rFonts w:hint="eastAsia" w:asciiTheme="minorEastAsia" w:hAnsiTheme="minorEastAsia" w:eastAsiaTheme="minorEastAsia" w:cstheme="minorEastAsia"/>
          <w:color w:val="auto"/>
          <w:spacing w:val="8"/>
          <w:sz w:val="21"/>
          <w:szCs w:val="21"/>
          <w:highlight w:val="none"/>
        </w:rPr>
        <w:fldChar w:fldCharType="begin"/>
      </w:r>
      <w:r>
        <w:rPr>
          <w:rFonts w:hint="eastAsia" w:asciiTheme="minorEastAsia" w:hAnsiTheme="minorEastAsia" w:eastAsiaTheme="minorEastAsia" w:cstheme="minorEastAsia"/>
          <w:color w:val="auto"/>
          <w:spacing w:val="8"/>
          <w:sz w:val="21"/>
          <w:szCs w:val="21"/>
          <w:highlight w:val="none"/>
        </w:rPr>
        <w:instrText xml:space="preserve"> HYPERLINK "http://www.gsxt.gov.cn/index.html" </w:instrText>
      </w:r>
      <w:r>
        <w:rPr>
          <w:rFonts w:hint="eastAsia" w:asciiTheme="minorEastAsia" w:hAnsiTheme="minorEastAsia" w:eastAsiaTheme="minorEastAsia" w:cstheme="minorEastAsia"/>
          <w:color w:val="auto"/>
          <w:spacing w:val="8"/>
          <w:sz w:val="21"/>
          <w:szCs w:val="21"/>
          <w:highlight w:val="none"/>
        </w:rPr>
        <w:fldChar w:fldCharType="separate"/>
      </w:r>
      <w:r>
        <w:rPr>
          <w:rFonts w:hint="eastAsia" w:asciiTheme="minorEastAsia" w:hAnsiTheme="minorEastAsia" w:eastAsiaTheme="minorEastAsia" w:cstheme="minorEastAsia"/>
          <w:color w:val="auto"/>
          <w:spacing w:val="8"/>
          <w:sz w:val="21"/>
          <w:szCs w:val="21"/>
          <w:highlight w:val="none"/>
        </w:rPr>
        <w:t>http://www.gsxt.gov.cn/index.html</w:t>
      </w:r>
      <w:r>
        <w:rPr>
          <w:rFonts w:hint="eastAsia" w:asciiTheme="minorEastAsia" w:hAnsiTheme="minorEastAsia" w:eastAsiaTheme="minorEastAsia" w:cstheme="minorEastAsia"/>
          <w:color w:val="auto"/>
          <w:spacing w:val="8"/>
          <w:sz w:val="21"/>
          <w:szCs w:val="21"/>
          <w:highlight w:val="none"/>
        </w:rPr>
        <w:fldChar w:fldCharType="end"/>
      </w:r>
      <w:r>
        <w:rPr>
          <w:rFonts w:hint="eastAsia" w:asciiTheme="minorEastAsia" w:hAnsiTheme="minorEastAsia" w:eastAsiaTheme="minorEastAsia" w:cstheme="minorEastAsia"/>
          <w:color w:val="auto"/>
          <w:spacing w:val="8"/>
          <w:sz w:val="21"/>
          <w:szCs w:val="21"/>
          <w:highlight w:val="none"/>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（2）查看主页“股东及出资信息”栏，或年报中的“股东及出资信息”栏信息；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21.6</w:t>
      </w:r>
      <w:r>
        <w:rPr>
          <w:rFonts w:hint="eastAsia" w:asciiTheme="minorEastAsia" w:hAnsiTheme="minorEastAsia" w:eastAsiaTheme="minorEastAsia" w:cstheme="minorEastAsia"/>
          <w:color w:val="auto"/>
          <w:spacing w:val="-42"/>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磋商小组在对响应文件的有效性、完整性和响应程</w:t>
      </w:r>
      <w:r>
        <w:rPr>
          <w:rFonts w:hint="eastAsia" w:asciiTheme="minorEastAsia" w:hAnsiTheme="minorEastAsia" w:eastAsiaTheme="minorEastAsia" w:cstheme="minorEastAsia"/>
          <w:color w:val="auto"/>
          <w:spacing w:val="7"/>
          <w:sz w:val="21"/>
          <w:szCs w:val="21"/>
          <w:highlight w:val="none"/>
        </w:rPr>
        <w:t>度进行审查时，可以要求供应商对响应文件中</w:t>
      </w:r>
      <w:r>
        <w:rPr>
          <w:rFonts w:hint="eastAsia" w:asciiTheme="minorEastAsia" w:hAnsiTheme="minorEastAsia" w:eastAsiaTheme="minorEastAsia" w:cstheme="minorEastAsia"/>
          <w:color w:val="auto"/>
          <w:spacing w:val="9"/>
          <w:sz w:val="21"/>
          <w:szCs w:val="21"/>
          <w:highlight w:val="none"/>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Theme="minorEastAsia" w:hAnsiTheme="minorEastAsia" w:eastAsiaTheme="minorEastAsia" w:cstheme="minorEastAsia"/>
          <w:color w:val="auto"/>
          <w:sz w:val="21"/>
          <w:szCs w:val="21"/>
          <w:highlight w:val="none"/>
        </w:rPr>
        <w:t>CA</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9"/>
          <w:sz w:val="21"/>
          <w:szCs w:val="21"/>
          <w:highlight w:val="none"/>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磋商中，磋商小组不得透露与磋商有关的其他供应商的技术资料、价格和其他信息。磋商小组对磋商过程和重要磋商内容进行记录，磋商双方在记录上签字确认</w:t>
      </w:r>
      <w:r>
        <w:rPr>
          <w:rFonts w:hint="eastAsia" w:asciiTheme="minorEastAsia" w:hAnsiTheme="minorEastAsia" w:eastAsiaTheme="minorEastAsia" w:cstheme="minorEastAsia"/>
          <w:color w:val="auto"/>
          <w:spacing w:val="9"/>
          <w:sz w:val="21"/>
          <w:szCs w:val="21"/>
          <w:highlight w:val="none"/>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21.7 在磋商过程</w:t>
      </w:r>
      <w:r>
        <w:rPr>
          <w:rFonts w:hint="eastAsia" w:asciiTheme="minorEastAsia" w:hAnsiTheme="minorEastAsia" w:eastAsiaTheme="minorEastAsia" w:cstheme="minorEastAsia"/>
          <w:color w:val="auto"/>
          <w:spacing w:val="8"/>
          <w:sz w:val="21"/>
          <w:szCs w:val="21"/>
          <w:highlight w:val="none"/>
        </w:rPr>
        <w:t>中，磋商小组可以根据磋商文件</w:t>
      </w:r>
      <w:r>
        <w:rPr>
          <w:rFonts w:hint="eastAsia" w:asciiTheme="minorEastAsia" w:hAnsiTheme="minorEastAsia" w:eastAsiaTheme="minorEastAsia" w:cstheme="minorEastAsia"/>
          <w:color w:val="auto"/>
          <w:spacing w:val="7"/>
          <w:sz w:val="21"/>
          <w:szCs w:val="21"/>
          <w:highlight w:val="none"/>
        </w:rPr>
        <w:t>和磋商情况实质性变动服务采购需求中的技术、服务</w:t>
      </w:r>
      <w:r>
        <w:rPr>
          <w:rFonts w:hint="eastAsia" w:asciiTheme="minorEastAsia" w:hAnsiTheme="minorEastAsia" w:eastAsiaTheme="minorEastAsia" w:cstheme="minorEastAsia"/>
          <w:color w:val="auto"/>
          <w:spacing w:val="9"/>
          <w:sz w:val="21"/>
          <w:szCs w:val="21"/>
          <w:highlight w:val="none"/>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对磋商文件作出的实质性变动是磋商文件的有效组成部分，磋商小组应当及时通过</w:t>
      </w:r>
      <w:r>
        <w:rPr>
          <w:rFonts w:hint="eastAsia" w:asciiTheme="minorEastAsia" w:hAnsiTheme="minorEastAsia" w:eastAsiaTheme="minorEastAsia" w:cstheme="minorEastAsia"/>
          <w:color w:val="auto"/>
          <w:spacing w:val="9"/>
          <w:sz w:val="21"/>
          <w:szCs w:val="21"/>
          <w:highlight w:val="none"/>
          <w:lang w:eastAsia="zh-CN"/>
        </w:rPr>
        <w:t>广西政府采购云平台</w:t>
      </w:r>
      <w:r>
        <w:rPr>
          <w:rFonts w:hint="eastAsia" w:asciiTheme="minorEastAsia" w:hAnsiTheme="minorEastAsia" w:eastAsiaTheme="minorEastAsia" w:cstheme="minorEastAsia"/>
          <w:color w:val="auto"/>
          <w:spacing w:val="9"/>
          <w:sz w:val="21"/>
          <w:szCs w:val="21"/>
          <w:highlight w:val="none"/>
        </w:rPr>
        <w:t>同时通</w:t>
      </w:r>
      <w:r>
        <w:rPr>
          <w:rFonts w:hint="eastAsia" w:asciiTheme="minorEastAsia" w:hAnsiTheme="minorEastAsia" w:eastAsiaTheme="minorEastAsia" w:cstheme="minorEastAsia"/>
          <w:color w:val="auto"/>
          <w:spacing w:val="8"/>
          <w:sz w:val="21"/>
          <w:szCs w:val="21"/>
          <w:highlight w:val="none"/>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21.8</w:t>
      </w:r>
      <w:r>
        <w:rPr>
          <w:rFonts w:hint="eastAsia" w:asciiTheme="minorEastAsia" w:hAnsiTheme="minorEastAsia" w:eastAsiaTheme="minorEastAsia" w:cstheme="minorEastAsia"/>
          <w:color w:val="auto"/>
          <w:spacing w:val="-34"/>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color w:val="auto"/>
          <w:spacing w:val="7"/>
          <w:sz w:val="21"/>
          <w:szCs w:val="21"/>
          <w:highlight w:val="none"/>
        </w:rPr>
        <w:t>21.8.1</w:t>
      </w:r>
      <w:r>
        <w:rPr>
          <w:rFonts w:hint="eastAsia" w:asciiTheme="minorEastAsia" w:hAnsiTheme="minorEastAsia" w:eastAsiaTheme="minorEastAsia" w:cstheme="minorEastAsia"/>
          <w:color w:val="auto"/>
          <w:spacing w:val="-23"/>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磋商文件能够详细列明采购标的的技术、服务要求的，磋商结束后，磋商小组应当要求所有继</w:t>
      </w:r>
      <w:r>
        <w:rPr>
          <w:rFonts w:hint="eastAsia" w:asciiTheme="minorEastAsia" w:hAnsiTheme="minorEastAsia" w:eastAsiaTheme="minorEastAsia" w:cstheme="minorEastAsia"/>
          <w:color w:val="auto"/>
          <w:spacing w:val="12"/>
          <w:sz w:val="21"/>
          <w:szCs w:val="21"/>
          <w:highlight w:val="none"/>
        </w:rPr>
        <w:t>续参加磋商的供应商在规定时间内线上提交最</w:t>
      </w:r>
      <w:r>
        <w:rPr>
          <w:rFonts w:hint="eastAsia" w:asciiTheme="minorEastAsia" w:hAnsiTheme="minorEastAsia" w:eastAsiaTheme="minorEastAsia" w:cstheme="minorEastAsia"/>
          <w:color w:val="auto"/>
          <w:spacing w:val="11"/>
          <w:sz w:val="21"/>
          <w:szCs w:val="21"/>
          <w:highlight w:val="none"/>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21.8.2 根据《政府采购竞争性磋商采购方式管理暂行办法》（财库〔2014〕214号）第二十一条规定，市场竞争不充分的科研项目，以及需要扶持的科技成果转化项目，提交最后报价的供应商可以为2家。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21.8.3</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21.8.4</w:t>
      </w:r>
      <w:r>
        <w:rPr>
          <w:rFonts w:hint="eastAsia" w:asciiTheme="minorEastAsia" w:hAnsiTheme="minorEastAsia" w:eastAsiaTheme="minorEastAsia" w:cstheme="minorEastAsia"/>
          <w:color w:val="auto"/>
          <w:spacing w:val="-14"/>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21.9</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21.9.1磋商小组按竞争性磋商文件中规定的评审办法，对资格性审查和符</w:t>
      </w:r>
      <w:r>
        <w:rPr>
          <w:rFonts w:hint="eastAsia" w:asciiTheme="minorEastAsia" w:hAnsiTheme="minorEastAsia" w:eastAsiaTheme="minorEastAsia" w:cstheme="minorEastAsia"/>
          <w:color w:val="auto"/>
          <w:spacing w:val="10"/>
          <w:sz w:val="21"/>
          <w:szCs w:val="21"/>
          <w:highlight w:val="none"/>
        </w:rPr>
        <w:t>合性审查合格的响应文件</w:t>
      </w:r>
      <w:r>
        <w:rPr>
          <w:rFonts w:hint="eastAsia" w:asciiTheme="minorEastAsia" w:hAnsiTheme="minorEastAsia" w:eastAsiaTheme="minorEastAsia" w:cstheme="minorEastAsia"/>
          <w:color w:val="auto"/>
          <w:spacing w:val="9"/>
          <w:sz w:val="21"/>
          <w:szCs w:val="21"/>
          <w:highlight w:val="none"/>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21.9.2</w:t>
      </w:r>
      <w:r>
        <w:rPr>
          <w:rFonts w:hint="eastAsia" w:asciiTheme="minorEastAsia" w:hAnsiTheme="minorEastAsia" w:eastAsiaTheme="minorEastAsia" w:cstheme="minorEastAsia"/>
          <w:color w:val="auto"/>
          <w:spacing w:val="-2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采购代理机构对评审数据进行校对、核对，对畸高、畸低的重大差异评分提示磋商小组复核或</w:t>
      </w:r>
      <w:r>
        <w:rPr>
          <w:rFonts w:hint="eastAsia" w:asciiTheme="minorEastAsia" w:hAnsiTheme="minorEastAsia" w:eastAsiaTheme="minorEastAsia" w:cstheme="minorEastAsia"/>
          <w:color w:val="auto"/>
          <w:spacing w:val="6"/>
          <w:sz w:val="21"/>
          <w:szCs w:val="21"/>
          <w:highlight w:val="none"/>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21.10 在评审过程中出现法律法规和磋商文件均没有明确规定的情形时，由磋商小组现场协商解决，</w:t>
      </w:r>
      <w:r>
        <w:rPr>
          <w:rFonts w:hint="eastAsia" w:asciiTheme="minorEastAsia" w:hAnsiTheme="minorEastAsia" w:eastAsiaTheme="minorEastAsia" w:cstheme="minorEastAsia"/>
          <w:color w:val="auto"/>
          <w:spacing w:val="9"/>
          <w:sz w:val="21"/>
          <w:szCs w:val="21"/>
          <w:highlight w:val="none"/>
        </w:rPr>
        <w:t>协商不一致的，由全体磋商小组投票表决，以得票率二分之一以上专家的意见为准。</w:t>
      </w:r>
    </w:p>
    <w:p w14:paraId="4B59D9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21.11</w:t>
      </w:r>
      <w:r>
        <w:rPr>
          <w:rFonts w:hint="eastAsia" w:asciiTheme="minorEastAsia" w:hAnsiTheme="minorEastAsia" w:eastAsiaTheme="minorEastAsia" w:cstheme="minorEastAsia"/>
          <w:color w:val="auto"/>
          <w:spacing w:val="-38"/>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采购代理机构发现磋商小组有明显的违规倾向或歧视</w:t>
      </w:r>
      <w:r>
        <w:rPr>
          <w:rFonts w:hint="eastAsia" w:asciiTheme="minorEastAsia" w:hAnsiTheme="minorEastAsia" w:eastAsiaTheme="minorEastAsia" w:cstheme="minorEastAsia"/>
          <w:color w:val="auto"/>
          <w:spacing w:val="9"/>
          <w:sz w:val="21"/>
          <w:szCs w:val="21"/>
          <w:highlight w:val="none"/>
        </w:rPr>
        <w:t>现象，或不按评审办法进行，或其他不正常行为的，应当及时制止。如制止无效，应及时向</w:t>
      </w:r>
      <w:r>
        <w:rPr>
          <w:rFonts w:hint="eastAsia" w:asciiTheme="minorEastAsia" w:hAnsiTheme="minorEastAsia" w:eastAsiaTheme="minorEastAsia" w:cstheme="minorEastAsia"/>
          <w:color w:val="auto"/>
          <w:spacing w:val="9"/>
          <w:sz w:val="21"/>
          <w:szCs w:val="21"/>
          <w:highlight w:val="none"/>
          <w:lang w:val="en-US" w:eastAsia="zh-CN"/>
        </w:rPr>
        <w:t>临桂区</w:t>
      </w:r>
      <w:r>
        <w:rPr>
          <w:rFonts w:hint="eastAsia" w:asciiTheme="minorEastAsia" w:hAnsiTheme="minorEastAsia" w:eastAsiaTheme="minorEastAsia" w:cstheme="minorEastAsia"/>
          <w:color w:val="auto"/>
          <w:spacing w:val="9"/>
          <w:sz w:val="21"/>
          <w:szCs w:val="21"/>
          <w:highlight w:val="none"/>
        </w:rPr>
        <w:t>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（1）磋商小组应当根据综合评分情况，按照评审得分</w:t>
      </w:r>
      <w:r>
        <w:rPr>
          <w:rFonts w:hint="eastAsia" w:asciiTheme="minorEastAsia" w:hAnsiTheme="minorEastAsia" w:eastAsiaTheme="minorEastAsia" w:cstheme="minorEastAsia"/>
          <w:color w:val="auto"/>
          <w:spacing w:val="10"/>
          <w:sz w:val="21"/>
          <w:szCs w:val="21"/>
          <w:highlight w:val="none"/>
        </w:rPr>
        <w:t>由高到低顺序推荐</w:t>
      </w:r>
      <w:r>
        <w:rPr>
          <w:rFonts w:hint="eastAsia" w:asciiTheme="minorEastAsia" w:hAnsiTheme="minorEastAsia" w:eastAsiaTheme="minorEastAsia" w:cstheme="minorEastAsia"/>
          <w:color w:val="auto"/>
          <w:spacing w:val="-32"/>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3</w:t>
      </w:r>
      <w:r>
        <w:rPr>
          <w:rFonts w:hint="eastAsia" w:asciiTheme="minorEastAsia" w:hAnsiTheme="minorEastAsia" w:eastAsiaTheme="minorEastAsia" w:cstheme="minorEastAsia"/>
          <w:color w:val="auto"/>
          <w:spacing w:val="-36"/>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名成交候选供应商，并编</w:t>
      </w:r>
      <w:r>
        <w:rPr>
          <w:rFonts w:hint="eastAsia" w:asciiTheme="minorEastAsia" w:hAnsiTheme="minorEastAsia" w:eastAsiaTheme="minorEastAsia" w:cstheme="minorEastAsia"/>
          <w:color w:val="auto"/>
          <w:spacing w:val="8"/>
          <w:sz w:val="21"/>
          <w:szCs w:val="21"/>
          <w:highlight w:val="none"/>
        </w:rPr>
        <w:t>写评审报告。磋商小组根据评审得分由高到低排列次序，若得分相</w:t>
      </w:r>
      <w:r>
        <w:rPr>
          <w:rFonts w:hint="eastAsia" w:asciiTheme="minorEastAsia" w:hAnsiTheme="minorEastAsia" w:eastAsiaTheme="minorEastAsia" w:cstheme="minorEastAsia"/>
          <w:color w:val="auto"/>
          <w:spacing w:val="10"/>
          <w:sz w:val="21"/>
          <w:szCs w:val="21"/>
          <w:highlight w:val="none"/>
        </w:rPr>
        <w:t>同时，以评审报</w:t>
      </w:r>
      <w:r>
        <w:rPr>
          <w:rFonts w:hint="eastAsia" w:asciiTheme="minorEastAsia" w:hAnsiTheme="minorEastAsia" w:eastAsiaTheme="minorEastAsia" w:cstheme="minorEastAsia"/>
          <w:color w:val="auto"/>
          <w:spacing w:val="8"/>
          <w:sz w:val="21"/>
          <w:szCs w:val="21"/>
          <w:highlight w:val="none"/>
        </w:rPr>
        <w:t>价由低到高顺序排列；</w:t>
      </w:r>
      <w:r>
        <w:rPr>
          <w:rFonts w:hint="eastAsia" w:asciiTheme="minorEastAsia" w:hAnsiTheme="minorEastAsia" w:eastAsiaTheme="minorEastAsia" w:cstheme="minorEastAsia"/>
          <w:color w:val="auto"/>
          <w:spacing w:val="9"/>
          <w:sz w:val="21"/>
          <w:szCs w:val="21"/>
          <w:highlight w:val="none"/>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sz w:val="21"/>
          <w:szCs w:val="21"/>
          <w:highlight w:val="none"/>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sz w:val="21"/>
          <w:szCs w:val="21"/>
          <w:highlight w:val="none"/>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sz w:val="21"/>
          <w:szCs w:val="21"/>
          <w:highlight w:val="none"/>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（4）响应文件未按磋商文件的内容和要求编制，或提供虚假</w:t>
      </w:r>
      <w:r>
        <w:rPr>
          <w:rFonts w:hint="eastAsia" w:asciiTheme="minorEastAsia" w:hAnsiTheme="minorEastAsia" w:eastAsiaTheme="minorEastAsia" w:cstheme="minorEastAsia"/>
          <w:color w:val="auto"/>
          <w:spacing w:val="8"/>
          <w:sz w:val="21"/>
          <w:szCs w:val="21"/>
          <w:highlight w:val="none"/>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（5）响应文件有效期、质量要求、工期要求不能满足磋商文件要求</w:t>
      </w:r>
      <w:r>
        <w:rPr>
          <w:rFonts w:hint="eastAsia" w:asciiTheme="minorEastAsia" w:hAnsiTheme="minorEastAsia" w:eastAsiaTheme="minorEastAsia" w:cstheme="minorEastAsia"/>
          <w:color w:val="auto"/>
          <w:spacing w:val="8"/>
          <w:sz w:val="21"/>
          <w:szCs w:val="21"/>
          <w:highlight w:val="none"/>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（9）响应文件实质性要求未做变动，供应商最后报价高于第一次报价</w:t>
      </w:r>
      <w:r>
        <w:rPr>
          <w:rFonts w:hint="eastAsia" w:asciiTheme="minorEastAsia" w:hAnsiTheme="minorEastAsia" w:eastAsiaTheme="minorEastAsia" w:cstheme="minorEastAsia"/>
          <w:color w:val="auto"/>
          <w:spacing w:val="8"/>
          <w:sz w:val="21"/>
          <w:szCs w:val="21"/>
          <w:highlight w:val="none"/>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（10）不符合法律、法规和磋商文件规定的其他</w:t>
      </w:r>
      <w:r>
        <w:rPr>
          <w:rFonts w:hint="eastAsia" w:asciiTheme="minorEastAsia" w:hAnsiTheme="minorEastAsia" w:eastAsiaTheme="minorEastAsia" w:cstheme="minorEastAsia"/>
          <w:color w:val="auto"/>
          <w:spacing w:val="8"/>
          <w:sz w:val="21"/>
          <w:szCs w:val="21"/>
          <w:highlight w:val="none"/>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（3）不同的供应商的响应文件载明的项目管理员为</w:t>
      </w:r>
      <w:r>
        <w:rPr>
          <w:rFonts w:hint="eastAsia" w:asciiTheme="minorEastAsia" w:hAnsiTheme="minorEastAsia" w:eastAsiaTheme="minorEastAsia" w:cstheme="minorEastAsia"/>
          <w:color w:val="auto"/>
          <w:spacing w:val="8"/>
          <w:sz w:val="21"/>
          <w:szCs w:val="21"/>
          <w:highlight w:val="none"/>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（4）不同供应商的响应文件异常一致或磋商报价呈规律性</w:t>
      </w:r>
      <w:r>
        <w:rPr>
          <w:rFonts w:hint="eastAsia" w:asciiTheme="minorEastAsia" w:hAnsiTheme="minorEastAsia" w:eastAsiaTheme="minorEastAsia" w:cstheme="minorEastAsia"/>
          <w:color w:val="auto"/>
          <w:spacing w:val="8"/>
          <w:sz w:val="21"/>
          <w:szCs w:val="21"/>
          <w:highlight w:val="none"/>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（1）因情况变化，不再符合规定的竞争性磋商采购方式适用</w:t>
      </w:r>
      <w:r>
        <w:rPr>
          <w:rFonts w:hint="eastAsia" w:asciiTheme="minorEastAsia" w:hAnsiTheme="minorEastAsia" w:eastAsiaTheme="minorEastAsia" w:cstheme="minorEastAsia"/>
          <w:color w:val="auto"/>
          <w:spacing w:val="8"/>
          <w:sz w:val="21"/>
          <w:szCs w:val="21"/>
          <w:highlight w:val="none"/>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（3）除本须知第</w:t>
      </w:r>
      <w:r>
        <w:rPr>
          <w:rFonts w:hint="eastAsia" w:asciiTheme="minorEastAsia" w:hAnsiTheme="minorEastAsia" w:eastAsiaTheme="minorEastAsia" w:cstheme="minorEastAsia"/>
          <w:color w:val="auto"/>
          <w:spacing w:val="-37"/>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21.8.2</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条及法律法规规定的情形外，在采购过程中符合要求的供应商或者</w:t>
      </w:r>
      <w:r>
        <w:rPr>
          <w:rFonts w:hint="eastAsia" w:asciiTheme="minorEastAsia" w:hAnsiTheme="minorEastAsia" w:eastAsiaTheme="minorEastAsia" w:cstheme="minorEastAsia"/>
          <w:color w:val="auto"/>
          <w:spacing w:val="7"/>
          <w:sz w:val="21"/>
          <w:szCs w:val="21"/>
          <w:highlight w:val="none"/>
        </w:rPr>
        <w:t>报价未超</w:t>
      </w:r>
      <w:r>
        <w:rPr>
          <w:rFonts w:hint="eastAsia" w:asciiTheme="minorEastAsia" w:hAnsiTheme="minorEastAsia" w:eastAsiaTheme="minorEastAsia" w:cstheme="minorEastAsia"/>
          <w:color w:val="auto"/>
          <w:spacing w:val="6"/>
          <w:sz w:val="21"/>
          <w:szCs w:val="21"/>
          <w:highlight w:val="none"/>
        </w:rPr>
        <w:t>过采购预算的供应商不足</w:t>
      </w:r>
      <w:r>
        <w:rPr>
          <w:rFonts w:hint="eastAsia" w:asciiTheme="minorEastAsia" w:hAnsiTheme="minorEastAsia" w:eastAsiaTheme="minorEastAsia" w:cstheme="minorEastAsia"/>
          <w:color w:val="auto"/>
          <w:spacing w:val="-24"/>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11"/>
          <w:sz w:val="21"/>
          <w:szCs w:val="21"/>
          <w:highlight w:val="none"/>
        </w:rPr>
        <w:t>25.在采购活动中因重大变故，采购任务取消的，采购人或者采购代理机构应当终止采购活动，通知</w:t>
      </w:r>
      <w:r>
        <w:rPr>
          <w:rFonts w:hint="eastAsia" w:asciiTheme="minorEastAsia" w:hAnsiTheme="minorEastAsia" w:eastAsiaTheme="minorEastAsia" w:cstheme="minorEastAsia"/>
          <w:color w:val="auto"/>
          <w:spacing w:val="9"/>
          <w:sz w:val="21"/>
          <w:szCs w:val="21"/>
          <w:highlight w:val="none"/>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本项目磋商过程实行全程录音、录像监控，供应商在磋商过程中所进行的试图影响磋商结果的不公正</w:t>
      </w:r>
      <w:r>
        <w:rPr>
          <w:rFonts w:hint="eastAsia" w:asciiTheme="minorEastAsia" w:hAnsiTheme="minorEastAsia" w:eastAsiaTheme="minorEastAsia" w:cstheme="minorEastAsia"/>
          <w:color w:val="auto"/>
          <w:spacing w:val="8"/>
          <w:sz w:val="21"/>
          <w:szCs w:val="21"/>
          <w:highlight w:val="none"/>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⑴查询渠道</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⑵查询截止时间：成交通知书发出前；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⑶信用信息查询记录和证据留存方式：在查询网站中直接打印查询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9"/>
          <w:sz w:val="21"/>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color w:val="auto"/>
          <w:spacing w:val="9"/>
          <w:sz w:val="21"/>
          <w:szCs w:val="21"/>
          <w:highlight w:val="none"/>
        </w:rPr>
        <w:t>28.2在发布成交公告的同时，采购代理机构向成交供应商发出成交通知书。成交供应商应自接到通之日起七个工作日内，办理成交通知书领取手续。</w:t>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根据《桂林市财政局关于贯彻落实政府采购优化营商环境百日攻坚行动方案的通知》（市财采</w:t>
      </w:r>
      <w:r>
        <w:rPr>
          <w:rFonts w:hint="eastAsia" w:asciiTheme="minorEastAsia" w:hAnsiTheme="minorEastAsia" w:eastAsiaTheme="minorEastAsia" w:cstheme="minorEastAsia"/>
          <w:color w:val="auto"/>
          <w:spacing w:val="5"/>
          <w:sz w:val="21"/>
          <w:szCs w:val="21"/>
          <w:highlight w:val="none"/>
        </w:rPr>
        <w:t>〔2020〕</w:t>
      </w:r>
      <w:r>
        <w:rPr>
          <w:rFonts w:hint="eastAsia" w:asciiTheme="minorEastAsia" w:hAnsiTheme="minorEastAsia" w:eastAsiaTheme="minorEastAsia" w:cstheme="minorEastAsia"/>
          <w:color w:val="auto"/>
          <w:spacing w:val="8"/>
          <w:sz w:val="21"/>
          <w:szCs w:val="21"/>
          <w:highlight w:val="none"/>
        </w:rPr>
        <w:t>24号）第四条的规定，本项目免收履约保证</w:t>
      </w:r>
      <w:r>
        <w:rPr>
          <w:rFonts w:hint="eastAsia" w:asciiTheme="minorEastAsia" w:hAnsiTheme="minorEastAsia" w:eastAsiaTheme="minorEastAsia" w:cstheme="minorEastAsia"/>
          <w:color w:val="auto"/>
          <w:spacing w:val="7"/>
          <w:sz w:val="21"/>
          <w:szCs w:val="21"/>
          <w:highlight w:val="none"/>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10"/>
          <w:sz w:val="21"/>
          <w:szCs w:val="21"/>
          <w:highlight w:val="none"/>
        </w:rPr>
        <w:t>30.1</w:t>
      </w:r>
      <w:r>
        <w:rPr>
          <w:rFonts w:hint="eastAsia" w:asciiTheme="minorEastAsia" w:hAnsiTheme="minorEastAsia" w:eastAsiaTheme="minorEastAsia" w:cstheme="minorEastAsia"/>
          <w:color w:val="auto"/>
          <w:spacing w:val="6"/>
          <w:sz w:val="21"/>
          <w:szCs w:val="21"/>
          <w:highlight w:val="none"/>
        </w:rPr>
        <w:t>签订合同时间：成交通知书发出之日起8个工作日内。成交供应商领取成交通知书后，应按规定与采购人签订合同。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30.2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（1）成交后不与采购人签订合同的（不可抗力除外</w:t>
      </w:r>
      <w:r>
        <w:rPr>
          <w:rFonts w:hint="eastAsia" w:asciiTheme="minorEastAsia" w:hAnsiTheme="minorEastAsia" w:eastAsiaTheme="minorEastAsia" w:cstheme="minorEastAsia"/>
          <w:color w:val="auto"/>
          <w:sz w:val="21"/>
          <w:szCs w:val="21"/>
          <w:highlight w:val="none"/>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（2）将成交项目转让给他人，或者在响应</w:t>
      </w:r>
      <w:r>
        <w:rPr>
          <w:rFonts w:hint="eastAsia" w:asciiTheme="minorEastAsia" w:hAnsiTheme="minorEastAsia" w:eastAsiaTheme="minorEastAsia" w:cstheme="minorEastAsia"/>
          <w:color w:val="auto"/>
          <w:spacing w:val="9"/>
          <w:sz w:val="21"/>
          <w:szCs w:val="21"/>
          <w:highlight w:val="none"/>
        </w:rPr>
        <w:t>文件中未说明，且未经采购人同意，将成交项目分包给他</w:t>
      </w:r>
      <w:r>
        <w:rPr>
          <w:rFonts w:hint="eastAsia" w:asciiTheme="minorEastAsia" w:hAnsiTheme="minorEastAsia" w:eastAsiaTheme="minorEastAsia" w:cstheme="minorEastAsia"/>
          <w:color w:val="auto"/>
          <w:spacing w:val="2"/>
          <w:sz w:val="21"/>
          <w:szCs w:val="21"/>
          <w:highlight w:val="none"/>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Theme="minorEastAsia" w:hAnsiTheme="minorEastAsia" w:eastAsiaTheme="minorEastAsia" w:cstheme="minorEastAsia"/>
          <w:color w:val="auto"/>
          <w:spacing w:val="10"/>
          <w:sz w:val="21"/>
          <w:szCs w:val="21"/>
          <w:highlight w:val="none"/>
        </w:rPr>
      </w:pPr>
      <w:r>
        <w:rPr>
          <w:rFonts w:hint="eastAsia" w:asciiTheme="minorEastAsia" w:hAnsiTheme="minorEastAsia" w:eastAsiaTheme="minorEastAsia" w:cstheme="minorEastAsia"/>
          <w:color w:val="auto"/>
          <w:spacing w:val="10"/>
          <w:sz w:val="21"/>
          <w:szCs w:val="21"/>
          <w:highlight w:val="none"/>
        </w:rPr>
        <w:t>30.3合同备案存档：政府采购合同双方自签订之日起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jc w:val="center"/>
        <w:textAlignment w:val="baseline"/>
        <w:outlineLvl w:val="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成交供应商领取成交通知书前，向</w:t>
      </w:r>
      <w:r>
        <w:rPr>
          <w:rFonts w:hint="eastAsia" w:asciiTheme="minorEastAsia" w:hAnsiTheme="minorEastAsia" w:eastAsiaTheme="minorEastAsia" w:cstheme="minorEastAsia"/>
          <w:color w:val="auto"/>
          <w:spacing w:val="10"/>
          <w:sz w:val="21"/>
          <w:szCs w:val="21"/>
          <w:highlight w:val="none"/>
          <w:lang w:eastAsia="zh-CN"/>
        </w:rPr>
        <w:t>中鸿亿博集团有限公司</w:t>
      </w:r>
      <w:r>
        <w:rPr>
          <w:rFonts w:hint="eastAsia" w:asciiTheme="minorEastAsia" w:hAnsiTheme="minorEastAsia" w:eastAsiaTheme="minorEastAsia" w:cstheme="minorEastAsia"/>
          <w:color w:val="auto"/>
          <w:spacing w:val="10"/>
          <w:sz w:val="21"/>
          <w:szCs w:val="21"/>
          <w:highlight w:val="none"/>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251663360"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1676400" cy="913765"/>
                    </a:xfrm>
                    <a:prstGeom prst="rect">
                      <a:avLst/>
                    </a:prstGeom>
                  </pic:spPr>
                </pic:pic>
              </a:graphicData>
            </a:graphic>
          </wp:anchor>
        </w:drawing>
      </w:r>
    </w:p>
    <w:tbl>
      <w:tblPr>
        <w:tblStyle w:val="24"/>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5"/>
              <w:keepNext w:val="0"/>
              <w:keepLines w:val="0"/>
              <w:pageBreakBefore w:val="0"/>
              <w:widowControl/>
              <w:kinsoku w:val="0"/>
              <w:overflowPunct/>
              <w:topLinePunct w:val="0"/>
              <w:autoSpaceDE w:val="0"/>
              <w:autoSpaceDN w:val="0"/>
              <w:bidi w:val="0"/>
              <w:adjustRightInd w:val="0"/>
              <w:snapToGrid w:val="0"/>
              <w:spacing w:line="360" w:lineRule="auto"/>
              <w:ind w:right="0" w:firstLine="218"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费率</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2ED3B86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05ABAE6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75BDB7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Theme="minorEastAsia" w:hAnsiTheme="minorEastAsia" w:eastAsiaTheme="minorEastAsia" w:cstheme="minorEastAsia"/>
                <w:color w:val="auto"/>
                <w:sz w:val="21"/>
                <w:szCs w:val="21"/>
                <w:highlight w:val="none"/>
              </w:rPr>
            </w:pPr>
          </w:p>
          <w:p w14:paraId="1EF2F63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100</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以下</w:t>
            </w:r>
          </w:p>
        </w:tc>
        <w:tc>
          <w:tcPr>
            <w:tcW w:w="1840" w:type="dxa"/>
            <w:gridSpan w:val="2"/>
            <w:vAlign w:val="top"/>
          </w:tcPr>
          <w:p w14:paraId="7892D24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1.5%</w:t>
            </w:r>
          </w:p>
        </w:tc>
        <w:tc>
          <w:tcPr>
            <w:tcW w:w="1991" w:type="dxa"/>
            <w:gridSpan w:val="2"/>
            <w:vAlign w:val="top"/>
          </w:tcPr>
          <w:p w14:paraId="2EC87B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1.5%</w:t>
            </w:r>
          </w:p>
        </w:tc>
        <w:tc>
          <w:tcPr>
            <w:tcW w:w="2296" w:type="dxa"/>
            <w:gridSpan w:val="2"/>
            <w:vAlign w:val="top"/>
          </w:tcPr>
          <w:p w14:paraId="486A992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100-500</w:t>
            </w:r>
          </w:p>
        </w:tc>
        <w:tc>
          <w:tcPr>
            <w:tcW w:w="1840" w:type="dxa"/>
            <w:gridSpan w:val="2"/>
            <w:vAlign w:val="top"/>
          </w:tcPr>
          <w:p w14:paraId="0ED1482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1.1%</w:t>
            </w:r>
          </w:p>
        </w:tc>
        <w:tc>
          <w:tcPr>
            <w:tcW w:w="1991" w:type="dxa"/>
            <w:gridSpan w:val="2"/>
            <w:vAlign w:val="top"/>
          </w:tcPr>
          <w:p w14:paraId="2C6BFB0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2296" w:type="dxa"/>
            <w:gridSpan w:val="2"/>
            <w:vAlign w:val="top"/>
          </w:tcPr>
          <w:p w14:paraId="1FD19C4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500-1000</w:t>
            </w:r>
          </w:p>
        </w:tc>
        <w:tc>
          <w:tcPr>
            <w:tcW w:w="1840" w:type="dxa"/>
            <w:gridSpan w:val="2"/>
            <w:vAlign w:val="top"/>
          </w:tcPr>
          <w:p w14:paraId="77C1C7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1991" w:type="dxa"/>
            <w:gridSpan w:val="2"/>
            <w:vAlign w:val="top"/>
          </w:tcPr>
          <w:p w14:paraId="2043A35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0.45%</w:t>
            </w:r>
          </w:p>
        </w:tc>
        <w:tc>
          <w:tcPr>
            <w:tcW w:w="2296" w:type="dxa"/>
            <w:gridSpan w:val="2"/>
            <w:vAlign w:val="top"/>
          </w:tcPr>
          <w:p w14:paraId="220F631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1000-5000</w:t>
            </w:r>
          </w:p>
        </w:tc>
        <w:tc>
          <w:tcPr>
            <w:tcW w:w="1840" w:type="dxa"/>
            <w:gridSpan w:val="2"/>
            <w:vAlign w:val="top"/>
          </w:tcPr>
          <w:p w14:paraId="2F5FEBD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w:t>
            </w:r>
          </w:p>
        </w:tc>
        <w:tc>
          <w:tcPr>
            <w:tcW w:w="1991" w:type="dxa"/>
            <w:gridSpan w:val="2"/>
            <w:vAlign w:val="top"/>
          </w:tcPr>
          <w:p w14:paraId="6EA681C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2296" w:type="dxa"/>
            <w:gridSpan w:val="2"/>
            <w:vAlign w:val="top"/>
          </w:tcPr>
          <w:p w14:paraId="7182313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5000-10000</w:t>
            </w:r>
          </w:p>
        </w:tc>
        <w:tc>
          <w:tcPr>
            <w:tcW w:w="1840" w:type="dxa"/>
            <w:gridSpan w:val="2"/>
            <w:vAlign w:val="top"/>
          </w:tcPr>
          <w:p w14:paraId="50163B2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1991" w:type="dxa"/>
            <w:gridSpan w:val="2"/>
            <w:vAlign w:val="top"/>
          </w:tcPr>
          <w:p w14:paraId="5A0567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0.1%</w:t>
            </w:r>
          </w:p>
        </w:tc>
        <w:tc>
          <w:tcPr>
            <w:tcW w:w="2296" w:type="dxa"/>
            <w:gridSpan w:val="2"/>
            <w:vAlign w:val="top"/>
          </w:tcPr>
          <w:p w14:paraId="4B2947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Theme="minorEastAsia" w:hAnsiTheme="minorEastAsia" w:eastAsiaTheme="minorEastAsia" w:cstheme="minorEastAsia"/>
          <w:b/>
          <w:bCs/>
          <w:color w:val="auto"/>
          <w:spacing w:val="8"/>
          <w:sz w:val="21"/>
          <w:szCs w:val="21"/>
          <w:highlight w:val="none"/>
        </w:rPr>
      </w:pPr>
      <w:r>
        <w:rPr>
          <w:rFonts w:hint="eastAsia" w:asciiTheme="minorEastAsia" w:hAnsiTheme="minorEastAsia" w:eastAsiaTheme="minorEastAsia" w:cstheme="minorEastAsia"/>
          <w:b/>
          <w:bCs/>
          <w:color w:val="auto"/>
          <w:spacing w:val="8"/>
          <w:sz w:val="21"/>
          <w:szCs w:val="21"/>
          <w:highlight w:val="none"/>
        </w:rPr>
        <w:t>32.采购代理机构银行账户：</w:t>
      </w:r>
    </w:p>
    <w:p w14:paraId="273A825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default" w:asciiTheme="minorEastAsia" w:hAnsiTheme="minorEastAsia" w:eastAsiaTheme="minorEastAsia" w:cstheme="minorEastAsia"/>
          <w:color w:val="auto"/>
          <w:spacing w:val="11"/>
          <w:sz w:val="21"/>
          <w:szCs w:val="21"/>
          <w:highlight w:val="none"/>
          <w:lang w:val="en-US"/>
        </w:rPr>
      </w:pPr>
      <w:r>
        <w:rPr>
          <w:rFonts w:hint="eastAsia" w:asciiTheme="minorEastAsia" w:hAnsiTheme="minorEastAsia" w:eastAsiaTheme="minorEastAsia" w:cstheme="minorEastAsia"/>
          <w:color w:val="auto"/>
          <w:spacing w:val="11"/>
          <w:sz w:val="21"/>
          <w:szCs w:val="21"/>
          <w:highlight w:val="none"/>
        </w:rPr>
        <w:t>开户名称：</w:t>
      </w:r>
      <w:r>
        <w:rPr>
          <w:rFonts w:hint="eastAsia" w:asciiTheme="minorEastAsia" w:hAnsiTheme="minorEastAsia" w:eastAsiaTheme="minorEastAsia" w:cstheme="minorEastAsia"/>
          <w:color w:val="auto"/>
          <w:spacing w:val="11"/>
          <w:sz w:val="21"/>
          <w:szCs w:val="21"/>
          <w:highlight w:val="none"/>
          <w:lang w:eastAsia="zh-CN"/>
        </w:rPr>
        <w:t>中鸿亿博集团有限公司</w:t>
      </w:r>
      <w:r>
        <w:rPr>
          <w:rFonts w:hint="eastAsia" w:asciiTheme="minorEastAsia" w:hAnsiTheme="minorEastAsia" w:eastAsiaTheme="minorEastAsia" w:cstheme="minorEastAsia"/>
          <w:color w:val="auto"/>
          <w:spacing w:val="11"/>
          <w:sz w:val="21"/>
          <w:szCs w:val="21"/>
          <w:highlight w:val="none"/>
          <w:lang w:val="en-US" w:eastAsia="zh-CN"/>
        </w:rPr>
        <w:t>桂北分公司</w:t>
      </w:r>
    </w:p>
    <w:p w14:paraId="7592A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rPr>
        <w:t>开户银行</w:t>
      </w:r>
      <w:r>
        <w:rPr>
          <w:rFonts w:hint="eastAsia" w:asciiTheme="minorEastAsia" w:hAnsiTheme="minorEastAsia" w:eastAsiaTheme="minorEastAsia" w:cstheme="minorEastAsia"/>
          <w:color w:val="auto"/>
          <w:spacing w:val="11"/>
          <w:sz w:val="21"/>
          <w:szCs w:val="21"/>
          <w:highlight w:val="none"/>
          <w:lang w:eastAsia="zh-CN"/>
        </w:rPr>
        <w:t>：桂林银行股份有限公司营业部</w:t>
      </w:r>
    </w:p>
    <w:p w14:paraId="0D7961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账    号：660000021454900017</w:t>
      </w:r>
      <w:r>
        <w:rPr>
          <w:rFonts w:hint="eastAsia" w:asciiTheme="minorEastAsia" w:hAnsiTheme="minorEastAsia" w:eastAsiaTheme="minorEastAsia" w:cstheme="minorEastAsia"/>
          <w:color w:val="auto"/>
          <w:spacing w:val="11"/>
          <w:sz w:val="21"/>
          <w:szCs w:val="21"/>
          <w:highlight w:val="none"/>
          <w:lang w:val="en-US" w:eastAsia="zh-CN"/>
        </w:rPr>
        <w:t xml:space="preserve"> </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33.解释权：</w:t>
      </w:r>
      <w:r>
        <w:rPr>
          <w:rFonts w:hint="eastAsia" w:asciiTheme="minorEastAsia" w:hAnsiTheme="minorEastAsia" w:eastAsiaTheme="minorEastAsia" w:cstheme="minorEastAsia"/>
          <w:color w:val="auto"/>
          <w:spacing w:val="11"/>
          <w:sz w:val="21"/>
          <w:szCs w:val="21"/>
          <w:highlight w:val="none"/>
        </w:rPr>
        <w:t>本竞争性磋商文件是根据《中华人民共和国政府采购法》、《中华人民共和国政府采购</w:t>
      </w:r>
      <w:r>
        <w:rPr>
          <w:rFonts w:hint="eastAsia" w:asciiTheme="minorEastAsia" w:hAnsiTheme="minorEastAsia" w:eastAsiaTheme="minorEastAsia" w:cstheme="minorEastAsia"/>
          <w:color w:val="auto"/>
          <w:spacing w:val="9"/>
          <w:sz w:val="21"/>
          <w:szCs w:val="21"/>
          <w:highlight w:val="none"/>
        </w:rPr>
        <w:t>法实施条例》、《政府采购竞争性磋商采购方式管理暂行办法》和政府采购管理有关规定编制，本竞争性</w:t>
      </w:r>
      <w:r>
        <w:rPr>
          <w:rFonts w:hint="eastAsia" w:asciiTheme="minorEastAsia" w:hAnsiTheme="minorEastAsia" w:eastAsiaTheme="minorEastAsia" w:cstheme="minorEastAsia"/>
          <w:color w:val="auto"/>
          <w:spacing w:val="13"/>
          <w:sz w:val="21"/>
          <w:szCs w:val="21"/>
          <w:highlight w:val="none"/>
        </w:rPr>
        <w:t xml:space="preserve"> </w:t>
      </w:r>
      <w:r>
        <w:rPr>
          <w:rFonts w:hint="eastAsia" w:asciiTheme="minorEastAsia" w:hAnsiTheme="minorEastAsia" w:eastAsiaTheme="minorEastAsia" w:cstheme="minorEastAsia"/>
          <w:color w:val="auto"/>
          <w:spacing w:val="8"/>
          <w:sz w:val="21"/>
          <w:szCs w:val="21"/>
          <w:highlight w:val="none"/>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Theme="minorEastAsia" w:hAnsiTheme="minorEastAsia" w:eastAsiaTheme="minorEastAsia" w:cstheme="minorEastAsia"/>
          <w:color w:val="auto"/>
          <w:spacing w:val="11"/>
          <w:sz w:val="21"/>
          <w:szCs w:val="21"/>
          <w:highlight w:val="none"/>
        </w:rPr>
      </w:pPr>
      <w:r>
        <w:rPr>
          <w:rFonts w:hint="eastAsia" w:asciiTheme="minorEastAsia" w:hAnsiTheme="minorEastAsia" w:eastAsiaTheme="minorEastAsia" w:cstheme="minorEastAsia"/>
          <w:b/>
          <w:bCs/>
          <w:snapToGrid w:val="0"/>
          <w:color w:val="auto"/>
          <w:spacing w:val="8"/>
          <w:kern w:val="0"/>
          <w:sz w:val="21"/>
          <w:szCs w:val="21"/>
          <w:highlight w:val="none"/>
          <w:lang w:val="en-US" w:eastAsia="en-US" w:bidi="ar-SA"/>
        </w:rPr>
        <w:t>34.监督管理机构</w:t>
      </w:r>
      <w:r>
        <w:rPr>
          <w:rFonts w:hint="eastAsia" w:asciiTheme="minorEastAsia" w:hAnsiTheme="minorEastAsia" w:eastAsiaTheme="minorEastAsia" w:cstheme="minorEastAsia"/>
          <w:color w:val="auto"/>
          <w:spacing w:val="8"/>
          <w:sz w:val="21"/>
          <w:szCs w:val="21"/>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lang w:eastAsia="zh-CN"/>
        </w:rPr>
        <w:t>资源县政府采购管理办公室</w:t>
      </w:r>
      <w:r>
        <w:rPr>
          <w:rFonts w:hint="eastAsia" w:asciiTheme="minorEastAsia" w:hAnsiTheme="minorEastAsia" w:eastAsiaTheme="minorEastAsia" w:cstheme="minorEastAsia"/>
          <w:color w:val="auto"/>
          <w:spacing w:val="11"/>
          <w:sz w:val="21"/>
          <w:szCs w:val="21"/>
          <w:highlight w:val="none"/>
          <w:lang w:val="en-US" w:eastAsia="zh-CN"/>
        </w:rPr>
        <w:t xml:space="preserve">  </w:t>
      </w:r>
      <w:r>
        <w:rPr>
          <w:rFonts w:hint="eastAsia" w:asciiTheme="minorEastAsia" w:hAnsiTheme="minorEastAsia" w:eastAsiaTheme="minorEastAsia" w:cstheme="minorEastAsia"/>
          <w:color w:val="auto"/>
          <w:spacing w:val="11"/>
          <w:sz w:val="21"/>
          <w:szCs w:val="21"/>
          <w:highlight w:val="none"/>
          <w:lang w:eastAsia="zh-CN"/>
        </w:rPr>
        <w:t>联系电话：0773-4315648</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color w:val="auto"/>
          <w:spacing w:val="8"/>
          <w:sz w:val="28"/>
          <w:szCs w:val="28"/>
          <w:highlight w:val="none"/>
        </w:rPr>
      </w:pPr>
      <w:r>
        <w:rPr>
          <w:rFonts w:hint="eastAsia" w:ascii="宋体" w:hAnsi="宋体" w:eastAsia="宋体" w:cs="宋体"/>
          <w:b/>
          <w:bCs/>
          <w:color w:val="auto"/>
          <w:spacing w:val="8"/>
          <w:sz w:val="28"/>
          <w:szCs w:val="28"/>
          <w:highlight w:val="none"/>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质疑供应商：</w:t>
      </w:r>
      <w:r>
        <w:rPr>
          <w:rFonts w:hint="eastAsia" w:ascii="宋体" w:hAnsi="宋体" w:eastAsia="宋体" w:cs="宋体"/>
          <w:color w:val="auto"/>
          <w:sz w:val="22"/>
          <w:szCs w:val="22"/>
          <w:highlight w:val="none"/>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5"/>
          <w:sz w:val="22"/>
          <w:szCs w:val="22"/>
          <w:highlight w:val="none"/>
        </w:rPr>
        <w:t>邮编：</w:t>
      </w:r>
      <w:r>
        <w:rPr>
          <w:rFonts w:hint="eastAsia" w:ascii="宋体" w:hAnsi="宋体" w:eastAsia="宋体" w:cs="宋体"/>
          <w:color w:val="auto"/>
          <w:sz w:val="22"/>
          <w:szCs w:val="22"/>
          <w:highlight w:val="none"/>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联系人：</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6"/>
          <w:sz w:val="22"/>
          <w:szCs w:val="22"/>
          <w:highlight w:val="none"/>
        </w:rPr>
        <w:t>联</w:t>
      </w:r>
      <w:r>
        <w:rPr>
          <w:rFonts w:hint="eastAsia" w:ascii="宋体" w:hAnsi="宋体" w:eastAsia="宋体" w:cs="宋体"/>
          <w:color w:val="auto"/>
          <w:spacing w:val="5"/>
          <w:sz w:val="22"/>
          <w:szCs w:val="22"/>
          <w:highlight w:val="none"/>
        </w:rPr>
        <w:t>系电话：</w:t>
      </w:r>
      <w:r>
        <w:rPr>
          <w:rFonts w:hint="eastAsia" w:ascii="宋体" w:hAnsi="宋体" w:eastAsia="宋体" w:cs="宋体"/>
          <w:color w:val="auto"/>
          <w:sz w:val="22"/>
          <w:szCs w:val="22"/>
          <w:highlight w:val="none"/>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授权代表：</w:t>
      </w:r>
      <w:r>
        <w:rPr>
          <w:rFonts w:hint="eastAsia" w:ascii="宋体" w:hAnsi="宋体" w:eastAsia="宋体" w:cs="宋体"/>
          <w:color w:val="auto"/>
          <w:sz w:val="22"/>
          <w:szCs w:val="22"/>
          <w:highlight w:val="none"/>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4"/>
          <w:sz w:val="22"/>
          <w:szCs w:val="22"/>
          <w:highlight w:val="none"/>
        </w:rPr>
        <w:t>邮编：</w:t>
      </w:r>
      <w:r>
        <w:rPr>
          <w:rFonts w:hint="eastAsia" w:ascii="宋体" w:hAnsi="宋体" w:eastAsia="宋体" w:cs="宋体"/>
          <w:color w:val="auto"/>
          <w:sz w:val="22"/>
          <w:szCs w:val="22"/>
          <w:highlight w:val="none"/>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质疑项目的名称：</w:t>
      </w:r>
      <w:r>
        <w:rPr>
          <w:rFonts w:hint="eastAsia" w:ascii="宋体" w:hAnsi="宋体" w:eastAsia="宋体" w:cs="宋体"/>
          <w:color w:val="auto"/>
          <w:sz w:val="22"/>
          <w:szCs w:val="22"/>
          <w:highlight w:val="none"/>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质疑项目的编号：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9"/>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采购人名称：</w:t>
      </w:r>
      <w:r>
        <w:rPr>
          <w:rFonts w:hint="eastAsia" w:ascii="宋体" w:hAnsi="宋体" w:eastAsia="宋体" w:cs="宋体"/>
          <w:color w:val="auto"/>
          <w:sz w:val="22"/>
          <w:szCs w:val="22"/>
          <w:highlight w:val="none"/>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采购文件获取日期：</w:t>
      </w:r>
      <w:r>
        <w:rPr>
          <w:rFonts w:hint="eastAsia" w:ascii="宋体" w:hAnsi="宋体" w:eastAsia="宋体" w:cs="宋体"/>
          <w:color w:val="auto"/>
          <w:sz w:val="22"/>
          <w:szCs w:val="22"/>
          <w:highlight w:val="none"/>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质疑事项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事实依据：</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15"/>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15"/>
          <w:sz w:val="22"/>
          <w:szCs w:val="22"/>
          <w:highlight w:val="none"/>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质疑事项</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5"/>
          <w:sz w:val="22"/>
          <w:szCs w:val="22"/>
          <w:highlight w:val="none"/>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color w:val="auto"/>
          <w:spacing w:val="5"/>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pacing w:val="5"/>
          <w:sz w:val="22"/>
          <w:szCs w:val="22"/>
          <w:highlight w:val="none"/>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pacing w:val="5"/>
          <w:sz w:val="22"/>
          <w:szCs w:val="22"/>
          <w:highlight w:val="none"/>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1"/>
          <w:szCs w:val="21"/>
          <w:highlight w:val="none"/>
        </w:rPr>
        <w:t>6.质疑供应商为自然人的，质疑函应由本人签字；质疑供应商为法人或者其他组织的，质疑函应由法定代表人、主要负责人，或者其授权代表签字或者盖章，并加盖公章。</w:t>
      </w:r>
    </w:p>
    <w:p w14:paraId="6FB62C4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color w:val="auto"/>
          <w:sz w:val="22"/>
          <w:szCs w:val="22"/>
          <w:highlight w:val="none"/>
        </w:rPr>
        <w:sectPr>
          <w:footerReference r:id="rId7"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投标人：</w:t>
      </w:r>
      <w:r>
        <w:rPr>
          <w:rFonts w:hint="eastAsia" w:ascii="宋体" w:hAnsi="宋体" w:eastAsia="宋体" w:cs="宋体"/>
          <w:color w:val="auto"/>
          <w:sz w:val="22"/>
          <w:szCs w:val="22"/>
          <w:highlight w:val="none"/>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地址：</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法定代表人/主要负责人：</w:t>
      </w:r>
      <w:r>
        <w:rPr>
          <w:rFonts w:hint="eastAsia" w:ascii="宋体" w:hAnsi="宋体" w:eastAsia="宋体" w:cs="宋体"/>
          <w:color w:val="auto"/>
          <w:sz w:val="22"/>
          <w:szCs w:val="22"/>
          <w:highlight w:val="none"/>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联系电话：</w:t>
      </w:r>
      <w:r>
        <w:rPr>
          <w:rFonts w:hint="eastAsia" w:ascii="宋体" w:hAnsi="宋体" w:eastAsia="宋体" w:cs="宋体"/>
          <w:color w:val="auto"/>
          <w:sz w:val="22"/>
          <w:szCs w:val="22"/>
          <w:highlight w:val="none"/>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授权代表：</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3"/>
          <w:sz w:val="22"/>
          <w:szCs w:val="22"/>
          <w:highlight w:val="none"/>
        </w:rPr>
        <w:t>1：</w:t>
      </w:r>
      <w:r>
        <w:rPr>
          <w:rFonts w:hint="eastAsia" w:ascii="宋体" w:hAnsi="宋体" w:eastAsia="宋体" w:cs="宋体"/>
          <w:color w:val="auto"/>
          <w:sz w:val="22"/>
          <w:szCs w:val="22"/>
          <w:highlight w:val="none"/>
          <w:u w:val="singl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被投诉人</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3"/>
          <w:sz w:val="22"/>
          <w:szCs w:val="22"/>
          <w:highlight w:val="none"/>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相关供应商：</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地址：</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2"/>
          <w:sz w:val="22"/>
          <w:szCs w:val="22"/>
          <w:highlight w:val="none"/>
        </w:rPr>
        <w:t>邮编：</w:t>
      </w:r>
      <w:r>
        <w:rPr>
          <w:rFonts w:hint="eastAsia" w:ascii="宋体" w:hAnsi="宋体" w:eastAsia="宋体" w:cs="宋体"/>
          <w:color w:val="auto"/>
          <w:spacing w:val="2"/>
          <w:sz w:val="22"/>
          <w:szCs w:val="22"/>
          <w:highlight w:val="none"/>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联系人：</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4"/>
          <w:sz w:val="22"/>
          <w:szCs w:val="22"/>
          <w:highlight w:val="none"/>
        </w:rPr>
        <w:t>联系电话：</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采购项目的名称：</w:t>
      </w:r>
      <w:r>
        <w:rPr>
          <w:rFonts w:hint="eastAsia" w:ascii="宋体" w:hAnsi="宋体" w:eastAsia="宋体" w:cs="宋体"/>
          <w:color w:val="auto"/>
          <w:spacing w:val="4"/>
          <w:sz w:val="22"/>
          <w:szCs w:val="22"/>
          <w:highlight w:val="none"/>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采购项目的编号：</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4"/>
          <w:sz w:val="22"/>
          <w:szCs w:val="22"/>
          <w:highlight w:val="none"/>
        </w:rPr>
        <w:t>包号：</w:t>
      </w:r>
      <w:r>
        <w:rPr>
          <w:rFonts w:hint="eastAsia" w:ascii="宋体" w:hAnsi="宋体" w:eastAsia="宋体" w:cs="宋体"/>
          <w:color w:val="auto"/>
          <w:spacing w:val="4"/>
          <w:sz w:val="22"/>
          <w:szCs w:val="22"/>
          <w:highlight w:val="none"/>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采购人名称：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代理机构名称：</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采购文件公告：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采购结果公告：</w:t>
      </w:r>
      <w:r>
        <w:rPr>
          <w:rFonts w:hint="eastAsia" w:ascii="宋体" w:hAnsi="宋体" w:eastAsia="宋体" w:cs="宋体"/>
          <w:color w:val="auto"/>
          <w:spacing w:val="9"/>
          <w:sz w:val="22"/>
          <w:szCs w:val="22"/>
          <w:highlight w:val="none"/>
          <w:u w:val="single" w:color="auto"/>
        </w:rPr>
        <w:t>是/否</w:t>
      </w:r>
      <w:r>
        <w:rPr>
          <w:rFonts w:hint="eastAsia" w:ascii="宋体" w:hAnsi="宋体" w:eastAsia="宋体" w:cs="宋体"/>
          <w:color w:val="auto"/>
          <w:spacing w:val="9"/>
          <w:sz w:val="22"/>
          <w:szCs w:val="22"/>
          <w:highlight w:val="none"/>
        </w:rPr>
        <w:t>公告期限：</w:t>
      </w:r>
      <w:r>
        <w:rPr>
          <w:rFonts w:hint="eastAsia" w:ascii="宋体" w:hAnsi="宋体" w:eastAsia="宋体" w:cs="宋体"/>
          <w:color w:val="auto"/>
          <w:sz w:val="22"/>
          <w:szCs w:val="22"/>
          <w:highlight w:val="none"/>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三、质疑基本情况</w:t>
      </w:r>
    </w:p>
    <w:p w14:paraId="3D4EA6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投诉人于</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1"/>
          <w:sz w:val="22"/>
          <w:szCs w:val="22"/>
          <w:highlight w:val="none"/>
        </w:rPr>
        <w:t>月</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rPr>
        <w:t>日，向</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0"/>
          <w:sz w:val="22"/>
          <w:szCs w:val="22"/>
          <w:highlight w:val="none"/>
        </w:rPr>
        <w:t xml:space="preserve"> </w:t>
      </w:r>
      <w:r>
        <w:rPr>
          <w:rFonts w:hint="eastAsia" w:ascii="宋体" w:hAnsi="宋体" w:eastAsia="宋体" w:cs="宋体"/>
          <w:color w:val="auto"/>
          <w:spacing w:val="1"/>
          <w:sz w:val="22"/>
          <w:szCs w:val="22"/>
          <w:highlight w:val="none"/>
        </w:rPr>
        <w:t>提出质疑，质疑事项为</w:t>
      </w:r>
      <w:r>
        <w:rPr>
          <w:rFonts w:hint="eastAsia" w:ascii="宋体" w:hAnsi="宋体" w:eastAsia="宋体" w:cs="宋体"/>
          <w:color w:val="auto"/>
          <w:spacing w:val="1"/>
          <w:sz w:val="22"/>
          <w:szCs w:val="22"/>
          <w:highlight w:val="none"/>
          <w:lang w:val="en-US" w:eastAsia="zh-CN"/>
        </w:rPr>
        <w:t>:</w:t>
      </w:r>
    </w:p>
    <w:p w14:paraId="5C4F1767">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color="auto"/>
        </w:rPr>
        <w:tab/>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color="auto"/>
        </w:rPr>
        <w:t>采购人/代理机构</w:t>
      </w:r>
      <w:r>
        <w:rPr>
          <w:rFonts w:hint="eastAsia" w:ascii="宋体" w:hAnsi="宋体" w:eastAsia="宋体" w:cs="宋体"/>
          <w:color w:val="auto"/>
          <w:spacing w:val="9"/>
          <w:sz w:val="22"/>
          <w:szCs w:val="22"/>
          <w:highlight w:val="none"/>
        </w:rPr>
        <w:t>于</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年</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7"/>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9"/>
          <w:sz w:val="22"/>
          <w:szCs w:val="22"/>
          <w:highlight w:val="none"/>
        </w:rPr>
        <w:t>月</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52"/>
          <w:sz w:val="22"/>
          <w:szCs w:val="22"/>
          <w:highlight w:val="none"/>
        </w:rPr>
        <w:t xml:space="preserve"> </w:t>
      </w:r>
      <w:r>
        <w:rPr>
          <w:rFonts w:hint="eastAsia" w:ascii="宋体" w:hAnsi="宋体" w:eastAsia="宋体" w:cs="宋体"/>
          <w:color w:val="auto"/>
          <w:spacing w:val="9"/>
          <w:sz w:val="22"/>
          <w:szCs w:val="22"/>
          <w:highlight w:val="none"/>
        </w:rPr>
        <w:t>日，就质疑事项作出了答复/没有在法定期限内作出答</w:t>
      </w:r>
      <w:r>
        <w:rPr>
          <w:rFonts w:hint="eastAsia" w:ascii="宋体" w:hAnsi="宋体" w:eastAsia="宋体" w:cs="宋体"/>
          <w:color w:val="auto"/>
          <w:spacing w:val="-3"/>
          <w:sz w:val="22"/>
          <w:szCs w:val="22"/>
          <w:highlight w:val="none"/>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投诉事项</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1"/>
          <w:sz w:val="22"/>
          <w:szCs w:val="22"/>
          <w:highlight w:val="none"/>
        </w:rPr>
        <w:t>1：</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z w:val="22"/>
          <w:szCs w:val="22"/>
          <w:highlight w:val="none"/>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u w:val="single" w:color="auto"/>
        </w:rPr>
      </w:pPr>
      <w:r>
        <w:rPr>
          <w:rFonts w:hint="eastAsia" w:ascii="宋体" w:hAnsi="宋体" w:eastAsia="宋体" w:cs="宋体"/>
          <w:color w:val="auto"/>
          <w:spacing w:val="5"/>
          <w:sz w:val="22"/>
          <w:szCs w:val="22"/>
          <w:highlight w:val="none"/>
        </w:rPr>
        <w:t>事实依据：</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法律依据：</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z w:val="22"/>
          <w:szCs w:val="22"/>
          <w:highlight w:val="none"/>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position w:val="14"/>
          <w:sz w:val="22"/>
          <w:szCs w:val="22"/>
          <w:highlight w:val="none"/>
        </w:rPr>
        <w:t>投诉事项</w:t>
      </w:r>
      <w:r>
        <w:rPr>
          <w:rFonts w:hint="eastAsia" w:ascii="宋体" w:hAnsi="宋体" w:eastAsia="宋体" w:cs="宋体"/>
          <w:color w:val="auto"/>
          <w:spacing w:val="-34"/>
          <w:position w:val="14"/>
          <w:sz w:val="22"/>
          <w:szCs w:val="22"/>
          <w:highlight w:val="none"/>
        </w:rPr>
        <w:t xml:space="preserve"> </w:t>
      </w:r>
      <w:r>
        <w:rPr>
          <w:rFonts w:hint="eastAsia" w:ascii="宋体" w:hAnsi="宋体" w:eastAsia="宋体" w:cs="宋体"/>
          <w:color w:val="auto"/>
          <w:spacing w:val="5"/>
          <w:position w:val="14"/>
          <w:sz w:val="22"/>
          <w:szCs w:val="22"/>
          <w:highlight w:val="none"/>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2"/>
          <w:sz w:val="22"/>
          <w:szCs w:val="22"/>
          <w:highlight w:val="none"/>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color w:val="auto"/>
          <w:spacing w:val="8"/>
          <w:sz w:val="22"/>
          <w:szCs w:val="22"/>
          <w:highlight w:val="none"/>
        </w:rPr>
      </w:pPr>
      <w:r>
        <w:rPr>
          <w:rFonts w:hint="eastAsia" w:ascii="宋体" w:hAnsi="宋体" w:eastAsia="宋体" w:cs="宋体"/>
          <w:b/>
          <w:bCs/>
          <w:color w:val="auto"/>
          <w:spacing w:val="8"/>
          <w:sz w:val="22"/>
          <w:szCs w:val="22"/>
          <w:highlight w:val="none"/>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请求：</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3"/>
          <w:sz w:val="22"/>
          <w:szCs w:val="22"/>
          <w:highlight w:val="none"/>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签字（签章</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7.投诉人为自然人的，投诉书应当由本人签字；投诉人为法人或者其他组织的，投诉书应当由法定代 表人、主要负责人，或者其授权代表签字或者盖章，并加盖公章。</w:t>
      </w:r>
    </w:p>
    <w:p w14:paraId="321B384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8"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color w:val="auto"/>
          <w:spacing w:val="8"/>
          <w:sz w:val="24"/>
          <w:szCs w:val="24"/>
          <w:highlight w:val="none"/>
        </w:rPr>
      </w:pPr>
      <w:bookmarkStart w:id="4" w:name="_Toc21630"/>
      <w:bookmarkStart w:id="5" w:name="_Toc32760"/>
      <w:r>
        <w:rPr>
          <w:rFonts w:hint="eastAsia" w:ascii="宋体" w:hAnsi="宋体" w:eastAsia="宋体" w:cs="宋体"/>
          <w:b/>
          <w:bCs/>
          <w:color w:val="auto"/>
          <w:spacing w:val="8"/>
          <w:sz w:val="24"/>
          <w:szCs w:val="24"/>
          <w:highlight w:val="none"/>
        </w:rPr>
        <w:t>附表 3:</w:t>
      </w:r>
      <w:bookmarkEnd w:id="4"/>
      <w:bookmarkEnd w:id="5"/>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rPr>
        <w:t>根据政府采购项目（</w:t>
      </w:r>
      <w:r>
        <w:rPr>
          <w:rFonts w:hint="eastAsia" w:ascii="宋体" w:hAnsi="宋体" w:eastAsia="宋体" w:cs="宋体"/>
          <w:color w:val="auto"/>
          <w:spacing w:val="7"/>
          <w:sz w:val="22"/>
          <w:szCs w:val="22"/>
          <w:highlight w:val="none"/>
          <w:u w:val="single" w:color="auto"/>
        </w:rPr>
        <w:t>采购合同编号</w:t>
      </w:r>
      <w:r>
        <w:rPr>
          <w:rFonts w:hint="eastAsia" w:ascii="宋体" w:hAnsi="宋体" w:eastAsia="宋体" w:cs="宋体"/>
          <w:color w:val="auto"/>
          <w:spacing w:val="2"/>
          <w:sz w:val="22"/>
          <w:szCs w:val="22"/>
          <w:highlight w:val="none"/>
          <w:u w:val="single" w:color="auto"/>
        </w:rPr>
        <w:t>：</w:t>
      </w:r>
      <w:r>
        <w:rPr>
          <w:rFonts w:hint="eastAsia" w:ascii="宋体" w:hAnsi="宋体" w:eastAsia="宋体" w:cs="宋体"/>
          <w:color w:val="auto"/>
          <w:spacing w:val="17"/>
          <w:sz w:val="22"/>
          <w:szCs w:val="22"/>
          <w:highlight w:val="none"/>
          <w:u w:val="single" w:color="auto"/>
        </w:rPr>
        <w:t xml:space="preserve"> </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7"/>
          <w:sz w:val="22"/>
          <w:szCs w:val="22"/>
          <w:highlight w:val="none"/>
        </w:rPr>
        <w:t>的约定，我单位对（</w:t>
      </w:r>
      <w:r>
        <w:rPr>
          <w:rFonts w:hint="eastAsia" w:ascii="宋体" w:hAnsi="宋体" w:eastAsia="宋体" w:cs="宋体"/>
          <w:color w:val="auto"/>
          <w:spacing w:val="53"/>
          <w:sz w:val="22"/>
          <w:szCs w:val="22"/>
          <w:highlight w:val="none"/>
          <w:u w:val="single" w:color="auto"/>
        </w:rPr>
        <w:t xml:space="preserve"> </w:t>
      </w:r>
      <w:r>
        <w:rPr>
          <w:rFonts w:hint="eastAsia" w:ascii="宋体" w:hAnsi="宋体" w:eastAsia="宋体" w:cs="宋体"/>
          <w:color w:val="auto"/>
          <w:spacing w:val="7"/>
          <w:sz w:val="22"/>
          <w:szCs w:val="22"/>
          <w:highlight w:val="none"/>
          <w:u w:val="single" w:color="auto"/>
        </w:rPr>
        <w:t>项目名称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7"/>
          <w:sz w:val="22"/>
          <w:szCs w:val="22"/>
          <w:highlight w:val="none"/>
        </w:rPr>
        <w:t>）政府采购项目中</w:t>
      </w:r>
      <w:r>
        <w:rPr>
          <w:rFonts w:hint="eastAsia" w:ascii="宋体" w:hAnsi="宋体" w:eastAsia="宋体" w:cs="宋体"/>
          <w:color w:val="auto"/>
          <w:spacing w:val="6"/>
          <w:sz w:val="22"/>
          <w:szCs w:val="22"/>
          <w:highlight w:val="none"/>
        </w:rPr>
        <w:t>标（或成交）供应商</w:t>
      </w:r>
      <w:r>
        <w:rPr>
          <w:rFonts w:hint="eastAsia" w:ascii="宋体" w:hAnsi="宋体" w:eastAsia="宋体" w:cs="宋体"/>
          <w:color w:val="auto"/>
          <w:spacing w:val="6"/>
          <w:sz w:val="22"/>
          <w:szCs w:val="22"/>
          <w:highlight w:val="none"/>
          <w:u w:val="single" w:color="auto"/>
        </w:rPr>
        <w:t>（</w:t>
      </w:r>
      <w:r>
        <w:rPr>
          <w:rFonts w:hint="eastAsia" w:ascii="宋体" w:hAnsi="宋体" w:eastAsia="宋体" w:cs="宋体"/>
          <w:color w:val="auto"/>
          <w:spacing w:val="72"/>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公司名称</w:t>
      </w:r>
      <w:r>
        <w:rPr>
          <w:rFonts w:hint="eastAsia" w:ascii="宋体" w:hAnsi="宋体" w:eastAsia="宋体" w:cs="宋体"/>
          <w:color w:val="auto"/>
          <w:spacing w:val="38"/>
          <w:sz w:val="22"/>
          <w:szCs w:val="22"/>
          <w:highlight w:val="none"/>
          <w:u w:val="single" w:color="auto"/>
        </w:rPr>
        <w:t xml:space="preserve"> </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84"/>
          <w:sz w:val="22"/>
          <w:szCs w:val="22"/>
          <w:highlight w:val="none"/>
        </w:rPr>
        <w:t xml:space="preserve"> </w:t>
      </w:r>
      <w:r>
        <w:rPr>
          <w:rFonts w:hint="eastAsia" w:ascii="宋体" w:hAnsi="宋体" w:eastAsia="宋体" w:cs="宋体"/>
          <w:color w:val="auto"/>
          <w:spacing w:val="6"/>
          <w:sz w:val="22"/>
          <w:szCs w:val="22"/>
          <w:highlight w:val="none"/>
        </w:rPr>
        <w:t>提供的货物（或工程、服务）进行了验收，验收情况如下</w:t>
      </w:r>
      <w:r>
        <w:rPr>
          <w:rFonts w:hint="eastAsia" w:ascii="宋体" w:hAnsi="宋体" w:eastAsia="宋体" w:cs="宋体"/>
          <w:color w:val="auto"/>
          <w:spacing w:val="6"/>
          <w:sz w:val="22"/>
          <w:szCs w:val="22"/>
          <w:highlight w:val="none"/>
          <w:lang w:eastAsia="zh-CN"/>
        </w:rPr>
        <w:t>：</w:t>
      </w:r>
    </w:p>
    <w:tbl>
      <w:tblPr>
        <w:tblStyle w:val="24"/>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验收方式：</w:t>
            </w:r>
          </w:p>
        </w:tc>
        <w:tc>
          <w:tcPr>
            <w:tcW w:w="5630" w:type="dxa"/>
            <w:gridSpan w:val="6"/>
            <w:vAlign w:val="center"/>
          </w:tcPr>
          <w:p w14:paraId="72D99C03">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口</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15"/>
                <w:sz w:val="22"/>
                <w:szCs w:val="22"/>
                <w:highlight w:val="none"/>
              </w:rPr>
              <w:t>自行验收</w:t>
            </w:r>
            <w:r>
              <w:rPr>
                <w:rFonts w:hint="eastAsia" w:ascii="宋体" w:hAnsi="宋体" w:eastAsia="宋体" w:cs="宋体"/>
                <w:color w:val="auto"/>
                <w:spacing w:val="-15"/>
                <w:sz w:val="22"/>
                <w:szCs w:val="22"/>
                <w:highlight w:val="none"/>
                <w:lang w:val="en-US" w:eastAsia="zh-CN"/>
              </w:rPr>
              <w:t xml:space="preserve">       </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15"/>
                <w:sz w:val="22"/>
                <w:szCs w:val="22"/>
                <w:highlight w:val="none"/>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2080" w:type="dxa"/>
            <w:vAlign w:val="center"/>
          </w:tcPr>
          <w:p w14:paraId="5F85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z w:val="22"/>
                <w:szCs w:val="22"/>
                <w:highlight w:val="none"/>
              </w:rPr>
              <w:t>称</w:t>
            </w:r>
          </w:p>
        </w:tc>
        <w:tc>
          <w:tcPr>
            <w:tcW w:w="3140" w:type="dxa"/>
            <w:gridSpan w:val="3"/>
            <w:vAlign w:val="center"/>
          </w:tcPr>
          <w:p w14:paraId="38F738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货物型号规格、标准及配置等</w:t>
            </w:r>
          </w:p>
          <w:p w14:paraId="30A07CF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（或服务内容、标准）</w:t>
            </w:r>
          </w:p>
        </w:tc>
        <w:tc>
          <w:tcPr>
            <w:tcW w:w="934" w:type="dxa"/>
            <w:gridSpan w:val="2"/>
            <w:vAlign w:val="center"/>
          </w:tcPr>
          <w:p w14:paraId="6423FF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数量</w:t>
            </w:r>
          </w:p>
        </w:tc>
        <w:tc>
          <w:tcPr>
            <w:tcW w:w="1556" w:type="dxa"/>
            <w:vAlign w:val="center"/>
          </w:tcPr>
          <w:p w14:paraId="103BD8C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z w:val="22"/>
                <w:szCs w:val="22"/>
                <w:highlight w:val="none"/>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3726354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70EBE0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验收具体</w:t>
            </w:r>
          </w:p>
          <w:p w14:paraId="2228F4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内</w:t>
            </w:r>
            <w:r>
              <w:rPr>
                <w:rFonts w:hint="eastAsia" w:ascii="宋体" w:hAnsi="宋体" w:eastAsia="宋体" w:cs="宋体"/>
                <w:color w:val="auto"/>
                <w:sz w:val="22"/>
                <w:szCs w:val="22"/>
                <w:highlight w:val="none"/>
              </w:rPr>
              <w:t>容</w:t>
            </w:r>
          </w:p>
        </w:tc>
        <w:tc>
          <w:tcPr>
            <w:tcW w:w="7710" w:type="dxa"/>
            <w:gridSpan w:val="7"/>
            <w:vAlign w:val="center"/>
          </w:tcPr>
          <w:p w14:paraId="5DEF8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（应按采购合同、采购文件、投标响应文件及验收方案等进行验收；并核对</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9"/>
                <w:sz w:val="22"/>
                <w:szCs w:val="22"/>
                <w:highlight w:val="none"/>
              </w:rPr>
              <w:t>中标或者成交供应商在安装调试等方面是否违反合同</w:t>
            </w:r>
            <w:r>
              <w:rPr>
                <w:rFonts w:hint="eastAsia" w:ascii="宋体" w:hAnsi="宋体" w:eastAsia="宋体" w:cs="宋体"/>
                <w:color w:val="auto"/>
                <w:spacing w:val="8"/>
                <w:sz w:val="22"/>
                <w:szCs w:val="22"/>
                <w:highlight w:val="none"/>
              </w:rPr>
              <w:t>约定或服务规范要求、</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提供的质量保证证明材料是否齐全、应有的配件及附件是否达到合同约定</w:t>
            </w:r>
            <w:r>
              <w:rPr>
                <w:rFonts w:hint="eastAsia" w:ascii="宋体" w:hAnsi="宋体" w:eastAsia="宋体" w:cs="宋体"/>
                <w:color w:val="auto"/>
                <w:spacing w:val="11"/>
                <w:sz w:val="22"/>
                <w:szCs w:val="22"/>
                <w:highlight w:val="none"/>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验收小</w:t>
            </w:r>
          </w:p>
          <w:p w14:paraId="3AC2CAF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组意</w:t>
            </w:r>
            <w:r>
              <w:rPr>
                <w:rFonts w:hint="eastAsia" w:ascii="宋体" w:hAnsi="宋体" w:eastAsia="宋体" w:cs="宋体"/>
                <w:color w:val="auto"/>
                <w:sz w:val="22"/>
                <w:szCs w:val="22"/>
                <w:highlight w:val="none"/>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p w14:paraId="0AE9210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2"/>
                <w:szCs w:val="22"/>
                <w:highlight w:val="none"/>
              </w:rPr>
            </w:pPr>
          </w:p>
        </w:tc>
        <w:tc>
          <w:tcPr>
            <w:tcW w:w="7710" w:type="dxa"/>
            <w:gridSpan w:val="7"/>
            <w:vAlign w:val="center"/>
          </w:tcPr>
          <w:p w14:paraId="486D6BD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有异议的意见和说明理由：</w:t>
            </w:r>
          </w:p>
          <w:p w14:paraId="6359ECD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position w:val="30"/>
                <w:sz w:val="22"/>
                <w:szCs w:val="22"/>
                <w:highlight w:val="none"/>
              </w:rPr>
              <w:t>监督人员或其他相关人员签字：</w:t>
            </w:r>
          </w:p>
          <w:p w14:paraId="44D3812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或受邀机构的意见（盖章</w:t>
            </w:r>
            <w:r>
              <w:rPr>
                <w:rFonts w:hint="eastAsia" w:ascii="宋体" w:hAnsi="宋体" w:eastAsia="宋体" w:cs="宋体"/>
                <w:color w:val="auto"/>
                <w:spacing w:val="4"/>
                <w:sz w:val="22"/>
                <w:szCs w:val="22"/>
                <w:highlight w:val="none"/>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position w:val="30"/>
                <w:sz w:val="22"/>
                <w:szCs w:val="22"/>
                <w:highlight w:val="none"/>
              </w:rPr>
              <w:t>中标或者成交供应商负责人签字或盖章：</w:t>
            </w:r>
          </w:p>
          <w:p w14:paraId="1DFED8F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c>
          <w:tcPr>
            <w:tcW w:w="4878" w:type="dxa"/>
            <w:gridSpan w:val="5"/>
            <w:tcBorders>
              <w:left w:val="single" w:color="000000" w:sz="2" w:space="0"/>
            </w:tcBorders>
            <w:vAlign w:val="center"/>
          </w:tcPr>
          <w:p w14:paraId="7A60863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position w:val="30"/>
                <w:sz w:val="22"/>
                <w:szCs w:val="22"/>
                <w:highlight w:val="none"/>
              </w:rPr>
              <w:t>采购人或受托机构的意见（盖章</w:t>
            </w:r>
            <w:r>
              <w:rPr>
                <w:rFonts w:hint="eastAsia" w:ascii="宋体" w:hAnsi="宋体" w:eastAsia="宋体" w:cs="宋体"/>
                <w:color w:val="auto"/>
                <w:spacing w:val="1"/>
                <w:position w:val="30"/>
                <w:sz w:val="22"/>
                <w:szCs w:val="22"/>
                <w:highlight w:val="none"/>
              </w:rPr>
              <w:t>）：</w:t>
            </w:r>
          </w:p>
          <w:p w14:paraId="23AB04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联系电话：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3"/>
                <w:sz w:val="22"/>
                <w:szCs w:val="22"/>
                <w:highlight w:val="none"/>
              </w:rPr>
              <w:t>日</w:t>
            </w:r>
          </w:p>
        </w:tc>
      </w:tr>
    </w:tbl>
    <w:p w14:paraId="64CBFB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sectPr>
          <w:footerReference r:id="rId9"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36"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8"/>
          <w:szCs w:val="28"/>
          <w:highlight w:val="none"/>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欢迎贵公司参与广西政府采购活动！</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线上“政采贷</w:t>
      </w:r>
      <w:r>
        <w:rPr>
          <w:rFonts w:hint="eastAsia" w:ascii="宋体" w:hAnsi="宋体" w:eastAsia="宋体" w:cs="宋体"/>
          <w:color w:val="auto"/>
          <w:spacing w:val="-97"/>
          <w:sz w:val="28"/>
          <w:szCs w:val="28"/>
          <w:highlight w:val="none"/>
        </w:rPr>
        <w:t xml:space="preserve"> </w:t>
      </w:r>
      <w:r>
        <w:rPr>
          <w:rFonts w:hint="eastAsia" w:ascii="宋体" w:hAnsi="宋体" w:eastAsia="宋体" w:cs="宋体"/>
          <w:color w:val="auto"/>
          <w:spacing w:val="8"/>
          <w:sz w:val="28"/>
          <w:szCs w:val="28"/>
          <w:highlight w:val="none"/>
        </w:rPr>
        <w:t>”是人民银行南宁中心支行和自治区财政厅共同支</w:t>
      </w:r>
      <w:r>
        <w:rPr>
          <w:rFonts w:hint="eastAsia" w:ascii="宋体" w:hAnsi="宋体" w:eastAsia="宋体" w:cs="宋体"/>
          <w:color w:val="auto"/>
          <w:spacing w:val="3"/>
          <w:sz w:val="28"/>
          <w:szCs w:val="28"/>
          <w:highlight w:val="none"/>
        </w:rPr>
        <w:t>持企业发展，针对参与政府采购活动的企业融资难、融资贵、融资慢、</w:t>
      </w:r>
      <w:r>
        <w:rPr>
          <w:rFonts w:hint="eastAsia" w:ascii="宋体" w:hAnsi="宋体" w:eastAsia="宋体" w:cs="宋体"/>
          <w:color w:val="auto"/>
          <w:spacing w:val="14"/>
          <w:sz w:val="28"/>
          <w:szCs w:val="28"/>
          <w:highlight w:val="none"/>
        </w:rPr>
        <w:t xml:space="preserve"> </w:t>
      </w:r>
      <w:r>
        <w:rPr>
          <w:rFonts w:hint="eastAsia" w:ascii="宋体" w:hAnsi="宋体" w:eastAsia="宋体" w:cs="宋体"/>
          <w:color w:val="auto"/>
          <w:spacing w:val="10"/>
          <w:sz w:val="28"/>
          <w:szCs w:val="28"/>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8"/>
          <w:szCs w:val="28"/>
          <w:highlight w:val="none"/>
        </w:rPr>
        <w:t>贷款，融资机构将根据《中国人民银行南宁中心支行广西壮族自治区</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2"/>
          <w:sz w:val="28"/>
          <w:szCs w:val="28"/>
          <w:highlight w:val="none"/>
        </w:rPr>
        <w:t>财政厅关于推广线上“政采贷</w:t>
      </w:r>
      <w:r>
        <w:rPr>
          <w:rFonts w:hint="eastAsia" w:ascii="宋体" w:hAnsi="宋体" w:eastAsia="宋体" w:cs="宋体"/>
          <w:color w:val="auto"/>
          <w:spacing w:val="-112"/>
          <w:sz w:val="28"/>
          <w:szCs w:val="28"/>
          <w:highlight w:val="none"/>
        </w:rPr>
        <w:t xml:space="preserve"> </w:t>
      </w:r>
      <w:r>
        <w:rPr>
          <w:rFonts w:hint="eastAsia" w:ascii="宋体" w:hAnsi="宋体" w:eastAsia="宋体" w:cs="宋体"/>
          <w:color w:val="auto"/>
          <w:spacing w:val="2"/>
          <w:sz w:val="28"/>
          <w:szCs w:val="28"/>
          <w:highlight w:val="none"/>
        </w:rPr>
        <w:t>”融资模式的通知》（南宁银发〔202</w:t>
      </w:r>
      <w:r>
        <w:rPr>
          <w:rFonts w:hint="eastAsia" w:ascii="宋体" w:hAnsi="宋体" w:eastAsia="宋体" w:cs="宋体"/>
          <w:color w:val="auto"/>
          <w:spacing w:val="1"/>
          <w:sz w:val="28"/>
          <w:szCs w:val="28"/>
          <w:highlight w:val="none"/>
        </w:rPr>
        <w:t>1〕</w:t>
      </w:r>
      <w:r>
        <w:rPr>
          <w:rFonts w:hint="eastAsia" w:ascii="宋体" w:hAnsi="宋体" w:eastAsia="宋体" w:cs="宋体"/>
          <w:color w:val="auto"/>
          <w:spacing w:val="6"/>
          <w:sz w:val="28"/>
          <w:szCs w:val="28"/>
          <w:highlight w:val="none"/>
        </w:rPr>
        <w:t>258</w:t>
      </w:r>
      <w:r>
        <w:rPr>
          <w:rFonts w:hint="eastAsia" w:ascii="宋体" w:hAnsi="宋体" w:eastAsia="宋体" w:cs="宋体"/>
          <w:color w:val="auto"/>
          <w:spacing w:val="-45"/>
          <w:sz w:val="28"/>
          <w:szCs w:val="28"/>
          <w:highlight w:val="none"/>
        </w:rPr>
        <w:t xml:space="preserve"> </w:t>
      </w:r>
      <w:r>
        <w:rPr>
          <w:rFonts w:hint="eastAsia" w:ascii="宋体" w:hAnsi="宋体" w:eastAsia="宋体" w:cs="宋体"/>
          <w:color w:val="auto"/>
          <w:spacing w:val="6"/>
          <w:sz w:val="28"/>
          <w:szCs w:val="28"/>
          <w:highlight w:val="none"/>
        </w:rPr>
        <w:t>号</w:t>
      </w:r>
      <w:r>
        <w:rPr>
          <w:rFonts w:hint="eastAsia" w:ascii="宋体" w:hAnsi="宋体" w:eastAsia="宋体" w:cs="宋体"/>
          <w:color w:val="auto"/>
          <w:spacing w:val="27"/>
          <w:sz w:val="28"/>
          <w:szCs w:val="28"/>
          <w:highlight w:val="none"/>
        </w:rPr>
        <w:t>），</w:t>
      </w:r>
      <w:r>
        <w:rPr>
          <w:rFonts w:hint="eastAsia" w:ascii="宋体" w:hAnsi="宋体" w:eastAsia="宋体" w:cs="宋体"/>
          <w:color w:val="auto"/>
          <w:spacing w:val="6"/>
          <w:sz w:val="28"/>
          <w:szCs w:val="28"/>
          <w:highlight w:val="none"/>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相关金融产品和银行业金融机构联系方式，可在中征应收账款融</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3"/>
          <w:sz w:val="28"/>
          <w:szCs w:val="28"/>
          <w:highlight w:val="none"/>
        </w:rPr>
        <w:t>资</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70"/>
          <w:sz w:val="28"/>
          <w:szCs w:val="28"/>
          <w:highlight w:val="none"/>
        </w:rPr>
        <w:t xml:space="preserve"> </w:t>
      </w:r>
      <w:r>
        <w:rPr>
          <w:rFonts w:hint="eastAsia" w:ascii="宋体" w:hAnsi="宋体" w:eastAsia="宋体" w:cs="宋体"/>
          <w:color w:val="auto"/>
          <w:spacing w:val="-3"/>
          <w:sz w:val="28"/>
          <w:szCs w:val="28"/>
          <w:highlight w:val="none"/>
        </w:rPr>
        <w:t>务</w:t>
      </w:r>
      <w:r>
        <w:rPr>
          <w:rFonts w:hint="eastAsia" w:ascii="宋体" w:hAnsi="宋体" w:eastAsia="宋体" w:cs="宋体"/>
          <w:color w:val="auto"/>
          <w:spacing w:val="-76"/>
          <w:sz w:val="28"/>
          <w:szCs w:val="28"/>
          <w:highlight w:val="none"/>
        </w:rPr>
        <w:t xml:space="preserve"> </w:t>
      </w:r>
      <w:r>
        <w:rPr>
          <w:rFonts w:hint="eastAsia" w:ascii="宋体" w:hAnsi="宋体" w:eastAsia="宋体" w:cs="宋体"/>
          <w:color w:val="auto"/>
          <w:spacing w:val="-3"/>
          <w:sz w:val="28"/>
          <w:szCs w:val="28"/>
          <w:highlight w:val="none"/>
        </w:rPr>
        <w:t>平</w:t>
      </w:r>
      <w:r>
        <w:rPr>
          <w:rFonts w:hint="eastAsia" w:ascii="宋体" w:hAnsi="宋体" w:eastAsia="宋体" w:cs="宋体"/>
          <w:color w:val="auto"/>
          <w:spacing w:val="-49"/>
          <w:sz w:val="28"/>
          <w:szCs w:val="28"/>
          <w:highlight w:val="none"/>
        </w:rPr>
        <w:t xml:space="preserve"> </w:t>
      </w:r>
      <w:r>
        <w:rPr>
          <w:rFonts w:hint="eastAsia" w:ascii="宋体" w:hAnsi="宋体" w:eastAsia="宋体" w:cs="宋体"/>
          <w:color w:val="auto"/>
          <w:spacing w:val="-3"/>
          <w:sz w:val="28"/>
          <w:szCs w:val="28"/>
          <w:highlight w:val="none"/>
        </w:rPr>
        <w:t>台</w:t>
      </w:r>
      <w:r>
        <w:rPr>
          <w:rFonts w:hint="eastAsia" w:ascii="宋体" w:hAnsi="宋体" w:eastAsia="宋体" w:cs="宋体"/>
          <w:color w:val="auto"/>
          <w:spacing w:val="-73"/>
          <w:sz w:val="28"/>
          <w:szCs w:val="28"/>
          <w:highlight w:val="none"/>
        </w:rPr>
        <w:t xml:space="preserve"> </w:t>
      </w:r>
      <w:r>
        <w:rPr>
          <w:rFonts w:hint="eastAsia" w:ascii="宋体" w:hAnsi="宋体" w:eastAsia="宋体" w:cs="宋体"/>
          <w:color w:val="auto"/>
          <w:spacing w:val="-3"/>
          <w:sz w:val="28"/>
          <w:szCs w:val="28"/>
          <w:highlight w:val="none"/>
        </w:rPr>
        <w:t>查</w:t>
      </w:r>
      <w:r>
        <w:rPr>
          <w:rFonts w:hint="eastAsia" w:ascii="宋体" w:hAnsi="宋体" w:eastAsia="宋体" w:cs="宋体"/>
          <w:color w:val="auto"/>
          <w:spacing w:val="-80"/>
          <w:sz w:val="28"/>
          <w:szCs w:val="28"/>
          <w:highlight w:val="none"/>
        </w:rPr>
        <w:t xml:space="preserve"> </w:t>
      </w:r>
      <w:r>
        <w:rPr>
          <w:rFonts w:hint="eastAsia" w:ascii="宋体" w:hAnsi="宋体" w:eastAsia="宋体" w:cs="宋体"/>
          <w:color w:val="auto"/>
          <w:spacing w:val="-3"/>
          <w:sz w:val="28"/>
          <w:szCs w:val="28"/>
          <w:highlight w:val="none"/>
        </w:rPr>
        <w:t>询</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pacing w:val="-3"/>
          <w:sz w:val="28"/>
          <w:szCs w:val="28"/>
          <w:highlight w:val="none"/>
        </w:rPr>
        <w:t>（网</w:t>
      </w:r>
      <w:r>
        <w:rPr>
          <w:rFonts w:hint="eastAsia" w:ascii="宋体" w:hAnsi="宋体" w:eastAsia="宋体" w:cs="宋体"/>
          <w:color w:val="auto"/>
          <w:spacing w:val="-72"/>
          <w:sz w:val="28"/>
          <w:szCs w:val="28"/>
          <w:highlight w:val="none"/>
        </w:rPr>
        <w:t xml:space="preserve"> </w:t>
      </w:r>
      <w:r>
        <w:rPr>
          <w:rFonts w:hint="eastAsia" w:ascii="宋体" w:hAnsi="宋体" w:eastAsia="宋体" w:cs="宋体"/>
          <w:color w:val="auto"/>
          <w:spacing w:val="-3"/>
          <w:sz w:val="28"/>
          <w:szCs w:val="28"/>
          <w:highlight w:val="none"/>
        </w:rPr>
        <w:t>址</w:t>
      </w:r>
      <w:r>
        <w:rPr>
          <w:rFonts w:hint="eastAsia" w:ascii="宋体" w:hAnsi="宋体" w:eastAsia="宋体" w:cs="宋体"/>
          <w:color w:val="auto"/>
          <w:spacing w:val="-52"/>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92"/>
          <w:sz w:val="28"/>
          <w:szCs w:val="28"/>
          <w:highlight w:val="none"/>
        </w:rPr>
        <w:t xml:space="preserve"> </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"https://www.crcrfsp.com/"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3"/>
          <w:sz w:val="28"/>
          <w:szCs w:val="28"/>
          <w:highlight w:val="none"/>
          <w:u w:val="single" w:color="auto"/>
        </w:rPr>
        <w:t>https://www.crcrfsp.com/</w:t>
      </w:r>
      <w:r>
        <w:rPr>
          <w:rFonts w:hint="eastAsia" w:ascii="宋体" w:hAnsi="宋体" w:eastAsia="宋体" w:cs="宋体"/>
          <w:color w:val="auto"/>
          <w:spacing w:val="-3"/>
          <w:sz w:val="28"/>
          <w:szCs w:val="28"/>
          <w:highlight w:val="none"/>
          <w:u w:val="single" w:color="auto"/>
        </w:rPr>
        <w:fldChar w:fldCharType="end"/>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65"/>
          <w:sz w:val="28"/>
          <w:szCs w:val="28"/>
          <w:highlight w:val="none"/>
        </w:rPr>
        <w:t xml:space="preserve"> </w:t>
      </w:r>
      <w:r>
        <w:rPr>
          <w:rFonts w:hint="eastAsia" w:ascii="宋体" w:hAnsi="宋体" w:eastAsia="宋体" w:cs="宋体"/>
          <w:color w:val="auto"/>
          <w:spacing w:val="-3"/>
          <w:sz w:val="28"/>
          <w:szCs w:val="28"/>
          <w:highlight w:val="none"/>
        </w:rPr>
        <w:t>客</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服</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3"/>
          <w:sz w:val="28"/>
          <w:szCs w:val="28"/>
          <w:highlight w:val="none"/>
        </w:rPr>
        <w:t>电</w:t>
      </w:r>
      <w:r>
        <w:rPr>
          <w:rFonts w:hint="eastAsia" w:ascii="宋体" w:hAnsi="宋体" w:eastAsia="宋体" w:cs="宋体"/>
          <w:color w:val="auto"/>
          <w:spacing w:val="-79"/>
          <w:sz w:val="28"/>
          <w:szCs w:val="28"/>
          <w:highlight w:val="none"/>
        </w:rPr>
        <w:t xml:space="preserve"> </w:t>
      </w:r>
      <w:r>
        <w:rPr>
          <w:rFonts w:hint="eastAsia" w:ascii="宋体" w:hAnsi="宋体" w:eastAsia="宋体" w:cs="宋体"/>
          <w:color w:val="auto"/>
          <w:spacing w:val="-3"/>
          <w:sz w:val="28"/>
          <w:szCs w:val="28"/>
          <w:highlight w:val="none"/>
        </w:rPr>
        <w:t>话：</w:t>
      </w:r>
      <w:r>
        <w:rPr>
          <w:rFonts w:hint="eastAsia" w:ascii="宋体" w:hAnsi="宋体" w:eastAsia="宋体" w:cs="宋体"/>
          <w:color w:val="auto"/>
          <w:spacing w:val="3"/>
          <w:sz w:val="28"/>
          <w:szCs w:val="28"/>
          <w:highlight w:val="none"/>
        </w:rPr>
        <w:t>400-009-0001）。</w:t>
      </w:r>
    </w:p>
    <w:p w14:paraId="139FB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color w:val="auto"/>
          <w:sz w:val="28"/>
          <w:szCs w:val="28"/>
          <w:highlight w:val="none"/>
        </w:rPr>
        <w:sectPr>
          <w:footerReference r:id="rId10"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bookmarkStart w:id="6" w:name="_Toc21076"/>
      <w:bookmarkStart w:id="7" w:name="_Toc26919"/>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第三章 工程量清单及图纸</w:t>
      </w:r>
      <w:bookmarkEnd w:id="6"/>
      <w:bookmarkEnd w:id="7"/>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pacing w:val="-1"/>
          <w:sz w:val="28"/>
          <w:szCs w:val="28"/>
          <w:highlight w:val="none"/>
        </w:rPr>
      </w:pPr>
    </w:p>
    <w:p w14:paraId="28329CC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color w:val="auto"/>
          <w:sz w:val="28"/>
          <w:szCs w:val="28"/>
          <w:highlight w:val="none"/>
          <w:lang w:val="en-US" w:eastAsia="zh-CN"/>
        </w:rPr>
        <w:sectPr>
          <w:footerReference r:id="rId11" w:type="default"/>
          <w:pgSz w:w="11906" w:h="16839"/>
          <w:pgMar w:top="1440" w:right="1080" w:bottom="1440" w:left="1080" w:header="0" w:footer="1200" w:gutter="0"/>
          <w:pgNumType w:fmt="decimal"/>
          <w:cols w:space="720" w:num="1"/>
        </w:sectPr>
      </w:pPr>
      <w:r>
        <w:rPr>
          <w:rFonts w:hint="eastAsia" w:ascii="宋体" w:hAnsi="宋体" w:eastAsia="宋体" w:cs="宋体"/>
          <w:color w:val="auto"/>
          <w:spacing w:val="-1"/>
          <w:sz w:val="28"/>
          <w:szCs w:val="28"/>
          <w:highlight w:val="none"/>
        </w:rPr>
        <w:t>另册</w:t>
      </w:r>
      <w:r>
        <w:rPr>
          <w:rFonts w:hint="eastAsia" w:ascii="宋体" w:hAnsi="宋体" w:eastAsia="宋体" w:cs="宋体"/>
          <w:color w:val="auto"/>
          <w:sz w:val="28"/>
          <w:szCs w:val="28"/>
          <w:highlight w:val="none"/>
          <w:lang w:val="en-US" w:eastAsia="zh-CN"/>
        </w:rPr>
        <w:t>发放</w:t>
      </w:r>
    </w:p>
    <w:p w14:paraId="05839871">
      <w:pPr>
        <w:pStyle w:val="2"/>
        <w:spacing w:before="0" w:after="0" w:line="340" w:lineRule="exact"/>
        <w:jc w:val="center"/>
        <w:rPr>
          <w:b w:val="0"/>
          <w:color w:val="auto"/>
          <w:sz w:val="32"/>
          <w:szCs w:val="32"/>
          <w:highlight w:val="none"/>
        </w:rPr>
      </w:pPr>
      <w:r>
        <w:rPr>
          <w:rFonts w:hint="eastAsia"/>
          <w:color w:val="auto"/>
          <w:sz w:val="32"/>
          <w:szCs w:val="32"/>
          <w:highlight w:val="none"/>
        </w:rPr>
        <w:t>第四章 评审办法</w:t>
      </w:r>
    </w:p>
    <w:p w14:paraId="53A8CF3B">
      <w:pPr>
        <w:pStyle w:val="9"/>
        <w:spacing w:line="276" w:lineRule="auto"/>
        <w:ind w:firstLine="420" w:firstLineChars="200"/>
        <w:rPr>
          <w:rFonts w:hAnsi="宋体"/>
          <w:b/>
          <w:bCs/>
          <w:color w:val="auto"/>
          <w:szCs w:val="21"/>
          <w:highlight w:val="none"/>
        </w:rPr>
      </w:pPr>
      <w:r>
        <w:rPr>
          <w:rFonts w:hint="eastAsia" w:hAnsi="宋体"/>
          <w:b/>
          <w:bCs/>
          <w:color w:val="auto"/>
          <w:szCs w:val="21"/>
          <w:highlight w:val="none"/>
        </w:rPr>
        <w:t>一、评审依据及方式</w:t>
      </w:r>
    </w:p>
    <w:p w14:paraId="26A15BA9">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1.评审依据：磋商小组以磋商文件和响应文件为评审依据，对供应商的响应文件进行评审。</w:t>
      </w:r>
    </w:p>
    <w:p w14:paraId="211518F3">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2.评审方式：以封闭方式进行评审。</w:t>
      </w:r>
    </w:p>
    <w:p w14:paraId="794BE44A">
      <w:pPr>
        <w:pStyle w:val="9"/>
        <w:spacing w:line="276" w:lineRule="auto"/>
        <w:ind w:firstLine="420" w:firstLineChars="200"/>
        <w:rPr>
          <w:rFonts w:hint="eastAsia" w:hAnsi="宋体"/>
          <w:color w:val="auto"/>
          <w:szCs w:val="21"/>
          <w:highlight w:val="none"/>
        </w:rPr>
      </w:pPr>
      <w:r>
        <w:rPr>
          <w:rFonts w:hint="eastAsia" w:hAnsi="宋体"/>
          <w:color w:val="auto"/>
          <w:szCs w:val="21"/>
          <w:highlight w:val="none"/>
        </w:rPr>
        <w:t>3.采购人和采购代理机构、磋商小组成员要严格遵守政府采购相关法律制度，依法履行各自职责，公正、客观、审慎地组织和参与评审工作。</w:t>
      </w:r>
    </w:p>
    <w:p w14:paraId="3F989855">
      <w:pPr>
        <w:pStyle w:val="9"/>
        <w:spacing w:line="276" w:lineRule="auto"/>
        <w:ind w:firstLine="420" w:firstLineChars="200"/>
        <w:rPr>
          <w:rFonts w:hint="eastAsia" w:hAnsi="宋体"/>
          <w:b/>
          <w:bCs/>
          <w:color w:val="auto"/>
          <w:szCs w:val="21"/>
          <w:highlight w:val="none"/>
        </w:rPr>
      </w:pPr>
      <w:r>
        <w:rPr>
          <w:rFonts w:hint="eastAsia" w:hAnsi="宋体"/>
          <w:b/>
          <w:bCs/>
          <w:color w:val="auto"/>
          <w:szCs w:val="21"/>
          <w:highlight w:val="none"/>
        </w:rPr>
        <w:t>二、评审办法</w:t>
      </w:r>
    </w:p>
    <w:p w14:paraId="081F5590">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（一）对进入详评的，采用综合评分法。</w:t>
      </w:r>
    </w:p>
    <w:p w14:paraId="1FE3811E">
      <w:pPr>
        <w:pStyle w:val="9"/>
        <w:spacing w:line="276" w:lineRule="auto"/>
        <w:ind w:firstLine="420" w:firstLineChars="200"/>
        <w:rPr>
          <w:rFonts w:hint="eastAsia" w:hAnsi="宋体"/>
          <w:bCs/>
          <w:color w:val="auto"/>
          <w:szCs w:val="21"/>
          <w:highlight w:val="none"/>
        </w:rPr>
      </w:pPr>
      <w:r>
        <w:rPr>
          <w:rFonts w:hint="eastAsia" w:hAnsi="宋体"/>
          <w:bCs/>
          <w:color w:val="auto"/>
          <w:szCs w:val="21"/>
          <w:highlight w:val="none"/>
        </w:rPr>
        <w:t>（二）计分办法（按四舍五入取至小数点后二位）</w:t>
      </w:r>
    </w:p>
    <w:p w14:paraId="16A3A863">
      <w:pPr>
        <w:pStyle w:val="9"/>
        <w:spacing w:line="276" w:lineRule="auto"/>
        <w:ind w:firstLine="420" w:firstLineChars="200"/>
        <w:rPr>
          <w:rFonts w:hAnsi="宋体"/>
          <w:bCs/>
          <w:color w:val="auto"/>
          <w:szCs w:val="21"/>
          <w:highlight w:val="none"/>
        </w:rPr>
      </w:pPr>
      <w:r>
        <w:rPr>
          <w:rFonts w:hAnsi="宋体"/>
          <w:b/>
          <w:color w:val="auto"/>
          <w:szCs w:val="21"/>
          <w:highlight w:val="none"/>
        </w:rPr>
        <w:t>1</w:t>
      </w:r>
      <w:r>
        <w:rPr>
          <w:rFonts w:hint="eastAsia" w:hAnsi="宋体"/>
          <w:b/>
          <w:color w:val="auto"/>
          <w:szCs w:val="21"/>
          <w:highlight w:val="none"/>
        </w:rPr>
        <w:t>、</w:t>
      </w:r>
      <w:r>
        <w:rPr>
          <w:rFonts w:hint="eastAsia" w:hAnsi="宋体"/>
          <w:b/>
          <w:bCs/>
          <w:color w:val="auto"/>
          <w:szCs w:val="21"/>
          <w:highlight w:val="none"/>
        </w:rPr>
        <w:t>价格分……………………………………………………………………………………………满分30分</w:t>
      </w:r>
    </w:p>
    <w:p w14:paraId="36344168">
      <w:pPr>
        <w:spacing w:line="276" w:lineRule="auto"/>
        <w:ind w:firstLine="420"/>
        <w:rPr>
          <w:rFonts w:hint="eastAsia" w:ascii="宋体" w:hAnsi="宋体"/>
          <w:color w:val="auto"/>
          <w:szCs w:val="21"/>
          <w:highlight w:val="none"/>
        </w:rPr>
      </w:pPr>
      <w:r>
        <w:rPr>
          <w:rFonts w:hint="eastAsia" w:ascii="宋体" w:hAnsi="宋体"/>
          <w:color w:val="auto"/>
          <w:szCs w:val="21"/>
          <w:highlight w:val="none"/>
        </w:rPr>
        <w:t>（1）价格分采用低价优先法计算，即满足磋商文件要求且</w:t>
      </w:r>
      <w:r>
        <w:rPr>
          <w:rFonts w:ascii="宋体" w:hAnsi="宋体"/>
          <w:color w:val="auto"/>
          <w:szCs w:val="21"/>
          <w:highlight w:val="none"/>
        </w:rPr>
        <w:t>评审报价</w:t>
      </w:r>
      <w:r>
        <w:rPr>
          <w:rFonts w:hint="eastAsia" w:ascii="宋体" w:hAnsi="宋体"/>
          <w:color w:val="auto"/>
          <w:szCs w:val="21"/>
          <w:highlight w:val="none"/>
        </w:rPr>
        <w:t>最低的</w:t>
      </w:r>
      <w:r>
        <w:rPr>
          <w:rFonts w:ascii="宋体" w:hAnsi="宋体"/>
          <w:color w:val="auto"/>
          <w:szCs w:val="21"/>
          <w:highlight w:val="none"/>
        </w:rPr>
        <w:t>评审报价</w:t>
      </w:r>
      <w:r>
        <w:rPr>
          <w:rFonts w:hint="eastAsia" w:ascii="宋体" w:hAnsi="宋体"/>
          <w:color w:val="auto"/>
          <w:szCs w:val="21"/>
          <w:highlight w:val="none"/>
        </w:rPr>
        <w:t>为磋商基准价，其价格分为30分。</w:t>
      </w:r>
    </w:p>
    <w:p w14:paraId="691D773B">
      <w:pPr>
        <w:spacing w:line="276"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（2）价格分计算公式：</w:t>
      </w:r>
    </w:p>
    <w:p w14:paraId="637764DF">
      <w:pPr>
        <w:spacing w:line="276" w:lineRule="auto"/>
        <w:ind w:firstLine="3087" w:firstLineChars="1470"/>
        <w:jc w:val="left"/>
        <w:rPr>
          <w:rFonts w:ascii="宋体" w:hAnsi="宋体" w:cs="宋体"/>
          <w:bCs/>
          <w:color w:val="auto"/>
          <w:szCs w:val="21"/>
          <w:highlight w:val="none"/>
        </w:rPr>
      </w:pPr>
      <w:r>
        <w:rPr>
          <w:rFonts w:hint="eastAsia" w:hAnsi="宋体"/>
          <w:color w:val="auto"/>
          <w:szCs w:val="21"/>
          <w:highlight w:val="none"/>
        </w:rPr>
        <w:t xml:space="preserve">       </w:t>
      </w:r>
      <w:r>
        <w:rPr>
          <w:rFonts w:hint="eastAsia" w:hAnsi="宋体" w:eastAsia="宋体"/>
          <w:color w:val="auto"/>
          <w:szCs w:val="21"/>
          <w:highlight w:val="none"/>
          <w:lang w:val="en-US" w:eastAsia="zh-CN"/>
        </w:rPr>
        <w:t xml:space="preserve">   </w:t>
      </w:r>
      <w:r>
        <w:rPr>
          <w:rFonts w:hint="eastAsia" w:hAnsi="宋体"/>
          <w:color w:val="auto"/>
          <w:szCs w:val="21"/>
          <w:highlight w:val="none"/>
        </w:rPr>
        <w:t>磋商基准价</w:t>
      </w:r>
    </w:p>
    <w:p w14:paraId="6CAA6D02">
      <w:pPr>
        <w:spacing w:line="276" w:lineRule="auto"/>
        <w:ind w:firstLine="420" w:firstLineChars="2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5408;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某</w:t>
      </w:r>
      <w:r>
        <w:rPr>
          <w:rFonts w:hint="eastAsia" w:hAnsi="宋体"/>
          <w:color w:val="auto"/>
          <w:szCs w:val="21"/>
          <w:highlight w:val="none"/>
        </w:rPr>
        <w:t>供应商</w:t>
      </w:r>
      <w:r>
        <w:rPr>
          <w:rFonts w:hint="eastAsia" w:ascii="宋体" w:hAnsi="宋体" w:cs="宋体"/>
          <w:bCs/>
          <w:color w:val="auto"/>
          <w:szCs w:val="21"/>
          <w:highlight w:val="none"/>
        </w:rPr>
        <w:t>价格分 =                                         ×    30分</w:t>
      </w:r>
    </w:p>
    <w:p w14:paraId="090F20D0">
      <w:pPr>
        <w:spacing w:line="276"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                             某</w:t>
      </w:r>
      <w:r>
        <w:rPr>
          <w:rFonts w:hint="eastAsia" w:hAnsi="宋体"/>
          <w:color w:val="auto"/>
          <w:szCs w:val="21"/>
          <w:highlight w:val="none"/>
        </w:rPr>
        <w:t>供应商的评审报价</w:t>
      </w:r>
      <w:r>
        <w:rPr>
          <w:rFonts w:hint="eastAsia" w:ascii="宋体" w:hAnsi="宋体" w:cs="宋体"/>
          <w:bCs/>
          <w:color w:val="auto"/>
          <w:szCs w:val="21"/>
          <w:highlight w:val="none"/>
        </w:rPr>
        <w:t xml:space="preserve">          </w:t>
      </w:r>
    </w:p>
    <w:p w14:paraId="2E6ACD52">
      <w:pPr>
        <w:tabs>
          <w:tab w:val="left" w:pos="4214"/>
        </w:tabs>
        <w:spacing w:line="276" w:lineRule="auto"/>
        <w:ind w:firstLine="420" w:firstLineChars="200"/>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bCs/>
          <w:color w:val="auto"/>
          <w:szCs w:val="21"/>
          <w:highlight w:val="none"/>
        </w:rPr>
        <w:t>施工组织设计</w:t>
      </w:r>
      <w:r>
        <w:rPr>
          <w:rFonts w:hint="eastAsia" w:ascii="宋体" w:hAnsi="宋体"/>
          <w:b/>
          <w:color w:val="auto"/>
          <w:szCs w:val="21"/>
          <w:highlight w:val="none"/>
        </w:rPr>
        <w:t>……………………………………………………………………</w:t>
      </w:r>
      <w:r>
        <w:rPr>
          <w:rFonts w:hint="eastAsia" w:ascii="宋体" w:hAnsi="宋体"/>
          <w:b/>
          <w:bCs/>
          <w:color w:val="auto"/>
          <w:szCs w:val="21"/>
          <w:highlight w:val="none"/>
        </w:rPr>
        <w:t>………</w:t>
      </w:r>
      <w:r>
        <w:rPr>
          <w:rFonts w:hint="eastAsia" w:ascii="宋体" w:hAnsi="宋体"/>
          <w:b/>
          <w:color w:val="auto"/>
          <w:szCs w:val="21"/>
          <w:highlight w:val="none"/>
        </w:rPr>
        <w:t>……满分</w:t>
      </w: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p w14:paraId="7BD051C7">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（1）总体施工组织布置及规划（满分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1CABCC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301ADE2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1314AB40">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5B057AF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四档（0分）：总体概述（施工程序总体设想及施工段）</w:t>
      </w:r>
      <w:r>
        <w:rPr>
          <w:rFonts w:ascii="宋体" w:hAnsi="宋体"/>
          <w:bCs/>
          <w:color w:val="auto"/>
          <w:szCs w:val="21"/>
          <w:highlight w:val="none"/>
        </w:rPr>
        <w:t>对项目认识不足，表达不清晰，措施不具体；施工段划分不合理。</w:t>
      </w:r>
    </w:p>
    <w:p w14:paraId="2C4D5803">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（2）主要工程项目的施工方案、方法与技术措施（满分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w:t>
      </w:r>
    </w:p>
    <w:p w14:paraId="78E96BE2">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10</w:t>
      </w:r>
      <w:r>
        <w:rPr>
          <w:rFonts w:hint="eastAsia" w:ascii="宋体" w:hAnsi="宋体"/>
          <w:color w:val="auto"/>
          <w:szCs w:val="21"/>
          <w:highlight w:val="none"/>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6203CD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7</w:t>
      </w:r>
      <w:r>
        <w:rPr>
          <w:rFonts w:hint="eastAsia" w:ascii="宋体" w:hAnsi="宋体"/>
          <w:color w:val="auto"/>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74ACF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4</w:t>
      </w:r>
      <w:r>
        <w:rPr>
          <w:rFonts w:hint="eastAsia" w:ascii="宋体" w:hAnsi="宋体"/>
          <w:color w:val="auto"/>
          <w:szCs w:val="21"/>
          <w:highlight w:val="none"/>
        </w:rPr>
        <w:t>分）：主要工程的施工方案、方法与技术措施符合项目实际，有施工技术方案，工艺及方法基本可行，能指导具体施工。投入的施工材料有组织计划，满足施工需要。</w:t>
      </w:r>
    </w:p>
    <w:p w14:paraId="5E7CA15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四档（0分）：主要工程的施工方案、方法与技术措施</w:t>
      </w:r>
      <w:r>
        <w:rPr>
          <w:rFonts w:hint="eastAsia" w:ascii="宋体" w:hAnsi="宋体"/>
          <w:bCs/>
          <w:color w:val="auto"/>
          <w:szCs w:val="21"/>
          <w:highlight w:val="none"/>
        </w:rPr>
        <w:t>不能满足项目需求，没有施工技术方案，不能指导具体施工并确保安全。</w:t>
      </w:r>
    </w:p>
    <w:p w14:paraId="0B845E71">
      <w:pPr>
        <w:spacing w:line="276" w:lineRule="auto"/>
        <w:ind w:firstLine="420" w:firstLineChars="200"/>
        <w:rPr>
          <w:rFonts w:hint="eastAsia" w:ascii="宋体" w:hAnsi="宋体"/>
          <w:b/>
          <w:bCs/>
          <w:color w:val="auto"/>
          <w:szCs w:val="21"/>
          <w:highlight w:val="none"/>
        </w:rPr>
      </w:pPr>
    </w:p>
    <w:p w14:paraId="5C778449">
      <w:pPr>
        <w:spacing w:line="276" w:lineRule="auto"/>
        <w:ind w:firstLine="420" w:firstLineChars="200"/>
        <w:rPr>
          <w:rFonts w:hint="eastAsia" w:ascii="宋体" w:hAnsi="宋体"/>
          <w:b/>
          <w:bCs/>
          <w:color w:val="auto"/>
          <w:szCs w:val="21"/>
          <w:highlight w:val="none"/>
        </w:rPr>
      </w:pPr>
    </w:p>
    <w:p w14:paraId="69D260F5">
      <w:pPr>
        <w:spacing w:line="276" w:lineRule="auto"/>
        <w:ind w:firstLine="420" w:firstLineChars="200"/>
        <w:rPr>
          <w:rFonts w:hint="eastAsia" w:ascii="宋体" w:hAnsi="宋体"/>
          <w:b/>
          <w:bCs/>
          <w:color w:val="auto"/>
          <w:szCs w:val="21"/>
          <w:highlight w:val="none"/>
        </w:rPr>
      </w:pPr>
    </w:p>
    <w:p w14:paraId="24C1A618">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（3）人员及机械设备配置（满分6分）</w:t>
      </w:r>
    </w:p>
    <w:p w14:paraId="48AC354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管理人员、机械设备配置完全满足要求，各主要施工工序有详细周密的劳动力、施工机械、设备、机具的组织安排计划较好，劳动力投入合理，设备数量、选型配置、进场时间安排较合理，较好满足施工需要。</w:t>
      </w:r>
    </w:p>
    <w:p w14:paraId="5E023E4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二档（4分）：管理人员、机械设备配置满足要求，各主要施工工序有劳动力、施工机械、设备、机具的组织安排计划，劳动力投入合理，设备数量、选型配置、进场时间安排基本合理，满足施工需要。</w:t>
      </w:r>
    </w:p>
    <w:p w14:paraId="187638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三档（2分）：管理人员、机械设备配置满足要求，各主要施工工序应有劳动力、施工机械、设备、机具的组织安排计划，劳动力投入基本合理，设备数量、选型配置、进场时间安排欠合理，基本满足施工需要。</w:t>
      </w:r>
    </w:p>
    <w:p w14:paraId="4E80261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管理人员、机械设备配置基本满足要求，各主要施工工序应有劳动力、施工机械、设备、机具的组织安排计划，劳动力投入欠合理，设备数量、选型配置、进场时间安排不合理，不能完全满足施工需要。</w:t>
      </w:r>
    </w:p>
    <w:p w14:paraId="347CB8CD">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（4）工期保证体系及保证措施（满分6分）</w:t>
      </w:r>
    </w:p>
    <w:p w14:paraId="518B6C7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3D0CB26E">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二档（4分）：有工期保证体系，且工期保证措施基本满足要求。有控制工期的施工进度计划。有施工总进度表或施工网络图，各项计划图表编制基本完善，安排基本满足要求，基本符合本项目施工实际要求。</w:t>
      </w:r>
    </w:p>
    <w:p w14:paraId="2E8B827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三档（2分）：有工期保证体系、工期保证措施欠合理。有控制工期的施工进度计划。有施工总进度表或施工网络图，各项计划图表编制基本完善但欠合理，安排基本合理，基本符合本项目施工实际要求。</w:t>
      </w:r>
    </w:p>
    <w:p w14:paraId="2E57D9F9">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四档（0分）：有工期保证体系、工期保证措施不合理。有控制工期的施工进度计划。有施工总进度表或施工网络图，各项计划图表编制基本完善但不合理，安排不合理，不符合本项目施工实际要求。</w:t>
      </w:r>
    </w:p>
    <w:p w14:paraId="64F2BDE0">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（5）工程质量管理体系及保证措施（满分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29F0649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分）：有质量管理体系、保证措施可行较合理。主要工序有质量技术保证措施和手段，自控体系合理完整，能有效保证技术质量，达到承诺的质量标准。</w:t>
      </w:r>
    </w:p>
    <w:p w14:paraId="032EE1C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分）：有质量管理体系、保证措施可行合理。主要工序有质量技术保证措施和手段，自控体系完整，能保证技术质量，达到承诺的质量标准。</w:t>
      </w:r>
    </w:p>
    <w:p w14:paraId="26B3397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分）：有质量管理体系、保证措施基本可行合理。主要工序有质量技术保证措施，自控体系基本完整，能基本保证技术质量，达到承诺的质量标准。</w:t>
      </w:r>
    </w:p>
    <w:p w14:paraId="64B4B23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四档（0分）：质量管理体系、保证措施基本可行但欠合理。主要工序有质量技术保证措施欠合理，基本达到承诺的质量标准。</w:t>
      </w:r>
    </w:p>
    <w:p w14:paraId="3331D515">
      <w:pPr>
        <w:spacing w:line="276" w:lineRule="auto"/>
        <w:ind w:firstLine="420" w:firstLineChars="200"/>
        <w:rPr>
          <w:rFonts w:hint="eastAsia" w:ascii="宋体" w:hAnsi="宋体"/>
          <w:b/>
          <w:bCs/>
          <w:color w:val="auto"/>
          <w:szCs w:val="21"/>
          <w:highlight w:val="none"/>
        </w:rPr>
      </w:pPr>
      <w:r>
        <w:rPr>
          <w:rFonts w:hint="eastAsia" w:ascii="宋体" w:hAnsi="宋体"/>
          <w:b/>
          <w:bCs/>
          <w:color w:val="auto"/>
          <w:szCs w:val="21"/>
          <w:highlight w:val="none"/>
        </w:rPr>
        <w:t>（6）安全生产管理体系及保证措施（满分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184A0F2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分）：有安全生产管理体系、保证措施可行合理，各道工序安全技术措施针对性强，符合实际且满足有关安全技术标准要求。现场防火、应急救援、社会治安安全措施得力。</w:t>
      </w:r>
    </w:p>
    <w:p w14:paraId="05D918D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分）：有安全生产管理体系、保证措施可行合理，有各道工序安全技术措施，基本符合实际且有关安全技术标准要求。有现场防火、应急救援、社会治安安全措施。</w:t>
      </w:r>
    </w:p>
    <w:p w14:paraId="2172B623">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分）：有安全生产管理体系、保证措施基本可行，符合实际且基本满足有关安全技术标准要求。有现场防火、应急救援、社会治安安全措施。</w:t>
      </w:r>
    </w:p>
    <w:p w14:paraId="5BEDEBA4">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档（0分）：没有安全生产管理体系、保证措施基本，不符合实际不满足有关安全技术标准要求。没有现场防火、应急救援、社会治安安全措施。</w:t>
      </w:r>
    </w:p>
    <w:p w14:paraId="5A51735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（7）环境保护、水土保持保证体系及保证措施（满分</w:t>
      </w:r>
      <w:r>
        <w:rPr>
          <w:rFonts w:hint="eastAsia" w:ascii="宋体" w:hAnsi="宋体"/>
          <w:b/>
          <w:bCs/>
          <w:color w:val="auto"/>
          <w:szCs w:val="21"/>
          <w:highlight w:val="none"/>
          <w:lang w:val="en-US" w:eastAsia="zh-CN"/>
        </w:rPr>
        <w:t>6</w:t>
      </w:r>
      <w:r>
        <w:rPr>
          <w:rFonts w:hint="eastAsia" w:ascii="宋体" w:hAnsi="宋体"/>
          <w:b/>
          <w:bCs/>
          <w:color w:val="auto"/>
          <w:szCs w:val="21"/>
          <w:highlight w:val="none"/>
        </w:rPr>
        <w:t>分）</w:t>
      </w:r>
    </w:p>
    <w:p w14:paraId="6D34475F">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分）：有环境保护、水土保持保证体系、保证措施可行，针对本工程项目特点，有现场环境保护、水土保护措施，且各项措施内容周全、具体、有效。</w:t>
      </w:r>
    </w:p>
    <w:p w14:paraId="3B98C47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分）：有环境保护、水土保持保证体系、保证措施可行，针对本工程项目，有现场环境保护、水土保护措施。</w:t>
      </w:r>
    </w:p>
    <w:p w14:paraId="0696283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2</w:t>
      </w:r>
      <w:r>
        <w:rPr>
          <w:rFonts w:hint="eastAsia" w:ascii="宋体" w:hAnsi="宋体"/>
          <w:color w:val="auto"/>
          <w:szCs w:val="21"/>
          <w:highlight w:val="none"/>
        </w:rPr>
        <w:t>分）：有环境保护、水土保持保证体系、保证措施基本可行，有现场环境保护、水土保护措施。</w:t>
      </w:r>
    </w:p>
    <w:p w14:paraId="55007E0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四档（0分）：环境保护、水土保持保证体系、保证措施不</w:t>
      </w:r>
      <w:r>
        <w:rPr>
          <w:rFonts w:hint="eastAsia" w:ascii="宋体" w:hAnsi="宋体"/>
          <w:bCs/>
          <w:color w:val="auto"/>
          <w:kern w:val="0"/>
          <w:szCs w:val="21"/>
          <w:highlight w:val="none"/>
        </w:rPr>
        <w:t>可行。</w:t>
      </w:r>
    </w:p>
    <w:p w14:paraId="411A450C">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（8）文明施工、文物保护保证体系及保证措施（满分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5903ED7D">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分）：有文明施工、文物保护保证体系、保证措施可行。针对本工程项目特点，有现场文明施工、环境保护措施，且各项措施周全、具体、有效。有具体实现现场文明施工目标的承诺。</w:t>
      </w:r>
    </w:p>
    <w:p w14:paraId="071B5CD5">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二档（3分）：有文明施工、文物保护保证体系、保证措施可行。针对本工程项目特点，有现场文明施工、环境保护措施。有具体实现现场文明施工目标的承诺。</w:t>
      </w:r>
    </w:p>
    <w:p w14:paraId="54760EE8">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三档（1分）：有文明施工、文物保护保证体系、保证措施基本可行。有现场文明施工、环境保护措施，有文明施工目标的承诺。</w:t>
      </w:r>
    </w:p>
    <w:p w14:paraId="070504C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档（0分）：文明施工、文物保护保证体系、保证措施不可行。</w:t>
      </w:r>
    </w:p>
    <w:p w14:paraId="1BEE9307">
      <w:pPr>
        <w:spacing w:line="276" w:lineRule="auto"/>
        <w:ind w:firstLine="420" w:firstLineChars="200"/>
        <w:rPr>
          <w:rFonts w:hint="eastAsia" w:ascii="宋体" w:hAnsi="宋体"/>
          <w:color w:val="auto"/>
          <w:szCs w:val="21"/>
          <w:highlight w:val="none"/>
        </w:rPr>
      </w:pPr>
      <w:r>
        <w:rPr>
          <w:rFonts w:hint="eastAsia" w:ascii="宋体" w:hAnsi="宋体"/>
          <w:b/>
          <w:bCs/>
          <w:color w:val="auto"/>
          <w:szCs w:val="21"/>
          <w:highlight w:val="none"/>
        </w:rPr>
        <w:t>（9）项目风险预测与防范，事故应急预案（满分</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p w14:paraId="327CAA81">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分）：有项目风险预测与防范，事故应急预案。针对本工程项目特点，有较好的风险预测和应急预案及防范风险事故措施，且各项措施周全、具体、有效。</w:t>
      </w:r>
    </w:p>
    <w:p w14:paraId="36B956FA">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3</w:t>
      </w:r>
      <w:r>
        <w:rPr>
          <w:rFonts w:hint="eastAsia" w:ascii="宋体" w:hAnsi="宋体"/>
          <w:color w:val="auto"/>
          <w:szCs w:val="21"/>
          <w:highlight w:val="none"/>
        </w:rPr>
        <w:t>分）：有项目风险预测与防范，事故应急预案。针对本工程项目特点，有风险预测和应急预案及防范风险事故措施，且各项措施具体。</w:t>
      </w:r>
    </w:p>
    <w:p w14:paraId="77590ABB">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三档（1分）：有项目风险预测与防范，事故应急预案。有风险预测和应急预案及防范风险事故措施。</w:t>
      </w:r>
    </w:p>
    <w:p w14:paraId="26586A59">
      <w:pPr>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四档（0分）：有项目风险预测与防范，事故应急预案但欠合理。有风险预测和应急预案及防范风险事故措施但欠合理。</w:t>
      </w:r>
    </w:p>
    <w:p w14:paraId="2CDD8CD8">
      <w:pPr>
        <w:spacing w:line="276" w:lineRule="auto"/>
        <w:ind w:firstLine="420" w:firstLineChars="200"/>
        <w:jc w:val="left"/>
        <w:rPr>
          <w:rFonts w:hint="eastAsia" w:hAnsi="宋体"/>
          <w:b/>
          <w:color w:val="auto"/>
          <w:szCs w:val="21"/>
          <w:highlight w:val="none"/>
        </w:rPr>
      </w:pPr>
      <w:r>
        <w:rPr>
          <w:rFonts w:hint="eastAsia" w:hAnsi="宋体"/>
          <w:b/>
          <w:color w:val="auto"/>
          <w:szCs w:val="21"/>
          <w:highlight w:val="none"/>
        </w:rPr>
        <w:t>3、业绩分………………………………………………………………</w:t>
      </w:r>
      <w:r>
        <w:rPr>
          <w:rFonts w:hint="eastAsia" w:hAnsi="宋体"/>
          <w:b/>
          <w:bCs/>
          <w:color w:val="auto"/>
          <w:szCs w:val="21"/>
          <w:highlight w:val="none"/>
        </w:rPr>
        <w:t>……</w:t>
      </w:r>
      <w:r>
        <w:rPr>
          <w:rFonts w:hint="eastAsia" w:hAnsi="宋体"/>
          <w:b/>
          <w:color w:val="auto"/>
          <w:szCs w:val="21"/>
          <w:highlight w:val="none"/>
        </w:rPr>
        <w:t>………………………满分</w:t>
      </w:r>
      <w:r>
        <w:rPr>
          <w:rFonts w:hint="eastAsia" w:hAnsi="宋体"/>
          <w:b/>
          <w:color w:val="auto"/>
          <w:szCs w:val="21"/>
          <w:highlight w:val="none"/>
          <w:lang w:val="en-US" w:eastAsia="zh-CN"/>
        </w:rPr>
        <w:t>1</w:t>
      </w:r>
      <w:r>
        <w:rPr>
          <w:rFonts w:hint="eastAsia" w:hAnsi="宋体"/>
          <w:b/>
          <w:color w:val="auto"/>
          <w:szCs w:val="21"/>
          <w:highlight w:val="none"/>
        </w:rPr>
        <w:t>0分</w:t>
      </w:r>
    </w:p>
    <w:p w14:paraId="550E8DE0">
      <w:pPr>
        <w:tabs>
          <w:tab w:val="left" w:pos="4214"/>
        </w:tabs>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供应商202</w:t>
      </w:r>
      <w:r>
        <w:rPr>
          <w:rFonts w:hint="eastAsia" w:ascii="宋体" w:hAnsi="宋体" w:eastAsia="宋体"/>
          <w:bCs/>
          <w:color w:val="auto"/>
          <w:szCs w:val="21"/>
          <w:highlight w:val="none"/>
          <w:lang w:val="en-US" w:eastAsia="zh-CN"/>
        </w:rPr>
        <w:t>2</w:t>
      </w:r>
      <w:r>
        <w:rPr>
          <w:rFonts w:hint="eastAsia" w:ascii="宋体" w:hAnsi="宋体"/>
          <w:bCs/>
          <w:color w:val="auto"/>
          <w:szCs w:val="21"/>
          <w:highlight w:val="none"/>
        </w:rPr>
        <w:t>年以来具有</w:t>
      </w:r>
      <w:r>
        <w:rPr>
          <w:rFonts w:hint="eastAsia" w:ascii="宋体" w:hAnsi="宋体" w:eastAsia="宋体"/>
          <w:color w:val="auto"/>
          <w:szCs w:val="21"/>
          <w:highlight w:val="none"/>
          <w:lang w:val="en-US" w:eastAsia="zh-CN"/>
        </w:rPr>
        <w:t>公路</w:t>
      </w:r>
      <w:r>
        <w:rPr>
          <w:rFonts w:ascii="宋体" w:hAnsi="宋体"/>
          <w:color w:val="auto"/>
          <w:szCs w:val="21"/>
          <w:highlight w:val="none"/>
        </w:rPr>
        <w:t>工程</w:t>
      </w:r>
      <w:r>
        <w:rPr>
          <w:rFonts w:hint="eastAsia" w:ascii="宋体" w:hAnsi="宋体"/>
          <w:color w:val="auto"/>
          <w:szCs w:val="21"/>
          <w:highlight w:val="none"/>
        </w:rPr>
        <w:t>类似业绩</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分[（业绩证明材料须提供中标（成交）通知书或施工承包合同协议书复印并加盖供应商公章（CA签章）]。</w:t>
      </w:r>
    </w:p>
    <w:p w14:paraId="3711CE13">
      <w:pPr>
        <w:tabs>
          <w:tab w:val="left" w:pos="4214"/>
        </w:tabs>
        <w:spacing w:line="276" w:lineRule="auto"/>
        <w:ind w:firstLine="420" w:firstLineChars="200"/>
        <w:rPr>
          <w:rFonts w:ascii="宋体" w:hAnsi="宋体"/>
          <w:b/>
          <w:color w:val="auto"/>
          <w:w w:val="150"/>
          <w:szCs w:val="21"/>
          <w:highlight w:val="none"/>
        </w:rPr>
      </w:pPr>
      <w:r>
        <w:rPr>
          <w:rFonts w:hint="eastAsia" w:ascii="宋体" w:hAnsi="宋体"/>
          <w:b/>
          <w:color w:val="auto"/>
          <w:szCs w:val="21"/>
          <w:highlight w:val="none"/>
        </w:rPr>
        <w:t>4、综合得分＝</w:t>
      </w:r>
      <w:r>
        <w:rPr>
          <w:rFonts w:hint="eastAsia" w:ascii="宋体" w:hAnsi="宋体"/>
          <w:b/>
          <w:color w:val="auto"/>
          <w:w w:val="150"/>
          <w:szCs w:val="21"/>
          <w:highlight w:val="none"/>
        </w:rPr>
        <w:t>1+2+3</w:t>
      </w:r>
    </w:p>
    <w:p w14:paraId="69A503C6">
      <w:pPr>
        <w:pStyle w:val="9"/>
        <w:tabs>
          <w:tab w:val="left" w:pos="4214"/>
        </w:tabs>
        <w:spacing w:line="276" w:lineRule="auto"/>
        <w:ind w:firstLine="420" w:firstLineChars="200"/>
        <w:rPr>
          <w:rFonts w:hint="eastAsia" w:hAnsi="宋体"/>
          <w:b/>
          <w:color w:val="auto"/>
          <w:szCs w:val="21"/>
          <w:highlight w:val="none"/>
        </w:rPr>
      </w:pPr>
      <w:r>
        <w:rPr>
          <w:rFonts w:hint="eastAsia" w:hAnsi="宋体"/>
          <w:b/>
          <w:color w:val="auto"/>
          <w:szCs w:val="21"/>
          <w:highlight w:val="none"/>
        </w:rPr>
        <w:t>三、推荐及确定成交候选供应商原则</w:t>
      </w:r>
    </w:p>
    <w:p w14:paraId="5E777D88">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BC09B21">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（2）采购单位应当确定磋商小组推荐排名第一的成交候选供应商为成交供应商。</w:t>
      </w:r>
    </w:p>
    <w:p w14:paraId="00179C47">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（3）排名第一的成交候选供应商放弃成交、因不可抗力提出不能履行合同，或因失信行为被取消成交候选人资格的，采购单位可以确定排名第二的成交候选供应商为成交供应商</w:t>
      </w:r>
      <w:r>
        <w:rPr>
          <w:rFonts w:ascii="宋体" w:hAnsi="宋体"/>
          <w:color w:val="auto"/>
          <w:szCs w:val="21"/>
          <w:highlight w:val="none"/>
        </w:rPr>
        <w:t>或重新采购。</w:t>
      </w:r>
    </w:p>
    <w:p w14:paraId="0C3F10B9">
      <w:pPr>
        <w:tabs>
          <w:tab w:val="left" w:pos="1140"/>
        </w:tabs>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排名第二的成交候选供应商因前款规定的同样原因不能签订合同的，采购单位可以确定排名第三的成交候选人为成交供应商</w:t>
      </w:r>
      <w:r>
        <w:rPr>
          <w:rFonts w:ascii="宋体" w:hAnsi="宋体"/>
          <w:color w:val="auto"/>
          <w:szCs w:val="21"/>
          <w:highlight w:val="none"/>
        </w:rPr>
        <w:t>或重新采购</w:t>
      </w:r>
      <w:r>
        <w:rPr>
          <w:rFonts w:hint="eastAsia" w:ascii="宋体" w:hAnsi="宋体"/>
          <w:color w:val="auto"/>
          <w:szCs w:val="21"/>
          <w:highlight w:val="none"/>
        </w:rPr>
        <w:t>。</w:t>
      </w:r>
    </w:p>
    <w:p w14:paraId="480397EF">
      <w:pPr>
        <w:tabs>
          <w:tab w:val="left" w:pos="1140"/>
        </w:tabs>
        <w:spacing w:line="276" w:lineRule="auto"/>
        <w:ind w:firstLine="420" w:firstLineChars="200"/>
        <w:rPr>
          <w:rFonts w:ascii="宋体" w:hAnsi="宋体"/>
          <w:b/>
          <w:color w:val="auto"/>
          <w:szCs w:val="21"/>
          <w:highlight w:val="none"/>
        </w:rPr>
      </w:pPr>
      <w:r>
        <w:rPr>
          <w:rFonts w:hint="eastAsia" w:ascii="宋体" w:hAnsi="宋体"/>
          <w:b/>
          <w:color w:val="auto"/>
          <w:szCs w:val="21"/>
          <w:highlight w:val="none"/>
        </w:rPr>
        <w:t>四、特别说明</w:t>
      </w:r>
    </w:p>
    <w:p w14:paraId="4DB8B687">
      <w:pPr>
        <w:tabs>
          <w:tab w:val="left" w:pos="1140"/>
        </w:tabs>
        <w:spacing w:line="276" w:lineRule="auto"/>
        <w:ind w:firstLine="420" w:firstLineChars="200"/>
        <w:rPr>
          <w:rFonts w:hint="eastAsia" w:ascii="宋体" w:hAnsi="宋体"/>
          <w:b/>
          <w:bCs/>
          <w:color w:val="auto"/>
          <w:szCs w:val="21"/>
          <w:highlight w:val="none"/>
          <w:u w:val="double"/>
        </w:rPr>
      </w:pPr>
      <w:r>
        <w:rPr>
          <w:rFonts w:hint="eastAsia" w:ascii="宋体" w:hAnsi="宋体"/>
          <w:b/>
          <w:bCs/>
          <w:color w:val="auto"/>
          <w:szCs w:val="21"/>
          <w:highlight w:val="none"/>
          <w:u w:val="double"/>
        </w:rPr>
        <w:t>评审时，磋商小组</w:t>
      </w:r>
      <w:r>
        <w:rPr>
          <w:rFonts w:ascii="宋体" w:hAnsi="宋体"/>
          <w:b/>
          <w:bCs/>
          <w:color w:val="auto"/>
          <w:szCs w:val="21"/>
          <w:highlight w:val="none"/>
          <w:u w:val="double"/>
        </w:rPr>
        <w:t>认为</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的报价明显低于其他通过符合性审查</w:t>
      </w:r>
      <w:r>
        <w:rPr>
          <w:rFonts w:hint="eastAsia" w:ascii="宋体" w:hAnsi="宋体"/>
          <w:b/>
          <w:bCs/>
          <w:color w:val="auto"/>
          <w:szCs w:val="21"/>
          <w:highlight w:val="none"/>
          <w:u w:val="double"/>
        </w:rPr>
        <w:t>供应商</w:t>
      </w:r>
      <w:r>
        <w:rPr>
          <w:rFonts w:ascii="宋体" w:hAnsi="宋体"/>
          <w:b/>
          <w:bCs/>
          <w:color w:val="auto"/>
          <w:szCs w:val="21"/>
          <w:highlight w:val="none"/>
          <w:u w:val="double"/>
        </w:rPr>
        <w:t>的报价，有可能影响产品质量或者不能诚信履约的，应当要求其在评标现场合理的时间内提供书面说明，必要时提交相关证明材料；</w:t>
      </w:r>
      <w:r>
        <w:rPr>
          <w:rFonts w:hint="eastAsia" w:ascii="宋体" w:hAnsi="宋体"/>
          <w:b/>
          <w:bCs/>
          <w:color w:val="auto"/>
          <w:szCs w:val="21"/>
          <w:highlight w:val="none"/>
          <w:u w:val="double"/>
        </w:rPr>
        <w:t>供应商</w:t>
      </w:r>
      <w:r>
        <w:rPr>
          <w:rFonts w:ascii="宋体" w:hAnsi="宋体"/>
          <w:b/>
          <w:bCs/>
          <w:color w:val="auto"/>
          <w:szCs w:val="21"/>
          <w:highlight w:val="none"/>
          <w:u w:val="double"/>
        </w:rPr>
        <w:t>不能证明其报价合理性的，</w:t>
      </w:r>
      <w:r>
        <w:rPr>
          <w:rFonts w:hint="eastAsia" w:ascii="宋体" w:hAnsi="宋体"/>
          <w:b/>
          <w:bCs/>
          <w:color w:val="auto"/>
          <w:szCs w:val="21"/>
          <w:highlight w:val="none"/>
          <w:u w:val="double"/>
        </w:rPr>
        <w:t>磋商小组</w:t>
      </w:r>
      <w:r>
        <w:rPr>
          <w:rFonts w:ascii="宋体" w:hAnsi="宋体"/>
          <w:b/>
          <w:bCs/>
          <w:color w:val="auto"/>
          <w:szCs w:val="21"/>
          <w:highlight w:val="none"/>
          <w:u w:val="double"/>
        </w:rPr>
        <w:t>应当将其作为无效投标处理。</w:t>
      </w:r>
    </w:p>
    <w:p w14:paraId="4268D4D9">
      <w:pPr>
        <w:rPr>
          <w:color w:val="auto"/>
          <w:highlight w:val="none"/>
        </w:rPr>
      </w:pPr>
    </w:p>
    <w:p w14:paraId="6A414B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12" w:type="default"/>
          <w:pgSz w:w="11906" w:h="16839"/>
          <w:pgMar w:top="1431" w:right="1135" w:bottom="1362" w:left="1140" w:header="0" w:footer="1200" w:gutter="0"/>
          <w:pgNumType w:fmt="decimal"/>
          <w:cols w:space="720" w:num="1"/>
        </w:sectPr>
      </w:pPr>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color w:val="auto"/>
          <w:sz w:val="28"/>
          <w:szCs w:val="28"/>
          <w:highlight w:val="none"/>
        </w:rPr>
      </w:pPr>
      <w:bookmarkStart w:id="8" w:name="_Toc5396"/>
      <w:bookmarkStart w:id="9" w:name="_Toc5122"/>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第五章</w:t>
      </w:r>
      <w:r>
        <w:rPr>
          <w:rFonts w:hint="eastAsia" w:ascii="宋体" w:hAnsi="宋体" w:eastAsia="宋体" w:cs="宋体"/>
          <w:color w:val="auto"/>
          <w:spacing w:val="9"/>
          <w:sz w:val="28"/>
          <w:szCs w:val="28"/>
          <w:highlight w:val="none"/>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合同（合同主要条款及格式）</w:t>
      </w:r>
      <w:bookmarkEnd w:id="8"/>
      <w:bookmarkEnd w:id="9"/>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BA613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3500AD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6A7FD5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932" w:firstLineChars="200"/>
        <w:jc w:val="center"/>
        <w:textAlignment w:val="baseline"/>
        <w:rPr>
          <w:rFonts w:hint="eastAsia" w:ascii="宋体" w:hAnsi="宋体" w:eastAsia="宋体" w:cs="宋体"/>
          <w:b/>
          <w:color w:val="auto"/>
          <w:spacing w:val="21"/>
          <w:kern w:val="0"/>
          <w:sz w:val="48"/>
          <w:szCs w:val="48"/>
          <w:highlight w:val="none"/>
        </w:rPr>
      </w:pPr>
      <w:r>
        <w:rPr>
          <w:rFonts w:hint="eastAsia" w:ascii="宋体" w:hAnsi="宋体" w:eastAsia="宋体" w:cs="宋体"/>
          <w:b/>
          <w:color w:val="auto"/>
          <w:spacing w:val="-8"/>
          <w:sz w:val="48"/>
          <w:szCs w:val="48"/>
          <w:highlight w:val="none"/>
        </w:rPr>
        <w:t>施 工 合 同</w:t>
      </w:r>
    </w:p>
    <w:p w14:paraId="2C36A5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textAlignment w:val="baseline"/>
        <w:rPr>
          <w:rFonts w:hint="eastAsia" w:ascii="宋体" w:hAnsi="宋体" w:eastAsia="宋体" w:cs="宋体"/>
          <w:b/>
          <w:color w:val="auto"/>
          <w:spacing w:val="21"/>
          <w:kern w:val="0"/>
          <w:sz w:val="24"/>
          <w:szCs w:val="24"/>
          <w:highlight w:val="none"/>
        </w:rPr>
      </w:pPr>
    </w:p>
    <w:p w14:paraId="1D8F05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B7125C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4A4B830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D0117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F7F1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675A92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26594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7FBCA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auto"/>
          <w:spacing w:val="21"/>
          <w:kern w:val="0"/>
          <w:sz w:val="24"/>
          <w:szCs w:val="24"/>
          <w:highlight w:val="none"/>
        </w:rPr>
      </w:pPr>
    </w:p>
    <w:p w14:paraId="186C80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6" w:firstLineChars="200"/>
        <w:textAlignment w:val="baseline"/>
        <w:rPr>
          <w:rFonts w:hint="eastAsia" w:ascii="宋体" w:hAnsi="宋体" w:eastAsia="宋体" w:cs="宋体"/>
          <w:b/>
          <w:bCs/>
          <w:color w:val="auto"/>
          <w:w w:val="80"/>
          <w:sz w:val="28"/>
          <w:szCs w:val="28"/>
          <w:highlight w:val="none"/>
        </w:rPr>
      </w:pPr>
      <w:r>
        <w:rPr>
          <w:rFonts w:hint="eastAsia" w:ascii="宋体" w:hAnsi="宋体" w:eastAsia="宋体" w:cs="宋体"/>
          <w:b/>
          <w:color w:val="auto"/>
          <w:spacing w:val="21"/>
          <w:kern w:val="0"/>
          <w:sz w:val="28"/>
          <w:szCs w:val="28"/>
          <w:highlight w:val="none"/>
        </w:rPr>
        <w:t>建设单位</w:t>
      </w:r>
      <w:r>
        <w:rPr>
          <w:rFonts w:hint="eastAsia" w:ascii="宋体" w:hAnsi="宋体" w:eastAsia="宋体" w:cs="宋体"/>
          <w:b/>
          <w:color w:val="auto"/>
          <w:kern w:val="0"/>
          <w:sz w:val="28"/>
          <w:szCs w:val="28"/>
          <w:highlight w:val="none"/>
        </w:rPr>
        <w:t>：</w:t>
      </w:r>
      <w:bookmarkStart w:id="10" w:name="_Toc176346713"/>
      <w:bookmarkStart w:id="11" w:name="_Toc176345742"/>
      <w:bookmarkStart w:id="12" w:name="_Toc176346602"/>
      <w:bookmarkStart w:id="13" w:name="_Toc176346915"/>
    </w:p>
    <w:p w14:paraId="18E9AE45">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left="0" w:leftChars="0" w:right="0" w:firstLine="646" w:firstLineChars="200"/>
        <w:textAlignment w:val="baseline"/>
        <w:outlineLvl w:val="0"/>
        <w:rPr>
          <w:rFonts w:hint="eastAsia" w:ascii="宋体" w:hAnsi="宋体" w:eastAsia="宋体" w:cs="宋体"/>
          <w:b/>
          <w:color w:val="auto"/>
          <w:spacing w:val="21"/>
          <w:kern w:val="0"/>
          <w:sz w:val="28"/>
          <w:szCs w:val="28"/>
          <w:highlight w:val="none"/>
        </w:rPr>
      </w:pPr>
      <w:bookmarkStart w:id="14" w:name="_Toc230750038"/>
      <w:bookmarkStart w:id="15" w:name="_Toc216581139"/>
      <w:bookmarkStart w:id="16" w:name="_Toc216514265"/>
      <w:bookmarkStart w:id="17" w:name="_Toc25976"/>
      <w:bookmarkStart w:id="18" w:name="_Toc230334102"/>
      <w:bookmarkStart w:id="19" w:name="_Toc240686780"/>
      <w:bookmarkStart w:id="20" w:name="_Toc216581380"/>
      <w:r>
        <w:rPr>
          <w:rFonts w:hint="eastAsia" w:ascii="宋体" w:hAnsi="宋体" w:eastAsia="宋体" w:cs="宋体"/>
          <w:b/>
          <w:color w:val="auto"/>
          <w:spacing w:val="21"/>
          <w:kern w:val="0"/>
          <w:sz w:val="28"/>
          <w:szCs w:val="28"/>
          <w:highlight w:val="none"/>
        </w:rPr>
        <w:t>施工单位：</w:t>
      </w:r>
      <w:bookmarkEnd w:id="10"/>
      <w:bookmarkEnd w:id="11"/>
      <w:bookmarkEnd w:id="12"/>
      <w:bookmarkEnd w:id="13"/>
      <w:bookmarkEnd w:id="14"/>
      <w:bookmarkEnd w:id="15"/>
      <w:bookmarkEnd w:id="16"/>
      <w:bookmarkEnd w:id="17"/>
      <w:bookmarkEnd w:id="18"/>
      <w:bookmarkEnd w:id="19"/>
      <w:bookmarkEnd w:id="20"/>
      <w:bookmarkStart w:id="21" w:name="_Toc240686781"/>
      <w:bookmarkStart w:id="22" w:name="_Toc230334103"/>
      <w:bookmarkStart w:id="23" w:name="_Toc230750039"/>
    </w:p>
    <w:p w14:paraId="47749FCA">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right="0" w:firstLine="538" w:firstLineChars="200"/>
        <w:textAlignment w:val="baseline"/>
        <w:outlineLvl w:val="0"/>
        <w:rPr>
          <w:rFonts w:hint="eastAsia" w:ascii="宋体" w:hAnsi="宋体" w:eastAsia="宋体" w:cs="宋体"/>
          <w:b/>
          <w:color w:val="auto"/>
          <w:spacing w:val="-6"/>
          <w:kern w:val="0"/>
          <w:sz w:val="28"/>
          <w:szCs w:val="28"/>
          <w:highlight w:val="none"/>
        </w:rPr>
      </w:pPr>
      <w:bookmarkStart w:id="24" w:name="_Toc17200"/>
      <w:r>
        <w:rPr>
          <w:rFonts w:hint="eastAsia" w:ascii="宋体" w:hAnsi="宋体" w:eastAsia="宋体" w:cs="宋体"/>
          <w:b/>
          <w:color w:val="auto"/>
          <w:spacing w:val="-6"/>
          <w:kern w:val="0"/>
          <w:sz w:val="28"/>
          <w:szCs w:val="28"/>
          <w:highlight w:val="none"/>
        </w:rPr>
        <w:t>日     期：</w:t>
      </w:r>
      <w:bookmarkEnd w:id="21"/>
      <w:bookmarkEnd w:id="22"/>
      <w:bookmarkEnd w:id="23"/>
      <w:bookmarkEnd w:id="24"/>
    </w:p>
    <w:p w14:paraId="7E2BF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jc w:val="center"/>
        <w:textAlignment w:val="baseline"/>
        <w:rPr>
          <w:rFonts w:hint="eastAsia" w:ascii="宋体" w:hAnsi="宋体" w:eastAsia="宋体" w:cs="宋体"/>
          <w:color w:val="auto"/>
          <w:sz w:val="28"/>
          <w:szCs w:val="28"/>
          <w:highlight w:val="none"/>
        </w:rPr>
        <w:sectPr>
          <w:footerReference r:id="rId16" w:type="first"/>
          <w:headerReference r:id="rId13" w:type="default"/>
          <w:footerReference r:id="rId14" w:type="default"/>
          <w:footerReference r:id="rId15" w:type="even"/>
          <w:pgSz w:w="11906" w:h="16838"/>
          <w:pgMar w:top="1440" w:right="1418" w:bottom="1440" w:left="1418" w:header="851" w:footer="992" w:gutter="0"/>
          <w:pgNumType w:fmt="decimal"/>
          <w:cols w:space="720" w:num="1"/>
          <w:titlePg/>
          <w:docGrid w:linePitch="312" w:charSpace="0"/>
        </w:sect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（发包人名称</w:t>
      </w:r>
      <w:r>
        <w:rPr>
          <w:rFonts w:hint="eastAsia" w:ascii="宋体" w:hAnsi="宋体" w:eastAsia="宋体" w:cs="宋体"/>
          <w:color w:val="auto"/>
          <w:spacing w:val="-60"/>
          <w:sz w:val="22"/>
          <w:szCs w:val="22"/>
          <w:highlight w:val="none"/>
        </w:rPr>
        <w:t>，</w:t>
      </w:r>
      <w:r>
        <w:rPr>
          <w:rFonts w:hint="eastAsia" w:ascii="宋体" w:hAnsi="宋体" w:eastAsia="宋体" w:cs="宋体"/>
          <w:color w:val="auto"/>
          <w:sz w:val="22"/>
          <w:szCs w:val="22"/>
          <w:highlight w:val="none"/>
        </w:rPr>
        <w:t>以下简称“发包人</w:t>
      </w:r>
      <w:r>
        <w:rPr>
          <w:rFonts w:hint="eastAsia" w:ascii="宋体" w:hAnsi="宋体" w:eastAsia="宋体" w:cs="宋体"/>
          <w:color w:val="auto"/>
          <w:spacing w:val="-30"/>
          <w:sz w:val="22"/>
          <w:szCs w:val="22"/>
          <w:highlight w:val="none"/>
        </w:rPr>
        <w:t>”）</w:t>
      </w:r>
      <w:r>
        <w:rPr>
          <w:rFonts w:hint="eastAsia" w:ascii="宋体" w:hAnsi="宋体" w:eastAsia="宋体" w:cs="宋体"/>
          <w:color w:val="auto"/>
          <w:sz w:val="22"/>
          <w:szCs w:val="22"/>
          <w:highlight w:val="none"/>
        </w:rPr>
        <w:t>为实施</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w:t>
      </w:r>
      <w:r>
        <w:rPr>
          <w:rFonts w:hint="eastAsia" w:ascii="宋体" w:hAnsi="宋体" w:eastAsia="宋体" w:cs="宋体"/>
          <w:color w:val="auto"/>
          <w:spacing w:val="-15"/>
          <w:sz w:val="22"/>
          <w:szCs w:val="22"/>
          <w:highlight w:val="none"/>
        </w:rPr>
        <w:t>项</w:t>
      </w:r>
      <w:r>
        <w:rPr>
          <w:rFonts w:hint="eastAsia" w:ascii="宋体" w:hAnsi="宋体" w:eastAsia="宋体" w:cs="宋体"/>
          <w:color w:val="auto"/>
          <w:sz w:val="22"/>
          <w:szCs w:val="22"/>
          <w:highlight w:val="none"/>
        </w:rPr>
        <w:t>目名</w:t>
      </w:r>
      <w:r>
        <w:rPr>
          <w:rFonts w:hint="eastAsia" w:ascii="宋体" w:hAnsi="宋体" w:eastAsia="宋体" w:cs="宋体"/>
          <w:color w:val="auto"/>
          <w:spacing w:val="-1"/>
          <w:sz w:val="22"/>
          <w:szCs w:val="22"/>
          <w:highlight w:val="none"/>
        </w:rPr>
        <w:t>称</w:t>
      </w:r>
      <w:r>
        <w:rPr>
          <w:rFonts w:hint="eastAsia" w:ascii="宋体" w:hAnsi="宋体" w:eastAsia="宋体" w:cs="宋体"/>
          <w:color w:val="auto"/>
          <w:spacing w:val="-120"/>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已接受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（承包人名称</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以下简称</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rPr>
        <w:t>承包人</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对</w:t>
      </w:r>
      <w:r>
        <w:rPr>
          <w:rFonts w:hint="eastAsia" w:ascii="宋体" w:hAnsi="宋体" w:eastAsia="宋体" w:cs="宋体"/>
          <w:color w:val="auto"/>
          <w:spacing w:val="2"/>
          <w:sz w:val="22"/>
          <w:szCs w:val="22"/>
          <w:highlight w:val="none"/>
        </w:rPr>
        <w:t>该</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7"/>
          <w:sz w:val="22"/>
          <w:szCs w:val="22"/>
          <w:highlight w:val="none"/>
        </w:rPr>
        <w:t>标</w:t>
      </w:r>
      <w:r>
        <w:rPr>
          <w:rFonts w:hint="eastAsia" w:ascii="宋体" w:hAnsi="宋体" w:eastAsia="宋体" w:cs="宋体"/>
          <w:color w:val="auto"/>
          <w:sz w:val="22"/>
          <w:szCs w:val="22"/>
          <w:highlight w:val="none"/>
        </w:rPr>
        <w:t>段施工的投标。发包人和承包人共同达成如下协议。</w:t>
      </w:r>
    </w:p>
    <w:p w14:paraId="63352D32">
      <w:pPr>
        <w:pStyle w:val="32"/>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标段由</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至</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z w:val="22"/>
          <w:szCs w:val="22"/>
          <w:highlight w:val="none"/>
        </w:rPr>
        <w:t>K</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，长约</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km，公路等级为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3"/>
          <w:sz w:val="22"/>
          <w:szCs w:val="22"/>
          <w:highlight w:val="none"/>
        </w:rPr>
        <w:t>设</w:t>
      </w:r>
      <w:r>
        <w:rPr>
          <w:rFonts w:hint="eastAsia" w:ascii="宋体" w:hAnsi="宋体" w:eastAsia="宋体" w:cs="宋体"/>
          <w:color w:val="auto"/>
          <w:sz w:val="22"/>
          <w:szCs w:val="22"/>
          <w:highlight w:val="none"/>
        </w:rPr>
        <w:t>计速度为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u w:val="single"/>
        </w:rPr>
        <w:t xml:space="preserve">   </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z w:val="22"/>
          <w:szCs w:val="22"/>
          <w:highlight w:val="none"/>
        </w:rPr>
        <w:t>路面</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立交</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处</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特大桥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座</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计长</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m；</w:t>
      </w:r>
      <w:r>
        <w:rPr>
          <w:rFonts w:hint="eastAsia" w:ascii="宋体" w:hAnsi="宋体" w:eastAsia="宋体" w:cs="宋体"/>
          <w:color w:val="auto"/>
          <w:sz w:val="22"/>
          <w:szCs w:val="22"/>
          <w:highlight w:val="none"/>
        </w:rPr>
        <w:t>大</w:t>
      </w:r>
      <w:r>
        <w:rPr>
          <w:rFonts w:hint="eastAsia" w:ascii="宋体" w:hAnsi="宋体" w:eastAsia="宋体" w:cs="宋体"/>
          <w:color w:val="auto"/>
          <w:spacing w:val="-11"/>
          <w:sz w:val="22"/>
          <w:szCs w:val="22"/>
          <w:highlight w:val="none"/>
        </w:rPr>
        <w:t>中</w:t>
      </w:r>
      <w:r>
        <w:rPr>
          <w:rFonts w:hint="eastAsia" w:ascii="宋体" w:hAnsi="宋体" w:eastAsia="宋体" w:cs="宋体"/>
          <w:color w:val="auto"/>
          <w:sz w:val="22"/>
          <w:szCs w:val="22"/>
          <w:highlight w:val="none"/>
        </w:rPr>
        <w:t>桥</w:t>
      </w:r>
      <w:r>
        <w:rPr>
          <w:rFonts w:hint="eastAsia" w:ascii="宋体" w:hAnsi="宋体" w:eastAsia="宋体" w:cs="宋体"/>
          <w:color w:val="auto"/>
          <w:spacing w:val="119"/>
          <w:sz w:val="22"/>
          <w:szCs w:val="22"/>
          <w:highlight w:val="none"/>
        </w:rPr>
        <w:t xml:space="preserve"> </w:t>
      </w:r>
      <w:r>
        <w:rPr>
          <w:rFonts w:hint="eastAsia" w:ascii="宋体" w:hAnsi="宋体" w:eastAsia="宋体" w:cs="宋体"/>
          <w:color w:val="auto"/>
          <w:sz w:val="22"/>
          <w:szCs w:val="22"/>
          <w:highlight w:val="none"/>
        </w:rPr>
        <w:t>座，计长 m；隧道 座，计长 m 以及其他构造物工程等。</w:t>
      </w:r>
    </w:p>
    <w:p w14:paraId="7EA6571D">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下列文件应视为构成合同文件的组成部分：</w:t>
      </w:r>
    </w:p>
    <w:p w14:paraId="20464E6F">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本协议书及各种合同附件</w:t>
      </w:r>
      <w:r>
        <w:rPr>
          <w:rFonts w:hint="eastAsia" w:ascii="宋体" w:hAnsi="宋体" w:eastAsia="宋体" w:cs="宋体"/>
          <w:color w:val="auto"/>
          <w:sz w:val="22"/>
          <w:szCs w:val="22"/>
          <w:highlight w:val="none"/>
        </w:rPr>
        <w:t>（</w:t>
      </w:r>
      <w:r>
        <w:rPr>
          <w:rFonts w:hint="eastAsia" w:ascii="宋体" w:hAnsi="宋体" w:eastAsia="宋体" w:cs="宋体"/>
          <w:color w:val="auto"/>
          <w:spacing w:val="-1"/>
          <w:sz w:val="22"/>
          <w:szCs w:val="22"/>
          <w:highlight w:val="none"/>
        </w:rPr>
        <w:t>含评标期间和合同谈判过程中的澄清文件和补充资料</w:t>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19A6AE9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中标通知书；</w:t>
      </w:r>
    </w:p>
    <w:p w14:paraId="54FEFFC1">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3</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投标函及投标函附录；</w:t>
      </w:r>
    </w:p>
    <w:p w14:paraId="362B08F5">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4</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项目专用合同条款；</w:t>
      </w:r>
    </w:p>
    <w:p w14:paraId="7501953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5</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公路工程专用合同条款；</w:t>
      </w:r>
    </w:p>
    <w:p w14:paraId="59EDD15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6</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通用合同条款；</w:t>
      </w:r>
    </w:p>
    <w:p w14:paraId="551C01D7">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7</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工程量清单计量规则；</w:t>
      </w:r>
    </w:p>
    <w:p w14:paraId="1691ABFE">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8</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技术规范；</w:t>
      </w:r>
    </w:p>
    <w:p w14:paraId="14C2C179">
      <w:pPr>
        <w:pStyle w:val="32"/>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9</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图纸；</w:t>
      </w:r>
    </w:p>
    <w:p w14:paraId="4334D4B0">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eastAsia="宋体" w:cs="宋体"/>
          <w:color w:val="auto"/>
          <w:spacing w:val="-1"/>
          <w:sz w:val="22"/>
          <w:szCs w:val="22"/>
          <w:highlight w:val="none"/>
          <w:lang w:val="en-US" w:eastAsia="zh-CN"/>
        </w:rPr>
        <w:t>10</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已标价工程量清单；</w:t>
      </w:r>
    </w:p>
    <w:p w14:paraId="3FB9A3C2">
      <w:pPr>
        <w:pStyle w:val="32"/>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承包人有关人员、设备投入的承诺及投标文件中的施工组织设计；</w:t>
      </w:r>
    </w:p>
    <w:p w14:paraId="69DDF62B">
      <w:pPr>
        <w:pStyle w:val="32"/>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lang w:val="en-US" w:eastAsia="zh-CN"/>
        </w:rPr>
        <w:t>1</w:t>
      </w:r>
      <w:r>
        <w:rPr>
          <w:rFonts w:hint="eastAsia"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z w:val="22"/>
          <w:szCs w:val="22"/>
          <w:highlight w:val="none"/>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上述合同文件互相补充和解释。如果合同文件之间存在矛盾或不一致之处， 以上述文件的排列顺序在先者为准。</w:t>
      </w:r>
    </w:p>
    <w:p w14:paraId="52772DE3">
      <w:pPr>
        <w:pStyle w:val="32"/>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根据工程量清单所列的预计数量和单价或总额价计算</w:t>
      </w:r>
      <w:r>
        <w:rPr>
          <w:rFonts w:hint="eastAsia" w:ascii="宋体" w:hAnsi="宋体" w:eastAsia="宋体" w:cs="宋体"/>
          <w:color w:val="auto"/>
          <w:spacing w:val="6"/>
          <w:sz w:val="22"/>
          <w:szCs w:val="22"/>
          <w:highlight w:val="none"/>
        </w:rPr>
        <w:t>的</w:t>
      </w:r>
      <w:r>
        <w:rPr>
          <w:rFonts w:hint="eastAsia" w:ascii="宋体" w:hAnsi="宋体" w:eastAsia="宋体" w:cs="宋体"/>
          <w:color w:val="auto"/>
          <w:sz w:val="22"/>
          <w:szCs w:val="22"/>
          <w:highlight w:val="none"/>
        </w:rPr>
        <w:t>签约合同价：人</w:t>
      </w:r>
      <w:r>
        <w:rPr>
          <w:rFonts w:hint="eastAsia" w:ascii="宋体" w:hAnsi="宋体" w:eastAsia="宋体" w:cs="宋体"/>
          <w:color w:val="auto"/>
          <w:spacing w:val="-13"/>
          <w:sz w:val="22"/>
          <w:szCs w:val="22"/>
          <w:highlight w:val="none"/>
        </w:rPr>
        <w:t>民</w:t>
      </w:r>
      <w:r>
        <w:rPr>
          <w:rFonts w:hint="eastAsia" w:ascii="宋体" w:hAnsi="宋体" w:eastAsia="宋体" w:cs="宋体"/>
          <w:color w:val="auto"/>
          <w:sz w:val="22"/>
          <w:szCs w:val="22"/>
          <w:highlight w:val="none"/>
        </w:rPr>
        <w:t>币（大写）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pacing w:val="-120"/>
          <w:sz w:val="22"/>
          <w:szCs w:val="22"/>
          <w:highlight w:val="none"/>
        </w:rPr>
        <w:t>）</w:t>
      </w:r>
      <w:r>
        <w:rPr>
          <w:rFonts w:hint="eastAsia" w:ascii="宋体" w:hAnsi="宋体" w:eastAsia="宋体" w:cs="宋体"/>
          <w:color w:val="auto"/>
          <w:sz w:val="22"/>
          <w:szCs w:val="22"/>
          <w:highlight w:val="none"/>
        </w:rPr>
        <w:t>。</w:t>
      </w:r>
    </w:p>
    <w:p w14:paraId="49AED4FC">
      <w:pPr>
        <w:pStyle w:val="32"/>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承包人项目经理：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。承包人项目总工：</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447A4B48">
      <w:pPr>
        <w:pStyle w:val="32"/>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工程质量符合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标准。工程安全目标：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w:t>
      </w:r>
    </w:p>
    <w:p w14:paraId="7C43716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承包人承诺按合同约定承担工程的实施、完成及缺陷修复。</w:t>
      </w:r>
    </w:p>
    <w:p w14:paraId="3DEBA5DC">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发包人承诺按合同约定的条件、时间和方式向承包人支付合同价款。</w:t>
      </w:r>
    </w:p>
    <w:p w14:paraId="46BCB936">
      <w:pPr>
        <w:pStyle w:val="32"/>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承包人应按照监理人指示开工，工期为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日历天。</w:t>
      </w:r>
    </w:p>
    <w:p w14:paraId="43314CA3">
      <w:pPr>
        <w:pStyle w:val="32"/>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2"/>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本协议书正本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份，合同双方各执正本</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 份，</w:t>
      </w:r>
      <w:r>
        <w:rPr>
          <w:rFonts w:hint="eastAsia" w:ascii="宋体" w:hAnsi="宋体" w:eastAsia="宋体" w:cs="宋体"/>
          <w:color w:val="auto"/>
          <w:sz w:val="22"/>
          <w:szCs w:val="22"/>
          <w:highlight w:val="none"/>
        </w:rPr>
        <w:t>当正本与副本的内容不一致时，以正本为准。</w:t>
      </w:r>
    </w:p>
    <w:p w14:paraId="4C179B95">
      <w:pPr>
        <w:pStyle w:val="32"/>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发包人：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（盖单位章）</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承包人：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法定代表人或其委托代理人：</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en-US" w:eastAsia="en-US" w:bidi="zh-CN"/>
        </w:rPr>
        <w:t xml:space="preserve">      </w:t>
      </w:r>
      <w:r>
        <w:rPr>
          <w:rFonts w:hint="eastAsia" w:ascii="宋体" w:hAnsi="宋体" w:eastAsia="宋体" w:cs="宋体"/>
          <w:snapToGrid w:val="0"/>
          <w:color w:val="auto"/>
          <w:kern w:val="0"/>
          <w:sz w:val="22"/>
          <w:szCs w:val="22"/>
          <w:highlight w:val="none"/>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auto"/>
          <w:kern w:val="0"/>
          <w:sz w:val="22"/>
          <w:szCs w:val="22"/>
          <w:highlight w:val="none"/>
          <w:lang w:val="zh-CN" w:eastAsia="en-US" w:bidi="zh-CN"/>
        </w:rPr>
      </w:pP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年</w:t>
      </w:r>
      <w:r>
        <w:rPr>
          <w:rFonts w:hint="eastAsia" w:ascii="宋体" w:hAnsi="宋体" w:eastAsia="宋体" w:cs="宋体"/>
          <w:snapToGrid w:val="0"/>
          <w:color w:val="auto"/>
          <w:kern w:val="0"/>
          <w:sz w:val="22"/>
          <w:szCs w:val="22"/>
          <w:highlight w:val="none"/>
          <w:u w:val="singl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r>
        <w:rPr>
          <w:rFonts w:hint="eastAsia" w:ascii="宋体" w:hAnsi="宋体" w:eastAsia="宋体" w:cs="宋体"/>
          <w:snapToGrid w:val="0"/>
          <w:color w:val="auto"/>
          <w:kern w:val="0"/>
          <w:sz w:val="22"/>
          <w:szCs w:val="22"/>
          <w:highlight w:val="non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年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 xml:space="preserve">月 </w:t>
      </w:r>
      <w:r>
        <w:rPr>
          <w:rFonts w:hint="eastAsia" w:ascii="宋体" w:hAnsi="宋体" w:eastAsia="宋体" w:cs="宋体"/>
          <w:snapToGrid w:val="0"/>
          <w:color w:val="auto"/>
          <w:kern w:val="0"/>
          <w:sz w:val="22"/>
          <w:szCs w:val="22"/>
          <w:highlight w:val="none"/>
          <w:u w:val="single"/>
          <w:lang w:val="zh-CN" w:eastAsia="en-US" w:bidi="zh-CN"/>
        </w:rPr>
        <w:tab/>
      </w:r>
      <w:r>
        <w:rPr>
          <w:rFonts w:hint="eastAsia" w:ascii="宋体" w:hAnsi="宋体" w:eastAsia="宋体" w:cs="宋体"/>
          <w:snapToGrid w:val="0"/>
          <w:color w:val="auto"/>
          <w:kern w:val="0"/>
          <w:sz w:val="22"/>
          <w:szCs w:val="22"/>
          <w:highlight w:val="none"/>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auto"/>
          <w:kern w:val="0"/>
          <w:sz w:val="24"/>
          <w:szCs w:val="24"/>
          <w:highlight w:val="none"/>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98EC0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（项目法人名称，以下简称“发包人”）与该项目施工单位</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（2）严格执行</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b w:val="0"/>
          <w:bCs w:val="0"/>
          <w:color w:val="auto"/>
          <w:sz w:val="21"/>
          <w:szCs w:val="21"/>
          <w:highlight w:val="none"/>
          <w:u w:val="single"/>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rPr>
        <w:t>一</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u w:val="single"/>
        </w:rPr>
        <w:t>三</w:t>
      </w:r>
      <w:r>
        <w:rPr>
          <w:rFonts w:hint="eastAsia" w:ascii="宋体" w:hAnsi="宋体" w:eastAsia="宋体" w:cs="宋体"/>
          <w:color w:val="auto"/>
          <w:sz w:val="21"/>
          <w:szCs w:val="21"/>
          <w:highlight w:val="none"/>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（盖单位章）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发包人监督单位：</w:t>
      </w:r>
      <w:r>
        <w:rPr>
          <w:rFonts w:hint="eastAsia" w:ascii="宋体" w:hAnsi="宋体" w:eastAsia="宋体" w:cs="宋体"/>
          <w:color w:val="auto"/>
          <w:sz w:val="21"/>
          <w:szCs w:val="21"/>
          <w:highlight w:val="none"/>
          <w:u w:val="single"/>
        </w:rPr>
        <w:t xml:space="preserve">         （盖单位章）   </w:t>
      </w:r>
      <w:r>
        <w:rPr>
          <w:rFonts w:hint="eastAsia" w:ascii="宋体" w:hAnsi="宋体" w:eastAsia="宋体" w:cs="宋体"/>
          <w:color w:val="auto"/>
          <w:sz w:val="21"/>
          <w:szCs w:val="21"/>
          <w:highlight w:val="none"/>
        </w:rPr>
        <w:t>承包人监督单位：</w:t>
      </w:r>
      <w:r>
        <w:rPr>
          <w:rFonts w:hint="eastAsia" w:ascii="宋体" w:hAnsi="宋体" w:eastAsia="宋体" w:cs="宋体"/>
          <w:color w:val="auto"/>
          <w:sz w:val="21"/>
          <w:szCs w:val="21"/>
          <w:highlight w:val="none"/>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949BAE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5A19A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安全生产合同</w:t>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（发包人名称，以下简称“发包人”）与承包人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5.本合同正本</w:t>
      </w:r>
      <w:r>
        <w:rPr>
          <w:rFonts w:hint="eastAsia" w:ascii="宋体" w:hAnsi="宋体" w:eastAsia="宋体" w:cs="宋体"/>
          <w:color w:val="auto"/>
          <w:sz w:val="21"/>
          <w:szCs w:val="21"/>
          <w:highlight w:val="none"/>
          <w:u w:val="single"/>
        </w:rPr>
        <w:t>二</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六</w:t>
      </w:r>
      <w:r>
        <w:rPr>
          <w:rFonts w:hint="eastAsia" w:ascii="宋体" w:hAnsi="宋体" w:eastAsia="宋体" w:cs="宋体"/>
          <w:color w:val="auto"/>
          <w:sz w:val="21"/>
          <w:szCs w:val="21"/>
          <w:highlight w:val="none"/>
        </w:rPr>
        <w:t>份，合同双方各执正本</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auto"/>
          <w:spacing w:val="-8"/>
          <w:sz w:val="21"/>
          <w:szCs w:val="21"/>
          <w:highlight w:val="none"/>
          <w:u w:val="single"/>
          <w:lang w:val="en-US" w:eastAsia="zh-CN"/>
        </w:rPr>
      </w:pPr>
      <w:r>
        <w:rPr>
          <w:rFonts w:hint="eastAsia" w:ascii="宋体" w:hAnsi="宋体" w:eastAsia="宋体" w:cs="宋体"/>
          <w:color w:val="auto"/>
          <w:sz w:val="21"/>
          <w:szCs w:val="21"/>
          <w:highlight w:val="none"/>
        </w:rPr>
        <w:t>发包人：</w:t>
      </w:r>
      <w:r>
        <w:rPr>
          <w:rFonts w:hint="eastAsia" w:ascii="宋体" w:hAnsi="宋体" w:eastAsia="宋体" w:cs="宋体"/>
          <w:b/>
          <w:bCs/>
          <w:color w:val="auto"/>
          <w:spacing w:val="-8"/>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承包人：</w:t>
      </w:r>
      <w:r>
        <w:rPr>
          <w:rFonts w:hint="eastAsia" w:ascii="宋体" w:hAnsi="宋体" w:eastAsia="宋体" w:cs="宋体"/>
          <w:b/>
          <w:bCs/>
          <w:color w:val="auto"/>
          <w:spacing w:val="-8"/>
          <w:sz w:val="21"/>
          <w:szCs w:val="21"/>
          <w:highlight w:val="none"/>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FB3755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FA67B4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专用合同条款</w:t>
      </w:r>
    </w:p>
    <w:p w14:paraId="5A8F8C9C">
      <w:pPr>
        <w:pStyle w:val="32"/>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A  </w:t>
      </w:r>
      <w:r>
        <w:rPr>
          <w:rFonts w:hint="eastAsia" w:ascii="宋体" w:hAnsi="宋体" w:eastAsia="宋体" w:cs="宋体"/>
          <w:color w:val="auto"/>
          <w:sz w:val="28"/>
          <w:szCs w:val="28"/>
          <w:highlight w:val="none"/>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5" w:name="_Toc31152"/>
      <w:bookmarkStart w:id="26" w:name="_Toc234382841"/>
      <w:r>
        <w:rPr>
          <w:rFonts w:hint="eastAsia" w:ascii="宋体" w:hAnsi="宋体" w:eastAsia="宋体" w:cs="宋体"/>
          <w:color w:val="auto"/>
          <w:sz w:val="21"/>
          <w:szCs w:val="21"/>
          <w:highlight w:val="none"/>
        </w:rPr>
        <w:t>1．一般约定</w:t>
      </w:r>
      <w:bookmarkEnd w:id="25"/>
      <w:bookmarkEnd w:id="26"/>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7" w:name="_Toc21870"/>
      <w:bookmarkStart w:id="28" w:name="_Toc234382842"/>
      <w:r>
        <w:rPr>
          <w:rFonts w:hint="eastAsia" w:ascii="宋体" w:hAnsi="宋体" w:eastAsia="宋体" w:cs="宋体"/>
          <w:color w:val="auto"/>
          <w:sz w:val="21"/>
          <w:szCs w:val="21"/>
          <w:highlight w:val="none"/>
        </w:rPr>
        <w:t>1.1词语定义</w:t>
      </w:r>
      <w:bookmarkEnd w:id="27"/>
      <w:bookmarkEnd w:id="28"/>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9" w:name="_Toc14824"/>
      <w:bookmarkStart w:id="30" w:name="_Toc234382843"/>
      <w:r>
        <w:rPr>
          <w:rFonts w:hint="eastAsia" w:ascii="宋体" w:hAnsi="宋体" w:eastAsia="宋体" w:cs="宋体"/>
          <w:color w:val="auto"/>
          <w:sz w:val="21"/>
          <w:szCs w:val="21"/>
          <w:highlight w:val="none"/>
        </w:rPr>
        <w:t>1.4合同文件的优先顺序</w:t>
      </w:r>
      <w:bookmarkEnd w:id="29"/>
      <w:bookmarkEnd w:id="30"/>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1" w:name="_Toc234382844"/>
      <w:bookmarkStart w:id="32" w:name="_Toc1294"/>
      <w:r>
        <w:rPr>
          <w:rFonts w:hint="eastAsia" w:ascii="宋体" w:hAnsi="宋体" w:eastAsia="宋体" w:cs="宋体"/>
          <w:color w:val="auto"/>
          <w:sz w:val="21"/>
          <w:szCs w:val="21"/>
          <w:highlight w:val="none"/>
        </w:rPr>
        <w:t>1.5合同协议书</w:t>
      </w:r>
      <w:bookmarkEnd w:id="31"/>
      <w:bookmarkEnd w:id="32"/>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3" w:name="_Toc23248"/>
      <w:bookmarkStart w:id="34" w:name="_Toc234382845"/>
      <w:r>
        <w:rPr>
          <w:rFonts w:hint="eastAsia" w:ascii="宋体" w:hAnsi="宋体" w:eastAsia="宋体" w:cs="宋体"/>
          <w:color w:val="auto"/>
          <w:sz w:val="21"/>
          <w:szCs w:val="21"/>
          <w:highlight w:val="none"/>
        </w:rPr>
        <w:t>1.6图纸和承包人文件</w:t>
      </w:r>
      <w:bookmarkEnd w:id="33"/>
      <w:bookmarkEnd w:id="34"/>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5" w:name="_Toc4376"/>
      <w:bookmarkStart w:id="36" w:name="_Toc234382846"/>
      <w:r>
        <w:rPr>
          <w:rFonts w:hint="eastAsia" w:ascii="宋体" w:hAnsi="宋体" w:eastAsia="宋体" w:cs="宋体"/>
          <w:color w:val="auto"/>
          <w:sz w:val="21"/>
          <w:szCs w:val="21"/>
          <w:highlight w:val="none"/>
        </w:rPr>
        <w:t>1.9严禁贿赂</w:t>
      </w:r>
      <w:bookmarkEnd w:id="35"/>
      <w:bookmarkEnd w:id="36"/>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7" w:name="_Toc28675"/>
      <w:bookmarkStart w:id="38" w:name="_Toc234382847"/>
      <w:r>
        <w:rPr>
          <w:rFonts w:hint="eastAsia" w:ascii="宋体" w:hAnsi="宋体" w:eastAsia="宋体" w:cs="宋体"/>
          <w:color w:val="auto"/>
          <w:sz w:val="21"/>
          <w:szCs w:val="21"/>
          <w:highlight w:val="none"/>
        </w:rPr>
        <w:t>2．发包人义务</w:t>
      </w:r>
      <w:bookmarkEnd w:id="37"/>
      <w:bookmarkEnd w:id="38"/>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39" w:name="_Toc5293"/>
      <w:bookmarkStart w:id="40" w:name="_Toc234382848"/>
      <w:r>
        <w:rPr>
          <w:rFonts w:hint="eastAsia" w:ascii="宋体" w:hAnsi="宋体" w:eastAsia="宋体" w:cs="宋体"/>
          <w:color w:val="auto"/>
          <w:sz w:val="21"/>
          <w:szCs w:val="21"/>
          <w:highlight w:val="none"/>
        </w:rPr>
        <w:t>2.3提供施工场地</w:t>
      </w:r>
      <w:bookmarkEnd w:id="39"/>
      <w:bookmarkEnd w:id="40"/>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1" w:name="_Toc20062"/>
      <w:bookmarkStart w:id="42" w:name="_Toc234382849"/>
      <w:r>
        <w:rPr>
          <w:rFonts w:hint="eastAsia" w:ascii="宋体" w:hAnsi="宋体" w:eastAsia="宋体" w:cs="宋体"/>
          <w:color w:val="auto"/>
          <w:sz w:val="21"/>
          <w:szCs w:val="21"/>
          <w:highlight w:val="none"/>
        </w:rPr>
        <w:t>3．监理人</w:t>
      </w:r>
      <w:bookmarkEnd w:id="41"/>
      <w:bookmarkEnd w:id="42"/>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3" w:name="_Toc9832"/>
      <w:bookmarkStart w:id="44" w:name="_Toc234382850"/>
      <w:r>
        <w:rPr>
          <w:rFonts w:hint="eastAsia" w:ascii="宋体" w:hAnsi="宋体" w:eastAsia="宋体" w:cs="宋体"/>
          <w:color w:val="auto"/>
          <w:sz w:val="21"/>
          <w:szCs w:val="21"/>
          <w:highlight w:val="none"/>
        </w:rPr>
        <w:t>3.1监理人的职责和权力</w:t>
      </w:r>
      <w:bookmarkEnd w:id="43"/>
      <w:bookmarkEnd w:id="44"/>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5" w:name="_Toc23144"/>
      <w:bookmarkStart w:id="46" w:name="_Toc234382851"/>
      <w:r>
        <w:rPr>
          <w:rFonts w:hint="eastAsia" w:ascii="宋体" w:hAnsi="宋体" w:eastAsia="宋体" w:cs="宋体"/>
          <w:color w:val="auto"/>
          <w:sz w:val="21"/>
          <w:szCs w:val="21"/>
          <w:highlight w:val="none"/>
        </w:rPr>
        <w:t>3.5商定或确定</w:t>
      </w:r>
      <w:bookmarkEnd w:id="45"/>
      <w:bookmarkEnd w:id="46"/>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7" w:name="_Toc26564"/>
      <w:bookmarkStart w:id="48" w:name="_Toc234382852"/>
      <w:r>
        <w:rPr>
          <w:rFonts w:hint="eastAsia" w:ascii="宋体" w:hAnsi="宋体" w:eastAsia="宋体" w:cs="宋体"/>
          <w:color w:val="auto"/>
          <w:sz w:val="21"/>
          <w:szCs w:val="21"/>
          <w:highlight w:val="none"/>
        </w:rPr>
        <w:t>4.承包人</w:t>
      </w:r>
      <w:bookmarkEnd w:id="47"/>
      <w:bookmarkEnd w:id="48"/>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49" w:name="_Toc27273"/>
      <w:bookmarkStart w:id="50" w:name="_Toc234382853"/>
      <w:r>
        <w:rPr>
          <w:rFonts w:hint="eastAsia" w:ascii="宋体" w:hAnsi="宋体" w:eastAsia="宋体" w:cs="宋体"/>
          <w:color w:val="auto"/>
          <w:sz w:val="21"/>
          <w:szCs w:val="21"/>
          <w:highlight w:val="none"/>
        </w:rPr>
        <w:t>4.1承包工的一般义务</w:t>
      </w:r>
      <w:bookmarkEnd w:id="49"/>
      <w:bookmarkEnd w:id="50"/>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承包人应履行项目专用合同条款约定的其他义务。</w:t>
      </w:r>
    </w:p>
    <w:p w14:paraId="2CB68D3C">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lang w:val="en-US" w:eastAsia="zh-CN"/>
        </w:rPr>
      </w:pPr>
    </w:p>
    <w:p w14:paraId="7C353C59">
      <w:pPr>
        <w:pStyle w:val="32"/>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SA"/>
        </w:rPr>
        <w:t>4.2</w:t>
      </w:r>
      <w:r>
        <w:rPr>
          <w:rFonts w:hint="eastAsia" w:ascii="宋体" w:hAnsi="宋体" w:eastAsia="宋体" w:cs="宋体"/>
          <w:b/>
          <w:bCs/>
          <w:snapToGrid w:val="0"/>
          <w:color w:val="auto"/>
          <w:kern w:val="0"/>
          <w:sz w:val="21"/>
          <w:szCs w:val="21"/>
          <w:highlight w:val="none"/>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auto"/>
          <w:kern w:val="0"/>
          <w:sz w:val="21"/>
          <w:szCs w:val="21"/>
          <w:highlight w:val="none"/>
          <w:lang w:val="en-US" w:eastAsia="zh-CN" w:bidi="ar-SA"/>
        </w:rPr>
      </w:pPr>
      <w:bookmarkStart w:id="51" w:name="_Toc11486"/>
      <w:bookmarkStart w:id="52" w:name="_Toc234382854"/>
      <w:r>
        <w:rPr>
          <w:rFonts w:hint="eastAsia" w:ascii="宋体" w:hAnsi="宋体" w:eastAsia="宋体" w:cs="宋体"/>
          <w:b w:val="0"/>
          <w:bCs w:val="0"/>
          <w:snapToGrid w:val="0"/>
          <w:color w:val="auto"/>
          <w:kern w:val="0"/>
          <w:sz w:val="21"/>
          <w:szCs w:val="21"/>
          <w:highlight w:val="none"/>
          <w:lang w:val="en-US" w:eastAsia="zh-CN" w:bidi="ar-SA"/>
        </w:rPr>
        <w:t>根据《桂林市财政局关于贯彻落实政府采购优化营商环境百日攻坚行动方案的通知》（市财采〔2020〕24 号）第四条的规定，本项目免收履约保证金。</w:t>
      </w:r>
      <w:bookmarkEnd w:id="51"/>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3" w:name="_Toc25697"/>
      <w:r>
        <w:rPr>
          <w:rFonts w:hint="eastAsia" w:ascii="宋体" w:hAnsi="宋体" w:eastAsia="宋体" w:cs="宋体"/>
          <w:color w:val="auto"/>
          <w:sz w:val="21"/>
          <w:szCs w:val="21"/>
          <w:highlight w:val="none"/>
        </w:rPr>
        <w:t>4.3 分包</w:t>
      </w:r>
      <w:bookmarkEnd w:id="52"/>
      <w:bookmarkEnd w:id="53"/>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4" w:name="_Toc234382855"/>
      <w:bookmarkStart w:id="55" w:name="_Toc26373"/>
      <w:r>
        <w:rPr>
          <w:rFonts w:hint="eastAsia" w:ascii="宋体" w:hAnsi="宋体" w:eastAsia="宋体" w:cs="宋体"/>
          <w:color w:val="auto"/>
          <w:sz w:val="21"/>
          <w:szCs w:val="21"/>
          <w:highlight w:val="none"/>
        </w:rPr>
        <w:t>4.4联合体</w:t>
      </w:r>
      <w:bookmarkEnd w:id="54"/>
      <w:bookmarkEnd w:id="55"/>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6" w:name="_Toc234382856"/>
      <w:bookmarkStart w:id="57" w:name="_Toc13701"/>
      <w:r>
        <w:rPr>
          <w:rFonts w:hint="eastAsia" w:ascii="宋体" w:hAnsi="宋体" w:eastAsia="宋体" w:cs="宋体"/>
          <w:color w:val="auto"/>
          <w:sz w:val="21"/>
          <w:szCs w:val="21"/>
          <w:highlight w:val="none"/>
        </w:rPr>
        <w:t>4.6承包人人员的管理</w:t>
      </w:r>
      <w:bookmarkEnd w:id="56"/>
      <w:bookmarkEnd w:id="57"/>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58" w:name="_Toc4334"/>
      <w:bookmarkStart w:id="59" w:name="_Toc234382857"/>
      <w:r>
        <w:rPr>
          <w:rFonts w:hint="eastAsia" w:ascii="宋体" w:hAnsi="宋体" w:eastAsia="宋体" w:cs="宋体"/>
          <w:color w:val="auto"/>
          <w:sz w:val="21"/>
          <w:szCs w:val="21"/>
          <w:highlight w:val="none"/>
        </w:rPr>
        <w:t>4.7撤换承包人项目经理和其他人员</w:t>
      </w:r>
      <w:bookmarkEnd w:id="58"/>
      <w:bookmarkEnd w:id="59"/>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0" w:name="_Toc234382858"/>
      <w:bookmarkStart w:id="61" w:name="_Toc2917"/>
      <w:r>
        <w:rPr>
          <w:rFonts w:hint="eastAsia" w:ascii="宋体" w:hAnsi="宋体" w:eastAsia="宋体" w:cs="宋体"/>
          <w:color w:val="auto"/>
          <w:sz w:val="21"/>
          <w:szCs w:val="21"/>
          <w:highlight w:val="none"/>
        </w:rPr>
        <w:t>4.9工程价款应专款专用</w:t>
      </w:r>
      <w:bookmarkEnd w:id="60"/>
      <w:bookmarkEnd w:id="61"/>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2" w:name="_Toc234382859"/>
      <w:bookmarkStart w:id="63" w:name="_Toc4503"/>
      <w:r>
        <w:rPr>
          <w:rFonts w:hint="eastAsia" w:ascii="宋体" w:hAnsi="宋体" w:eastAsia="宋体" w:cs="宋体"/>
          <w:color w:val="auto"/>
          <w:sz w:val="21"/>
          <w:szCs w:val="21"/>
          <w:highlight w:val="none"/>
        </w:rPr>
        <w:t>4.10承包人现场查勘</w:t>
      </w:r>
      <w:bookmarkEnd w:id="62"/>
      <w:bookmarkEnd w:id="63"/>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4" w:name="_Toc234382860"/>
      <w:bookmarkStart w:id="65" w:name="_Toc2864"/>
      <w:r>
        <w:rPr>
          <w:rFonts w:hint="eastAsia" w:ascii="宋体" w:hAnsi="宋体" w:eastAsia="宋体" w:cs="宋体"/>
          <w:color w:val="auto"/>
          <w:sz w:val="21"/>
          <w:szCs w:val="21"/>
          <w:highlight w:val="none"/>
        </w:rPr>
        <w:t>4.11不利物质条件</w:t>
      </w:r>
      <w:bookmarkEnd w:id="64"/>
      <w:bookmarkEnd w:id="65"/>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03F5C8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（2）对于项目专用合同条款未明确指出，但是在不利物质条件发生之前，监理人已经指示承包人有可能发生，但承包人未能及时采取有效措施，而导致的损失和后果均由承包人承担。</w:t>
      </w:r>
    </w:p>
    <w:p w14:paraId="541F2E50">
      <w:pPr>
        <w:bidi w:val="0"/>
        <w:rPr>
          <w:rFonts w:hint="eastAsia"/>
          <w:color w:val="auto"/>
          <w:highlight w:val="none"/>
        </w:rPr>
      </w:pP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6" w:name="_Toc234382861"/>
      <w:bookmarkStart w:id="67" w:name="_Toc29455"/>
      <w:r>
        <w:rPr>
          <w:rFonts w:hint="eastAsia" w:ascii="宋体" w:hAnsi="宋体" w:eastAsia="宋体" w:cs="宋体"/>
          <w:color w:val="auto"/>
          <w:sz w:val="21"/>
          <w:szCs w:val="21"/>
          <w:highlight w:val="none"/>
        </w:rPr>
        <w:t>4.12投标文件的完备性</w:t>
      </w:r>
      <w:bookmarkEnd w:id="66"/>
      <w:bookmarkEnd w:id="67"/>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68" w:name="_Toc4578"/>
      <w:bookmarkStart w:id="69" w:name="_Toc234382862"/>
      <w:r>
        <w:rPr>
          <w:rFonts w:hint="eastAsia" w:ascii="宋体" w:hAnsi="宋体" w:eastAsia="宋体" w:cs="宋体"/>
          <w:color w:val="auto"/>
          <w:sz w:val="21"/>
          <w:szCs w:val="21"/>
          <w:highlight w:val="none"/>
        </w:rPr>
        <w:t>5．材料和工程设备</w:t>
      </w:r>
      <w:bookmarkEnd w:id="68"/>
      <w:bookmarkEnd w:id="69"/>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0" w:name="_Toc234382863"/>
      <w:bookmarkStart w:id="71" w:name="_Toc29893"/>
      <w:r>
        <w:rPr>
          <w:rFonts w:hint="eastAsia" w:ascii="宋体" w:hAnsi="宋体" w:eastAsia="宋体" w:cs="宋体"/>
          <w:color w:val="auto"/>
          <w:sz w:val="21"/>
          <w:szCs w:val="21"/>
          <w:highlight w:val="none"/>
        </w:rPr>
        <w:t>5.2发包人提供的材料和工程设备</w:t>
      </w:r>
      <w:bookmarkEnd w:id="70"/>
      <w:bookmarkEnd w:id="71"/>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2" w:name="_Toc234382864"/>
      <w:bookmarkStart w:id="73" w:name="_Toc1524"/>
      <w:r>
        <w:rPr>
          <w:rFonts w:hint="eastAsia" w:ascii="宋体" w:hAnsi="宋体" w:eastAsia="宋体" w:cs="宋体"/>
          <w:color w:val="auto"/>
          <w:sz w:val="21"/>
          <w:szCs w:val="21"/>
          <w:highlight w:val="none"/>
        </w:rPr>
        <w:t>6．施工设备和临时设施</w:t>
      </w:r>
      <w:bookmarkEnd w:id="72"/>
      <w:bookmarkEnd w:id="73"/>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4" w:name="_Toc32015"/>
      <w:bookmarkStart w:id="75" w:name="_Toc234382865"/>
      <w:r>
        <w:rPr>
          <w:rFonts w:hint="eastAsia" w:ascii="宋体" w:hAnsi="宋体" w:eastAsia="宋体" w:cs="宋体"/>
          <w:color w:val="auto"/>
          <w:sz w:val="21"/>
          <w:szCs w:val="21"/>
          <w:highlight w:val="none"/>
        </w:rPr>
        <w:t>6.2承包人提供的施工设备和临时设施</w:t>
      </w:r>
      <w:bookmarkEnd w:id="74"/>
      <w:bookmarkEnd w:id="75"/>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6" w:name="_Toc234382866"/>
      <w:bookmarkStart w:id="77" w:name="_Toc20282"/>
      <w:r>
        <w:rPr>
          <w:rFonts w:hint="eastAsia" w:ascii="宋体" w:hAnsi="宋体" w:eastAsia="宋体" w:cs="宋体"/>
          <w:color w:val="auto"/>
          <w:sz w:val="21"/>
          <w:szCs w:val="21"/>
          <w:highlight w:val="none"/>
        </w:rPr>
        <w:t>6.3要求承包人增加或更换施工设备</w:t>
      </w:r>
      <w:bookmarkEnd w:id="76"/>
      <w:bookmarkEnd w:id="77"/>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2252E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AB175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bookmarkStart w:id="78" w:name="_Toc234382867"/>
    </w:p>
    <w:p w14:paraId="45E704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auto"/>
          <w:sz w:val="21"/>
          <w:szCs w:val="21"/>
          <w:highlight w:val="none"/>
        </w:rPr>
      </w:pPr>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79" w:name="_Toc19448"/>
      <w:r>
        <w:rPr>
          <w:rFonts w:hint="eastAsia" w:ascii="宋体" w:hAnsi="宋体" w:eastAsia="宋体" w:cs="宋体"/>
          <w:color w:val="auto"/>
          <w:sz w:val="21"/>
          <w:szCs w:val="21"/>
          <w:highlight w:val="none"/>
        </w:rPr>
        <w:t>7．交通运输</w:t>
      </w:r>
      <w:bookmarkEnd w:id="78"/>
      <w:bookmarkEnd w:id="79"/>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0" w:name="_Toc234382868"/>
      <w:bookmarkStart w:id="81" w:name="_Toc28399"/>
      <w:r>
        <w:rPr>
          <w:rFonts w:hint="eastAsia" w:ascii="宋体" w:hAnsi="宋体" w:eastAsia="宋体" w:cs="宋体"/>
          <w:color w:val="auto"/>
          <w:sz w:val="21"/>
          <w:szCs w:val="21"/>
          <w:highlight w:val="none"/>
        </w:rPr>
        <w:t>7.1道路通行权和场外设施</w:t>
      </w:r>
      <w:bookmarkEnd w:id="80"/>
      <w:bookmarkEnd w:id="81"/>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2" w:name="_Toc8617"/>
      <w:bookmarkStart w:id="83" w:name="_Toc234382869"/>
      <w:r>
        <w:rPr>
          <w:rFonts w:hint="eastAsia" w:ascii="宋体" w:hAnsi="宋体" w:eastAsia="宋体" w:cs="宋体"/>
          <w:color w:val="auto"/>
          <w:sz w:val="21"/>
          <w:szCs w:val="21"/>
          <w:highlight w:val="none"/>
        </w:rPr>
        <w:t>8．测量放线</w:t>
      </w:r>
      <w:bookmarkEnd w:id="82"/>
      <w:bookmarkEnd w:id="83"/>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4" w:name="_Toc16651"/>
      <w:bookmarkStart w:id="85" w:name="_Toc234382870"/>
      <w:r>
        <w:rPr>
          <w:rFonts w:hint="eastAsia" w:ascii="宋体" w:hAnsi="宋体" w:eastAsia="宋体" w:cs="宋体"/>
          <w:color w:val="auto"/>
          <w:sz w:val="21"/>
          <w:szCs w:val="21"/>
          <w:highlight w:val="none"/>
        </w:rPr>
        <w:t>8.4监理人使用施工控制网</w:t>
      </w:r>
      <w:bookmarkEnd w:id="84"/>
      <w:bookmarkEnd w:id="85"/>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6" w:name="_Toc234382871"/>
      <w:bookmarkStart w:id="87" w:name="_Toc23778"/>
      <w:r>
        <w:rPr>
          <w:rFonts w:hint="eastAsia" w:ascii="宋体" w:hAnsi="宋体" w:eastAsia="宋体" w:cs="宋体"/>
          <w:color w:val="auto"/>
          <w:sz w:val="21"/>
          <w:szCs w:val="21"/>
          <w:highlight w:val="none"/>
        </w:rPr>
        <w:t>9．施工安全、治安保卫和环境保护</w:t>
      </w:r>
      <w:bookmarkEnd w:id="86"/>
      <w:bookmarkEnd w:id="87"/>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88" w:name="_Toc234382872"/>
      <w:bookmarkStart w:id="89" w:name="_Toc31057"/>
      <w:r>
        <w:rPr>
          <w:rFonts w:hint="eastAsia" w:ascii="宋体" w:hAnsi="宋体" w:eastAsia="宋体" w:cs="宋体"/>
          <w:color w:val="auto"/>
          <w:sz w:val="21"/>
          <w:szCs w:val="21"/>
          <w:highlight w:val="none"/>
        </w:rPr>
        <w:t>9．2承包人的施工安全责任</w:t>
      </w:r>
      <w:bookmarkEnd w:id="88"/>
      <w:bookmarkEnd w:id="89"/>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除项目用合同条款另有约定外，安全生产费用应为投标价（不含安全生产费及建筑工程一切险及第三者责任险的保险费）的</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%（若发包人公布了招标控制价上限时，按招标控制价上限的1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0" w:name="_Toc31321"/>
      <w:bookmarkStart w:id="91" w:name="_Toc234382873"/>
      <w:r>
        <w:rPr>
          <w:rFonts w:hint="eastAsia" w:ascii="宋体" w:hAnsi="宋体" w:eastAsia="宋体" w:cs="宋体"/>
          <w:color w:val="auto"/>
          <w:sz w:val="21"/>
          <w:szCs w:val="21"/>
          <w:highlight w:val="none"/>
        </w:rPr>
        <w:t>9．4环境保护</w:t>
      </w:r>
      <w:bookmarkEnd w:id="90"/>
      <w:bookmarkEnd w:id="91"/>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2" w:name="_Toc234382874"/>
      <w:bookmarkStart w:id="93" w:name="_Toc16820"/>
      <w:r>
        <w:rPr>
          <w:rFonts w:hint="eastAsia" w:ascii="宋体" w:hAnsi="宋体" w:eastAsia="宋体" w:cs="宋体"/>
          <w:color w:val="auto"/>
          <w:sz w:val="21"/>
          <w:szCs w:val="21"/>
          <w:highlight w:val="none"/>
        </w:rPr>
        <w:t>10．进度计划</w:t>
      </w:r>
      <w:bookmarkEnd w:id="92"/>
      <w:bookmarkEnd w:id="93"/>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4" w:name="_Toc234382875"/>
      <w:bookmarkStart w:id="95" w:name="_Toc25597"/>
      <w:r>
        <w:rPr>
          <w:rFonts w:hint="eastAsia" w:ascii="宋体" w:hAnsi="宋体" w:eastAsia="宋体" w:cs="宋体"/>
          <w:color w:val="auto"/>
          <w:sz w:val="21"/>
          <w:szCs w:val="21"/>
          <w:highlight w:val="none"/>
        </w:rPr>
        <w:t>10.1合同进度计划</w:t>
      </w:r>
      <w:bookmarkEnd w:id="94"/>
      <w:bookmarkEnd w:id="95"/>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auto"/>
          <w:sz w:val="21"/>
          <w:szCs w:val="21"/>
          <w:highlight w:val="none"/>
        </w:rPr>
      </w:pPr>
      <w:bookmarkStart w:id="96" w:name="_Toc19718"/>
      <w:bookmarkStart w:id="97" w:name="_Toc234382876"/>
      <w:r>
        <w:rPr>
          <w:rFonts w:hint="eastAsia" w:ascii="宋体" w:hAnsi="宋体" w:eastAsia="宋体" w:cs="宋体"/>
          <w:color w:val="auto"/>
          <w:sz w:val="21"/>
          <w:szCs w:val="21"/>
          <w:highlight w:val="none"/>
        </w:rPr>
        <w:t>10.2合同进度计划的修订</w:t>
      </w:r>
      <w:bookmarkEnd w:id="96"/>
      <w:bookmarkEnd w:id="97"/>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承包人提交合同进度计划修订申请报告，并附有关措施和相关资料的期限：实际进度发生滞后的当月25日前。</w:t>
      </w:r>
    </w:p>
    <w:p w14:paraId="1521A3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监理人批复修订合同进度计划的期限：收到修订合同进度计划后14天内。</w:t>
      </w:r>
    </w:p>
    <w:p w14:paraId="270C9A6A">
      <w:pPr>
        <w:bidi w:val="0"/>
        <w:rPr>
          <w:rFonts w:hint="eastAsia"/>
          <w:color w:val="auto"/>
          <w:highlight w:val="none"/>
        </w:rPr>
      </w:pP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98" w:name="_Toc234382877"/>
      <w:bookmarkStart w:id="99" w:name="_Toc14191"/>
      <w:r>
        <w:rPr>
          <w:rFonts w:hint="eastAsia" w:ascii="宋体" w:hAnsi="宋体" w:eastAsia="宋体" w:cs="宋体"/>
          <w:color w:val="auto"/>
          <w:sz w:val="21"/>
          <w:szCs w:val="21"/>
          <w:highlight w:val="none"/>
        </w:rPr>
        <w:t>10.3年度施工计划</w:t>
      </w:r>
      <w:bookmarkEnd w:id="98"/>
      <w:bookmarkEnd w:id="99"/>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0" w:name="_Toc2069"/>
      <w:bookmarkStart w:id="101" w:name="_Toc234382878"/>
      <w:r>
        <w:rPr>
          <w:rFonts w:hint="eastAsia" w:ascii="宋体" w:hAnsi="宋体" w:eastAsia="宋体" w:cs="宋体"/>
          <w:color w:val="auto"/>
          <w:sz w:val="21"/>
          <w:szCs w:val="21"/>
          <w:highlight w:val="none"/>
        </w:rPr>
        <w:t>10.4合同用款计划</w:t>
      </w:r>
      <w:bookmarkEnd w:id="100"/>
      <w:bookmarkEnd w:id="101"/>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2" w:name="_Toc9524"/>
      <w:bookmarkStart w:id="103" w:name="_Toc234382879"/>
      <w:r>
        <w:rPr>
          <w:rFonts w:hint="eastAsia" w:ascii="宋体" w:hAnsi="宋体" w:eastAsia="宋体" w:cs="宋体"/>
          <w:color w:val="auto"/>
          <w:sz w:val="21"/>
          <w:szCs w:val="21"/>
          <w:highlight w:val="none"/>
        </w:rPr>
        <w:t>11．开工和竣工</w:t>
      </w:r>
      <w:bookmarkEnd w:id="102"/>
      <w:bookmarkEnd w:id="103"/>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4" w:name="_Toc9366"/>
      <w:bookmarkStart w:id="105" w:name="_Toc234382880"/>
      <w:r>
        <w:rPr>
          <w:rFonts w:hint="eastAsia" w:ascii="宋体" w:hAnsi="宋体" w:eastAsia="宋体" w:cs="宋体"/>
          <w:color w:val="auto"/>
          <w:sz w:val="21"/>
          <w:szCs w:val="21"/>
          <w:highlight w:val="none"/>
        </w:rPr>
        <w:t>11.1开工</w:t>
      </w:r>
      <w:bookmarkEnd w:id="104"/>
      <w:bookmarkEnd w:id="105"/>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6" w:name="_Toc234382881"/>
      <w:bookmarkStart w:id="107" w:name="_Toc22115"/>
      <w:r>
        <w:rPr>
          <w:rFonts w:hint="eastAsia" w:ascii="宋体" w:hAnsi="宋体" w:eastAsia="宋体" w:cs="宋体"/>
          <w:color w:val="auto"/>
          <w:sz w:val="21"/>
          <w:szCs w:val="21"/>
          <w:highlight w:val="none"/>
        </w:rPr>
        <w:t>11.3发包人的工期延误</w:t>
      </w:r>
      <w:bookmarkEnd w:id="106"/>
      <w:bookmarkEnd w:id="107"/>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08" w:name="_Toc234382882"/>
      <w:bookmarkStart w:id="109" w:name="_Toc21654"/>
      <w:r>
        <w:rPr>
          <w:rFonts w:hint="eastAsia" w:ascii="宋体" w:hAnsi="宋体" w:eastAsia="宋体" w:cs="宋体"/>
          <w:color w:val="auto"/>
          <w:sz w:val="21"/>
          <w:szCs w:val="21"/>
          <w:highlight w:val="none"/>
        </w:rPr>
        <w:t>11.4异常恶劣的气候条件</w:t>
      </w:r>
      <w:bookmarkEnd w:id="108"/>
      <w:bookmarkEnd w:id="109"/>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0" w:name="_Toc29919"/>
      <w:bookmarkStart w:id="111" w:name="_Toc234382883"/>
      <w:r>
        <w:rPr>
          <w:rFonts w:hint="eastAsia" w:ascii="宋体" w:hAnsi="宋体" w:eastAsia="宋体" w:cs="宋体"/>
          <w:color w:val="auto"/>
          <w:sz w:val="21"/>
          <w:szCs w:val="21"/>
          <w:highlight w:val="none"/>
        </w:rPr>
        <w:t>11.5承包人的工期延误</w:t>
      </w:r>
      <w:bookmarkEnd w:id="110"/>
      <w:bookmarkEnd w:id="111"/>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auto"/>
          <w:sz w:val="21"/>
          <w:szCs w:val="21"/>
          <w:highlight w:val="none"/>
        </w:rPr>
        <w:t>证书人</w:t>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vanish/>
          <w:color w:val="auto"/>
          <w:sz w:val="21"/>
          <w:szCs w:val="21"/>
          <w:highlight w:val="none"/>
        </w:rPr>
        <w:pgNum/>
      </w:r>
      <w:r>
        <w:rPr>
          <w:rFonts w:hint="eastAsia" w:ascii="宋体" w:hAnsi="宋体" w:eastAsia="宋体" w:cs="宋体"/>
          <w:color w:val="auto"/>
          <w:sz w:val="21"/>
          <w:szCs w:val="21"/>
          <w:highlight w:val="none"/>
        </w:rPr>
        <w:t>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2" w:name="_Toc585"/>
      <w:bookmarkStart w:id="113" w:name="_Toc234382884"/>
      <w:r>
        <w:rPr>
          <w:rFonts w:hint="eastAsia" w:ascii="宋体" w:hAnsi="宋体" w:eastAsia="宋体" w:cs="宋体"/>
          <w:color w:val="auto"/>
          <w:sz w:val="21"/>
          <w:szCs w:val="21"/>
          <w:highlight w:val="none"/>
        </w:rPr>
        <w:t>11．6工期提前</w:t>
      </w:r>
      <w:bookmarkEnd w:id="112"/>
      <w:bookmarkEnd w:id="113"/>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发包人不得随意要求承包人提前交工，承包人也不得随意提出提前交工的建议。如遇特殊情况，确需将工期提前的，发包人和承包人必须采取有效措施，确保工程质量。</w:t>
      </w:r>
    </w:p>
    <w:p w14:paraId="1E38ED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2AC95C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4" w:name="_Toc4712"/>
      <w:bookmarkStart w:id="115" w:name="_Toc234382885"/>
      <w:r>
        <w:rPr>
          <w:rFonts w:hint="eastAsia" w:ascii="宋体" w:hAnsi="宋体" w:eastAsia="宋体" w:cs="宋体"/>
          <w:color w:val="auto"/>
          <w:sz w:val="21"/>
          <w:szCs w:val="21"/>
          <w:highlight w:val="none"/>
        </w:rPr>
        <w:t>11．7工作时间的限制</w:t>
      </w:r>
      <w:bookmarkEnd w:id="114"/>
      <w:bookmarkEnd w:id="115"/>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6" w:name="_Toc234382886"/>
      <w:bookmarkStart w:id="117" w:name="_Toc28522"/>
      <w:r>
        <w:rPr>
          <w:rFonts w:hint="eastAsia" w:ascii="宋体" w:hAnsi="宋体" w:eastAsia="宋体" w:cs="宋体"/>
          <w:color w:val="auto"/>
          <w:sz w:val="21"/>
          <w:szCs w:val="21"/>
          <w:highlight w:val="none"/>
        </w:rPr>
        <w:t>12．暂停施工</w:t>
      </w:r>
      <w:bookmarkEnd w:id="116"/>
      <w:bookmarkEnd w:id="117"/>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18" w:name="_Toc234382887"/>
      <w:bookmarkStart w:id="119" w:name="_Toc19701"/>
      <w:r>
        <w:rPr>
          <w:rFonts w:hint="eastAsia" w:ascii="宋体" w:hAnsi="宋体" w:eastAsia="宋体" w:cs="宋体"/>
          <w:color w:val="auto"/>
          <w:sz w:val="21"/>
          <w:szCs w:val="21"/>
          <w:highlight w:val="none"/>
        </w:rPr>
        <w:t>12．1承包人暂停施工的责任</w:t>
      </w:r>
      <w:bookmarkEnd w:id="118"/>
      <w:bookmarkEnd w:id="119"/>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0" w:name="_Toc16526"/>
      <w:bookmarkStart w:id="121" w:name="_Toc234382888"/>
      <w:r>
        <w:rPr>
          <w:rFonts w:hint="eastAsia" w:ascii="宋体" w:hAnsi="宋体" w:eastAsia="宋体" w:cs="宋体"/>
          <w:color w:val="auto"/>
          <w:sz w:val="21"/>
          <w:szCs w:val="21"/>
          <w:highlight w:val="none"/>
        </w:rPr>
        <w:t>13．工程质量</w:t>
      </w:r>
      <w:bookmarkEnd w:id="120"/>
      <w:bookmarkEnd w:id="121"/>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2" w:name="_Toc234382889"/>
      <w:bookmarkStart w:id="123" w:name="_Toc17219"/>
      <w:r>
        <w:rPr>
          <w:rFonts w:hint="eastAsia" w:ascii="宋体" w:hAnsi="宋体" w:eastAsia="宋体" w:cs="宋体"/>
          <w:color w:val="auto"/>
          <w:sz w:val="21"/>
          <w:szCs w:val="21"/>
          <w:highlight w:val="none"/>
        </w:rPr>
        <w:t>13．1工程质量要求</w:t>
      </w:r>
      <w:bookmarkEnd w:id="122"/>
      <w:bookmarkEnd w:id="123"/>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4" w:name="_Toc23573"/>
      <w:bookmarkStart w:id="125" w:name="_Toc234382890"/>
      <w:r>
        <w:rPr>
          <w:rFonts w:hint="eastAsia" w:ascii="宋体" w:hAnsi="宋体" w:eastAsia="宋体" w:cs="宋体"/>
          <w:color w:val="auto"/>
          <w:sz w:val="21"/>
          <w:szCs w:val="21"/>
          <w:highlight w:val="none"/>
        </w:rPr>
        <w:t>13．2承包人的质量管理</w:t>
      </w:r>
      <w:bookmarkEnd w:id="124"/>
      <w:bookmarkEnd w:id="125"/>
    </w:p>
    <w:p w14:paraId="49D7C0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第13.2.1项补充：</w:t>
      </w:r>
    </w:p>
    <w:p w14:paraId="2CF9A7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承包人提交工程质量保证措施文件的期限：签订合同协议书后28天之内。</w:t>
      </w:r>
    </w:p>
    <w:p w14:paraId="252C2A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本款补充第13.2.3项～第13.2.6项：</w:t>
      </w:r>
    </w:p>
    <w:p w14:paraId="7599FC4F">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color w:val="auto"/>
          <w:sz w:val="21"/>
          <w:szCs w:val="21"/>
          <w:highlight w:val="none"/>
        </w:rPr>
        <w:t>限内承担相应的质量责任。</w:t>
      </w:r>
    </w:p>
    <w:p w14:paraId="3944606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承包人应当建立健全工程质量保证体系，制定质量管理制度，强化工程</w:t>
      </w:r>
      <w:r>
        <w:rPr>
          <w:rFonts w:hint="eastAsia" w:ascii="宋体" w:hAnsi="宋体" w:eastAsia="宋体" w:cs="宋体"/>
          <w:color w:val="auto"/>
          <w:spacing w:val="-9"/>
          <w:sz w:val="21"/>
          <w:szCs w:val="21"/>
          <w:highlight w:val="none"/>
        </w:rPr>
        <w:t xml:space="preserve">质量管理措施，完善工程质量目标保障机制；严格遵守国家有关法律、法规和规章， </w:t>
      </w:r>
      <w:r>
        <w:rPr>
          <w:rFonts w:hint="eastAsia" w:ascii="宋体" w:hAnsi="宋体" w:eastAsia="宋体" w:cs="宋体"/>
          <w:color w:val="auto"/>
          <w:spacing w:val="-6"/>
          <w:sz w:val="21"/>
          <w:szCs w:val="21"/>
          <w:highlight w:val="none"/>
        </w:rPr>
        <w:t>严格执行公路工程强制性技术标准、各类技术规范及规程，全面履行工程合同义务。</w:t>
      </w:r>
    </w:p>
    <w:p w14:paraId="6B7B9F45">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承包人对工程施工质量负责，应当按合同约定设立现场质量管理机构、</w:t>
      </w:r>
      <w:r>
        <w:rPr>
          <w:rFonts w:hint="eastAsia" w:ascii="宋体" w:hAnsi="宋体" w:eastAsia="宋体" w:cs="宋体"/>
          <w:color w:val="auto"/>
          <w:sz w:val="21"/>
          <w:szCs w:val="21"/>
          <w:highlight w:val="none"/>
        </w:rPr>
        <w:t>配备工程技术人员和质量管理人员，落实工程施工质量责任制。</w:t>
      </w:r>
    </w:p>
    <w:p w14:paraId="70065CA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承包人应当严格按照工程设计图纸、施工技术标准和合同约定施工，对</w:t>
      </w:r>
      <w:r>
        <w:rPr>
          <w:rFonts w:hint="eastAsia" w:ascii="宋体" w:hAnsi="宋体" w:eastAsia="宋体" w:cs="宋体"/>
          <w:color w:val="auto"/>
          <w:spacing w:val="-10"/>
          <w:sz w:val="21"/>
          <w:szCs w:val="21"/>
          <w:highlight w:val="none"/>
        </w:rPr>
        <w:t>原材料、混合料、构配件、工程实体、机电设备等进行检验；按规定施行班组自检、</w:t>
      </w:r>
      <w:r>
        <w:rPr>
          <w:rFonts w:hint="eastAsia" w:ascii="宋体" w:hAnsi="宋体" w:eastAsia="宋体" w:cs="宋体"/>
          <w:color w:val="auto"/>
          <w:sz w:val="21"/>
          <w:szCs w:val="21"/>
          <w:highlight w:val="none"/>
        </w:rPr>
        <w:t>工序交接检、专职质检员检验的质量控制程序；对分项工程、分部工程和单位工程进行质量自评。检验或者自评不合格的，不得进入下道工序或者投入使用。</w:t>
      </w:r>
    </w:p>
    <w:p w14:paraId="659975B7">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color w:val="auto"/>
          <w:sz w:val="21"/>
          <w:szCs w:val="21"/>
          <w:highlight w:val="none"/>
        </w:rPr>
        <w:t>问题的工程，应当履行保修义务。</w:t>
      </w:r>
    </w:p>
    <w:p w14:paraId="1D65677E">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color w:val="auto"/>
          <w:spacing w:val="-4"/>
          <w:sz w:val="21"/>
          <w:szCs w:val="21"/>
          <w:highlight w:val="none"/>
        </w:rPr>
        <w:t>人应当对其设立的工地临时试验室所出具的试验检测数据和报告的真实性、客观性、</w:t>
      </w:r>
      <w:r>
        <w:rPr>
          <w:rFonts w:hint="eastAsia" w:ascii="宋体" w:hAnsi="宋体" w:eastAsia="宋体" w:cs="宋体"/>
          <w:color w:val="auto"/>
          <w:sz w:val="21"/>
          <w:szCs w:val="21"/>
          <w:highlight w:val="none"/>
        </w:rPr>
        <w:t>准确性负责。</w:t>
      </w:r>
    </w:p>
    <w:p w14:paraId="642AD644">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lang w:val="zh-CN" w:eastAsia="en-US"/>
        </w:rPr>
      </w:pPr>
      <w:r>
        <w:rPr>
          <w:rFonts w:hint="eastAsia" w:ascii="宋体" w:hAnsi="宋体" w:eastAsia="宋体" w:cs="宋体"/>
          <w:color w:val="auto"/>
          <w:spacing w:val="-10"/>
          <w:sz w:val="21"/>
          <w:szCs w:val="21"/>
          <w:highlight w:val="none"/>
        </w:rPr>
        <w:t>承包人应当依法规范分包行为，并对承担的工程质量负总责，分包单位</w:t>
      </w:r>
      <w:r>
        <w:rPr>
          <w:rFonts w:hint="eastAsia" w:ascii="宋体" w:hAnsi="宋体" w:eastAsia="宋体" w:cs="宋体"/>
          <w:color w:val="auto"/>
          <w:spacing w:val="-10"/>
          <w:sz w:val="21"/>
          <w:szCs w:val="21"/>
          <w:highlight w:val="none"/>
          <w:lang w:val="zh-CN" w:eastAsia="en-US"/>
        </w:rPr>
        <w:t>对分包合同范围内的工程质量负责。</w:t>
      </w:r>
    </w:p>
    <w:p w14:paraId="5C690A5C">
      <w:pPr>
        <w:pStyle w:val="32"/>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承包人驻工程现场机构应在现场驻地和重要的分部、分项工程施工现场设置明显的工程质量责任登记表公示牌。</w:t>
      </w:r>
    </w:p>
    <w:p w14:paraId="49A9863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outlineLvl w:val="9"/>
        <w:rPr>
          <w:rFonts w:hint="eastAsia" w:ascii="宋体" w:hAnsi="宋体" w:eastAsia="宋体" w:cs="宋体"/>
          <w:color w:val="auto"/>
          <w:sz w:val="21"/>
          <w:szCs w:val="21"/>
          <w:highlight w:val="none"/>
        </w:rPr>
      </w:pPr>
      <w:bookmarkStart w:id="126"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7" w:name="_Toc17021"/>
      <w:r>
        <w:rPr>
          <w:rFonts w:hint="eastAsia" w:ascii="宋体" w:hAnsi="宋体" w:eastAsia="宋体" w:cs="宋体"/>
          <w:color w:val="auto"/>
          <w:sz w:val="21"/>
          <w:szCs w:val="21"/>
          <w:highlight w:val="none"/>
        </w:rPr>
        <w:t>13．4监理人的质量检查</w:t>
      </w:r>
      <w:bookmarkEnd w:id="126"/>
      <w:bookmarkEnd w:id="127"/>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28" w:name="_Toc234382892"/>
      <w:bookmarkStart w:id="129" w:name="_Toc413"/>
      <w:r>
        <w:rPr>
          <w:rFonts w:hint="eastAsia" w:ascii="宋体" w:hAnsi="宋体" w:eastAsia="宋体" w:cs="宋体"/>
          <w:color w:val="auto"/>
          <w:sz w:val="21"/>
          <w:szCs w:val="21"/>
          <w:highlight w:val="none"/>
        </w:rPr>
        <w:t>13．5工程隐蔽部位覆盖前的检查</w:t>
      </w:r>
      <w:bookmarkEnd w:id="128"/>
      <w:bookmarkEnd w:id="129"/>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0" w:name="_Toc234382893"/>
      <w:bookmarkStart w:id="131" w:name="_Toc7774"/>
      <w:r>
        <w:rPr>
          <w:rFonts w:hint="eastAsia" w:ascii="宋体" w:hAnsi="宋体" w:eastAsia="宋体" w:cs="宋体"/>
          <w:color w:val="auto"/>
          <w:sz w:val="21"/>
          <w:szCs w:val="21"/>
          <w:highlight w:val="none"/>
        </w:rPr>
        <w:t>13．6清除不合格工程</w:t>
      </w:r>
      <w:bookmarkEnd w:id="130"/>
      <w:bookmarkEnd w:id="131"/>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2" w:name="_Toc26155"/>
      <w:bookmarkStart w:id="133" w:name="_Toc234382894"/>
      <w:r>
        <w:rPr>
          <w:rFonts w:hint="eastAsia" w:ascii="宋体" w:hAnsi="宋体" w:eastAsia="宋体" w:cs="宋体"/>
          <w:color w:val="auto"/>
          <w:sz w:val="21"/>
          <w:szCs w:val="21"/>
          <w:highlight w:val="none"/>
        </w:rPr>
        <w:t>14．试验和检验</w:t>
      </w:r>
      <w:bookmarkEnd w:id="132"/>
      <w:bookmarkEnd w:id="133"/>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4" w:name="_Toc28486"/>
      <w:bookmarkStart w:id="135" w:name="_Toc234382895"/>
      <w:r>
        <w:rPr>
          <w:rFonts w:hint="eastAsia" w:ascii="宋体" w:hAnsi="宋体" w:eastAsia="宋体" w:cs="宋体"/>
          <w:color w:val="auto"/>
          <w:sz w:val="21"/>
          <w:szCs w:val="21"/>
          <w:highlight w:val="none"/>
        </w:rPr>
        <w:t>14．4试验和检验费用</w:t>
      </w:r>
      <w:bookmarkEnd w:id="134"/>
      <w:bookmarkEnd w:id="135"/>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6" w:name="_Toc16988"/>
      <w:bookmarkStart w:id="137" w:name="_Toc234382896"/>
      <w:r>
        <w:rPr>
          <w:rFonts w:hint="eastAsia" w:ascii="宋体" w:hAnsi="宋体" w:eastAsia="宋体" w:cs="宋体"/>
          <w:color w:val="auto"/>
          <w:sz w:val="21"/>
          <w:szCs w:val="21"/>
          <w:highlight w:val="none"/>
        </w:rPr>
        <w:t>15．变更</w:t>
      </w:r>
      <w:bookmarkEnd w:id="136"/>
      <w:bookmarkEnd w:id="137"/>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38" w:name="_Toc234382897"/>
      <w:bookmarkStart w:id="139" w:name="_Toc3608"/>
      <w:r>
        <w:rPr>
          <w:rFonts w:hint="eastAsia" w:ascii="宋体" w:hAnsi="宋体" w:eastAsia="宋体" w:cs="宋体"/>
          <w:color w:val="auto"/>
          <w:sz w:val="21"/>
          <w:szCs w:val="21"/>
          <w:highlight w:val="none"/>
        </w:rPr>
        <w:t>15．1变更的范围和内容</w:t>
      </w:r>
      <w:bookmarkEnd w:id="138"/>
      <w:bookmarkEnd w:id="139"/>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0" w:name="_Toc234382898"/>
      <w:bookmarkStart w:id="141" w:name="_Toc27483"/>
      <w:r>
        <w:rPr>
          <w:rFonts w:hint="eastAsia" w:ascii="宋体" w:hAnsi="宋体" w:eastAsia="宋体" w:cs="宋体"/>
          <w:color w:val="auto"/>
          <w:sz w:val="21"/>
          <w:szCs w:val="21"/>
          <w:highlight w:val="none"/>
        </w:rPr>
        <w:t>15．3变更程序</w:t>
      </w:r>
      <w:bookmarkEnd w:id="140"/>
      <w:bookmarkEnd w:id="141"/>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本款补充第15.3.4项：</w:t>
      </w:r>
    </w:p>
    <w:p w14:paraId="5BBAC5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15.3.4设计变更程序应执行《公路工程设计变更管理办法》的相关规定。</w:t>
      </w:r>
      <w:bookmarkStart w:id="142"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3" w:name="_Toc9176"/>
      <w:r>
        <w:rPr>
          <w:rFonts w:hint="eastAsia" w:ascii="宋体" w:hAnsi="宋体" w:eastAsia="宋体" w:cs="宋体"/>
          <w:color w:val="auto"/>
          <w:sz w:val="21"/>
          <w:szCs w:val="21"/>
          <w:highlight w:val="none"/>
        </w:rPr>
        <w:t>15．4变更的估价原则</w:t>
      </w:r>
      <w:bookmarkEnd w:id="142"/>
      <w:bookmarkEnd w:id="143"/>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4" w:name="_Toc5247"/>
      <w:bookmarkStart w:id="145" w:name="_Toc234382900"/>
      <w:r>
        <w:rPr>
          <w:rFonts w:hint="eastAsia" w:ascii="宋体" w:hAnsi="宋体" w:eastAsia="宋体" w:cs="宋体"/>
          <w:color w:val="auto"/>
          <w:sz w:val="21"/>
          <w:szCs w:val="21"/>
          <w:highlight w:val="none"/>
        </w:rPr>
        <w:t>15.5承包人的合理化建议</w:t>
      </w:r>
      <w:bookmarkEnd w:id="144"/>
      <w:bookmarkEnd w:id="145"/>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6" w:name="_Toc234382901"/>
      <w:bookmarkStart w:id="147" w:name="_Toc4960"/>
      <w:r>
        <w:rPr>
          <w:rFonts w:hint="eastAsia" w:ascii="宋体" w:hAnsi="宋体" w:eastAsia="宋体" w:cs="宋体"/>
          <w:color w:val="auto"/>
          <w:sz w:val="21"/>
          <w:szCs w:val="21"/>
          <w:highlight w:val="none"/>
        </w:rPr>
        <w:t>15.6暂列金额</w:t>
      </w:r>
      <w:bookmarkEnd w:id="146"/>
      <w:bookmarkEnd w:id="147"/>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48" w:name="_Toc1709"/>
      <w:bookmarkStart w:id="149" w:name="_Toc234382902"/>
      <w:r>
        <w:rPr>
          <w:rFonts w:hint="eastAsia" w:ascii="宋体" w:hAnsi="宋体" w:eastAsia="宋体" w:cs="宋体"/>
          <w:color w:val="auto"/>
          <w:sz w:val="21"/>
          <w:szCs w:val="21"/>
          <w:highlight w:val="none"/>
        </w:rPr>
        <w:t>16.价格调整</w:t>
      </w:r>
      <w:bookmarkEnd w:id="148"/>
      <w:bookmarkEnd w:id="149"/>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0" w:name="_Toc234382903"/>
      <w:bookmarkStart w:id="151" w:name="_Toc30122"/>
      <w:r>
        <w:rPr>
          <w:rFonts w:hint="eastAsia" w:ascii="宋体" w:hAnsi="宋体" w:eastAsia="宋体" w:cs="宋体"/>
          <w:color w:val="auto"/>
          <w:sz w:val="21"/>
          <w:szCs w:val="21"/>
          <w:highlight w:val="none"/>
        </w:rPr>
        <w:t>16.1物价波动引起的价格调整</w:t>
      </w:r>
      <w:bookmarkEnd w:id="150"/>
      <w:bookmarkEnd w:id="151"/>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（1）除项目专用合同条款另有约定外，因物价波动引起的价格调整应按项目专用合同条款数据表的规定，按照第16.1.1项或第16.1.2项约定的原则处理；或者</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w:r>
        <w:rPr>
          <w:rFonts w:hint="eastAsia" w:ascii="宋体" w:hAnsi="宋体" w:eastAsia="宋体" w:cs="宋体"/>
          <w:i/>
          <w:color w:val="auto"/>
          <w:sz w:val="21"/>
          <w:szCs w:val="21"/>
          <w:highlight w:val="none"/>
        </w:rPr>
        <w:t>A</w:t>
      </w:r>
      <w:r>
        <w:rPr>
          <w:rFonts w:hint="eastAsia" w:ascii="宋体" w:hAnsi="宋体" w:eastAsia="宋体" w:cs="宋体"/>
          <w:color w:val="auto"/>
          <w:sz w:val="21"/>
          <w:szCs w:val="21"/>
          <w:highlight w:val="none"/>
        </w:rPr>
        <w:t xml:space="preserve"> ＝ 1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1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2 </w:t>
      </w:r>
      <w:r>
        <w:rPr>
          <w:rFonts w:hint="eastAsia" w:ascii="宋体" w:hAnsi="宋体" w:eastAsia="宋体" w:cs="宋体"/>
          <w:color w:val="auto"/>
          <w:sz w:val="21"/>
          <w:szCs w:val="21"/>
          <w:highlight w:val="none"/>
        </w:rPr>
        <w:t xml:space="preserve">＋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3 </w:t>
      </w:r>
      <w:r>
        <w:rPr>
          <w:rFonts w:hint="eastAsia" w:ascii="宋体" w:hAnsi="宋体" w:eastAsia="宋体" w:cs="宋体"/>
          <w:color w:val="auto"/>
          <w:sz w:val="21"/>
          <w:szCs w:val="21"/>
          <w:highlight w:val="none"/>
        </w:rPr>
        <w:t xml:space="preserve">＋ ... ＋ </w:t>
      </w:r>
      <w:r>
        <w:rPr>
          <w:rFonts w:hint="eastAsia" w:ascii="宋体" w:hAnsi="宋体" w:eastAsia="宋体" w:cs="宋体"/>
          <w:i/>
          <w:color w:val="auto"/>
          <w:sz w:val="21"/>
          <w:szCs w:val="21"/>
          <w:highlight w:val="none"/>
        </w:rPr>
        <w:t>B</w:t>
      </w:r>
      <w:r>
        <w:rPr>
          <w:rFonts w:hint="eastAsia" w:ascii="宋体" w:hAnsi="宋体" w:eastAsia="宋体" w:cs="宋体"/>
          <w:color w:val="auto"/>
          <w:sz w:val="21"/>
          <w:szCs w:val="21"/>
          <w:highlight w:val="none"/>
          <w:vertAlign w:val="subscript"/>
        </w:rPr>
        <w:t xml:space="preserve">n </w:t>
      </w:r>
      <w:r>
        <w:rPr>
          <w:rFonts w:hint="eastAsia" w:ascii="宋体" w:hAnsi="宋体" w:eastAsia="宋体" w:cs="宋体"/>
          <w:color w:val="auto"/>
          <w:sz w:val="21"/>
          <w:szCs w:val="21"/>
          <w:highlight w:val="none"/>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2" w:name="_Toc17396"/>
      <w:bookmarkStart w:id="153" w:name="_Toc234382904"/>
      <w:r>
        <w:rPr>
          <w:rFonts w:hint="eastAsia" w:ascii="宋体" w:hAnsi="宋体" w:eastAsia="宋体" w:cs="宋体"/>
          <w:color w:val="auto"/>
          <w:sz w:val="21"/>
          <w:szCs w:val="21"/>
          <w:highlight w:val="none"/>
        </w:rPr>
        <w:t>17.计量与支付</w:t>
      </w:r>
      <w:bookmarkEnd w:id="152"/>
      <w:bookmarkEnd w:id="153"/>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4" w:name="_Toc25986"/>
      <w:bookmarkStart w:id="155" w:name="_Toc234382905"/>
      <w:r>
        <w:rPr>
          <w:rFonts w:hint="eastAsia" w:ascii="宋体" w:hAnsi="宋体" w:eastAsia="宋体" w:cs="宋体"/>
          <w:color w:val="auto"/>
          <w:sz w:val="21"/>
          <w:szCs w:val="21"/>
          <w:highlight w:val="none"/>
        </w:rPr>
        <w:t>17.1计量</w:t>
      </w:r>
      <w:bookmarkEnd w:id="154"/>
      <w:bookmarkEnd w:id="155"/>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13B58DD">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承包人未在已标价工程量清单中填入单价或总额价的工程子目，将被认为其已包含在本合同的其他子目的单价和总额价中，发包人将不另行支付。</w:t>
      </w:r>
    </w:p>
    <w:p w14:paraId="33B6F7B2">
      <w:pPr>
        <w:pStyle w:val="32"/>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17.1.5 </w:t>
      </w:r>
      <w:r>
        <w:rPr>
          <w:rFonts w:hint="eastAsia" w:ascii="宋体" w:hAnsi="宋体" w:eastAsia="宋体" w:cs="宋体"/>
          <w:color w:val="auto"/>
          <w:sz w:val="21"/>
          <w:szCs w:val="21"/>
          <w:highlight w:val="none"/>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预付款包括开工预付款和材料、设备预付款。具体额度和预付办法如下：</w:t>
      </w:r>
    </w:p>
    <w:p w14:paraId="4FDA1D3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362B3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（2）当材料、设备已用于或安装在永久工程之中时，材料、设备预付款应从进度付款证书中扣回，扣回期不超过3个月。已经支付材料、设备预付款的材料、设备的所有权应属于发包人。</w:t>
      </w:r>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6" w:name="_Toc264"/>
      <w:bookmarkStart w:id="157" w:name="_Toc234382907"/>
      <w:r>
        <w:rPr>
          <w:rFonts w:hint="eastAsia" w:ascii="宋体" w:hAnsi="宋体" w:eastAsia="宋体" w:cs="宋体"/>
          <w:color w:val="auto"/>
          <w:sz w:val="21"/>
          <w:szCs w:val="21"/>
          <w:highlight w:val="none"/>
        </w:rPr>
        <w:t>17.3工程进度付款</w:t>
      </w:r>
      <w:bookmarkEnd w:id="156"/>
      <w:bookmarkEnd w:id="157"/>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14:paraId="2CC9B6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color w:val="auto"/>
          <w:highlight w:val="none"/>
          <w:u w:val="single"/>
        </w:rPr>
        <w:t>工程款按月支付。</w:t>
      </w:r>
      <w:r>
        <w:rPr>
          <w:rFonts w:hint="eastAsia" w:ascii="宋体" w:hAnsi="宋体" w:eastAsia="宋体"/>
          <w:color w:val="auto"/>
          <w:highlight w:val="none"/>
          <w:u w:val="single"/>
          <w:lang w:val="en-US" w:eastAsia="zh-CN"/>
        </w:rPr>
        <w:t>①预付款：施工单位接到发包人开工令并入场后支付至合同额的30%。</w:t>
      </w:r>
      <w:r>
        <w:rPr>
          <w:rFonts w:hint="eastAsia" w:ascii="宋体" w:hAnsi="宋体"/>
          <w:color w:val="auto"/>
          <w:highlight w:val="none"/>
          <w:u w:val="single"/>
        </w:rPr>
        <w:t>②工程完工达到竣工验收质量要求，合同内进度款支付至实际完成工程量的8</w:t>
      </w:r>
      <w:r>
        <w:rPr>
          <w:rFonts w:hint="eastAsia" w:ascii="宋体" w:hAnsi="宋体" w:eastAsia="宋体"/>
          <w:color w:val="auto"/>
          <w:highlight w:val="none"/>
          <w:u w:val="single"/>
          <w:lang w:val="en-US" w:eastAsia="zh-CN"/>
        </w:rPr>
        <w:t>0</w:t>
      </w:r>
      <w:r>
        <w:rPr>
          <w:rFonts w:hint="eastAsia" w:ascii="宋体" w:hAnsi="宋体"/>
          <w:color w:val="auto"/>
          <w:highlight w:val="none"/>
          <w:u w:val="single"/>
        </w:rPr>
        <w:t>%，③工程竣工验收合格且工程结算经相关部门</w:t>
      </w:r>
      <w:r>
        <w:rPr>
          <w:rFonts w:hint="eastAsia" w:ascii="宋体" w:hAnsi="宋体"/>
          <w:color w:val="auto"/>
          <w:kern w:val="0"/>
          <w:highlight w:val="none"/>
          <w:u w:val="single"/>
        </w:rPr>
        <w:t>最终</w:t>
      </w:r>
      <w:r>
        <w:rPr>
          <w:rFonts w:hint="eastAsia" w:ascii="宋体" w:hAnsi="宋体"/>
          <w:color w:val="auto"/>
          <w:highlight w:val="none"/>
          <w:u w:val="single"/>
        </w:rPr>
        <w:t>审定后，工程款支付至结算总价的97%；④发包人按工程价款结算总额的3%预留工程质量保修金，待工程缺陷责任期满后，双方确认无质量返修问题后返还。</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本项（1）目补充：</w:t>
      </w:r>
      <w:r>
        <w:rPr>
          <w:rFonts w:hint="eastAsia" w:ascii="宋体" w:hAnsi="宋体" w:eastAsia="宋体" w:cs="宋体"/>
          <w:color w:val="auto"/>
          <w:sz w:val="21"/>
          <w:szCs w:val="21"/>
          <w:highlight w:val="none"/>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w:t>
      </w:r>
    </w:p>
    <w:p w14:paraId="1DDF298D">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(1)</w:t>
      </w:r>
      <w:r>
        <w:rPr>
          <w:rFonts w:hint="eastAsia" w:ascii="宋体" w:hAnsi="宋体" w:eastAsia="宋体" w:cs="宋体"/>
          <w:snapToGrid w:val="0"/>
          <w:color w:val="auto"/>
          <w:kern w:val="0"/>
          <w:sz w:val="21"/>
          <w:szCs w:val="21"/>
          <w:highlight w:val="none"/>
          <w:lang w:val="en-US" w:eastAsia="en-US" w:bidi="ar-SA"/>
        </w:rPr>
        <w:t>为确保施工过程中农民工工资实时、足额发放到位，承包人应按照项目专用合同条款约定的时间和金额缴存农民工工资保证金。</w:t>
      </w:r>
    </w:p>
    <w:p w14:paraId="5A38542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en-US" w:bidi="ar-SA"/>
        </w:rPr>
        <w:t>农民工工资保证金可采用银行保函或现金、支票形式。采用银行保函时， 出具保函的银行须具有相应担保能力，且按照发包人批准的格式出具，所需费用由承包人承担。</w:t>
      </w:r>
    </w:p>
    <w:p w14:paraId="6157D80B">
      <w:pPr>
        <w:pStyle w:val="32"/>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SA"/>
        </w:rPr>
        <w:t>(</w:t>
      </w:r>
      <w:r>
        <w:rPr>
          <w:rFonts w:hint="eastAsia" w:eastAsia="宋体" w:cs="宋体"/>
          <w:snapToGrid w:val="0"/>
          <w:color w:val="auto"/>
          <w:kern w:val="0"/>
          <w:sz w:val="21"/>
          <w:szCs w:val="21"/>
          <w:highlight w:val="none"/>
          <w:lang w:val="en-US" w:eastAsia="zh-CN" w:bidi="ar-SA"/>
        </w:rPr>
        <w:t>2</w:t>
      </w:r>
      <w:r>
        <w:rPr>
          <w:rFonts w:hint="eastAsia" w:ascii="宋体" w:hAnsi="宋体" w:eastAsia="宋体" w:cs="宋体"/>
          <w:snapToGrid w:val="0"/>
          <w:color w:val="auto"/>
          <w:kern w:val="0"/>
          <w:sz w:val="21"/>
          <w:szCs w:val="21"/>
          <w:highlight w:val="none"/>
          <w:lang w:val="en-US" w:eastAsia="zh-CN" w:bidi="ar-SA"/>
        </w:rPr>
        <w:t>)</w:t>
      </w:r>
      <w:r>
        <w:rPr>
          <w:rFonts w:hint="eastAsia" w:ascii="宋体" w:hAnsi="宋体" w:eastAsia="宋体" w:cs="宋体"/>
          <w:snapToGrid w:val="0"/>
          <w:color w:val="auto"/>
          <w:kern w:val="0"/>
          <w:sz w:val="21"/>
          <w:szCs w:val="21"/>
          <w:highlight w:val="none"/>
          <w:lang w:val="en-US" w:eastAsia="en-US" w:bidi="ar-SA"/>
        </w:rPr>
        <w:t>农民工工资保证金的扣留条件、返还时间按照项目专用合同条款的约定执行。</w:t>
      </w:r>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58" w:name="_Toc32150"/>
      <w:bookmarkStart w:id="159" w:name="_Toc234382908"/>
      <w:r>
        <w:rPr>
          <w:rFonts w:hint="eastAsia" w:ascii="宋体" w:hAnsi="宋体" w:eastAsia="宋体" w:cs="宋体"/>
          <w:color w:val="auto"/>
          <w:sz w:val="21"/>
          <w:szCs w:val="21"/>
          <w:highlight w:val="none"/>
        </w:rPr>
        <w:t>17.4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质量保证金</w:t>
      </w:r>
      <w:bookmarkEnd w:id="158"/>
      <w:bookmarkEnd w:id="159"/>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第17.4.1项细化为：</w:t>
      </w:r>
      <w:r>
        <w:rPr>
          <w:rFonts w:hint="eastAsia" w:ascii="宋体" w:hAnsi="宋体" w:eastAsia="宋体" w:cs="宋体"/>
          <w:color w:val="auto"/>
          <w:sz w:val="21"/>
          <w:szCs w:val="21"/>
          <w:highlight w:val="none"/>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0" w:name="_Toc27518"/>
      <w:bookmarkStart w:id="161" w:name="_Toc234382909"/>
      <w:r>
        <w:rPr>
          <w:rFonts w:hint="eastAsia" w:ascii="宋体" w:hAnsi="宋体" w:eastAsia="宋体" w:cs="宋体"/>
          <w:color w:val="auto"/>
          <w:sz w:val="21"/>
          <w:szCs w:val="21"/>
          <w:highlight w:val="none"/>
        </w:rPr>
        <w:t>17.5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交工结算</w:t>
      </w:r>
      <w:bookmarkEnd w:id="160"/>
      <w:bookmarkEnd w:id="161"/>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2" w:name="_Toc17472"/>
      <w:bookmarkStart w:id="163" w:name="_Toc234382910"/>
      <w:r>
        <w:rPr>
          <w:rFonts w:hint="eastAsia" w:ascii="宋体" w:hAnsi="宋体" w:eastAsia="宋体" w:cs="宋体"/>
          <w:color w:val="auto"/>
          <w:sz w:val="21"/>
          <w:szCs w:val="21"/>
          <w:highlight w:val="none"/>
        </w:rPr>
        <w:t>17.6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最终结清</w:t>
      </w:r>
      <w:bookmarkEnd w:id="162"/>
      <w:bookmarkEnd w:id="163"/>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4" w:name="_Toc234382911"/>
      <w:bookmarkStart w:id="165" w:name="_Toc10999"/>
      <w:r>
        <w:rPr>
          <w:rFonts w:hint="eastAsia" w:ascii="宋体" w:hAnsi="宋体" w:eastAsia="宋体" w:cs="宋体"/>
          <w:color w:val="auto"/>
          <w:sz w:val="21"/>
          <w:szCs w:val="21"/>
          <w:highlight w:val="none"/>
        </w:rPr>
        <w:t>18．交工验收</w:t>
      </w:r>
      <w:bookmarkEnd w:id="164"/>
      <w:bookmarkEnd w:id="165"/>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6" w:name="_Toc234382912"/>
      <w:bookmarkStart w:id="167" w:name="_Toc23177"/>
      <w:r>
        <w:rPr>
          <w:rFonts w:hint="eastAsia" w:ascii="宋体" w:hAnsi="宋体" w:eastAsia="宋体" w:cs="宋体"/>
          <w:color w:val="auto"/>
          <w:sz w:val="21"/>
          <w:szCs w:val="21"/>
          <w:highlight w:val="none"/>
        </w:rPr>
        <w:t>18.2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交工验收申请报告</w:t>
      </w:r>
      <w:bookmarkEnd w:id="166"/>
      <w:bookmarkEnd w:id="167"/>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68" w:name="_Toc15520"/>
      <w:bookmarkStart w:id="169" w:name="_Toc234382913"/>
      <w:r>
        <w:rPr>
          <w:rFonts w:hint="eastAsia" w:ascii="宋体" w:hAnsi="宋体" w:eastAsia="宋体" w:cs="宋体"/>
          <w:color w:val="auto"/>
          <w:sz w:val="21"/>
          <w:szCs w:val="21"/>
          <w:highlight w:val="none"/>
        </w:rPr>
        <w:t>18.3 验收</w:t>
      </w:r>
      <w:bookmarkEnd w:id="168"/>
      <w:bookmarkEnd w:id="169"/>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本款补充第18.3.7项：</w:t>
      </w:r>
    </w:p>
    <w:p w14:paraId="72B364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0" w:name="_Toc12325"/>
      <w:bookmarkStart w:id="171" w:name="_Toc234382914"/>
      <w:r>
        <w:rPr>
          <w:rFonts w:hint="eastAsia" w:ascii="宋体" w:hAnsi="宋体" w:eastAsia="宋体" w:cs="宋体"/>
          <w:color w:val="auto"/>
          <w:sz w:val="21"/>
          <w:szCs w:val="21"/>
          <w:highlight w:val="none"/>
        </w:rPr>
        <w:t>18.9竣工文件</w:t>
      </w:r>
      <w:bookmarkEnd w:id="170"/>
      <w:bookmarkEnd w:id="171"/>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2" w:name="_Toc940"/>
      <w:bookmarkStart w:id="173" w:name="_Toc234382915"/>
      <w:r>
        <w:rPr>
          <w:rFonts w:hint="eastAsia" w:ascii="宋体" w:hAnsi="宋体" w:eastAsia="宋体" w:cs="宋体"/>
          <w:color w:val="auto"/>
          <w:sz w:val="21"/>
          <w:szCs w:val="21"/>
          <w:highlight w:val="none"/>
        </w:rPr>
        <w:t>19．缺陷责任与保修责任</w:t>
      </w:r>
      <w:bookmarkEnd w:id="172"/>
      <w:bookmarkEnd w:id="173"/>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4" w:name="_Toc234382916"/>
      <w:bookmarkStart w:id="175" w:name="_Toc19583"/>
      <w:r>
        <w:rPr>
          <w:rFonts w:hint="eastAsia" w:ascii="宋体" w:hAnsi="宋体" w:eastAsia="宋体" w:cs="宋体"/>
          <w:color w:val="auto"/>
          <w:sz w:val="21"/>
          <w:szCs w:val="21"/>
          <w:highlight w:val="none"/>
        </w:rPr>
        <w:t>19.2缺陷责任</w:t>
      </w:r>
      <w:bookmarkEnd w:id="174"/>
      <w:bookmarkEnd w:id="175"/>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6" w:name="_Toc32444"/>
      <w:bookmarkStart w:id="177" w:name="_Toc234382917"/>
      <w:r>
        <w:rPr>
          <w:rFonts w:hint="eastAsia" w:ascii="宋体" w:hAnsi="宋体" w:eastAsia="宋体" w:cs="宋体"/>
          <w:color w:val="auto"/>
          <w:sz w:val="21"/>
          <w:szCs w:val="21"/>
          <w:highlight w:val="none"/>
        </w:rPr>
        <w:t>19.5承包人的进入权</w:t>
      </w:r>
      <w:bookmarkEnd w:id="176"/>
      <w:bookmarkEnd w:id="177"/>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78" w:name="_Toc32022"/>
      <w:bookmarkStart w:id="179" w:name="_Toc234382918"/>
      <w:r>
        <w:rPr>
          <w:rFonts w:hint="eastAsia" w:ascii="宋体" w:hAnsi="宋体" w:eastAsia="宋体" w:cs="宋体"/>
          <w:color w:val="auto"/>
          <w:sz w:val="21"/>
          <w:szCs w:val="21"/>
          <w:highlight w:val="none"/>
        </w:rPr>
        <w:t>19.7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保修责任</w:t>
      </w:r>
      <w:bookmarkEnd w:id="178"/>
      <w:bookmarkEnd w:id="179"/>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0" w:name="_Toc234382919"/>
      <w:bookmarkStart w:id="181" w:name="_Toc20806"/>
      <w:r>
        <w:rPr>
          <w:rFonts w:hint="eastAsia" w:ascii="宋体" w:hAnsi="宋体" w:eastAsia="宋体" w:cs="宋体"/>
          <w:color w:val="auto"/>
          <w:sz w:val="21"/>
          <w:szCs w:val="21"/>
          <w:highlight w:val="none"/>
        </w:rPr>
        <w:t>20.保险</w:t>
      </w:r>
      <w:bookmarkEnd w:id="180"/>
      <w:bookmarkEnd w:id="181"/>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2" w:name="_Toc234382920"/>
      <w:bookmarkStart w:id="183" w:name="_Toc31663"/>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工程保险</w:t>
      </w:r>
      <w:bookmarkEnd w:id="182"/>
      <w:bookmarkEnd w:id="183"/>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建筑工程</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切险的投保内容：按有关规定确定同时投标人应在所报的单价和总额价中对该保险费率予以考虑，业主不单独进行计量与支付。</w:t>
      </w:r>
      <w:r>
        <w:rPr>
          <w:rFonts w:hint="eastAsia" w:ascii="宋体" w:hAnsi="宋体" w:eastAsia="宋体" w:cs="宋体"/>
          <w:color w:val="auto"/>
          <w:sz w:val="21"/>
          <w:szCs w:val="21"/>
          <w:highlight w:val="none"/>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保险金额：工程量清单第100章（不含建筑工程一切险及第三者责任险的保险费）至700章的合计金额。</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auto"/>
          <w:sz w:val="21"/>
          <w:szCs w:val="21"/>
          <w:highlight w:val="none"/>
        </w:rPr>
      </w:pPr>
      <w:bookmarkStart w:id="184" w:name="_Toc2428"/>
      <w:r>
        <w:rPr>
          <w:rFonts w:hint="eastAsia" w:ascii="宋体" w:hAnsi="宋体" w:eastAsia="宋体" w:cs="宋体"/>
          <w:color w:val="auto"/>
          <w:sz w:val="21"/>
          <w:szCs w:val="21"/>
          <w:highlight w:val="none"/>
        </w:rPr>
        <w:t>第20.4.2项补充：</w:t>
      </w:r>
      <w:bookmarkEnd w:id="184"/>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5" w:name="_Toc29482"/>
      <w:bookmarkStart w:id="186" w:name="_Toc234382922"/>
      <w:r>
        <w:rPr>
          <w:rFonts w:hint="eastAsia" w:ascii="宋体" w:hAnsi="宋体" w:eastAsia="宋体" w:cs="宋体"/>
          <w:color w:val="auto"/>
          <w:sz w:val="21"/>
          <w:szCs w:val="21"/>
          <w:highlight w:val="none"/>
        </w:rPr>
        <w:t>20.5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其他保险</w:t>
      </w:r>
      <w:bookmarkEnd w:id="185"/>
      <w:bookmarkEnd w:id="186"/>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7" w:name="_Toc234382923"/>
      <w:bookmarkStart w:id="188" w:name="_Toc3663"/>
      <w:r>
        <w:rPr>
          <w:rFonts w:hint="eastAsia" w:ascii="宋体" w:hAnsi="宋体" w:eastAsia="宋体" w:cs="宋体"/>
          <w:color w:val="auto"/>
          <w:sz w:val="21"/>
          <w:szCs w:val="21"/>
          <w:highlight w:val="none"/>
        </w:rPr>
        <w:t>20.6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对各项保险的一般要求</w:t>
      </w:r>
      <w:bookmarkEnd w:id="187"/>
      <w:bookmarkEnd w:id="188"/>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89" w:name="_Toc234382924"/>
      <w:bookmarkStart w:id="190" w:name="_Toc16386"/>
      <w:r>
        <w:rPr>
          <w:rFonts w:hint="eastAsia" w:ascii="宋体" w:hAnsi="宋体" w:eastAsia="宋体" w:cs="宋体"/>
          <w:color w:val="auto"/>
          <w:sz w:val="21"/>
          <w:szCs w:val="21"/>
          <w:highlight w:val="none"/>
        </w:rPr>
        <w:t>21．不可抗力</w:t>
      </w:r>
      <w:bookmarkEnd w:id="189"/>
      <w:bookmarkEnd w:id="190"/>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1" w:name="_Toc234382925"/>
      <w:bookmarkStart w:id="192" w:name="_Toc15985"/>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不可抗力的确认</w:t>
      </w:r>
      <w:bookmarkEnd w:id="191"/>
      <w:bookmarkEnd w:id="192"/>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3" w:name="_Toc234382926"/>
      <w:bookmarkStart w:id="194" w:name="_Toc29116"/>
      <w:r>
        <w:rPr>
          <w:rFonts w:hint="eastAsia" w:ascii="宋体" w:hAnsi="宋体" w:eastAsia="宋体" w:cs="宋体"/>
          <w:color w:val="auto"/>
          <w:sz w:val="21"/>
          <w:szCs w:val="21"/>
          <w:highlight w:val="none"/>
        </w:rPr>
        <w:t>21.3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不可抗力后果及其处理</w:t>
      </w:r>
      <w:bookmarkEnd w:id="193"/>
      <w:bookmarkEnd w:id="194"/>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5" w:name="_Toc20617"/>
      <w:bookmarkStart w:id="196" w:name="_Toc234382927"/>
      <w:r>
        <w:rPr>
          <w:rFonts w:hint="eastAsia" w:ascii="宋体" w:hAnsi="宋体" w:eastAsia="宋体" w:cs="宋体"/>
          <w:color w:val="auto"/>
          <w:sz w:val="21"/>
          <w:szCs w:val="21"/>
          <w:highlight w:val="none"/>
        </w:rPr>
        <w:t>22．违约</w:t>
      </w:r>
      <w:bookmarkEnd w:id="195"/>
      <w:bookmarkEnd w:id="196"/>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7" w:name="_Toc234382928"/>
      <w:bookmarkStart w:id="198" w:name="_Toc31946"/>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承包人违约</w:t>
      </w:r>
      <w:bookmarkEnd w:id="197"/>
      <w:bookmarkEnd w:id="198"/>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199" w:name="_Toc234382929"/>
      <w:bookmarkStart w:id="200" w:name="_Toc17914"/>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发包人违约</w:t>
      </w:r>
      <w:bookmarkEnd w:id="199"/>
      <w:bookmarkEnd w:id="200"/>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1" w:name="_Toc18622"/>
      <w:bookmarkStart w:id="202" w:name="_Toc234382930"/>
      <w:r>
        <w:rPr>
          <w:rFonts w:hint="eastAsia" w:ascii="宋体" w:hAnsi="宋体" w:eastAsia="宋体" w:cs="宋体"/>
          <w:color w:val="auto"/>
          <w:sz w:val="21"/>
          <w:szCs w:val="21"/>
          <w:highlight w:val="none"/>
        </w:rPr>
        <w:t>23.索赔</w:t>
      </w:r>
      <w:bookmarkEnd w:id="201"/>
      <w:bookmarkEnd w:id="202"/>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3" w:name="_Toc234382931"/>
      <w:bookmarkStart w:id="204" w:name="_Toc3306"/>
      <w:r>
        <w:rPr>
          <w:rFonts w:hint="eastAsia" w:ascii="宋体" w:hAnsi="宋体" w:eastAsia="宋体" w:cs="宋体"/>
          <w:color w:val="auto"/>
          <w:sz w:val="21"/>
          <w:szCs w:val="21"/>
          <w:highlight w:val="none"/>
        </w:rPr>
        <w:t>23.1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承包人索赔的提出</w:t>
      </w:r>
      <w:bookmarkEnd w:id="203"/>
      <w:bookmarkEnd w:id="204"/>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5" w:name="_Toc234382932"/>
      <w:bookmarkStart w:id="206" w:name="_Toc25777"/>
      <w:r>
        <w:rPr>
          <w:rFonts w:hint="eastAsia" w:ascii="宋体" w:hAnsi="宋体" w:eastAsia="宋体" w:cs="宋体"/>
          <w:color w:val="auto"/>
          <w:sz w:val="21"/>
          <w:szCs w:val="21"/>
          <w:highlight w:val="none"/>
        </w:rPr>
        <w:t>23.2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承包人索赔处理程序</w:t>
      </w:r>
      <w:bookmarkEnd w:id="205"/>
      <w:bookmarkEnd w:id="206"/>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7" w:name="_Toc234382933"/>
      <w:bookmarkStart w:id="208" w:name="_Toc4968"/>
      <w:r>
        <w:rPr>
          <w:rFonts w:hint="eastAsia" w:ascii="宋体" w:hAnsi="宋体" w:eastAsia="宋体" w:cs="宋体"/>
          <w:color w:val="auto"/>
          <w:sz w:val="21"/>
          <w:szCs w:val="21"/>
          <w:highlight w:val="none"/>
        </w:rPr>
        <w:t>24．争议的解决</w:t>
      </w:r>
      <w:bookmarkEnd w:id="207"/>
      <w:bookmarkEnd w:id="208"/>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09" w:name="_Toc15439"/>
      <w:bookmarkStart w:id="210" w:name="_Toc234382934"/>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争议评审</w:t>
      </w:r>
      <w:bookmarkEnd w:id="209"/>
      <w:bookmarkEnd w:id="210"/>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1" w:name="_Toc23781"/>
      <w:bookmarkStart w:id="212" w:name="_Toc234382935"/>
      <w:r>
        <w:rPr>
          <w:rFonts w:hint="eastAsia" w:ascii="宋体" w:hAnsi="宋体" w:eastAsia="宋体" w:cs="宋体"/>
          <w:color w:val="auto"/>
          <w:sz w:val="21"/>
          <w:szCs w:val="21"/>
          <w:highlight w:val="none"/>
        </w:rPr>
        <w:t>24.4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w:t>
      </w:r>
      <w:bookmarkEnd w:id="211"/>
      <w:bookmarkEnd w:id="212"/>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3" w:name="_Toc14831"/>
      <w:bookmarkStart w:id="214" w:name="_Toc234382936"/>
      <w:r>
        <w:rPr>
          <w:rFonts w:hint="eastAsia" w:ascii="宋体" w:hAnsi="宋体" w:eastAsia="宋体" w:cs="宋体"/>
          <w:color w:val="auto"/>
          <w:sz w:val="21"/>
          <w:szCs w:val="21"/>
          <w:highlight w:val="none"/>
        </w:rPr>
        <w:t>24.5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仲裁的执行</w:t>
      </w:r>
      <w:bookmarkEnd w:id="213"/>
      <w:bookmarkEnd w:id="214"/>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auto"/>
          <w:sz w:val="24"/>
          <w:szCs w:val="24"/>
          <w:highlight w:val="none"/>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B.</w:t>
      </w:r>
      <w:r>
        <w:rPr>
          <w:rFonts w:hint="eastAsia" w:ascii="宋体" w:hAnsi="宋体" w:eastAsia="宋体" w:cs="宋体"/>
          <w:b/>
          <w:color w:val="auto"/>
          <w:sz w:val="24"/>
          <w:szCs w:val="24"/>
          <w:highlight w:val="none"/>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项目专用条款数据表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16" w:type="dxa"/>
            <w:noWrap w:val="0"/>
            <w:vAlign w:val="center"/>
          </w:tcPr>
          <w:p w14:paraId="043EA82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资源县交通运输局</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邮政编码：</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缺陷责任期：自实际交工日期起计算1年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（6）根据第15.3款发出的变更指示，其单项工程变更涉及的金额超过了该单项工程签约时合同价的 0.5 %或累计变更超过了签约合同价的 1 %</w:t>
            </w:r>
            <w:r>
              <w:rPr>
                <w:rFonts w:hint="eastAsia" w:ascii="宋体" w:hAnsi="宋体" w:eastAsia="宋体" w:cs="宋体"/>
                <w:color w:val="auto"/>
                <w:sz w:val="22"/>
                <w:szCs w:val="22"/>
                <w:highlight w:val="none"/>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发包人是否提供材料或工程设备：是</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逾期交工违约金：5000元/天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逾期交工违约金限额： 10 %签约合同价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承包人提出的合理化建议降低了合同价格或者提高了工程经济效益的，发包人按所节约成本的</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开工预付款金额：</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材料、设备预付款比例：无</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承包人在每个付款周期末向监理人提交进度付款申请单的份数：</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质量保证金百分比：月支付额的</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质量保证金限额：</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%合同价</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承包人向监理人提交交工付款申请单（包括相关证明材料）的份数：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承包人向监理人提交最终结清申请单（包括相关证明材料）的份数：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竣工资料的份数：4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保修期：</w:t>
            </w:r>
            <w:r>
              <w:rPr>
                <w:rFonts w:hint="eastAsia" w:ascii="宋体" w:hAnsi="宋体" w:eastAsia="宋体" w:cs="宋体"/>
                <w:color w:val="auto"/>
                <w:sz w:val="22"/>
                <w:szCs w:val="22"/>
                <w:highlight w:val="none"/>
                <w:lang w:eastAsia="zh-CN"/>
              </w:rPr>
              <w:t>自实际交工日期起计算1年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建筑工程一切险的保险费率：按有关规定确定同时投标人应在所报的单价和总额价中对该保险费率予以考虑</w:t>
            </w:r>
            <w:r>
              <w:rPr>
                <w:rFonts w:hint="eastAsia" w:ascii="宋体" w:hAnsi="宋体" w:eastAsia="宋体" w:cs="宋体"/>
                <w:color w:val="auto"/>
                <w:sz w:val="22"/>
                <w:szCs w:val="22"/>
                <w:highlight w:val="none"/>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第三者责任险</w:t>
            </w:r>
            <w:r>
              <w:rPr>
                <w:rFonts w:hint="eastAsia" w:ascii="宋体" w:hAnsi="宋体" w:eastAsia="宋体" w:cs="宋体"/>
                <w:color w:val="auto"/>
                <w:sz w:val="22"/>
                <w:szCs w:val="22"/>
                <w:highlight w:val="none"/>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auto"/>
                <w:sz w:val="22"/>
                <w:szCs w:val="22"/>
                <w:highlight w:val="none"/>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 国际上一般按月平均支付额的 0.30.5 倍计算，我国可按 0.20.3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⑥ 质量保证金最高不超过合同价格的3%。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690C06E2">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sectPr>
          <w:footerReference r:id="rId17" w:type="default"/>
          <w:pgSz w:w="11910" w:h="16850"/>
          <w:pgMar w:top="1480" w:right="1200" w:bottom="1080" w:left="1220" w:header="883" w:footer="884" w:gutter="0"/>
          <w:pgNumType w:fmt="decimal"/>
          <w:cols w:space="720" w:num="1"/>
        </w:sectPr>
      </w:pPr>
      <w:r>
        <w:rPr>
          <w:rFonts w:hint="eastAsia" w:ascii="宋体" w:hAnsi="宋体" w:eastAsia="宋体" w:cs="宋体"/>
          <w:color w:val="auto"/>
          <w:sz w:val="20"/>
          <w:szCs w:val="20"/>
          <w:highlight w:val="none"/>
        </w:rPr>
        <w:t xml:space="preserve">⑧ 保修期一般应为自实际交工日期起计算 </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年。</w:t>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auto"/>
          <w:kern w:val="0"/>
          <w:sz w:val="21"/>
          <w:szCs w:val="21"/>
          <w:highlight w:val="none"/>
          <w:lang w:val="en-US" w:eastAsia="en-US" w:bidi="ar-SA"/>
        </w:rPr>
      </w:pPr>
      <w:bookmarkStart w:id="215" w:name="_Toc29791"/>
      <w:r>
        <w:rPr>
          <w:rFonts w:hint="eastAsia" w:ascii="宋体" w:hAnsi="宋体" w:eastAsia="宋体" w:cs="宋体"/>
          <w:snapToGrid w:val="0"/>
          <w:color w:val="auto"/>
          <w:kern w:val="0"/>
          <w:sz w:val="21"/>
          <w:szCs w:val="21"/>
          <w:highlight w:val="none"/>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15"/>
      <w:bookmarkStart w:id="216" w:name="_Toc20509"/>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color w:val="auto"/>
          <w:kern w:val="2"/>
          <w:sz w:val="21"/>
          <w:szCs w:val="21"/>
          <w:highlight w:val="none"/>
          <w:lang w:val="en-US" w:bidi="ar-SA"/>
        </w:rPr>
      </w:pPr>
      <w:r>
        <w:rPr>
          <w:rFonts w:hint="eastAsia" w:ascii="宋体" w:hAnsi="宋体" w:eastAsia="宋体" w:cs="宋体"/>
          <w:b/>
          <w:bCs/>
          <w:snapToGrid w:val="0"/>
          <w:color w:val="auto"/>
          <w:kern w:val="0"/>
          <w:sz w:val="21"/>
          <w:szCs w:val="21"/>
          <w:highlight w:val="none"/>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bookmarkStart w:id="217" w:name="_Toc271190970"/>
      <w:r>
        <w:rPr>
          <w:rFonts w:hint="eastAsia" w:ascii="宋体" w:hAnsi="宋体" w:eastAsia="宋体" w:cs="宋体"/>
          <w:color w:val="auto"/>
          <w:sz w:val="21"/>
          <w:szCs w:val="21"/>
          <w:highlight w:val="none"/>
        </w:rPr>
        <w:t>承包人应履行的其他义务：</w:t>
      </w:r>
      <w:r>
        <w:rPr>
          <w:rFonts w:hint="eastAsia" w:ascii="宋体" w:hAnsi="宋体" w:eastAsia="宋体" w:cs="宋体"/>
          <w:b w:val="0"/>
          <w:bCs w:val="0"/>
          <w:color w:val="auto"/>
          <w:sz w:val="21"/>
          <w:szCs w:val="21"/>
          <w:highlight w:val="none"/>
          <w:u w:val="single"/>
        </w:rPr>
        <w:t>承包人应加强质量、进度、安全生产、文明施工、环境保护 、交通通畅、合同履行等管理。</w:t>
      </w:r>
      <w:bookmarkEnd w:id="217"/>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18" w:name="_Toc309397545"/>
      <w:bookmarkStart w:id="219" w:name="_Toc26256"/>
      <w:r>
        <w:rPr>
          <w:rFonts w:hint="eastAsia" w:ascii="宋体" w:hAnsi="宋体" w:eastAsia="宋体" w:cs="宋体"/>
          <w:color w:val="auto"/>
          <w:sz w:val="21"/>
          <w:szCs w:val="21"/>
          <w:highlight w:val="none"/>
        </w:rPr>
        <w:t>4.11不利物质条件</w:t>
      </w:r>
      <w:bookmarkEnd w:id="218"/>
      <w:bookmarkEnd w:id="219"/>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4.11.1不利物质条件的范围：</w:t>
      </w:r>
      <w:bookmarkStart w:id="220" w:name="_Toc309397546"/>
      <w:r>
        <w:rPr>
          <w:rFonts w:hint="eastAsia" w:ascii="宋体" w:hAnsi="宋体" w:eastAsia="宋体" w:cs="宋体"/>
          <w:color w:val="auto"/>
          <w:sz w:val="21"/>
          <w:szCs w:val="21"/>
          <w:highlight w:val="none"/>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bookmarkEnd w:id="220"/>
    </w:p>
    <w:p w14:paraId="7EE16D2B">
      <w:pPr>
        <w:pStyle w:val="30"/>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color w:val="auto"/>
          <w:sz w:val="21"/>
          <w:szCs w:val="21"/>
          <w:highlight w:val="none"/>
        </w:rPr>
      </w:pPr>
      <w:bookmarkStart w:id="221" w:name="_Toc309397547"/>
      <w:bookmarkStart w:id="222" w:name="_Toc272172612"/>
      <w:bookmarkStart w:id="223" w:name="_Toc271203709"/>
      <w:bookmarkStart w:id="224" w:name="_Toc271190973"/>
      <w:r>
        <w:rPr>
          <w:rFonts w:hint="eastAsia" w:ascii="宋体" w:hAnsi="宋体" w:eastAsia="宋体" w:cs="宋体"/>
          <w:color w:val="auto"/>
          <w:sz w:val="21"/>
          <w:szCs w:val="21"/>
          <w:highlight w:val="none"/>
        </w:rPr>
        <w:t>承包人编制施工方案的内容：</w:t>
      </w:r>
      <w:r>
        <w:rPr>
          <w:rFonts w:hint="eastAsia" w:ascii="宋体" w:hAnsi="宋体" w:eastAsia="宋体" w:cs="宋体"/>
          <w:color w:val="auto"/>
          <w:sz w:val="21"/>
          <w:szCs w:val="21"/>
          <w:highlight w:val="none"/>
          <w:u w:val="single"/>
        </w:rPr>
        <w:t>在编制施工方案中，承包人应充分考虑到会有阻工的因素，请在编制施工方案予以考虑。承包人不能因阻工而提出索赔或别的要求</w:t>
      </w:r>
      <w:r>
        <w:rPr>
          <w:rFonts w:hint="eastAsia" w:ascii="宋体" w:hAnsi="宋体" w:eastAsia="宋体" w:cs="宋体"/>
          <w:color w:val="auto"/>
          <w:sz w:val="21"/>
          <w:szCs w:val="21"/>
          <w:highlight w:val="none"/>
        </w:rPr>
        <w:t>。</w:t>
      </w:r>
      <w:bookmarkEnd w:id="221"/>
      <w:bookmarkEnd w:id="222"/>
      <w:bookmarkEnd w:id="223"/>
      <w:bookmarkEnd w:id="224"/>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异常恶劣的气候条件的范围：</w:t>
      </w:r>
      <w:bookmarkStart w:id="225" w:name="_Toc309397548"/>
      <w:r>
        <w:rPr>
          <w:rFonts w:hint="eastAsia" w:ascii="宋体" w:hAnsi="宋体" w:eastAsia="宋体" w:cs="宋体"/>
          <w:color w:val="auto"/>
          <w:sz w:val="21"/>
          <w:szCs w:val="21"/>
          <w:highlight w:val="none"/>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bookmarkEnd w:id="225"/>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12.1（6）由承包人承担的其他暂停施工：</w:t>
      </w:r>
      <w:r>
        <w:rPr>
          <w:rFonts w:hint="eastAsia" w:ascii="宋体" w:hAnsi="宋体" w:eastAsia="宋体" w:cs="宋体"/>
          <w:color w:val="auto"/>
          <w:sz w:val="21"/>
          <w:szCs w:val="21"/>
          <w:highlight w:val="none"/>
          <w:u w:val="single"/>
        </w:rPr>
        <w:t xml:space="preserve">因资金筹措不到位而造成的停工                </w:t>
      </w:r>
      <w:bookmarkStart w:id="226"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17.1.5  本项目工程量清单中总额价子目的支付原则和支付进度：</w:t>
      </w:r>
      <w:r>
        <w:rPr>
          <w:rFonts w:hint="eastAsia" w:ascii="宋体" w:hAnsi="宋体" w:eastAsia="宋体" w:cs="宋体"/>
          <w:snapToGrid w:val="0"/>
          <w:color w:val="auto"/>
          <w:kern w:val="0"/>
          <w:sz w:val="21"/>
          <w:szCs w:val="21"/>
          <w:highlight w:val="none"/>
          <w:u w:val="single"/>
          <w:lang w:val="en-US" w:eastAsia="en-US" w:bidi="ar-SA"/>
        </w:rPr>
        <w:t>按项目专用合同条款的规定执行</w:t>
      </w:r>
      <w:r>
        <w:rPr>
          <w:rFonts w:hint="eastAsia" w:ascii="宋体" w:hAnsi="宋体" w:eastAsia="宋体" w:cs="宋体"/>
          <w:snapToGrid w:val="0"/>
          <w:color w:val="auto"/>
          <w:kern w:val="0"/>
          <w:sz w:val="21"/>
          <w:szCs w:val="21"/>
          <w:highlight w:val="none"/>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snapToGrid w:val="0"/>
          <w:color w:val="auto"/>
          <w:kern w:val="0"/>
          <w:sz w:val="21"/>
          <w:szCs w:val="21"/>
          <w:highlight w:val="none"/>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en-US" w:bidi="ar-SA"/>
        </w:rPr>
        <w:t>17.3.5  农民工工资保证金的缴存时间：</w:t>
      </w:r>
      <w:r>
        <w:rPr>
          <w:rFonts w:hint="eastAsia" w:ascii="宋体" w:hAnsi="宋体" w:eastAsia="宋体" w:cs="宋体"/>
          <w:snapToGrid w:val="0"/>
          <w:color w:val="auto"/>
          <w:kern w:val="0"/>
          <w:sz w:val="21"/>
          <w:szCs w:val="21"/>
          <w:highlight w:val="none"/>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en-US" w:bidi="ar-SA"/>
        </w:rPr>
        <w:t>农民工工资保证金</w:t>
      </w:r>
      <w:r>
        <w:rPr>
          <w:rFonts w:hint="eastAsia" w:ascii="宋体" w:hAnsi="宋体" w:eastAsia="宋体" w:cs="宋体"/>
          <w:snapToGrid w:val="0"/>
          <w:color w:val="auto"/>
          <w:kern w:val="0"/>
          <w:sz w:val="21"/>
          <w:szCs w:val="21"/>
          <w:highlight w:val="none"/>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21.1不可抗力的确认</w:t>
      </w:r>
      <w:bookmarkEnd w:id="226"/>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auto"/>
          <w:sz w:val="21"/>
          <w:szCs w:val="21"/>
          <w:highlight w:val="none"/>
        </w:rPr>
      </w:pPr>
      <w:bookmarkStart w:id="227" w:name="_Toc309397557"/>
      <w:bookmarkStart w:id="228" w:name="_Toc10475"/>
      <w:r>
        <w:rPr>
          <w:rFonts w:hint="eastAsia" w:ascii="宋体" w:hAnsi="宋体" w:eastAsia="宋体" w:cs="宋体"/>
          <w:color w:val="auto"/>
          <w:sz w:val="21"/>
          <w:szCs w:val="21"/>
          <w:highlight w:val="none"/>
        </w:rPr>
        <w:t>22.1承包人违约</w:t>
      </w:r>
      <w:bookmarkEnd w:id="227"/>
      <w:bookmarkEnd w:id="228"/>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22.1.2当承包人发生第22.1.1项约定的违约情况时，发包人有权向承包人课以违约金，具体约定如下：</w:t>
      </w:r>
      <w:r>
        <w:rPr>
          <w:rFonts w:hint="eastAsia" w:ascii="宋体" w:hAnsi="宋体" w:eastAsia="宋体" w:cs="宋体"/>
          <w:color w:val="auto"/>
          <w:sz w:val="21"/>
          <w:szCs w:val="21"/>
          <w:highlight w:val="none"/>
          <w:u w:val="single"/>
        </w:rPr>
        <w:t>将不退还承包人的履约保证金及农民工工资保障金，待工程完工后双方协商解决。</w:t>
      </w:r>
    </w:p>
    <w:p w14:paraId="4FE07511">
      <w:pPr>
        <w:pStyle w:val="32"/>
        <w:keepNext w:val="0"/>
        <w:keepLines w:val="0"/>
        <w:pageBreakBefore w:val="0"/>
        <w:widowControl/>
        <w:numPr>
          <w:ilvl w:val="0"/>
          <w:numId w:val="0"/>
        </w:numPr>
        <w:tabs>
          <w:tab w:val="left" w:pos="965"/>
        </w:tabs>
        <w:kinsoku w:val="0"/>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SA"/>
        </w:rPr>
      </w:pPr>
    </w:p>
    <w:p w14:paraId="3403348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19E8BB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26956F6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0E550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45C1BF1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628EAE8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color w:val="auto"/>
          <w:kern w:val="2"/>
          <w:sz w:val="24"/>
          <w:szCs w:val="24"/>
          <w:highlight w:val="none"/>
          <w:lang w:val="en-US" w:bidi="ar-SA"/>
        </w:rPr>
      </w:pP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color w:val="auto"/>
          <w:sz w:val="32"/>
          <w:szCs w:val="32"/>
          <w:highlight w:val="none"/>
        </w:rPr>
      </w:pPr>
      <w:bookmarkStart w:id="229" w:name="_Toc24257"/>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第六章</w:t>
      </w:r>
      <w:r>
        <w:rPr>
          <w:rFonts w:hint="eastAsia" w:ascii="宋体" w:hAnsi="宋体" w:eastAsia="宋体" w:cs="宋体"/>
          <w:color w:val="auto"/>
          <w:spacing w:val="8"/>
          <w:position w:val="6"/>
          <w:sz w:val="32"/>
          <w:szCs w:val="32"/>
          <w:highlight w:val="none"/>
        </w:rPr>
        <w:t xml:space="preserve"> </w:t>
      </w:r>
      <w:r>
        <w:rPr>
          <w:rFonts w:hint="eastAsia" w:ascii="宋体" w:hAnsi="宋体" w:eastAsia="宋体" w:cs="宋体"/>
          <w:color w:val="auto"/>
          <w:spacing w:val="8"/>
          <w:position w:val="6"/>
          <w:sz w:val="32"/>
          <w:szCs w:val="32"/>
          <w:highlight w:val="none"/>
          <w14:textOutline w14:w="5793" w14:cap="sq" w14:cmpd="sng">
            <w14:solidFill>
              <w14:srgbClr w14:val="000000"/>
            </w14:solidFill>
            <w14:prstDash w14:val="solid"/>
            <w14:bevel/>
          </w14:textOutline>
        </w:rPr>
        <w:t>响应文件（格式）</w:t>
      </w:r>
      <w:bookmarkEnd w:id="216"/>
      <w:bookmarkEnd w:id="229"/>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color w:val="auto"/>
          <w:sz w:val="44"/>
          <w:szCs w:val="44"/>
          <w:highlight w:val="none"/>
        </w:rPr>
      </w:pP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响</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应</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文</w:t>
      </w:r>
      <w:r>
        <w:rPr>
          <w:rFonts w:hint="eastAsia" w:ascii="宋体" w:hAnsi="宋体" w:eastAsia="宋体" w:cs="宋体"/>
          <w:color w:val="auto"/>
          <w:spacing w:val="-4"/>
          <w:sz w:val="44"/>
          <w:szCs w:val="44"/>
          <w:highlight w:val="none"/>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color w:val="auto"/>
          <w:spacing w:val="-4"/>
          <w:sz w:val="44"/>
          <w:szCs w:val="44"/>
          <w:highlight w:val="none"/>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auto"/>
          <w:sz w:val="24"/>
          <w:szCs w:val="24"/>
          <w:highlight w:val="none"/>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
          <w:sz w:val="24"/>
          <w:szCs w:val="24"/>
          <w:highlight w:val="none"/>
        </w:rPr>
        <w:t>项目编号</w:t>
      </w:r>
      <w:r>
        <w:rPr>
          <w:rFonts w:hint="eastAsia" w:ascii="宋体" w:hAnsi="宋体" w:eastAsia="宋体" w:cs="宋体"/>
          <w:b w:val="0"/>
          <w:bCs w:val="0"/>
          <w:color w:val="auto"/>
          <w:spacing w:val="-1"/>
          <w:sz w:val="24"/>
          <w:szCs w:val="24"/>
          <w:highlight w:val="none"/>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color w:val="auto"/>
          <w:sz w:val="24"/>
          <w:szCs w:val="24"/>
          <w:highlight w:val="none"/>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pacing w:val="-5"/>
          <w:sz w:val="21"/>
          <w:szCs w:val="21"/>
          <w:highlight w:val="none"/>
          <w:u w:val="single" w:color="auto"/>
          <w:lang w:eastAsia="zh-CN"/>
        </w:rPr>
      </w:pPr>
      <w:r>
        <w:rPr>
          <w:rFonts w:hint="eastAsia" w:ascii="宋体" w:hAnsi="宋体" w:eastAsia="宋体" w:cs="宋体"/>
          <w:color w:val="auto"/>
          <w:spacing w:val="-5"/>
          <w:sz w:val="21"/>
          <w:szCs w:val="21"/>
          <w:highlight w:val="none"/>
        </w:rPr>
        <w:t>采购代理机构：</w:t>
      </w:r>
      <w:r>
        <w:rPr>
          <w:rFonts w:hint="eastAsia" w:cs="宋体"/>
          <w:color w:val="auto"/>
          <w:spacing w:val="-5"/>
          <w:sz w:val="21"/>
          <w:szCs w:val="21"/>
          <w:highlight w:val="none"/>
          <w:u w:val="single" w:color="auto"/>
          <w:lang w:eastAsia="zh-CN"/>
        </w:rPr>
        <w:t>中鸿亿博集团有限公司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供</w:t>
      </w:r>
      <w:r>
        <w:rPr>
          <w:rFonts w:hint="eastAsia" w:ascii="宋体" w:hAnsi="宋体" w:eastAsia="宋体" w:cs="宋体"/>
          <w:color w:val="auto"/>
          <w:spacing w:val="-6"/>
          <w:sz w:val="21"/>
          <w:szCs w:val="21"/>
          <w:highlight w:val="none"/>
        </w:rPr>
        <w:t>应商[公章(CA</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6"/>
          <w:sz w:val="21"/>
          <w:szCs w:val="21"/>
          <w:highlight w:val="none"/>
        </w:rPr>
        <w:t>签章)、</w:t>
      </w:r>
      <w:r>
        <w:rPr>
          <w:rFonts w:hint="eastAsia" w:ascii="宋体" w:hAnsi="宋体" w:eastAsia="宋体" w:cs="宋体"/>
          <w:color w:val="auto"/>
          <w:spacing w:val="-5"/>
          <w:sz w:val="21"/>
          <w:szCs w:val="21"/>
          <w:highlight w:val="none"/>
        </w:rPr>
        <w:t>自然人除外]：</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法定代表人、负责人、自然人或相应的委托代理人签字[或盖章(CA 签章)]（属自然人的应在签名处加盖大拇指指印或个人 CA 签章</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15"/>
          <w:sz w:val="21"/>
          <w:szCs w:val="21"/>
          <w:highlight w:val="none"/>
        </w:rPr>
        <w:t>日</w:t>
      </w:r>
    </w:p>
    <w:p w14:paraId="409D26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headerReference r:id="rId18" w:type="default"/>
          <w:footerReference r:id="rId19"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1.响应函及响应函附录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sz w:val="21"/>
          <w:szCs w:val="21"/>
          <w:highlight w:val="none"/>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2.供应商相应的法定代表人身份证正反两</w:t>
      </w:r>
      <w:r>
        <w:rPr>
          <w:rFonts w:hint="eastAsia" w:ascii="宋体" w:hAnsi="宋体" w:eastAsia="宋体" w:cs="宋体"/>
          <w:color w:val="auto"/>
          <w:spacing w:val="-1"/>
          <w:sz w:val="21"/>
          <w:szCs w:val="21"/>
          <w:highlight w:val="none"/>
        </w:rPr>
        <w:t>面复印件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3.供应商的授权委托书原件、委托代理人身份证正反面复</w:t>
      </w:r>
      <w:r>
        <w:rPr>
          <w:rFonts w:hint="eastAsia" w:ascii="宋体" w:hAnsi="宋体" w:eastAsia="宋体" w:cs="宋体"/>
          <w:color w:val="auto"/>
          <w:spacing w:val="-3"/>
          <w:sz w:val="21"/>
          <w:szCs w:val="21"/>
          <w:highlight w:val="none"/>
        </w:rPr>
        <w:t>印件以及由县级以上（含</w:t>
      </w:r>
      <w:r>
        <w:rPr>
          <w:rFonts w:hint="eastAsia" w:ascii="宋体" w:hAnsi="宋体" w:eastAsia="宋体" w:cs="宋体"/>
          <w:color w:val="auto"/>
          <w:spacing w:val="-2"/>
          <w:sz w:val="21"/>
          <w:szCs w:val="21"/>
          <w:highlight w:val="none"/>
        </w:rPr>
        <w:t>县级）社会养老保险经办机构出具的供应商为委托代理人交纳的响应文件递</w:t>
      </w:r>
      <w:r>
        <w:rPr>
          <w:rFonts w:hint="eastAsia" w:ascii="宋体" w:hAnsi="宋体" w:eastAsia="宋体" w:cs="宋体"/>
          <w:color w:val="auto"/>
          <w:spacing w:val="-3"/>
          <w:sz w:val="21"/>
          <w:szCs w:val="21"/>
          <w:highlight w:val="none"/>
        </w:rPr>
        <w:t>交截止时间</w:t>
      </w:r>
      <w:r>
        <w:rPr>
          <w:rFonts w:hint="eastAsia" w:ascii="宋体" w:hAnsi="宋体" w:eastAsia="宋体" w:cs="宋体"/>
          <w:color w:val="auto"/>
          <w:sz w:val="21"/>
          <w:szCs w:val="21"/>
          <w:highlight w:val="none"/>
        </w:rPr>
        <w:t>前半年内任意</w:t>
      </w:r>
      <w:r>
        <w:rPr>
          <w:rFonts w:hint="eastAsia" w:cs="宋体"/>
          <w:color w:val="auto"/>
          <w:sz w:val="21"/>
          <w:szCs w:val="21"/>
          <w:highlight w:val="none"/>
          <w:lang w:eastAsia="zh-CN"/>
        </w:rPr>
        <w:t>一</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val="en-US" w:eastAsia="zh-CN"/>
        </w:rPr>
        <w:t>养老保险</w:t>
      </w:r>
      <w:r>
        <w:rPr>
          <w:rFonts w:hint="eastAsia" w:ascii="宋体" w:hAnsi="宋体" w:eastAsia="宋体" w:cs="宋体"/>
          <w:color w:val="auto"/>
          <w:sz w:val="21"/>
          <w:szCs w:val="21"/>
          <w:highlight w:val="none"/>
        </w:rPr>
        <w:t>证明复印件</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（委托代理时必须</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提供</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4.供应商基本情况表</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5.供应商参加政府采购活动前</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3"/>
          <w:sz w:val="21"/>
          <w:szCs w:val="21"/>
          <w:highlight w:val="none"/>
        </w:rPr>
        <w:t>年内在经营活动中没有重大违法记录及有关信用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信息的书面声明</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6.承诺函</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
          <w:sz w:val="21"/>
          <w:szCs w:val="21"/>
          <w:highlight w:val="none"/>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color w:val="auto"/>
          <w:sz w:val="21"/>
          <w:szCs w:val="21"/>
          <w:highlight w:val="none"/>
        </w:rPr>
      </w:pPr>
      <w:r>
        <w:rPr>
          <w:rFonts w:hint="eastAsia" w:cs="宋体"/>
          <w:color w:val="auto"/>
          <w:spacing w:val="-5"/>
          <w:sz w:val="21"/>
          <w:szCs w:val="21"/>
          <w:highlight w:val="none"/>
          <w:lang w:val="en-US" w:eastAsia="zh-CN"/>
        </w:rPr>
        <w:t>7</w:t>
      </w:r>
      <w:r>
        <w:rPr>
          <w:rFonts w:hint="eastAsia" w:ascii="宋体" w:hAnsi="宋体" w:eastAsia="宋体" w:cs="宋体"/>
          <w:color w:val="auto"/>
          <w:spacing w:val="-5"/>
          <w:sz w:val="21"/>
          <w:szCs w:val="21"/>
          <w:highlight w:val="none"/>
        </w:rPr>
        <w:t>.《中小企业声明函》（见附件</w:t>
      </w:r>
      <w:r>
        <w:rPr>
          <w:rFonts w:hint="eastAsia" w:ascii="宋体" w:hAnsi="宋体" w:eastAsia="宋体" w:cs="宋体"/>
          <w:color w:val="auto"/>
          <w:spacing w:val="-61"/>
          <w:w w:val="91"/>
          <w:sz w:val="21"/>
          <w:szCs w:val="21"/>
          <w:highlight w:val="none"/>
        </w:rPr>
        <w:t>）</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外，必须提供</w:t>
      </w:r>
      <w:r>
        <w:rPr>
          <w:rFonts w:hint="eastAsia" w:ascii="宋体" w:hAnsi="宋体" w:eastAsia="宋体" w:cs="宋体"/>
          <w:color w:val="auto"/>
          <w:spacing w:val="-61"/>
          <w:w w:val="9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1"/>
          <w:w w:val="91"/>
          <w:sz w:val="21"/>
          <w:szCs w:val="21"/>
          <w:highlight w:val="none"/>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cs="宋体"/>
          <w:color w:val="auto"/>
          <w:spacing w:val="-6"/>
          <w:sz w:val="21"/>
          <w:szCs w:val="21"/>
          <w:highlight w:val="none"/>
          <w:lang w:val="en-US" w:eastAsia="zh-CN"/>
        </w:rPr>
        <w:t>8</w:t>
      </w:r>
      <w:r>
        <w:rPr>
          <w:rFonts w:hint="eastAsia" w:ascii="宋体" w:hAnsi="宋体" w:eastAsia="宋体" w:cs="宋体"/>
          <w:color w:val="auto"/>
          <w:spacing w:val="-6"/>
          <w:sz w:val="21"/>
          <w:szCs w:val="21"/>
          <w:highlight w:val="none"/>
        </w:rPr>
        <w:t>.如供应商属于监狱企业的，应当提供由省级以上监狱管理局、戒毒管理局等（含</w:t>
      </w:r>
      <w:r>
        <w:rPr>
          <w:rFonts w:hint="eastAsia" w:ascii="宋体" w:hAnsi="宋体" w:eastAsia="宋体" w:cs="宋体"/>
          <w:color w:val="auto"/>
          <w:spacing w:val="-2"/>
          <w:sz w:val="21"/>
          <w:szCs w:val="21"/>
          <w:highlight w:val="none"/>
        </w:rPr>
        <w:t>新疆生产建设兵团）出具的属于监狱企业的证明文件</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监狱企业的，则必须提供</w:t>
      </w:r>
      <w:r>
        <w:rPr>
          <w:rFonts w:hint="eastAsia" w:ascii="宋体" w:hAnsi="宋体" w:eastAsia="宋体" w:cs="宋体"/>
          <w:color w:val="auto"/>
          <w:spacing w:val="-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1"/>
          <w:szCs w:val="21"/>
          <w:highlight w:val="none"/>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cs="宋体"/>
          <w:color w:val="auto"/>
          <w:spacing w:val="1"/>
          <w:sz w:val="21"/>
          <w:szCs w:val="21"/>
          <w:highlight w:val="none"/>
          <w:lang w:val="en-US" w:eastAsia="zh-CN"/>
        </w:rPr>
        <w:t>9</w:t>
      </w:r>
      <w:r>
        <w:rPr>
          <w:rFonts w:hint="eastAsia" w:ascii="宋体" w:hAnsi="宋体" w:eastAsia="宋体" w:cs="宋体"/>
          <w:color w:val="auto"/>
          <w:spacing w:val="1"/>
          <w:sz w:val="21"/>
          <w:szCs w:val="21"/>
          <w:highlight w:val="none"/>
        </w:rPr>
        <w:t>.符合条件的残疾人福利性单位在参加政府采</w:t>
      </w:r>
      <w:r>
        <w:rPr>
          <w:rFonts w:hint="eastAsia" w:ascii="宋体" w:hAnsi="宋体" w:eastAsia="宋体" w:cs="宋体"/>
          <w:color w:val="auto"/>
          <w:sz w:val="21"/>
          <w:szCs w:val="21"/>
          <w:highlight w:val="none"/>
        </w:rPr>
        <w:t xml:space="preserve">购活动时，应当提供《残疾人福利 </w:t>
      </w:r>
      <w:r>
        <w:rPr>
          <w:rFonts w:hint="eastAsia" w:ascii="宋体" w:hAnsi="宋体" w:eastAsia="宋体" w:cs="宋体"/>
          <w:color w:val="auto"/>
          <w:spacing w:val="-2"/>
          <w:sz w:val="21"/>
          <w:szCs w:val="21"/>
          <w:highlight w:val="none"/>
        </w:rPr>
        <w:t>性单位声明函》（见附件</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rPr>
        <w:t>并对声明的真实性负责</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的，则必须提供）。</w:t>
      </w:r>
    </w:p>
    <w:p w14:paraId="701504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1.已标价工程量清单</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2.施工组织设计</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1"/>
          <w:sz w:val="21"/>
          <w:szCs w:val="21"/>
          <w:highlight w:val="none"/>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3.项目管理机构组成表</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1"/>
          <w:szCs w:val="21"/>
          <w:highlight w:val="none"/>
        </w:rPr>
        <w:t>项目经理应附身份证、</w:t>
      </w:r>
      <w:r>
        <w:rPr>
          <w:rFonts w:hint="eastAsia" w:ascii="宋体" w:hAnsi="宋体" w:eastAsia="宋体" w:cs="宋体"/>
          <w:b/>
          <w:bCs/>
          <w:color w:val="auto"/>
          <w:spacing w:val="-2"/>
          <w:sz w:val="21"/>
          <w:szCs w:val="21"/>
          <w:highlight w:val="none"/>
        </w:rPr>
        <w:t>建造</w:t>
      </w:r>
      <w:r>
        <w:rPr>
          <w:rFonts w:hint="eastAsia" w:ascii="宋体" w:hAnsi="宋体" w:eastAsia="宋体" w:cs="宋体"/>
          <w:b/>
          <w:bCs/>
          <w:color w:val="auto"/>
          <w:spacing w:val="-3"/>
          <w:sz w:val="21"/>
          <w:szCs w:val="21"/>
          <w:highlight w:val="none"/>
        </w:rPr>
        <w:t>师</w:t>
      </w:r>
      <w:r>
        <w:rPr>
          <w:rFonts w:hint="eastAsia" w:cs="宋体"/>
          <w:b/>
          <w:bCs/>
          <w:color w:val="auto"/>
          <w:spacing w:val="-3"/>
          <w:sz w:val="21"/>
          <w:szCs w:val="21"/>
          <w:highlight w:val="none"/>
          <w:lang w:val="en-US" w:eastAsia="zh-CN"/>
        </w:rPr>
        <w:t>注册</w:t>
      </w:r>
      <w:r>
        <w:rPr>
          <w:rFonts w:hint="eastAsia" w:ascii="宋体" w:hAnsi="宋体" w:eastAsia="宋体" w:cs="宋体"/>
          <w:b/>
          <w:bCs/>
          <w:color w:val="auto"/>
          <w:spacing w:val="-3"/>
          <w:sz w:val="21"/>
          <w:szCs w:val="21"/>
          <w:highlight w:val="none"/>
        </w:rPr>
        <w:t>证书</w:t>
      </w:r>
      <w:r>
        <w:rPr>
          <w:rFonts w:hint="eastAsia" w:ascii="宋体" w:hAnsi="宋体" w:eastAsia="宋体" w:cs="宋体"/>
          <w:color w:val="auto"/>
          <w:spacing w:val="-3"/>
          <w:sz w:val="21"/>
          <w:szCs w:val="21"/>
          <w:highlight w:val="none"/>
        </w:rPr>
        <w:t>、安全生</w:t>
      </w:r>
      <w:r>
        <w:rPr>
          <w:rFonts w:hint="eastAsia" w:ascii="宋体" w:hAnsi="宋体" w:eastAsia="宋体" w:cs="宋体"/>
          <w:color w:val="auto"/>
          <w:spacing w:val="-1"/>
          <w:sz w:val="21"/>
          <w:szCs w:val="21"/>
          <w:highlight w:val="none"/>
        </w:rPr>
        <w:t>产考核合格证书（B</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类）、职称证书（如有）的扫描件；项目技术负责人应附身份证扫</w:t>
      </w:r>
      <w:r>
        <w:rPr>
          <w:rFonts w:hint="eastAsia" w:ascii="宋体" w:hAnsi="宋体" w:eastAsia="宋体" w:cs="宋体"/>
          <w:color w:val="auto"/>
          <w:spacing w:val="-2"/>
          <w:sz w:val="21"/>
          <w:szCs w:val="21"/>
          <w:highlight w:val="none"/>
        </w:rPr>
        <w:t>描件、职称证书扫描件；专职安全生产管理人员应附身份证、专职安全员安全</w:t>
      </w:r>
      <w:r>
        <w:rPr>
          <w:rFonts w:hint="eastAsia" w:ascii="宋体" w:hAnsi="宋体" w:eastAsia="宋体" w:cs="宋体"/>
          <w:color w:val="auto"/>
          <w:spacing w:val="-3"/>
          <w:sz w:val="21"/>
          <w:szCs w:val="21"/>
          <w:highlight w:val="none"/>
        </w:rPr>
        <w:t>生产考核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合格证书（C</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类）、职称证书（如有</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扫描件；其他主要人员应附执业证或上岗证书、</w:t>
      </w:r>
      <w:r>
        <w:rPr>
          <w:rFonts w:hint="eastAsia" w:ascii="宋体" w:hAnsi="宋体" w:eastAsia="宋体" w:cs="宋体"/>
          <w:color w:val="auto"/>
          <w:spacing w:val="-2"/>
          <w:sz w:val="21"/>
          <w:szCs w:val="21"/>
          <w:highlight w:val="none"/>
        </w:rPr>
        <w:t>职称证书（如有）扫描件；提供以上人员由</w:t>
      </w:r>
      <w:r>
        <w:rPr>
          <w:rFonts w:hint="eastAsia" w:ascii="宋体" w:hAnsi="宋体" w:eastAsia="宋体" w:cs="宋体"/>
          <w:color w:val="auto"/>
          <w:spacing w:val="-2"/>
          <w:sz w:val="21"/>
          <w:szCs w:val="21"/>
          <w:highlight w:val="none"/>
          <w:lang w:eastAsia="zh-CN"/>
        </w:rPr>
        <w:t>养老保险</w:t>
      </w:r>
      <w:r>
        <w:rPr>
          <w:rFonts w:hint="eastAsia" w:ascii="宋体" w:hAnsi="宋体" w:eastAsia="宋体" w:cs="宋体"/>
          <w:color w:val="auto"/>
          <w:spacing w:val="-2"/>
          <w:sz w:val="21"/>
          <w:szCs w:val="21"/>
          <w:highlight w:val="none"/>
        </w:rPr>
        <w:t>部门出具的供应商为其交纳的</w:t>
      </w:r>
      <w:r>
        <w:rPr>
          <w:rFonts w:hint="eastAsia" w:ascii="宋体" w:hAnsi="宋体" w:eastAsia="宋体" w:cs="宋体"/>
          <w:color w:val="auto"/>
          <w:spacing w:val="-3"/>
          <w:sz w:val="21"/>
          <w:szCs w:val="21"/>
          <w:highlight w:val="none"/>
        </w:rPr>
        <w:t>响应文件</w:t>
      </w:r>
      <w:r>
        <w:rPr>
          <w:rFonts w:hint="eastAsia" w:ascii="宋体" w:hAnsi="宋体" w:eastAsia="宋体" w:cs="宋体"/>
          <w:color w:val="auto"/>
          <w:spacing w:val="1"/>
          <w:sz w:val="21"/>
          <w:szCs w:val="21"/>
          <w:highlight w:val="none"/>
        </w:rPr>
        <w:t>递交截止时间前半年内任意</w:t>
      </w:r>
      <w:r>
        <w:rPr>
          <w:rFonts w:hint="eastAsia" w:cs="宋体"/>
          <w:color w:val="auto"/>
          <w:spacing w:val="1"/>
          <w:sz w:val="21"/>
          <w:szCs w:val="21"/>
          <w:highlight w:val="none"/>
          <w:lang w:eastAsia="zh-CN"/>
        </w:rPr>
        <w:t>一</w:t>
      </w:r>
      <w:r>
        <w:rPr>
          <w:rFonts w:hint="eastAsia" w:ascii="宋体" w:hAnsi="宋体" w:eastAsia="宋体" w:cs="宋体"/>
          <w:color w:val="auto"/>
          <w:spacing w:val="1"/>
          <w:sz w:val="21"/>
          <w:szCs w:val="21"/>
          <w:highlight w:val="none"/>
        </w:rPr>
        <w:t>个月</w:t>
      </w:r>
      <w:r>
        <w:rPr>
          <w:rFonts w:hint="eastAsia" w:ascii="宋体" w:hAnsi="宋体" w:eastAsia="宋体" w:cs="宋体"/>
          <w:color w:val="auto"/>
          <w:spacing w:val="1"/>
          <w:sz w:val="21"/>
          <w:szCs w:val="21"/>
          <w:highlight w:val="none"/>
          <w:lang w:val="en-US" w:eastAsia="zh-CN"/>
        </w:rPr>
        <w:t>养老保险</w:t>
      </w:r>
      <w:r>
        <w:rPr>
          <w:rFonts w:hint="eastAsia" w:ascii="宋体" w:hAnsi="宋体" w:eastAsia="宋体" w:cs="宋体"/>
          <w:color w:val="auto"/>
          <w:spacing w:val="1"/>
          <w:sz w:val="21"/>
          <w:szCs w:val="21"/>
          <w:highlight w:val="none"/>
        </w:rPr>
        <w:t>证明复印件；若为新进员工，请提供劳动</w:t>
      </w:r>
      <w:r>
        <w:rPr>
          <w:rFonts w:hint="eastAsia" w:ascii="宋体" w:hAnsi="宋体" w:eastAsia="宋体" w:cs="宋体"/>
          <w:color w:val="auto"/>
          <w:spacing w:val="-1"/>
          <w:sz w:val="21"/>
          <w:szCs w:val="21"/>
          <w:highlight w:val="none"/>
        </w:rPr>
        <w:t>合同扫描件。】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（必须提供</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3"/>
          <w:sz w:val="21"/>
          <w:szCs w:val="21"/>
          <w:highlight w:val="none"/>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 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年以来具有</w:t>
      </w:r>
      <w:r>
        <w:rPr>
          <w:rFonts w:hint="eastAsia" w:ascii="宋体" w:hAnsi="宋体" w:eastAsia="宋体" w:cs="宋体"/>
          <w:color w:val="auto"/>
          <w:sz w:val="21"/>
          <w:szCs w:val="21"/>
          <w:highlight w:val="none"/>
          <w:lang w:val="en-US" w:eastAsia="zh-CN"/>
        </w:rPr>
        <w:t>公路</w:t>
      </w:r>
      <w:r>
        <w:rPr>
          <w:rFonts w:hint="eastAsia" w:cs="宋体"/>
          <w:color w:val="auto"/>
          <w:sz w:val="21"/>
          <w:szCs w:val="21"/>
          <w:highlight w:val="none"/>
          <w:lang w:val="en-US" w:eastAsia="zh-CN"/>
        </w:rPr>
        <w:t>工程</w:t>
      </w:r>
      <w:r>
        <w:rPr>
          <w:rFonts w:hint="eastAsia" w:ascii="宋体" w:hAnsi="宋体" w:eastAsia="宋体" w:cs="宋体"/>
          <w:color w:val="auto"/>
          <w:sz w:val="21"/>
          <w:szCs w:val="21"/>
          <w:highlight w:val="none"/>
        </w:rPr>
        <w:t>业绩的相关证明材料（无不良记录，以中标、成交通知书或签订的合同为准，并能清晰反映项目名称、金额、日期等）</w:t>
      </w:r>
      <w:r>
        <w:rPr>
          <w:rFonts w:hint="eastAsia" w:ascii="宋体" w:hAnsi="宋体" w:eastAsia="宋体" w:cs="宋体"/>
          <w:b/>
          <w:bCs/>
          <w:color w:val="auto"/>
          <w:sz w:val="21"/>
          <w:szCs w:val="21"/>
          <w:highlight w:val="none"/>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2.供应商相关获奖证书、认证证书等复印件</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9"/>
          <w:sz w:val="21"/>
          <w:szCs w:val="21"/>
          <w:highlight w:val="none"/>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3.供应商可结合本项目自身情况自行提交其它相关证明</w:t>
      </w:r>
      <w:r>
        <w:rPr>
          <w:rFonts w:hint="eastAsia" w:ascii="宋体" w:hAnsi="宋体" w:eastAsia="宋体" w:cs="宋体"/>
          <w:color w:val="auto"/>
          <w:spacing w:val="-1"/>
          <w:sz w:val="21"/>
          <w:szCs w:val="21"/>
          <w:highlight w:val="none"/>
        </w:rPr>
        <w:t>材料</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（如有，请提供）</w:t>
      </w:r>
      <w:r>
        <w:rPr>
          <w:rFonts w:hint="eastAsia" w:ascii="宋体" w:hAnsi="宋体" w:eastAsia="宋体" w:cs="宋体"/>
          <w:color w:val="auto"/>
          <w:spacing w:val="-1"/>
          <w:sz w:val="21"/>
          <w:szCs w:val="21"/>
          <w:highlight w:val="none"/>
        </w:rPr>
        <w:t>。</w:t>
      </w:r>
    </w:p>
    <w:p w14:paraId="3EB110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0"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u w:val="single" w:color="auto"/>
          <w:lang w:eastAsia="zh-CN"/>
        </w:rPr>
      </w:pPr>
      <w:r>
        <w:rPr>
          <w:rFonts w:hint="eastAsia" w:ascii="宋体" w:hAnsi="宋体" w:eastAsia="宋体" w:cs="宋体"/>
          <w:color w:val="auto"/>
          <w:spacing w:val="-2"/>
          <w:sz w:val="21"/>
          <w:szCs w:val="21"/>
          <w:highlight w:val="none"/>
        </w:rPr>
        <w:t>致：</w:t>
      </w:r>
      <w:r>
        <w:rPr>
          <w:rFonts w:hint="eastAsia" w:cs="宋体"/>
          <w:color w:val="auto"/>
          <w:spacing w:val="-2"/>
          <w:sz w:val="21"/>
          <w:szCs w:val="21"/>
          <w:highlight w:val="none"/>
          <w:u w:val="single" w:color="auto"/>
          <w:lang w:eastAsia="zh-CN"/>
        </w:rPr>
        <w:t>中鸿亿博集团有限公司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z w:val="21"/>
          <w:szCs w:val="21"/>
          <w:highlight w:val="none"/>
        </w:rPr>
        <w:t>项目磋商文件，项目编号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 xml:space="preserve">签字代表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lang w:val="en-US" w:eastAsia="zh-CN"/>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2"/>
          <w:sz w:val="21"/>
          <w:szCs w:val="21"/>
          <w:highlight w:val="none"/>
          <w:u w:val="single" w:color="auto"/>
          <w:lang w:eastAsia="zh-CN"/>
        </w:rPr>
        <w:t xml:space="preserve">姓名）经正式授权并代表供应商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)的磋商</w:t>
      </w:r>
      <w:r>
        <w:rPr>
          <w:rFonts w:hint="eastAsia" w:ascii="宋体" w:hAnsi="宋体" w:eastAsia="宋体" w:cs="宋体"/>
          <w:color w:val="auto"/>
          <w:spacing w:val="-1"/>
          <w:sz w:val="21"/>
          <w:szCs w:val="21"/>
          <w:highlight w:val="none"/>
        </w:rPr>
        <w:t>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4.我方已详细审核磋商文件，包括修改文件（如有的话）和有关附件</w:t>
      </w:r>
      <w:r>
        <w:rPr>
          <w:rFonts w:hint="eastAsia" w:ascii="宋体" w:hAnsi="宋体" w:eastAsia="宋体" w:cs="宋体"/>
          <w:color w:val="auto"/>
          <w:spacing w:val="-3"/>
          <w:sz w:val="21"/>
          <w:szCs w:val="21"/>
          <w:highlight w:val="none"/>
        </w:rPr>
        <w:t>，将</w:t>
      </w:r>
      <w:r>
        <w:rPr>
          <w:rFonts w:hint="eastAsia" w:ascii="宋体" w:hAnsi="宋体" w:eastAsia="宋体" w:cs="宋体"/>
          <w:color w:val="auto"/>
          <w:spacing w:val="-1"/>
          <w:sz w:val="21"/>
          <w:szCs w:val="21"/>
          <w:highlight w:val="none"/>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7856C0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1"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448" w14:cap="sq" w14:cmpd="sng">
            <w14:solidFill>
              <w14:srgbClr w14:val="000000"/>
            </w14:solidFill>
            <w14:prstDash w14:val="solid"/>
            <w14:bevel/>
          </w14:textOutline>
        </w:rPr>
        <w:t>（二）响应函附录</w:t>
      </w:r>
    </w:p>
    <w:tbl>
      <w:tblPr>
        <w:tblStyle w:val="2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号</w:t>
            </w:r>
          </w:p>
        </w:tc>
        <w:tc>
          <w:tcPr>
            <w:tcW w:w="2106" w:type="dxa"/>
            <w:vAlign w:val="top"/>
          </w:tcPr>
          <w:p w14:paraId="209EE5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条款内容</w:t>
            </w:r>
          </w:p>
        </w:tc>
        <w:tc>
          <w:tcPr>
            <w:tcW w:w="2331" w:type="dxa"/>
            <w:vAlign w:val="top"/>
          </w:tcPr>
          <w:p w14:paraId="518E21C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合同条款号</w:t>
            </w:r>
          </w:p>
        </w:tc>
        <w:tc>
          <w:tcPr>
            <w:tcW w:w="2285" w:type="dxa"/>
            <w:vAlign w:val="top"/>
          </w:tcPr>
          <w:p w14:paraId="03EB88E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2039" w:type="dxa"/>
            <w:vAlign w:val="top"/>
          </w:tcPr>
          <w:p w14:paraId="4BA9B88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06" w:type="dxa"/>
            <w:vAlign w:val="top"/>
          </w:tcPr>
          <w:p w14:paraId="255CB8B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2331" w:type="dxa"/>
            <w:vAlign w:val="top"/>
          </w:tcPr>
          <w:p w14:paraId="5CD3ECC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48353C4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姓名：</w:t>
            </w:r>
            <w:r>
              <w:rPr>
                <w:rFonts w:hint="eastAsia" w:ascii="宋体" w:hAnsi="宋体" w:eastAsia="宋体" w:cs="宋体"/>
                <w:color w:val="auto"/>
                <w:sz w:val="21"/>
                <w:szCs w:val="21"/>
                <w:highlight w:val="none"/>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06" w:type="dxa"/>
            <w:vAlign w:val="top"/>
          </w:tcPr>
          <w:p w14:paraId="71BF25D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工期</w:t>
            </w:r>
          </w:p>
        </w:tc>
        <w:tc>
          <w:tcPr>
            <w:tcW w:w="2331" w:type="dxa"/>
            <w:vAlign w:val="top"/>
          </w:tcPr>
          <w:p w14:paraId="1220C3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合同协议书</w:t>
            </w:r>
          </w:p>
        </w:tc>
        <w:tc>
          <w:tcPr>
            <w:tcW w:w="2285" w:type="dxa"/>
            <w:vAlign w:val="top"/>
          </w:tcPr>
          <w:p w14:paraId="7761C086">
            <w:pPr>
              <w:pStyle w:val="25"/>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6"/>
                <w:sz w:val="21"/>
                <w:szCs w:val="21"/>
                <w:highlight w:val="none"/>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06" w:type="dxa"/>
            <w:vAlign w:val="top"/>
          </w:tcPr>
          <w:p w14:paraId="051E3F6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缺陷责任期</w:t>
            </w:r>
          </w:p>
        </w:tc>
        <w:tc>
          <w:tcPr>
            <w:tcW w:w="2331" w:type="dxa"/>
            <w:vAlign w:val="top"/>
          </w:tcPr>
          <w:p w14:paraId="57719168">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106" w:type="dxa"/>
            <w:vAlign w:val="top"/>
          </w:tcPr>
          <w:p w14:paraId="3D76C47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2331" w:type="dxa"/>
            <w:vAlign w:val="top"/>
          </w:tcPr>
          <w:p w14:paraId="4AFF2C5E">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712D031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106" w:type="dxa"/>
            <w:vAlign w:val="top"/>
          </w:tcPr>
          <w:p w14:paraId="6E9B399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331" w:type="dxa"/>
            <w:vAlign w:val="top"/>
          </w:tcPr>
          <w:p w14:paraId="4E3423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106" w:type="dxa"/>
            <w:vAlign w:val="top"/>
          </w:tcPr>
          <w:p w14:paraId="65832BF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预付款额度</w:t>
            </w:r>
          </w:p>
        </w:tc>
        <w:tc>
          <w:tcPr>
            <w:tcW w:w="2331" w:type="dxa"/>
            <w:vAlign w:val="top"/>
          </w:tcPr>
          <w:p w14:paraId="712A68F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val="en-US" w:eastAsia="zh-CN"/>
              </w:rPr>
              <w:t>7</w:t>
            </w:r>
          </w:p>
        </w:tc>
        <w:tc>
          <w:tcPr>
            <w:tcW w:w="2106" w:type="dxa"/>
            <w:vAlign w:val="top"/>
          </w:tcPr>
          <w:p w14:paraId="1638A3E9">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质量保证金额度</w:t>
            </w:r>
          </w:p>
        </w:tc>
        <w:tc>
          <w:tcPr>
            <w:tcW w:w="2331" w:type="dxa"/>
            <w:vAlign w:val="top"/>
          </w:tcPr>
          <w:p w14:paraId="1874D00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106" w:type="dxa"/>
            <w:vAlign w:val="top"/>
          </w:tcPr>
          <w:p w14:paraId="0548FA6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备注：供应商在响应招标文件中规定的实质性要求和条件的基础上，可做出其他有利于招标人的承诺。此</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pacing w:val="5"/>
          <w:sz w:val="21"/>
          <w:szCs w:val="21"/>
          <w:highlight w:val="none"/>
          <w:u w:val="single" w:color="auto"/>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14:paraId="37A069A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2"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w:t>
      </w:r>
      <w:r>
        <w:rPr>
          <w:rFonts w:hint="eastAsia" w:cs="宋体"/>
          <w:color w:val="auto"/>
          <w:spacing w:val="2"/>
          <w:sz w:val="22"/>
          <w:szCs w:val="22"/>
          <w:highlight w:val="none"/>
          <w:lang w:eastAsia="zh-CN"/>
          <w14:textOutline w14:w="5103" w14:cap="sq" w14:cmpd="sng">
            <w14:solidFill>
              <w14:srgbClr w14:val="000000"/>
            </w14:solidFill>
            <w14:prstDash w14:val="solid"/>
            <w14:bevel/>
          </w14:textOutline>
        </w:rPr>
        <w:t>一</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个月</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复印件（委托代</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（供应商名称）的法定代 </w:t>
      </w:r>
      <w:r>
        <w:rPr>
          <w:rFonts w:hint="eastAsia" w:ascii="宋体" w:hAnsi="宋体" w:eastAsia="宋体" w:cs="宋体"/>
          <w:color w:val="auto"/>
          <w:spacing w:val="-2"/>
          <w:sz w:val="21"/>
          <w:szCs w:val="21"/>
          <w:highlight w:val="none"/>
        </w:rPr>
        <w:t>表人，现授权委托本单位在职职工</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（姓名）以我公司名义参加</w:t>
      </w:r>
      <w:r>
        <w:rPr>
          <w:rFonts w:hint="eastAsia" w:ascii="宋体" w:hAnsi="宋体" w:eastAsia="宋体" w:cs="宋体"/>
          <w:color w:val="auto"/>
          <w:spacing w:val="-2"/>
          <w:sz w:val="21"/>
          <w:szCs w:val="21"/>
          <w:highlight w:val="none"/>
          <w:u w:val="single" w:color="auto"/>
        </w:rPr>
        <w:t xml:space="preserve">      （项</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u w:val="single" w:color="auto"/>
        </w:rPr>
        <w:t>目名称及项目编号）</w:t>
      </w:r>
      <w:r>
        <w:rPr>
          <w:rFonts w:hint="eastAsia" w:ascii="宋体" w:hAnsi="宋体" w:eastAsia="宋体" w:cs="宋体"/>
          <w:color w:val="auto"/>
          <w:spacing w:val="13"/>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2"/>
          <w:sz w:val="21"/>
          <w:szCs w:val="21"/>
          <w:highlight w:val="none"/>
        </w:rPr>
        <w:t>项目的磋商活动，并代表我方全权办理针对上述项目的磋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2"/>
          <w:sz w:val="21"/>
          <w:szCs w:val="21"/>
          <w:highlight w:val="none"/>
        </w:rPr>
        <w:t>自即日起至该项目政府</w:t>
      </w:r>
      <w:r>
        <w:rPr>
          <w:rFonts w:hint="eastAsia" w:ascii="宋体" w:hAnsi="宋体" w:eastAsia="宋体" w:cs="宋体"/>
          <w:color w:val="auto"/>
          <w:spacing w:val="-3"/>
          <w:sz w:val="21"/>
          <w:szCs w:val="21"/>
          <w:highlight w:val="none"/>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 签章）]：</w:t>
      </w:r>
      <w:r>
        <w:rPr>
          <w:rFonts w:hint="eastAsia" w:ascii="宋体" w:hAnsi="宋体" w:eastAsia="宋体" w:cs="宋体"/>
          <w:color w:val="auto"/>
          <w:sz w:val="21"/>
          <w:szCs w:val="21"/>
          <w:highlight w:val="none"/>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法定代表人签字（或个人 CA 签章）</w:t>
      </w:r>
      <w:r>
        <w:rPr>
          <w:rFonts w:hint="eastAsia" w:ascii="宋体" w:hAnsi="宋体" w:eastAsia="宋体" w:cs="宋体"/>
          <w:color w:val="auto"/>
          <w:spacing w:val="-5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8"/>
          <w:sz w:val="21"/>
          <w:szCs w:val="21"/>
          <w:highlight w:val="none"/>
        </w:rPr>
        <w:t>月</w:t>
      </w:r>
      <w:r>
        <w:rPr>
          <w:rFonts w:hint="eastAsia" w:ascii="宋体" w:hAnsi="宋体" w:eastAsia="宋体" w:cs="宋体"/>
          <w:color w:val="auto"/>
          <w:spacing w:val="30"/>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8"/>
          <w:sz w:val="21"/>
          <w:szCs w:val="21"/>
          <w:highlight w:val="none"/>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机构出具的供应商为委托代理人交纳的响应文件递交截止时间前半年内任意</w:t>
      </w:r>
      <w:r>
        <w:rPr>
          <w:rFonts w:hint="eastAsia" w:cs="宋体"/>
          <w:color w:val="auto"/>
          <w:spacing w:val="4"/>
          <w:sz w:val="21"/>
          <w:szCs w:val="21"/>
          <w:highlight w:val="none"/>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个</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月</w:t>
      </w:r>
      <w:r>
        <w:rPr>
          <w:rFonts w:hint="eastAsia" w:ascii="宋体" w:hAnsi="宋体" w:eastAsia="宋体" w:cs="宋体"/>
          <w:color w:val="auto"/>
          <w:spacing w:val="-1"/>
          <w:sz w:val="21"/>
          <w:szCs w:val="21"/>
          <w:highlight w:val="none"/>
          <w:lang w:eastAsia="zh-CN"/>
          <w14:textOutline w14:w="4358" w14:cap="sq" w14:cmpd="sng">
            <w14:solidFill>
              <w14:srgbClr w14:val="000000"/>
            </w14:solidFill>
            <w14:prstDash w14:val="solid"/>
            <w14:bevel/>
          </w14:textOutline>
        </w:rPr>
        <w:t>养老保险</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证明复印件。</w:t>
      </w:r>
    </w:p>
    <w:p w14:paraId="27E22D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3"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448" w14:cap="sq" w14:cmpd="sng">
            <w14:solidFill>
              <w14:srgbClr w14:val="000000"/>
            </w14:solidFill>
            <w14:prstDash w14:val="solid"/>
            <w14:bevel/>
          </w14:textOutline>
        </w:rPr>
        <w:t>供应商基本情况表</w:t>
      </w:r>
    </w:p>
    <w:tbl>
      <w:tblPr>
        <w:tblStyle w:val="24"/>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c>
          <w:tcPr>
            <w:tcW w:w="1209" w:type="dxa"/>
            <w:vAlign w:val="center"/>
          </w:tcPr>
          <w:p w14:paraId="7E8D957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16D2CC5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联系方式</w:t>
            </w:r>
          </w:p>
        </w:tc>
        <w:tc>
          <w:tcPr>
            <w:tcW w:w="859" w:type="dxa"/>
            <w:vAlign w:val="center"/>
          </w:tcPr>
          <w:p w14:paraId="590F71B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联系人</w:t>
            </w:r>
          </w:p>
        </w:tc>
        <w:tc>
          <w:tcPr>
            <w:tcW w:w="2828" w:type="dxa"/>
            <w:gridSpan w:val="3"/>
            <w:vAlign w:val="center"/>
          </w:tcPr>
          <w:p w14:paraId="4036AB0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58E8A8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 话</w:t>
            </w:r>
          </w:p>
        </w:tc>
        <w:tc>
          <w:tcPr>
            <w:tcW w:w="2177" w:type="dxa"/>
            <w:gridSpan w:val="3"/>
            <w:tcBorders>
              <w:right w:val="single" w:color="000000" w:sz="10" w:space="0"/>
            </w:tcBorders>
            <w:vAlign w:val="center"/>
          </w:tcPr>
          <w:p w14:paraId="738226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59" w:type="dxa"/>
            <w:vAlign w:val="center"/>
          </w:tcPr>
          <w:p w14:paraId="44B1C9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传 真</w:t>
            </w:r>
          </w:p>
        </w:tc>
        <w:tc>
          <w:tcPr>
            <w:tcW w:w="2828" w:type="dxa"/>
            <w:gridSpan w:val="3"/>
            <w:vAlign w:val="center"/>
          </w:tcPr>
          <w:p w14:paraId="7CAD25A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209" w:type="dxa"/>
            <w:vAlign w:val="center"/>
          </w:tcPr>
          <w:p w14:paraId="1200BC6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电子邮件</w:t>
            </w:r>
          </w:p>
        </w:tc>
        <w:tc>
          <w:tcPr>
            <w:tcW w:w="2177" w:type="dxa"/>
            <w:gridSpan w:val="3"/>
            <w:tcBorders>
              <w:right w:val="single" w:color="000000" w:sz="10" w:space="0"/>
            </w:tcBorders>
            <w:vAlign w:val="center"/>
          </w:tcPr>
          <w:p w14:paraId="5DB461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法定代表人</w:t>
            </w:r>
          </w:p>
        </w:tc>
        <w:tc>
          <w:tcPr>
            <w:tcW w:w="859" w:type="dxa"/>
            <w:vAlign w:val="center"/>
          </w:tcPr>
          <w:p w14:paraId="7672736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119D4D9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34BDCF4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2D8AEDE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2F2FC34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421BE2F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技术负责人</w:t>
            </w:r>
          </w:p>
        </w:tc>
        <w:tc>
          <w:tcPr>
            <w:tcW w:w="859" w:type="dxa"/>
            <w:vAlign w:val="center"/>
          </w:tcPr>
          <w:p w14:paraId="132BBD3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姓名</w:t>
            </w:r>
          </w:p>
        </w:tc>
        <w:tc>
          <w:tcPr>
            <w:tcW w:w="1067" w:type="dxa"/>
            <w:vAlign w:val="center"/>
          </w:tcPr>
          <w:p w14:paraId="4B7F3F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Align w:val="center"/>
          </w:tcPr>
          <w:p w14:paraId="54CBAB5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技术职称</w:t>
            </w:r>
          </w:p>
        </w:tc>
        <w:tc>
          <w:tcPr>
            <w:tcW w:w="1867" w:type="dxa"/>
            <w:gridSpan w:val="3"/>
            <w:vAlign w:val="center"/>
          </w:tcPr>
          <w:p w14:paraId="17BF9FB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897" w:type="dxa"/>
            <w:vAlign w:val="center"/>
          </w:tcPr>
          <w:p w14:paraId="4D90804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电话</w:t>
            </w:r>
          </w:p>
        </w:tc>
        <w:tc>
          <w:tcPr>
            <w:tcW w:w="971" w:type="dxa"/>
            <w:tcBorders>
              <w:right w:val="single" w:color="000000" w:sz="10" w:space="0"/>
            </w:tcBorders>
            <w:vAlign w:val="center"/>
          </w:tcPr>
          <w:p w14:paraId="5053FDB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成立时间</w:t>
            </w:r>
          </w:p>
        </w:tc>
        <w:tc>
          <w:tcPr>
            <w:tcW w:w="1926" w:type="dxa"/>
            <w:gridSpan w:val="2"/>
            <w:vAlign w:val="center"/>
          </w:tcPr>
          <w:p w14:paraId="282865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5147" w:type="dxa"/>
            <w:gridSpan w:val="6"/>
            <w:tcBorders>
              <w:right w:val="single" w:color="000000" w:sz="10" w:space="0"/>
            </w:tcBorders>
            <w:vAlign w:val="center"/>
          </w:tcPr>
          <w:p w14:paraId="01D2827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企业资质等级</w:t>
            </w:r>
          </w:p>
        </w:tc>
        <w:tc>
          <w:tcPr>
            <w:tcW w:w="1926" w:type="dxa"/>
            <w:gridSpan w:val="2"/>
            <w:vAlign w:val="center"/>
          </w:tcPr>
          <w:p w14:paraId="147145D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restart"/>
            <w:tcBorders>
              <w:bottom w:val="nil"/>
            </w:tcBorders>
            <w:vAlign w:val="center"/>
          </w:tcPr>
          <w:p w14:paraId="3121F36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F1B4B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33BFFD1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0383F7C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2A7868D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p w14:paraId="54A837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其中</w:t>
            </w:r>
          </w:p>
        </w:tc>
        <w:tc>
          <w:tcPr>
            <w:tcW w:w="1867" w:type="dxa"/>
            <w:gridSpan w:val="3"/>
            <w:vAlign w:val="center"/>
          </w:tcPr>
          <w:p w14:paraId="67A71EA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项目经理</w:t>
            </w:r>
          </w:p>
        </w:tc>
        <w:tc>
          <w:tcPr>
            <w:tcW w:w="1868" w:type="dxa"/>
            <w:gridSpan w:val="2"/>
            <w:tcBorders>
              <w:right w:val="single" w:color="000000" w:sz="10" w:space="0"/>
            </w:tcBorders>
            <w:vAlign w:val="center"/>
          </w:tcPr>
          <w:p w14:paraId="2064E26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营业执照号</w:t>
            </w:r>
          </w:p>
        </w:tc>
        <w:tc>
          <w:tcPr>
            <w:tcW w:w="1926" w:type="dxa"/>
            <w:gridSpan w:val="2"/>
            <w:vAlign w:val="center"/>
          </w:tcPr>
          <w:p w14:paraId="7580BD8B">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1F0E747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25E2C7E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高级职称人员</w:t>
            </w:r>
          </w:p>
        </w:tc>
        <w:tc>
          <w:tcPr>
            <w:tcW w:w="1868" w:type="dxa"/>
            <w:gridSpan w:val="2"/>
            <w:tcBorders>
              <w:right w:val="single" w:color="000000" w:sz="10" w:space="0"/>
            </w:tcBorders>
            <w:vAlign w:val="center"/>
          </w:tcPr>
          <w:p w14:paraId="382D52D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注册资金</w:t>
            </w:r>
          </w:p>
        </w:tc>
        <w:tc>
          <w:tcPr>
            <w:tcW w:w="1926" w:type="dxa"/>
            <w:gridSpan w:val="2"/>
            <w:vAlign w:val="center"/>
          </w:tcPr>
          <w:p w14:paraId="02CCF86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37296A5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6FACAB1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中级职称人员</w:t>
            </w:r>
          </w:p>
        </w:tc>
        <w:tc>
          <w:tcPr>
            <w:tcW w:w="1868" w:type="dxa"/>
            <w:gridSpan w:val="2"/>
            <w:tcBorders>
              <w:right w:val="single" w:color="000000" w:sz="10" w:space="0"/>
            </w:tcBorders>
            <w:vAlign w:val="center"/>
          </w:tcPr>
          <w:p w14:paraId="1E5EF0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基本账户开户银行</w:t>
            </w:r>
          </w:p>
        </w:tc>
        <w:tc>
          <w:tcPr>
            <w:tcW w:w="1926" w:type="dxa"/>
            <w:gridSpan w:val="2"/>
            <w:vAlign w:val="center"/>
          </w:tcPr>
          <w:p w14:paraId="6D69A55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bottom w:val="nil"/>
            </w:tcBorders>
            <w:vAlign w:val="center"/>
          </w:tcPr>
          <w:p w14:paraId="4CFC744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0642B9A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初级职称人员</w:t>
            </w:r>
          </w:p>
        </w:tc>
        <w:tc>
          <w:tcPr>
            <w:tcW w:w="1868" w:type="dxa"/>
            <w:gridSpan w:val="2"/>
            <w:tcBorders>
              <w:right w:val="single" w:color="000000" w:sz="10" w:space="0"/>
            </w:tcBorders>
            <w:vAlign w:val="center"/>
          </w:tcPr>
          <w:p w14:paraId="3C71C2A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基本账户账号</w:t>
            </w:r>
          </w:p>
        </w:tc>
        <w:tc>
          <w:tcPr>
            <w:tcW w:w="1926" w:type="dxa"/>
            <w:gridSpan w:val="2"/>
            <w:vAlign w:val="center"/>
          </w:tcPr>
          <w:p w14:paraId="7E7802F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412" w:type="dxa"/>
            <w:vMerge w:val="continue"/>
            <w:tcBorders>
              <w:top w:val="nil"/>
            </w:tcBorders>
            <w:vAlign w:val="center"/>
          </w:tcPr>
          <w:p w14:paraId="15EE592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c>
          <w:tcPr>
            <w:tcW w:w="1867" w:type="dxa"/>
            <w:gridSpan w:val="3"/>
            <w:vAlign w:val="center"/>
          </w:tcPr>
          <w:p w14:paraId="58A22A2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技工</w:t>
            </w:r>
          </w:p>
        </w:tc>
        <w:tc>
          <w:tcPr>
            <w:tcW w:w="1868" w:type="dxa"/>
            <w:gridSpan w:val="2"/>
            <w:tcBorders>
              <w:right w:val="single" w:color="000000" w:sz="10" w:space="0"/>
            </w:tcBorders>
            <w:vAlign w:val="center"/>
          </w:tcPr>
          <w:p w14:paraId="64C58FF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经营范围</w:t>
            </w:r>
          </w:p>
        </w:tc>
        <w:tc>
          <w:tcPr>
            <w:tcW w:w="7073" w:type="dxa"/>
            <w:gridSpan w:val="8"/>
            <w:tcBorders>
              <w:right w:val="single" w:color="000000" w:sz="10" w:space="0"/>
            </w:tcBorders>
            <w:vAlign w:val="center"/>
          </w:tcPr>
          <w:p w14:paraId="7F26A74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资产构成情况及申</w:t>
            </w:r>
          </w:p>
          <w:p w14:paraId="1C00B699">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请人投资参股的关</w:t>
            </w:r>
          </w:p>
          <w:p w14:paraId="302AA73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联企业情况</w:t>
            </w:r>
          </w:p>
        </w:tc>
        <w:tc>
          <w:tcPr>
            <w:tcW w:w="7073" w:type="dxa"/>
            <w:gridSpan w:val="8"/>
            <w:tcBorders>
              <w:right w:val="single" w:color="000000" w:sz="10" w:space="0"/>
            </w:tcBorders>
            <w:vAlign w:val="center"/>
          </w:tcPr>
          <w:p w14:paraId="5B65F22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7"/>
                <w:sz w:val="21"/>
                <w:szCs w:val="21"/>
                <w:highlight w:val="none"/>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color w:val="auto"/>
          <w:spacing w:val="8"/>
          <w:sz w:val="21"/>
          <w:szCs w:val="21"/>
          <w:highlight w:val="none"/>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注：1、在本表后附企业法人营业执照的复印件、施工资质证书</w:t>
      </w:r>
      <w:r>
        <w:rPr>
          <w:rFonts w:hint="eastAsia" w:ascii="宋体" w:hAnsi="宋体" w:eastAsia="宋体" w:cs="宋体"/>
          <w:b/>
          <w:bCs/>
          <w:color w:val="auto"/>
          <w:spacing w:val="7"/>
          <w:sz w:val="21"/>
          <w:szCs w:val="21"/>
          <w:highlight w:val="none"/>
        </w:rPr>
        <w:t>的复印件、安全生产许可证</w:t>
      </w:r>
      <w:r>
        <w:rPr>
          <w:rFonts w:hint="eastAsia" w:ascii="宋体" w:hAnsi="宋体" w:eastAsia="宋体" w:cs="宋体"/>
          <w:b/>
          <w:bCs/>
          <w:color w:val="auto"/>
          <w:spacing w:val="9"/>
          <w:sz w:val="21"/>
          <w:szCs w:val="21"/>
          <w:highlight w:val="none"/>
        </w:rPr>
        <w:t>的复印件、基本账户开户许可证的复印件。</w:t>
      </w:r>
    </w:p>
    <w:p w14:paraId="337E9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4"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5.供应商参加政府采购活动前</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3</w:t>
      </w:r>
      <w:r>
        <w:rPr>
          <w:rFonts w:hint="eastAsia" w:ascii="宋体" w:hAnsi="宋体" w:eastAsia="宋体" w:cs="宋体"/>
          <w:color w:val="auto"/>
          <w:spacing w:val="-55"/>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声</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2"/>
          <w:sz w:val="22"/>
          <w:szCs w:val="22"/>
          <w:highlight w:val="none"/>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color w:val="auto"/>
          <w:spacing w:val="-1"/>
          <w:sz w:val="21"/>
          <w:szCs w:val="21"/>
          <w:highlight w:val="none"/>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致：</w:t>
      </w:r>
      <w:r>
        <w:rPr>
          <w:rFonts w:hint="eastAsia" w:cs="宋体"/>
          <w:color w:val="auto"/>
          <w:spacing w:val="-1"/>
          <w:sz w:val="21"/>
          <w:szCs w:val="21"/>
          <w:highlight w:val="none"/>
          <w:u w:val="single" w:color="auto"/>
          <w:lang w:eastAsia="zh-CN"/>
        </w:rPr>
        <w:t>中鸿亿博集团有限公司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color w:val="auto"/>
          <w:spacing w:val="-1"/>
          <w:sz w:val="21"/>
          <w:szCs w:val="21"/>
          <w:highlight w:val="none"/>
          <w:u w:val="none" w:color="auto"/>
          <w:lang w:eastAsia="zh-CN"/>
        </w:rPr>
      </w:pPr>
      <w:r>
        <w:rPr>
          <w:rFonts w:hint="eastAsia" w:ascii="宋体" w:hAnsi="宋体" w:eastAsia="宋体" w:cs="宋体"/>
          <w:color w:val="auto"/>
          <w:spacing w:val="-1"/>
          <w:sz w:val="21"/>
          <w:szCs w:val="21"/>
          <w:highlight w:val="none"/>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20B699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5"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我方参加了</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（项目名称）施工投标，若我方中标，我方在</w:t>
      </w:r>
      <w:r>
        <w:rPr>
          <w:rFonts w:hint="eastAsia" w:ascii="宋体" w:hAnsi="宋体" w:eastAsia="宋体" w:cs="宋体"/>
          <w:color w:val="auto"/>
          <w:spacing w:val="-2"/>
          <w:sz w:val="21"/>
          <w:szCs w:val="21"/>
          <w:highlight w:val="none"/>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若本项目磋商文件未要求我方在响应文件中填报派驻本标段的其他主要管理人员和技术人</w:t>
      </w:r>
      <w:r>
        <w:rPr>
          <w:rFonts w:hint="eastAsia" w:ascii="宋体" w:hAnsi="宋体" w:eastAsia="宋体" w:cs="宋体"/>
          <w:color w:val="auto"/>
          <w:spacing w:val="-6"/>
          <w:sz w:val="21"/>
          <w:szCs w:val="21"/>
          <w:highlight w:val="none"/>
        </w:rPr>
        <w:t>员及主要机械设备和试验检测设备，在招标人向我方发出中标通知书</w:t>
      </w:r>
      <w:r>
        <w:rPr>
          <w:rFonts w:hint="eastAsia" w:ascii="宋体" w:hAnsi="宋体" w:eastAsia="宋体" w:cs="宋体"/>
          <w:color w:val="auto"/>
          <w:spacing w:val="-7"/>
          <w:sz w:val="21"/>
          <w:szCs w:val="21"/>
          <w:highlight w:val="none"/>
        </w:rPr>
        <w:t>之前，我方将按照合同附件</w:t>
      </w:r>
      <w:r>
        <w:rPr>
          <w:rFonts w:hint="eastAsia" w:ascii="宋体" w:hAnsi="宋体" w:eastAsia="宋体" w:cs="宋体"/>
          <w:color w:val="auto"/>
          <w:spacing w:val="-6"/>
          <w:sz w:val="21"/>
          <w:szCs w:val="21"/>
          <w:highlight w:val="none"/>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若我方已按本项目磋商文件要求在响应文件中填报派驻本标段的其他主要管理人员和技术人</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6"/>
          <w:sz w:val="21"/>
          <w:szCs w:val="21"/>
          <w:highlight w:val="none"/>
        </w:rPr>
        <w:t>员及主要机械设备和试验检测设备，我方将严格按照在响应文件中填报</w:t>
      </w:r>
      <w:r>
        <w:rPr>
          <w:rFonts w:hint="eastAsia" w:ascii="宋体" w:hAnsi="宋体" w:eastAsia="宋体" w:cs="宋体"/>
          <w:color w:val="auto"/>
          <w:spacing w:val="-7"/>
          <w:sz w:val="21"/>
          <w:szCs w:val="21"/>
          <w:highlight w:val="none"/>
        </w:rPr>
        <w:t>的其他主要管理人员和技</w:t>
      </w:r>
      <w:r>
        <w:rPr>
          <w:rFonts w:hint="eastAsia" w:ascii="宋体" w:hAnsi="宋体" w:eastAsia="宋体" w:cs="宋体"/>
          <w:color w:val="auto"/>
          <w:spacing w:val="-6"/>
          <w:sz w:val="21"/>
          <w:szCs w:val="21"/>
          <w:highlight w:val="none"/>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pacing w:val="-6"/>
          <w:sz w:val="21"/>
          <w:szCs w:val="21"/>
          <w:highlight w:val="none"/>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1"/>
          <w:sz w:val="21"/>
          <w:szCs w:val="21"/>
          <w:highlight w:val="none"/>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E161E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6"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致</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3"/>
          <w:sz w:val="21"/>
          <w:szCs w:val="21"/>
          <w:highlight w:val="none"/>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根据《关于建立交通行业农民工工资保证金制度的通知》（桂劳社发﹝2007﹞147号），在</w:t>
      </w:r>
      <w:r>
        <w:rPr>
          <w:rFonts w:hint="eastAsia" w:ascii="宋体" w:hAnsi="宋体" w:eastAsia="宋体" w:cs="宋体"/>
          <w:color w:val="auto"/>
          <w:spacing w:val="-6"/>
          <w:sz w:val="21"/>
          <w:szCs w:val="21"/>
          <w:highlight w:val="none"/>
          <w:u w:val="single"/>
        </w:rPr>
        <w:t xml:space="preserve">（项目名称）  </w:t>
      </w:r>
      <w:r>
        <w:rPr>
          <w:rFonts w:hint="eastAsia" w:ascii="宋体" w:hAnsi="宋体" w:eastAsia="宋体" w:cs="宋体"/>
          <w:color w:val="auto"/>
          <w:spacing w:val="-6"/>
          <w:sz w:val="21"/>
          <w:szCs w:val="21"/>
          <w:highlight w:val="none"/>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（一）我单位在本招标项目递交投标文件截止时间</w:t>
      </w:r>
      <w:r>
        <w:rPr>
          <w:rFonts w:hint="eastAsia" w:ascii="宋体" w:hAnsi="宋体" w:eastAsia="宋体" w:cs="宋体"/>
          <w:color w:val="auto"/>
          <w:spacing w:val="-3"/>
          <w:sz w:val="21"/>
          <w:szCs w:val="21"/>
          <w:highlight w:val="none"/>
          <w:u w:val="single" w:color="auto"/>
        </w:rPr>
        <w:t xml:space="preserve"> （开标日）</w:t>
      </w:r>
      <w:r>
        <w:rPr>
          <w:rFonts w:hint="eastAsia" w:ascii="宋体" w:hAnsi="宋体" w:eastAsia="宋体" w:cs="宋体"/>
          <w:color w:val="auto"/>
          <w:spacing w:val="-3"/>
          <w:sz w:val="21"/>
          <w:szCs w:val="21"/>
          <w:highlight w:val="none"/>
        </w:rPr>
        <w:t>前所承建的工程项目，不存</w:t>
      </w:r>
      <w:r>
        <w:rPr>
          <w:rFonts w:hint="eastAsia" w:ascii="宋体" w:hAnsi="宋体" w:eastAsia="宋体" w:cs="宋体"/>
          <w:color w:val="auto"/>
          <w:spacing w:val="-1"/>
          <w:sz w:val="21"/>
          <w:szCs w:val="21"/>
          <w:highlight w:val="none"/>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（二）投标中标后，我单位同意在签订合同后及项目开工前，</w:t>
      </w:r>
      <w:r>
        <w:rPr>
          <w:rFonts w:hint="eastAsia" w:ascii="宋体" w:hAnsi="宋体" w:eastAsia="宋体" w:cs="宋体"/>
          <w:color w:val="auto"/>
          <w:spacing w:val="-6"/>
          <w:sz w:val="21"/>
          <w:szCs w:val="21"/>
          <w:highlight w:val="none"/>
        </w:rPr>
        <w:t>按桂人社发﹝2019﹞30号（广</w:t>
      </w:r>
      <w:r>
        <w:rPr>
          <w:rFonts w:hint="eastAsia" w:ascii="宋体" w:hAnsi="宋体" w:eastAsia="宋体" w:cs="宋体"/>
          <w:color w:val="auto"/>
          <w:sz w:val="21"/>
          <w:szCs w:val="21"/>
          <w:highlight w:val="none"/>
        </w:rPr>
        <w:t xml:space="preserve"> 西壮族自治区人力资源和社会保障厅关于开展农民工工资</w:t>
      </w:r>
      <w:r>
        <w:rPr>
          <w:rFonts w:hint="eastAsia" w:ascii="宋体" w:hAnsi="宋体" w:eastAsia="宋体" w:cs="宋体"/>
          <w:color w:val="auto"/>
          <w:spacing w:val="-1"/>
          <w:sz w:val="21"/>
          <w:szCs w:val="21"/>
          <w:highlight w:val="none"/>
        </w:rPr>
        <w:t>保证金三方监管工作的通知）要求在</w:t>
      </w:r>
      <w:r>
        <w:rPr>
          <w:rFonts w:hint="eastAsia" w:ascii="宋体" w:hAnsi="宋体" w:eastAsia="宋体" w:cs="宋体"/>
          <w:color w:val="auto"/>
          <w:sz w:val="21"/>
          <w:szCs w:val="21"/>
          <w:highlight w:val="none"/>
        </w:rPr>
        <w:t xml:space="preserve"> 商业银行开设农民工工资保证金专用账户，并按规定预存</w:t>
      </w:r>
      <w:r>
        <w:rPr>
          <w:rFonts w:hint="eastAsia" w:ascii="宋体" w:hAnsi="宋体" w:eastAsia="宋体" w:cs="宋体"/>
          <w:color w:val="auto"/>
          <w:spacing w:val="-1"/>
          <w:sz w:val="21"/>
          <w:szCs w:val="21"/>
          <w:highlight w:val="none"/>
        </w:rPr>
        <w:t>农民工工资保证金，并到项目所在地人力社会保障局和建设项目主管部门备案。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1"/>
          <w:position w:val="11"/>
          <w:sz w:val="21"/>
          <w:szCs w:val="21"/>
          <w:highlight w:val="none"/>
        </w:rPr>
        <w:t>（</w:t>
      </w:r>
      <w:r>
        <w:rPr>
          <w:rFonts w:hint="eastAsia" w:ascii="宋体" w:hAnsi="宋体" w:eastAsia="宋体" w:cs="宋体"/>
          <w:color w:val="auto"/>
          <w:spacing w:val="-5"/>
          <w:sz w:val="21"/>
          <w:szCs w:val="21"/>
          <w:highlight w:val="none"/>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（四）我单位向建设单位承诺依法足额支付农民工工资，一旦我单位（包含我单位的分包</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
          <w:sz w:val="21"/>
          <w:szCs w:val="21"/>
          <w:highlight w:val="none"/>
        </w:rPr>
        <w:t>商）承建的</w:t>
      </w:r>
      <w:r>
        <w:rPr>
          <w:rFonts w:hint="eastAsia" w:ascii="宋体" w:hAnsi="宋体" w:eastAsia="宋体" w:cs="宋体"/>
          <w:color w:val="auto"/>
          <w:spacing w:val="-2"/>
          <w:sz w:val="21"/>
          <w:szCs w:val="21"/>
          <w:highlight w:val="none"/>
          <w:u w:val="single" w:color="auto"/>
        </w:rPr>
        <w:t xml:space="preserve"> （项目名称）</w:t>
      </w:r>
      <w:r>
        <w:rPr>
          <w:rFonts w:hint="eastAsia" w:ascii="宋体" w:hAnsi="宋体" w:eastAsia="宋体" w:cs="宋体"/>
          <w:color w:val="auto"/>
          <w:spacing w:val="-2"/>
          <w:sz w:val="21"/>
          <w:szCs w:val="21"/>
          <w:highlight w:val="none"/>
        </w:rPr>
        <w:t>出现拖欠农民工工资情</w:t>
      </w:r>
      <w:r>
        <w:rPr>
          <w:rFonts w:hint="eastAsia" w:ascii="宋体" w:hAnsi="宋体" w:eastAsia="宋体" w:cs="宋体"/>
          <w:color w:val="auto"/>
          <w:spacing w:val="-3"/>
          <w:sz w:val="21"/>
          <w:szCs w:val="21"/>
          <w:highlight w:val="none"/>
        </w:rPr>
        <w:t>况的，可由劳动保障、交通主管部门（或授权</w:t>
      </w:r>
      <w:r>
        <w:rPr>
          <w:rFonts w:hint="eastAsia" w:ascii="宋体" w:hAnsi="宋体" w:eastAsia="宋体" w:cs="宋体"/>
          <w:color w:val="auto"/>
          <w:sz w:val="21"/>
          <w:szCs w:val="21"/>
          <w:highlight w:val="none"/>
        </w:rPr>
        <w:t>机构）及建设单位根据相关规定从我单位农民工工</w:t>
      </w:r>
      <w:r>
        <w:rPr>
          <w:rFonts w:hint="eastAsia" w:ascii="宋体" w:hAnsi="宋体" w:eastAsia="宋体" w:cs="宋体"/>
          <w:color w:val="auto"/>
          <w:spacing w:val="-1"/>
          <w:sz w:val="21"/>
          <w:szCs w:val="21"/>
          <w:highlight w:val="none"/>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highlight w:val="none"/>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auto"/>
          <w:sz w:val="21"/>
          <w:szCs w:val="21"/>
          <w:highlight w:val="none"/>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7</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本公司郑重声明，根据《政府采购促进中小企业发展管理办法》（财库〔2020〕46</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2"/>
          <w:sz w:val="21"/>
          <w:szCs w:val="21"/>
          <w:highlight w:val="none"/>
        </w:rPr>
        <w:t>号）的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规定，本公司参加</w:t>
      </w:r>
      <w:r>
        <w:rPr>
          <w:rFonts w:hint="eastAsia" w:ascii="宋体" w:hAnsi="宋体" w:eastAsia="宋体" w:cs="宋体"/>
          <w:color w:val="auto"/>
          <w:spacing w:val="-2"/>
          <w:sz w:val="21"/>
          <w:szCs w:val="21"/>
          <w:highlight w:val="none"/>
          <w:u w:val="single" w:color="auto"/>
        </w:rPr>
        <w:t>（单位名称）</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3"/>
          <w:sz w:val="21"/>
          <w:szCs w:val="21"/>
          <w:highlight w:val="none"/>
        </w:rPr>
        <w:t>釆购活动,工程的施工单位全部为符合政策要求</w:t>
      </w:r>
      <w:r>
        <w:rPr>
          <w:rFonts w:hint="eastAsia" w:ascii="宋体" w:hAnsi="宋体" w:eastAsia="宋体" w:cs="宋体"/>
          <w:color w:val="auto"/>
          <w:sz w:val="21"/>
          <w:szCs w:val="21"/>
          <w:highlight w:val="none"/>
        </w:rPr>
        <w:t xml:space="preserve"> 的中小企业。相关企业（含联合体中的中小企业、签订分包意向协议的中小企业）的具体情况</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6"/>
          <w:sz w:val="21"/>
          <w:szCs w:val="21"/>
          <w:highlight w:val="none"/>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w:t>
      </w:r>
      <w:r>
        <w:rPr>
          <w:rFonts w:hint="eastAsia" w:ascii="宋体" w:hAnsi="宋体" w:eastAsia="宋体" w:cs="宋体"/>
          <w:color w:val="auto"/>
          <w:spacing w:val="-1"/>
          <w:sz w:val="21"/>
          <w:szCs w:val="21"/>
          <w:highlight w:val="none"/>
          <w:u w:val="single" w:color="auto"/>
        </w:rPr>
        <w:t xml:space="preserve">     （标的名称</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属于</w:t>
      </w:r>
      <w:r>
        <w:rPr>
          <w:rFonts w:hint="eastAsia" w:ascii="宋体" w:hAnsi="宋体" w:eastAsia="宋体" w:cs="宋体"/>
          <w:color w:val="auto"/>
          <w:spacing w:val="-1"/>
          <w:sz w:val="21"/>
          <w:szCs w:val="21"/>
          <w:highlight w:val="none"/>
          <w:u w:val="single" w:color="auto"/>
        </w:rPr>
        <w:t xml:space="preserve">     （釆购文件中明确的所属行业</w:t>
      </w:r>
      <w:r>
        <w:rPr>
          <w:rFonts w:hint="eastAsia" w:ascii="宋体" w:hAnsi="宋体" w:eastAsia="宋体" w:cs="宋体"/>
          <w:color w:val="auto"/>
          <w:spacing w:val="11"/>
          <w:sz w:val="21"/>
          <w:szCs w:val="21"/>
          <w:highlight w:val="none"/>
          <w:u w:val="single" w:color="auto"/>
        </w:rPr>
        <w:t>）</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u w:val="single" w:color="auto"/>
        </w:rPr>
        <w:t>称</w:t>
      </w:r>
      <w:r>
        <w:rPr>
          <w:rFonts w:hint="eastAsia" w:ascii="宋体" w:hAnsi="宋体" w:eastAsia="宋体" w:cs="宋体"/>
          <w:color w:val="auto"/>
          <w:spacing w:val="7"/>
          <w:sz w:val="21"/>
          <w:szCs w:val="21"/>
          <w:highlight w:val="none"/>
          <w:u w:val="single" w:color="auto"/>
        </w:rPr>
        <w:t>）</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
          <w:sz w:val="21"/>
          <w:szCs w:val="21"/>
          <w:highlight w:val="none"/>
        </w:rPr>
        <w:t>从业人员</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1"/>
          <w:sz w:val="21"/>
          <w:szCs w:val="21"/>
          <w:highlight w:val="none"/>
        </w:rPr>
        <w:t>人，营业收入为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1"/>
          <w:sz w:val="21"/>
          <w:szCs w:val="21"/>
          <w:highlight w:val="none"/>
        </w:rPr>
        <w:t>万元，资产总额为</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pacing w:val="-2"/>
          <w:sz w:val="21"/>
          <w:szCs w:val="21"/>
          <w:highlight w:val="none"/>
        </w:rPr>
        <w:t>万元，属于</w:t>
      </w:r>
      <w:r>
        <w:rPr>
          <w:rFonts w:hint="eastAsia" w:ascii="宋体" w:hAnsi="宋体" w:eastAsia="宋体" w:cs="宋体"/>
          <w:color w:val="auto"/>
          <w:spacing w:val="-2"/>
          <w:sz w:val="21"/>
          <w:szCs w:val="21"/>
          <w:highlight w:val="none"/>
          <w:u w:val="single" w:color="auto"/>
        </w:rPr>
        <w:t>（中型企业、小型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企业、微型企业</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2"/>
          <w:sz w:val="21"/>
          <w:szCs w:val="21"/>
          <w:highlight w:val="none"/>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color="auto"/>
        </w:rPr>
        <w:t xml:space="preserve">     （标的名称</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color="auto"/>
        </w:rPr>
        <w:t xml:space="preserve">     （釆购文件中</w:t>
      </w:r>
      <w:r>
        <w:rPr>
          <w:rFonts w:hint="eastAsia" w:ascii="宋体" w:hAnsi="宋体" w:eastAsia="宋体" w:cs="宋体"/>
          <w:color w:val="auto"/>
          <w:spacing w:val="-1"/>
          <w:sz w:val="21"/>
          <w:szCs w:val="21"/>
          <w:highlight w:val="none"/>
          <w:u w:val="single" w:color="auto"/>
        </w:rPr>
        <w:t>明确的所属行业</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
          <w:sz w:val="21"/>
          <w:szCs w:val="21"/>
          <w:highlight w:val="none"/>
        </w:rPr>
        <w:t>承建企业为</w:t>
      </w:r>
      <w:r>
        <w:rPr>
          <w:rFonts w:hint="eastAsia" w:ascii="宋体" w:hAnsi="宋体" w:eastAsia="宋体" w:cs="宋体"/>
          <w:color w:val="auto"/>
          <w:spacing w:val="-1"/>
          <w:sz w:val="21"/>
          <w:szCs w:val="21"/>
          <w:highlight w:val="none"/>
          <w:u w:val="single" w:color="auto"/>
        </w:rPr>
        <w:t>（企业名</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u w:val="single" w:color="auto"/>
        </w:rPr>
        <w:t>称）</w:t>
      </w:r>
      <w:r>
        <w:rPr>
          <w:rFonts w:hint="eastAsia" w:ascii="宋体" w:hAnsi="宋体" w:eastAsia="宋体" w:cs="宋体"/>
          <w:color w:val="auto"/>
          <w:spacing w:val="-8"/>
          <w:sz w:val="21"/>
          <w:szCs w:val="21"/>
          <w:highlight w:val="none"/>
        </w:rPr>
        <w:t>、从业人员</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人，营业收入为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3"/>
          <w:sz w:val="21"/>
          <w:szCs w:val="21"/>
          <w:highlight w:val="none"/>
        </w:rPr>
        <w:t xml:space="preserve"> </w:t>
      </w:r>
      <w:r>
        <w:rPr>
          <w:rFonts w:hint="eastAsia" w:ascii="宋体" w:hAnsi="宋体" w:eastAsia="宋体" w:cs="宋体"/>
          <w:color w:val="auto"/>
          <w:spacing w:val="-8"/>
          <w:sz w:val="21"/>
          <w:szCs w:val="21"/>
          <w:highlight w:val="none"/>
        </w:rPr>
        <w:t>万元，资产总额为</w:t>
      </w:r>
      <w:r>
        <w:rPr>
          <w:rFonts w:hint="eastAsia" w:ascii="宋体" w:hAnsi="宋体" w:eastAsia="宋体" w:cs="宋体"/>
          <w:color w:val="auto"/>
          <w:spacing w:val="39"/>
          <w:sz w:val="21"/>
          <w:szCs w:val="21"/>
          <w:highlight w:val="none"/>
          <w:u w:val="single" w:color="auto"/>
        </w:rPr>
        <w:t xml:space="preserve">   </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8"/>
          <w:sz w:val="21"/>
          <w:szCs w:val="21"/>
          <w:highlight w:val="none"/>
        </w:rPr>
        <w:t>万元，属于</w:t>
      </w:r>
      <w:r>
        <w:rPr>
          <w:rFonts w:hint="eastAsia" w:ascii="宋体" w:hAnsi="宋体" w:eastAsia="宋体" w:cs="宋体"/>
          <w:color w:val="auto"/>
          <w:spacing w:val="-8"/>
          <w:sz w:val="21"/>
          <w:szCs w:val="21"/>
          <w:highlight w:val="none"/>
          <w:u w:val="single" w:color="auto"/>
        </w:rPr>
        <w:t>（中型企业、小型</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u w:val="single" w:color="auto"/>
        </w:rPr>
        <w:t>业、微型企业</w:t>
      </w:r>
      <w:r>
        <w:rPr>
          <w:rFonts w:hint="eastAsia" w:ascii="宋体" w:hAnsi="宋体" w:eastAsia="宋体" w:cs="宋体"/>
          <w:color w:val="auto"/>
          <w:sz w:val="21"/>
          <w:szCs w:val="21"/>
          <w:highlight w:val="none"/>
          <w:u w:val="single" w:color="auto"/>
        </w:rPr>
        <w:t>）</w:t>
      </w:r>
      <w:r>
        <w:rPr>
          <w:rFonts w:hint="eastAsia" w:ascii="宋体" w:hAnsi="宋体" w:eastAsia="宋体" w:cs="宋体"/>
          <w:color w:val="auto"/>
          <w:sz w:val="21"/>
          <w:szCs w:val="21"/>
          <w:highlight w:val="none"/>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w:t>
      </w:r>
      <w:r>
        <w:rPr>
          <w:rFonts w:hint="eastAsia" w:ascii="宋体" w:hAnsi="宋体" w:eastAsia="宋体" w:cs="宋体"/>
          <w:color w:val="auto"/>
          <w:spacing w:val="-1"/>
          <w:sz w:val="21"/>
          <w:szCs w:val="21"/>
          <w:highlight w:val="none"/>
        </w:rPr>
        <w:t>的情形，也不存在与大企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position w:val="14"/>
          <w:sz w:val="21"/>
          <w:szCs w:val="21"/>
          <w:highlight w:val="none"/>
        </w:rPr>
        <w:t>企业名称（</w:t>
      </w:r>
      <w:r>
        <w:rPr>
          <w:rFonts w:hint="eastAsia" w:ascii="宋体" w:hAnsi="宋体" w:eastAsia="宋体" w:cs="宋体"/>
          <w:color w:val="auto"/>
          <w:position w:val="14"/>
          <w:sz w:val="21"/>
          <w:szCs w:val="21"/>
          <w:highlight w:val="none"/>
        </w:rPr>
        <w:t>CA</w:t>
      </w:r>
      <w:r>
        <w:rPr>
          <w:rFonts w:hint="eastAsia" w:ascii="宋体" w:hAnsi="宋体" w:eastAsia="宋体" w:cs="宋体"/>
          <w:color w:val="auto"/>
          <w:spacing w:val="-27"/>
          <w:position w:val="14"/>
          <w:sz w:val="21"/>
          <w:szCs w:val="21"/>
          <w:highlight w:val="none"/>
        </w:rPr>
        <w:t xml:space="preserve"> </w:t>
      </w:r>
      <w:r>
        <w:rPr>
          <w:rFonts w:hint="eastAsia" w:ascii="宋体" w:hAnsi="宋体" w:eastAsia="宋体" w:cs="宋体"/>
          <w:color w:val="auto"/>
          <w:spacing w:val="5"/>
          <w:position w:val="14"/>
          <w:sz w:val="21"/>
          <w:szCs w:val="21"/>
          <w:highlight w:val="none"/>
        </w:rPr>
        <w:t>签章</w:t>
      </w:r>
      <w:r>
        <w:rPr>
          <w:rFonts w:hint="eastAsia" w:ascii="宋体" w:hAnsi="宋体" w:eastAsia="宋体" w:cs="宋体"/>
          <w:color w:val="auto"/>
          <w:spacing w:val="12"/>
          <w:position w:val="14"/>
          <w:sz w:val="21"/>
          <w:szCs w:val="21"/>
          <w:highlight w:val="none"/>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16" w:firstLineChars="4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8"/>
          <w:sz w:val="21"/>
          <w:szCs w:val="21"/>
          <w:highlight w:val="none"/>
        </w:rPr>
        <w:t>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一年度数据的新成立企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业划分标准表》，属于“建筑业</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w:t>
      </w:r>
    </w:p>
    <w:p w14:paraId="2EF0832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7"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448" w14:cap="sq" w14:cmpd="sng">
            <w14:solidFill>
              <w14:srgbClr w14:val="000000"/>
            </w14:solidFill>
            <w14:prstDash w14:val="solid"/>
            <w14:bevel/>
          </w14:textOutline>
        </w:rPr>
        <w:t>统计上大中小微型企业划分标准</w:t>
      </w:r>
    </w:p>
    <w:tbl>
      <w:tblPr>
        <w:tblStyle w:val="24"/>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农、林、牧、渔业</w:t>
            </w:r>
          </w:p>
        </w:tc>
        <w:tc>
          <w:tcPr>
            <w:tcW w:w="1598" w:type="dxa"/>
            <w:vAlign w:val="top"/>
          </w:tcPr>
          <w:p w14:paraId="3FA8402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4A92D6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6573D7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28CA41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50≤Y＜500</w:t>
            </w:r>
          </w:p>
        </w:tc>
        <w:tc>
          <w:tcPr>
            <w:tcW w:w="1160" w:type="dxa"/>
            <w:vAlign w:val="top"/>
          </w:tcPr>
          <w:p w14:paraId="0406CB9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ED5A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工业</w:t>
            </w:r>
            <w:r>
              <w:rPr>
                <w:rFonts w:hint="eastAsia" w:ascii="宋体" w:hAnsi="宋体" w:eastAsia="宋体" w:cs="宋体"/>
                <w:color w:val="auto"/>
                <w:spacing w:val="9"/>
                <w:sz w:val="18"/>
                <w:szCs w:val="18"/>
                <w:highlight w:val="none"/>
              </w:rPr>
              <w:t xml:space="preserve"> </w:t>
            </w:r>
            <w:r>
              <w:rPr>
                <w:rFonts w:hint="eastAsia" w:ascii="宋体" w:hAnsi="宋体" w:eastAsia="宋体" w:cs="宋体"/>
                <w:color w:val="auto"/>
                <w:spacing w:val="-4"/>
                <w:sz w:val="18"/>
                <w:szCs w:val="18"/>
                <w:highlight w:val="none"/>
              </w:rPr>
              <w:t>*</w:t>
            </w:r>
          </w:p>
        </w:tc>
        <w:tc>
          <w:tcPr>
            <w:tcW w:w="1598" w:type="dxa"/>
            <w:vAlign w:val="top"/>
          </w:tcPr>
          <w:p w14:paraId="62C0300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2EA54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071F88F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426B608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5E12B5A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B99D3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6321992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41B2124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2000≤Y＜40000</w:t>
            </w:r>
          </w:p>
        </w:tc>
        <w:tc>
          <w:tcPr>
            <w:tcW w:w="1664" w:type="dxa"/>
            <w:vAlign w:val="top"/>
          </w:tcPr>
          <w:p w14:paraId="0E651F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300≤Y＜2000</w:t>
            </w:r>
          </w:p>
        </w:tc>
        <w:tc>
          <w:tcPr>
            <w:tcW w:w="1160" w:type="dxa"/>
            <w:vAlign w:val="top"/>
          </w:tcPr>
          <w:p w14:paraId="34A7C5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00698D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建筑业</w:t>
            </w:r>
          </w:p>
        </w:tc>
        <w:tc>
          <w:tcPr>
            <w:tcW w:w="1598" w:type="dxa"/>
            <w:vAlign w:val="top"/>
          </w:tcPr>
          <w:p w14:paraId="41A3784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营业收入(Y)</w:t>
            </w:r>
          </w:p>
        </w:tc>
        <w:tc>
          <w:tcPr>
            <w:tcW w:w="1310" w:type="dxa"/>
            <w:vAlign w:val="top"/>
          </w:tcPr>
          <w:p w14:paraId="683ADC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Y≥80000</w:t>
            </w:r>
          </w:p>
        </w:tc>
        <w:tc>
          <w:tcPr>
            <w:tcW w:w="1986" w:type="dxa"/>
            <w:vAlign w:val="top"/>
          </w:tcPr>
          <w:p w14:paraId="5FC8819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6000≤Y＜80000</w:t>
            </w:r>
          </w:p>
        </w:tc>
        <w:tc>
          <w:tcPr>
            <w:tcW w:w="1664" w:type="dxa"/>
            <w:vAlign w:val="top"/>
          </w:tcPr>
          <w:p w14:paraId="7D09072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300≤Y＜6000</w:t>
            </w:r>
          </w:p>
        </w:tc>
        <w:tc>
          <w:tcPr>
            <w:tcW w:w="1160" w:type="dxa"/>
            <w:vAlign w:val="top"/>
          </w:tcPr>
          <w:p w14:paraId="710CD6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180FE2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资产总额(Z)</w:t>
            </w:r>
          </w:p>
        </w:tc>
        <w:tc>
          <w:tcPr>
            <w:tcW w:w="1310" w:type="dxa"/>
            <w:vAlign w:val="top"/>
          </w:tcPr>
          <w:p w14:paraId="2BD9DB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Z≥80000</w:t>
            </w:r>
          </w:p>
        </w:tc>
        <w:tc>
          <w:tcPr>
            <w:tcW w:w="1986" w:type="dxa"/>
            <w:vAlign w:val="top"/>
          </w:tcPr>
          <w:p w14:paraId="61CCD29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5000≤Z＜80000</w:t>
            </w:r>
          </w:p>
        </w:tc>
        <w:tc>
          <w:tcPr>
            <w:tcW w:w="1664" w:type="dxa"/>
            <w:vAlign w:val="top"/>
          </w:tcPr>
          <w:p w14:paraId="5BEE1BB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300≤Z＜5000</w:t>
            </w:r>
          </w:p>
        </w:tc>
        <w:tc>
          <w:tcPr>
            <w:tcW w:w="1160" w:type="dxa"/>
            <w:vAlign w:val="top"/>
          </w:tcPr>
          <w:p w14:paraId="1E7C5E1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pacing w:val="-1"/>
                <w:sz w:val="18"/>
                <w:szCs w:val="18"/>
                <w:highlight w:val="none"/>
              </w:rPr>
            </w:pPr>
            <w:r>
              <w:rPr>
                <w:rFonts w:hint="eastAsia" w:ascii="宋体" w:hAnsi="宋体" w:eastAsia="宋体" w:cs="宋体"/>
                <w:color w:val="auto"/>
                <w:spacing w:val="-1"/>
                <w:sz w:val="18"/>
                <w:szCs w:val="18"/>
                <w:highlight w:val="none"/>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F1B752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批发业</w:t>
            </w:r>
          </w:p>
        </w:tc>
        <w:tc>
          <w:tcPr>
            <w:tcW w:w="1598" w:type="dxa"/>
            <w:vAlign w:val="top"/>
          </w:tcPr>
          <w:p w14:paraId="4E1C7A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A53DEB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47C393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20≤X＜200</w:t>
            </w:r>
          </w:p>
        </w:tc>
        <w:tc>
          <w:tcPr>
            <w:tcW w:w="1664" w:type="dxa"/>
            <w:vAlign w:val="top"/>
          </w:tcPr>
          <w:p w14:paraId="01FC57E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5≤X＜20</w:t>
            </w:r>
          </w:p>
        </w:tc>
        <w:tc>
          <w:tcPr>
            <w:tcW w:w="1160" w:type="dxa"/>
            <w:vAlign w:val="top"/>
          </w:tcPr>
          <w:p w14:paraId="40FF1A0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64ADF48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723F0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Y≥40000</w:t>
            </w:r>
          </w:p>
        </w:tc>
        <w:tc>
          <w:tcPr>
            <w:tcW w:w="1986" w:type="dxa"/>
            <w:vAlign w:val="top"/>
          </w:tcPr>
          <w:p w14:paraId="38A2FED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5000≤Y＜40000</w:t>
            </w:r>
          </w:p>
        </w:tc>
        <w:tc>
          <w:tcPr>
            <w:tcW w:w="1664" w:type="dxa"/>
            <w:vAlign w:val="top"/>
          </w:tcPr>
          <w:p w14:paraId="40C83E0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160" w:type="dxa"/>
            <w:vAlign w:val="top"/>
          </w:tcPr>
          <w:p w14:paraId="18D951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48680C0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零售业</w:t>
            </w:r>
          </w:p>
        </w:tc>
        <w:tc>
          <w:tcPr>
            <w:tcW w:w="1598" w:type="dxa"/>
            <w:vAlign w:val="top"/>
          </w:tcPr>
          <w:p w14:paraId="478DB02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38C2D7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1CC83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50≤X＜300</w:t>
            </w:r>
          </w:p>
        </w:tc>
        <w:tc>
          <w:tcPr>
            <w:tcW w:w="1664" w:type="dxa"/>
            <w:vAlign w:val="top"/>
          </w:tcPr>
          <w:p w14:paraId="7B2D089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10≤X＜50</w:t>
            </w:r>
          </w:p>
        </w:tc>
        <w:tc>
          <w:tcPr>
            <w:tcW w:w="1160" w:type="dxa"/>
            <w:vAlign w:val="top"/>
          </w:tcPr>
          <w:p w14:paraId="09C008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15A7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2ABD2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w:t>
            </w:r>
          </w:p>
        </w:tc>
        <w:tc>
          <w:tcPr>
            <w:tcW w:w="1986" w:type="dxa"/>
            <w:vAlign w:val="top"/>
          </w:tcPr>
          <w:p w14:paraId="476100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500≤Y＜20000</w:t>
            </w:r>
          </w:p>
        </w:tc>
        <w:tc>
          <w:tcPr>
            <w:tcW w:w="1664" w:type="dxa"/>
            <w:vAlign w:val="top"/>
          </w:tcPr>
          <w:p w14:paraId="3D6C70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100≤Y＜500</w:t>
            </w:r>
          </w:p>
        </w:tc>
        <w:tc>
          <w:tcPr>
            <w:tcW w:w="1160" w:type="dxa"/>
            <w:vAlign w:val="top"/>
          </w:tcPr>
          <w:p w14:paraId="18B911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7A164CD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交通运输业 *</w:t>
            </w:r>
          </w:p>
        </w:tc>
        <w:tc>
          <w:tcPr>
            <w:tcW w:w="1598" w:type="dxa"/>
            <w:vAlign w:val="top"/>
          </w:tcPr>
          <w:p w14:paraId="4696161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30AF71B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685A73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E2287F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454DC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3ED59AB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D40D85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2DDF66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3000≤Y＜30000</w:t>
            </w:r>
          </w:p>
        </w:tc>
        <w:tc>
          <w:tcPr>
            <w:tcW w:w="1664" w:type="dxa"/>
            <w:vAlign w:val="top"/>
          </w:tcPr>
          <w:p w14:paraId="392306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200≤Y＜3000</w:t>
            </w:r>
          </w:p>
        </w:tc>
        <w:tc>
          <w:tcPr>
            <w:tcW w:w="1160" w:type="dxa"/>
            <w:vAlign w:val="top"/>
          </w:tcPr>
          <w:p w14:paraId="17941CA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27B97F0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仓储业*</w:t>
            </w:r>
          </w:p>
        </w:tc>
        <w:tc>
          <w:tcPr>
            <w:tcW w:w="1598" w:type="dxa"/>
            <w:vAlign w:val="top"/>
          </w:tcPr>
          <w:p w14:paraId="159781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2A2857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w:t>
            </w:r>
          </w:p>
        </w:tc>
        <w:tc>
          <w:tcPr>
            <w:tcW w:w="1986" w:type="dxa"/>
            <w:vAlign w:val="top"/>
          </w:tcPr>
          <w:p w14:paraId="693BDA7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100≤X＜200</w:t>
            </w:r>
          </w:p>
        </w:tc>
        <w:tc>
          <w:tcPr>
            <w:tcW w:w="1664" w:type="dxa"/>
            <w:vAlign w:val="top"/>
          </w:tcPr>
          <w:p w14:paraId="7C16F47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20≤X＜100</w:t>
            </w:r>
          </w:p>
        </w:tc>
        <w:tc>
          <w:tcPr>
            <w:tcW w:w="1160" w:type="dxa"/>
            <w:vAlign w:val="top"/>
          </w:tcPr>
          <w:p w14:paraId="2E2E910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0AC26E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5E5FD9A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6D97087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1000≤Y＜30000</w:t>
            </w:r>
          </w:p>
        </w:tc>
        <w:tc>
          <w:tcPr>
            <w:tcW w:w="1664" w:type="dxa"/>
            <w:vAlign w:val="top"/>
          </w:tcPr>
          <w:p w14:paraId="1100389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634C88F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601680A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邮政业</w:t>
            </w:r>
          </w:p>
        </w:tc>
        <w:tc>
          <w:tcPr>
            <w:tcW w:w="1598" w:type="dxa"/>
            <w:vAlign w:val="top"/>
          </w:tcPr>
          <w:p w14:paraId="5E67F5C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F013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1365599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1DD2A77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20≤X＜300</w:t>
            </w:r>
          </w:p>
        </w:tc>
        <w:tc>
          <w:tcPr>
            <w:tcW w:w="1160" w:type="dxa"/>
            <w:vAlign w:val="top"/>
          </w:tcPr>
          <w:p w14:paraId="2C73D49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ADA083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96C35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Y≥30000</w:t>
            </w:r>
          </w:p>
        </w:tc>
        <w:tc>
          <w:tcPr>
            <w:tcW w:w="1986" w:type="dxa"/>
            <w:vAlign w:val="top"/>
          </w:tcPr>
          <w:p w14:paraId="54D1D95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2000≤Y＜30000</w:t>
            </w:r>
          </w:p>
        </w:tc>
        <w:tc>
          <w:tcPr>
            <w:tcW w:w="1664" w:type="dxa"/>
            <w:vAlign w:val="top"/>
          </w:tcPr>
          <w:p w14:paraId="312ED4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7372D7E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3CB44B6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住宿业</w:t>
            </w:r>
          </w:p>
        </w:tc>
        <w:tc>
          <w:tcPr>
            <w:tcW w:w="1598" w:type="dxa"/>
            <w:vAlign w:val="top"/>
          </w:tcPr>
          <w:p w14:paraId="1363E32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B9DE4E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2CE51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0EE884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7AC91B8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1AC646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153763A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3015CE5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0F5FA82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1FE45C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5360F99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餐饮业</w:t>
            </w:r>
          </w:p>
        </w:tc>
        <w:tc>
          <w:tcPr>
            <w:tcW w:w="1598" w:type="dxa"/>
            <w:vAlign w:val="top"/>
          </w:tcPr>
          <w:p w14:paraId="6787D4E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6FBE0D3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4BD4A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57FD5A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35D0D9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BAFC83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2E4392A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2C6F6FD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2000≤Y＜10000</w:t>
            </w:r>
          </w:p>
        </w:tc>
        <w:tc>
          <w:tcPr>
            <w:tcW w:w="1664" w:type="dxa"/>
            <w:vAlign w:val="top"/>
          </w:tcPr>
          <w:p w14:paraId="692C7D4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100≤Y＜2000</w:t>
            </w:r>
          </w:p>
        </w:tc>
        <w:tc>
          <w:tcPr>
            <w:tcW w:w="1160" w:type="dxa"/>
            <w:vAlign w:val="top"/>
          </w:tcPr>
          <w:p w14:paraId="3373236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p w14:paraId="1DEBA9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信息传输业 *</w:t>
            </w:r>
          </w:p>
        </w:tc>
        <w:tc>
          <w:tcPr>
            <w:tcW w:w="1598" w:type="dxa"/>
            <w:vAlign w:val="top"/>
          </w:tcPr>
          <w:p w14:paraId="0BBED85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71B93EA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X≥2000</w:t>
            </w:r>
          </w:p>
        </w:tc>
        <w:tc>
          <w:tcPr>
            <w:tcW w:w="1986" w:type="dxa"/>
            <w:vAlign w:val="top"/>
          </w:tcPr>
          <w:p w14:paraId="67B93C3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100≤X＜2000</w:t>
            </w:r>
          </w:p>
        </w:tc>
        <w:tc>
          <w:tcPr>
            <w:tcW w:w="1664" w:type="dxa"/>
            <w:vAlign w:val="top"/>
          </w:tcPr>
          <w:p w14:paraId="084743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425DDD3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37D354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6DEC5B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Y≥100000</w:t>
            </w:r>
          </w:p>
        </w:tc>
        <w:tc>
          <w:tcPr>
            <w:tcW w:w="1986" w:type="dxa"/>
            <w:vAlign w:val="top"/>
          </w:tcPr>
          <w:p w14:paraId="095E56C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1000≤Y＜100000</w:t>
            </w:r>
          </w:p>
        </w:tc>
        <w:tc>
          <w:tcPr>
            <w:tcW w:w="1664" w:type="dxa"/>
            <w:vAlign w:val="top"/>
          </w:tcPr>
          <w:p w14:paraId="66453EF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78F9CD3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软件和信息技术服务业</w:t>
            </w:r>
          </w:p>
        </w:tc>
        <w:tc>
          <w:tcPr>
            <w:tcW w:w="1598" w:type="dxa"/>
            <w:vAlign w:val="top"/>
          </w:tcPr>
          <w:p w14:paraId="37786E0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pacing w:val="-2"/>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91401B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1E4F8E3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43A099E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58A340E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4BF1490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47A6BFC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Y≥10000</w:t>
            </w:r>
          </w:p>
        </w:tc>
        <w:tc>
          <w:tcPr>
            <w:tcW w:w="1986" w:type="dxa"/>
            <w:vAlign w:val="top"/>
          </w:tcPr>
          <w:p w14:paraId="73ED96D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1000≤Y＜10000</w:t>
            </w:r>
          </w:p>
        </w:tc>
        <w:tc>
          <w:tcPr>
            <w:tcW w:w="1664" w:type="dxa"/>
            <w:vAlign w:val="top"/>
          </w:tcPr>
          <w:p w14:paraId="548872A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50≤Y＜1000</w:t>
            </w:r>
          </w:p>
        </w:tc>
        <w:tc>
          <w:tcPr>
            <w:tcW w:w="1160" w:type="dxa"/>
            <w:vAlign w:val="top"/>
          </w:tcPr>
          <w:p w14:paraId="13D4E4D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房地产开发经营</w:t>
            </w:r>
          </w:p>
        </w:tc>
        <w:tc>
          <w:tcPr>
            <w:tcW w:w="1598" w:type="dxa"/>
            <w:vAlign w:val="top"/>
          </w:tcPr>
          <w:p w14:paraId="6040EC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7FDF06A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Y≥200000</w:t>
            </w:r>
          </w:p>
        </w:tc>
        <w:tc>
          <w:tcPr>
            <w:tcW w:w="1986" w:type="dxa"/>
            <w:vAlign w:val="top"/>
          </w:tcPr>
          <w:p w14:paraId="279A44F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1000≤Y＜200000</w:t>
            </w:r>
          </w:p>
        </w:tc>
        <w:tc>
          <w:tcPr>
            <w:tcW w:w="1664" w:type="dxa"/>
            <w:vAlign w:val="top"/>
          </w:tcPr>
          <w:p w14:paraId="67056C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100≤Y＜1000</w:t>
            </w:r>
          </w:p>
        </w:tc>
        <w:tc>
          <w:tcPr>
            <w:tcW w:w="1160" w:type="dxa"/>
            <w:vAlign w:val="top"/>
          </w:tcPr>
          <w:p w14:paraId="5D11F00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0CF0D4F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33676A2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Z≥10000</w:t>
            </w:r>
          </w:p>
        </w:tc>
        <w:tc>
          <w:tcPr>
            <w:tcW w:w="1986" w:type="dxa"/>
            <w:vAlign w:val="top"/>
          </w:tcPr>
          <w:p w14:paraId="70A9EFA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5000≤Z＜10000</w:t>
            </w:r>
          </w:p>
        </w:tc>
        <w:tc>
          <w:tcPr>
            <w:tcW w:w="1664" w:type="dxa"/>
            <w:vAlign w:val="top"/>
          </w:tcPr>
          <w:p w14:paraId="362F56A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2000≤Z＜5000</w:t>
            </w:r>
          </w:p>
        </w:tc>
        <w:tc>
          <w:tcPr>
            <w:tcW w:w="1160" w:type="dxa"/>
            <w:vAlign w:val="top"/>
          </w:tcPr>
          <w:p w14:paraId="25F615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物业管理</w:t>
            </w:r>
          </w:p>
        </w:tc>
        <w:tc>
          <w:tcPr>
            <w:tcW w:w="1598" w:type="dxa"/>
            <w:vAlign w:val="top"/>
          </w:tcPr>
          <w:p w14:paraId="4CB5BC3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2401A01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X≥1000</w:t>
            </w:r>
          </w:p>
        </w:tc>
        <w:tc>
          <w:tcPr>
            <w:tcW w:w="1986" w:type="dxa"/>
            <w:vAlign w:val="top"/>
          </w:tcPr>
          <w:p w14:paraId="3C4ECB6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300≤X＜1000</w:t>
            </w:r>
          </w:p>
        </w:tc>
        <w:tc>
          <w:tcPr>
            <w:tcW w:w="1664" w:type="dxa"/>
            <w:vAlign w:val="top"/>
          </w:tcPr>
          <w:p w14:paraId="526C2A9F">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160" w:type="dxa"/>
            <w:vAlign w:val="top"/>
          </w:tcPr>
          <w:p w14:paraId="35F677E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7EA6BD1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1310" w:type="dxa"/>
            <w:vAlign w:val="top"/>
          </w:tcPr>
          <w:p w14:paraId="0D31321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Y≥5000</w:t>
            </w:r>
          </w:p>
        </w:tc>
        <w:tc>
          <w:tcPr>
            <w:tcW w:w="1986" w:type="dxa"/>
            <w:vAlign w:val="top"/>
          </w:tcPr>
          <w:p w14:paraId="159C307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1000≤Y＜5000</w:t>
            </w:r>
          </w:p>
        </w:tc>
        <w:tc>
          <w:tcPr>
            <w:tcW w:w="1664" w:type="dxa"/>
            <w:vAlign w:val="top"/>
          </w:tcPr>
          <w:p w14:paraId="15A6A99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500≤Y＜1000</w:t>
            </w:r>
          </w:p>
        </w:tc>
        <w:tc>
          <w:tcPr>
            <w:tcW w:w="1160" w:type="dxa"/>
            <w:vAlign w:val="top"/>
          </w:tcPr>
          <w:p w14:paraId="48066E3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租赁和商务服务业</w:t>
            </w:r>
          </w:p>
        </w:tc>
        <w:tc>
          <w:tcPr>
            <w:tcW w:w="1598" w:type="dxa"/>
            <w:vAlign w:val="top"/>
          </w:tcPr>
          <w:p w14:paraId="28C7EA2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BDB04B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3EACD7F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71974C4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13AE8F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auto"/>
                <w:sz w:val="18"/>
                <w:szCs w:val="18"/>
                <w:highlight w:val="none"/>
              </w:rPr>
            </w:pPr>
          </w:p>
        </w:tc>
        <w:tc>
          <w:tcPr>
            <w:tcW w:w="1598" w:type="dxa"/>
            <w:vAlign w:val="top"/>
          </w:tcPr>
          <w:p w14:paraId="2162B05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1310" w:type="dxa"/>
            <w:vAlign w:val="top"/>
          </w:tcPr>
          <w:p w14:paraId="545C754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Z≥120000</w:t>
            </w:r>
          </w:p>
        </w:tc>
        <w:tc>
          <w:tcPr>
            <w:tcW w:w="1986" w:type="dxa"/>
            <w:vAlign w:val="top"/>
          </w:tcPr>
          <w:p w14:paraId="0A9832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8000≤Z＜120000</w:t>
            </w:r>
          </w:p>
        </w:tc>
        <w:tc>
          <w:tcPr>
            <w:tcW w:w="1664" w:type="dxa"/>
            <w:vAlign w:val="top"/>
          </w:tcPr>
          <w:p w14:paraId="198B71C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100≤Z＜8000</w:t>
            </w:r>
          </w:p>
        </w:tc>
        <w:tc>
          <w:tcPr>
            <w:tcW w:w="1160" w:type="dxa"/>
            <w:vAlign w:val="top"/>
          </w:tcPr>
          <w:p w14:paraId="70419A4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其他未列明行业 *</w:t>
            </w:r>
          </w:p>
        </w:tc>
        <w:tc>
          <w:tcPr>
            <w:tcW w:w="1598" w:type="dxa"/>
            <w:vAlign w:val="top"/>
          </w:tcPr>
          <w:p w14:paraId="6043878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1310" w:type="dxa"/>
            <w:vAlign w:val="top"/>
          </w:tcPr>
          <w:p w14:paraId="5DBD451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X≥300</w:t>
            </w:r>
          </w:p>
        </w:tc>
        <w:tc>
          <w:tcPr>
            <w:tcW w:w="1986" w:type="dxa"/>
            <w:vAlign w:val="top"/>
          </w:tcPr>
          <w:p w14:paraId="7C56F2F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100≤X＜300</w:t>
            </w:r>
          </w:p>
        </w:tc>
        <w:tc>
          <w:tcPr>
            <w:tcW w:w="1664" w:type="dxa"/>
            <w:vAlign w:val="top"/>
          </w:tcPr>
          <w:p w14:paraId="3B46E3C0">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10≤X＜100</w:t>
            </w:r>
          </w:p>
        </w:tc>
        <w:tc>
          <w:tcPr>
            <w:tcW w:w="1160" w:type="dxa"/>
            <w:vAlign w:val="top"/>
          </w:tcPr>
          <w:p w14:paraId="32990DC6">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1.大型、中型和小型企业须同时满足所列指标的下限，否则下划一档；微型企业只须</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2"/>
          <w:sz w:val="21"/>
          <w:szCs w:val="21"/>
          <w:highlight w:val="none"/>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0"/>
          <w:sz w:val="21"/>
          <w:szCs w:val="21"/>
          <w:highlight w:val="none"/>
        </w:rPr>
        <w:t>/T4754-2017）为准。带*的项为</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2"/>
          <w:sz w:val="21"/>
          <w:szCs w:val="21"/>
          <w:highlight w:val="none"/>
        </w:rPr>
        <w:t>行业组合类别，其中，工业包括采矿业，制造业，</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12"/>
          <w:sz w:val="21"/>
          <w:szCs w:val="21"/>
          <w:highlight w:val="none"/>
        </w:rPr>
        <w:t>电力、热力、燃气及水生产和供应业；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交通运输业包括道路运输业，水上运输业，航空运输业，管道运输业，多式联运和运输代</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2"/>
          <w:sz w:val="21"/>
          <w:szCs w:val="21"/>
          <w:highlight w:val="none"/>
        </w:rPr>
        <w:t>理业、装卸搬运，不包括铁路运输业；仓储业包括通用仓储，低温仓储，危险品仓储，谷</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3"/>
          <w:sz w:val="21"/>
          <w:szCs w:val="21"/>
          <w:highlight w:val="none"/>
        </w:rPr>
        <w:t>物、棉花等农产品仓储，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中药材仓储和其他仓储业</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12"/>
          <w:sz w:val="21"/>
          <w:szCs w:val="21"/>
          <w:highlight w:val="none"/>
        </w:rPr>
        <w:t>;信息传输业包括电信、广播电视和卫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星传输服务，互联网和相关服务；其他未列明行业包括科学研究和技术服务业，水利、环</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4"/>
          <w:sz w:val="21"/>
          <w:szCs w:val="21"/>
          <w:highlight w:val="none"/>
        </w:rPr>
        <w:t>境和公共设施管理业，居民服务、修理和其他服务业，社会工作，文化、体</w:t>
      </w:r>
      <w:r>
        <w:rPr>
          <w:rFonts w:hint="eastAsia" w:ascii="宋体" w:hAnsi="宋体" w:eastAsia="宋体" w:cs="宋体"/>
          <w:color w:val="auto"/>
          <w:spacing w:val="13"/>
          <w:sz w:val="21"/>
          <w:szCs w:val="21"/>
          <w:highlight w:val="none"/>
        </w:rPr>
        <w:t>育和娱乐业，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3.企业划分指标以现行统计制度为准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4"/>
          <w:sz w:val="21"/>
          <w:szCs w:val="21"/>
          <w:highlight w:val="none"/>
        </w:rPr>
        <w:t>。（1）</w:t>
      </w:r>
      <w:r>
        <w:rPr>
          <w:rFonts w:hint="eastAsia" w:ascii="宋体" w:hAnsi="宋体" w:eastAsia="宋体" w:cs="宋体"/>
          <w:color w:val="auto"/>
          <w:spacing w:val="13"/>
          <w:sz w:val="21"/>
          <w:szCs w:val="21"/>
          <w:highlight w:val="none"/>
        </w:rPr>
        <w:t>从业人员，是指期末从业人员数，没有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期末从业人员数的，采用全年平均人员数代替</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4"/>
          <w:sz w:val="21"/>
          <w:szCs w:val="21"/>
          <w:highlight w:val="none"/>
        </w:rPr>
        <w:t>。（2）营业收入，工业、建筑业、限额以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上批发和零售业、限额以上住宿和餐饮业以及其他设置主营业务收入指标的行业，采用主</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3"/>
          <w:sz w:val="21"/>
          <w:szCs w:val="21"/>
          <w:highlight w:val="none"/>
        </w:rPr>
        <w:t>营业务收入；限额以下批发与零售业企业采</w:t>
      </w:r>
      <w:r>
        <w:rPr>
          <w:rFonts w:hint="eastAsia" w:ascii="宋体" w:hAnsi="宋体" w:eastAsia="宋体" w:cs="宋体"/>
          <w:color w:val="auto"/>
          <w:spacing w:val="12"/>
          <w:sz w:val="21"/>
          <w:szCs w:val="21"/>
          <w:highlight w:val="none"/>
        </w:rPr>
        <w:t>用商品销售额代替；限额以下住宿与餐饮业企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业采用营业额代替；农、林、牧、渔业企业</w:t>
      </w:r>
      <w:r>
        <w:rPr>
          <w:rFonts w:hint="eastAsia" w:ascii="宋体" w:hAnsi="宋体" w:eastAsia="宋体" w:cs="宋体"/>
          <w:color w:val="auto"/>
          <w:spacing w:val="12"/>
          <w:sz w:val="21"/>
          <w:szCs w:val="21"/>
          <w:highlight w:val="none"/>
        </w:rPr>
        <w:t>采用营业总收入代替；其他未设置主营业务收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入的行业，采用营业收入指标</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3"/>
          <w:sz w:val="21"/>
          <w:szCs w:val="21"/>
          <w:highlight w:val="none"/>
        </w:rPr>
        <w:t>。（3）资产总额，采用资产总</w:t>
      </w:r>
      <w:r>
        <w:rPr>
          <w:rFonts w:hint="eastAsia" w:ascii="宋体" w:hAnsi="宋体" w:eastAsia="宋体" w:cs="宋体"/>
          <w:color w:val="auto"/>
          <w:spacing w:val="12"/>
          <w:sz w:val="21"/>
          <w:szCs w:val="21"/>
          <w:highlight w:val="none"/>
        </w:rPr>
        <w:t>计代替。</w:t>
      </w:r>
    </w:p>
    <w:p w14:paraId="3C9AF6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8"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10"/>
          <w:sz w:val="22"/>
          <w:szCs w:val="22"/>
          <w:highlight w:val="none"/>
          <w:lang w:val="en-US" w:eastAsia="zh-CN"/>
          <w14:textOutline w14:w="5103" w14:cap="sq" w14:cmpd="sng">
            <w14:solidFill>
              <w14:srgbClr w14:val="000000"/>
            </w14:solidFill>
            <w14:prstDash w14:val="solid"/>
            <w14:bevel/>
          </w14:textOutline>
        </w:rPr>
        <w:t>8</w:t>
      </w:r>
      <w:r>
        <w:rPr>
          <w:rFonts w:hint="eastAsia" w:ascii="宋体" w:hAnsi="宋体" w:eastAsia="宋体" w:cs="宋体"/>
          <w:color w:val="auto"/>
          <w:spacing w:val="-10"/>
          <w:sz w:val="22"/>
          <w:szCs w:val="22"/>
          <w:highlight w:val="none"/>
          <w14:textOutline w14:w="5103" w14:cap="sq" w14:cmpd="sng">
            <w14:solidFill>
              <w14:srgbClr w14:val="000000"/>
            </w14:solidFill>
            <w14:prstDash w14:val="solid"/>
            <w14:bevel/>
          </w14:textOutline>
        </w:rPr>
        <w:t>.如供应商属于监狱企业的，应当提供由省级以上监狱管理局、戒毒管理局等</w:t>
      </w:r>
      <w:r>
        <w:rPr>
          <w:rFonts w:hint="eastAsia" w:ascii="宋体" w:hAnsi="宋体" w:eastAsia="宋体" w:cs="宋体"/>
          <w:color w:val="auto"/>
          <w:spacing w:val="-11"/>
          <w:sz w:val="22"/>
          <w:szCs w:val="22"/>
          <w:highlight w:val="none"/>
          <w14:textOutline w14:w="5103" w14:cap="sq" w14:cmpd="sng">
            <w14:solidFill>
              <w14:srgbClr w14:val="000000"/>
            </w14:solidFill>
            <w14:prstDash w14:val="solid"/>
            <w14:bevel/>
          </w14:textOutline>
        </w:rPr>
        <w:t>（含</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2"/>
          <w:szCs w:val="22"/>
          <w:highlight w:val="none"/>
        </w:rPr>
      </w:pPr>
      <w:r>
        <w:rPr>
          <w:rFonts w:hint="eastAsia" w:cs="宋体"/>
          <w:color w:val="auto"/>
          <w:spacing w:val="-3"/>
          <w:sz w:val="22"/>
          <w:szCs w:val="22"/>
          <w:highlight w:val="none"/>
          <w:lang w:val="en-US" w:eastAsia="zh-CN"/>
          <w14:textOutline w14:w="5103" w14:cap="sq" w14:cmpd="sng">
            <w14:solidFill>
              <w14:srgbClr w14:val="000000"/>
            </w14:solidFill>
            <w14:prstDash w14:val="solid"/>
            <w14:bevel/>
          </w14:textOutline>
        </w:rPr>
        <w:t>9</w:t>
      </w:r>
      <w:r>
        <w:rPr>
          <w:rFonts w:hint="eastAsia" w:ascii="宋体" w:hAnsi="宋体" w:eastAsia="宋体" w:cs="宋体"/>
          <w:color w:val="auto"/>
          <w:spacing w:val="-3"/>
          <w:sz w:val="22"/>
          <w:szCs w:val="22"/>
          <w:highlight w:val="none"/>
          <w14:textOutline w14:w="5103" w14:cap="sq" w14:cmpd="sng">
            <w14:solidFill>
              <w14:srgbClr w14:val="000000"/>
            </w14:solidFill>
            <w14:prstDash w14:val="solid"/>
            <w14:bevel/>
          </w14:textOutline>
        </w:rPr>
        <w:t>.符合条件的残疾人福利性单位在参加政府采购活动时，应当提供《残疾人福利</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性单位声明函》（见附件</w:t>
      </w:r>
      <w:r>
        <w:rPr>
          <w:rFonts w:hint="eastAsia" w:ascii="宋体" w:hAnsi="宋体" w:eastAsia="宋体" w:cs="宋体"/>
          <w:color w:val="auto"/>
          <w:spacing w:val="12"/>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福利</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本单位郑重声明，根据《财政部</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9"/>
          <w:sz w:val="21"/>
          <w:szCs w:val="21"/>
          <w:highlight w:val="none"/>
        </w:rPr>
        <w:t>民政部</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9"/>
          <w:sz w:val="21"/>
          <w:szCs w:val="21"/>
          <w:highlight w:val="none"/>
        </w:rPr>
        <w:t>中国残疾人联合会</w:t>
      </w:r>
      <w:r>
        <w:rPr>
          <w:rFonts w:hint="eastAsia" w:ascii="宋体" w:hAnsi="宋体" w:eastAsia="宋体" w:cs="宋体"/>
          <w:color w:val="auto"/>
          <w:spacing w:val="8"/>
          <w:sz w:val="21"/>
          <w:szCs w:val="21"/>
          <w:highlight w:val="none"/>
        </w:rPr>
        <w:t>关于促进残疾人就业政府</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采购政策的通知》</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7"/>
          <w:sz w:val="21"/>
          <w:szCs w:val="21"/>
          <w:highlight w:val="none"/>
        </w:rPr>
        <w:t>（财库〔2017〕 141</w:t>
      </w:r>
      <w:r>
        <w:rPr>
          <w:rFonts w:hint="eastAsia" w:ascii="宋体" w:hAnsi="宋体" w:eastAsia="宋体" w:cs="宋体"/>
          <w:color w:val="auto"/>
          <w:spacing w:val="-39"/>
          <w:sz w:val="21"/>
          <w:szCs w:val="21"/>
          <w:highlight w:val="none"/>
        </w:rPr>
        <w:t xml:space="preserve"> </w:t>
      </w:r>
      <w:r>
        <w:rPr>
          <w:rFonts w:hint="eastAsia" w:ascii="宋体" w:hAnsi="宋体" w:eastAsia="宋体" w:cs="宋体"/>
          <w:color w:val="auto"/>
          <w:spacing w:val="7"/>
          <w:sz w:val="21"/>
          <w:szCs w:val="21"/>
          <w:highlight w:val="none"/>
        </w:rPr>
        <w:t>号）</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7"/>
          <w:sz w:val="21"/>
          <w:szCs w:val="21"/>
          <w:highlight w:val="none"/>
        </w:rPr>
        <w:t>的规定，本单位为符合条件的残疾人福利性单</w:t>
      </w:r>
      <w:r>
        <w:rPr>
          <w:rFonts w:hint="eastAsia" w:ascii="宋体" w:hAnsi="宋体" w:eastAsia="宋体" w:cs="宋体"/>
          <w:color w:val="auto"/>
          <w:spacing w:val="9"/>
          <w:sz w:val="21"/>
          <w:szCs w:val="21"/>
          <w:highlight w:val="none"/>
        </w:rPr>
        <w:t>位，且本单位参加</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2"/>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单位的</w:t>
      </w:r>
      <w:r>
        <w:rPr>
          <w:rFonts w:hint="eastAsia" w:ascii="宋体" w:hAnsi="宋体" w:eastAsia="宋体" w:cs="宋体"/>
          <w:color w:val="auto"/>
          <w:spacing w:val="-108"/>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13"/>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15"/>
          <w:sz w:val="21"/>
          <w:szCs w:val="21"/>
          <w:highlight w:val="none"/>
        </w:rPr>
        <w:t xml:space="preserve"> </w:t>
      </w:r>
      <w:r>
        <w:rPr>
          <w:rFonts w:hint="eastAsia" w:ascii="宋体" w:hAnsi="宋体" w:eastAsia="宋体" w:cs="宋体"/>
          <w:color w:val="auto"/>
          <w:spacing w:val="9"/>
          <w:sz w:val="21"/>
          <w:szCs w:val="21"/>
          <w:highlight w:val="none"/>
          <w:u w:val="single" w:color="auto"/>
        </w:rPr>
        <w:t xml:space="preserve">  </w:t>
      </w:r>
      <w:r>
        <w:rPr>
          <w:rFonts w:hint="eastAsia" w:ascii="宋体" w:hAnsi="宋体" w:eastAsia="宋体" w:cs="宋体"/>
          <w:color w:val="auto"/>
          <w:spacing w:val="9"/>
          <w:sz w:val="21"/>
          <w:szCs w:val="21"/>
          <w:highlight w:val="none"/>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26"/>
          <w:sz w:val="21"/>
          <w:szCs w:val="21"/>
          <w:highlight w:val="none"/>
        </w:rPr>
        <w:t>单位名称（</w:t>
      </w:r>
      <w:r>
        <w:rPr>
          <w:rFonts w:hint="eastAsia" w:ascii="宋体" w:hAnsi="宋体" w:eastAsia="宋体" w:cs="宋体"/>
          <w:color w:val="auto"/>
          <w:position w:val="26"/>
          <w:sz w:val="21"/>
          <w:szCs w:val="21"/>
          <w:highlight w:val="none"/>
        </w:rPr>
        <w:t>CA</w:t>
      </w:r>
      <w:r>
        <w:rPr>
          <w:rFonts w:hint="eastAsia" w:ascii="宋体" w:hAnsi="宋体" w:eastAsia="宋体" w:cs="宋体"/>
          <w:color w:val="auto"/>
          <w:spacing w:val="-23"/>
          <w:position w:val="26"/>
          <w:sz w:val="21"/>
          <w:szCs w:val="21"/>
          <w:highlight w:val="none"/>
        </w:rPr>
        <w:t xml:space="preserve"> </w:t>
      </w:r>
      <w:r>
        <w:rPr>
          <w:rFonts w:hint="eastAsia" w:ascii="宋体" w:hAnsi="宋体" w:eastAsia="宋体" w:cs="宋体"/>
          <w:color w:val="auto"/>
          <w:spacing w:val="4"/>
          <w:position w:val="26"/>
          <w:sz w:val="21"/>
          <w:szCs w:val="21"/>
          <w:highlight w:val="none"/>
        </w:rPr>
        <w:t>签章</w:t>
      </w:r>
      <w:r>
        <w:rPr>
          <w:rFonts w:hint="eastAsia" w:ascii="宋体" w:hAnsi="宋体" w:eastAsia="宋体" w:cs="宋体"/>
          <w:color w:val="auto"/>
          <w:spacing w:val="13"/>
          <w:position w:val="26"/>
          <w:sz w:val="21"/>
          <w:szCs w:val="21"/>
          <w:highlight w:val="none"/>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58" w:firstLineChars="27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日</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28"/>
          <w:sz w:val="21"/>
          <w:szCs w:val="21"/>
          <w:highlight w:val="none"/>
        </w:rPr>
        <w:t>期：</w:t>
      </w:r>
    </w:p>
    <w:p w14:paraId="56F2580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80B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eastAsia="宋体"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val="en-US" w:eastAsia="zh-CN"/>
        </w:rPr>
        <w:t>10.</w:t>
      </w:r>
      <w:r>
        <w:rPr>
          <w:rFonts w:hint="eastAsia" w:asciiTheme="minorEastAsia" w:hAnsiTheme="minorEastAsia" w:eastAsiaTheme="minorEastAsia" w:cstheme="minorEastAsia"/>
          <w:color w:val="auto"/>
          <w:spacing w:val="11"/>
          <w:sz w:val="21"/>
          <w:szCs w:val="21"/>
          <w:highlight w:val="none"/>
        </w:rPr>
        <w:t>供应商有效的营业执照扫描件</w:t>
      </w:r>
      <w:r>
        <w:rPr>
          <w:rFonts w:hint="eastAsia" w:asciiTheme="minorEastAsia" w:hAnsiTheme="minorEastAsia" w:eastAsiaTheme="minorEastAsia" w:cstheme="minorEastAsia"/>
          <w:color w:val="auto"/>
          <w:spacing w:val="11"/>
          <w:sz w:val="21"/>
          <w:szCs w:val="21"/>
          <w:highlight w:val="none"/>
          <w:lang w:eastAsia="zh-CN"/>
        </w:rPr>
        <w:t>、</w:t>
      </w:r>
      <w:r>
        <w:rPr>
          <w:rFonts w:hint="eastAsia" w:asciiTheme="minorEastAsia" w:hAnsiTheme="minorEastAsia" w:eastAsiaTheme="minorEastAsia" w:cstheme="minorEastAsia"/>
          <w:color w:val="auto"/>
          <w:spacing w:val="11"/>
          <w:sz w:val="21"/>
          <w:szCs w:val="21"/>
          <w:highlight w:val="none"/>
        </w:rPr>
        <w:t>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w:t>
      </w:r>
      <w:r>
        <w:rPr>
          <w:rFonts w:hint="eastAsia" w:asciiTheme="minorEastAsia" w:hAnsiTheme="minorEastAsia" w:eastAsiaTheme="minorEastAsia" w:cstheme="minorEastAsia"/>
          <w:b/>
          <w:bCs/>
          <w:color w:val="auto"/>
          <w:spacing w:val="11"/>
          <w:sz w:val="21"/>
          <w:szCs w:val="21"/>
          <w:highlight w:val="none"/>
          <w:lang w:val="en-US" w:eastAsia="zh-CN"/>
        </w:rPr>
        <w:t>必须提供</w:t>
      </w:r>
      <w:r>
        <w:rPr>
          <w:rFonts w:hint="eastAsia" w:asciiTheme="minorEastAsia" w:hAnsiTheme="minorEastAsia" w:eastAsiaTheme="minorEastAsia" w:cstheme="minorEastAsia"/>
          <w:b/>
          <w:bCs/>
          <w:color w:val="auto"/>
          <w:spacing w:val="11"/>
          <w:sz w:val="21"/>
          <w:szCs w:val="21"/>
          <w:highlight w:val="none"/>
          <w:lang w:eastAsia="zh-CN"/>
        </w:rPr>
        <w:t>）</w:t>
      </w:r>
    </w:p>
    <w:p w14:paraId="7A1C76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29"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供应商应按照本项目招标工程量清单的要求逐项填报</w:t>
      </w:r>
      <w:r>
        <w:rPr>
          <w:rFonts w:hint="eastAsia" w:ascii="宋体" w:hAnsi="宋体" w:eastAsia="宋体" w:cs="宋体"/>
          <w:color w:val="auto"/>
          <w:spacing w:val="-3"/>
          <w:sz w:val="22"/>
          <w:szCs w:val="22"/>
          <w:highlight w:val="none"/>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color w:val="auto"/>
          <w:sz w:val="22"/>
          <w:szCs w:val="22"/>
          <w:highlight w:val="none"/>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color w:val="auto"/>
          <w:spacing w:val="-18"/>
          <w:sz w:val="22"/>
          <w:szCs w:val="22"/>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z w:val="21"/>
          <w:szCs w:val="21"/>
          <w:highlight w:val="none"/>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日           期：</w:t>
      </w:r>
      <w:r>
        <w:rPr>
          <w:rFonts w:hint="eastAsia" w:ascii="宋体" w:hAnsi="宋体" w:eastAsia="宋体" w:cs="宋体"/>
          <w:color w:val="auto"/>
          <w:sz w:val="21"/>
          <w:szCs w:val="21"/>
          <w:highlight w:val="none"/>
          <w:u w:val="single" w:color="auto"/>
        </w:rPr>
        <w:t xml:space="preserve">                                           </w:t>
      </w:r>
    </w:p>
    <w:p w14:paraId="4AE35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sectPr>
          <w:footerReference r:id="rId30"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3.</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8"/>
          <w:sz w:val="22"/>
          <w:szCs w:val="22"/>
          <w:highlight w:val="none"/>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5103" w14:cap="sq" w14:cmpd="sng">
            <w14:solidFill>
              <w14:srgbClr w14:val="000000"/>
            </w14:solidFill>
            <w14:prstDash w14:val="solid"/>
            <w14:bevel/>
          </w14:textOutline>
        </w:rPr>
        <w:t>项目管理机构组成表</w:t>
      </w:r>
    </w:p>
    <w:tbl>
      <w:tblPr>
        <w:tblStyle w:val="24"/>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center"/>
          </w:tcPr>
          <w:p w14:paraId="564D658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称</w:t>
            </w:r>
          </w:p>
        </w:tc>
        <w:tc>
          <w:tcPr>
            <w:tcW w:w="785" w:type="dxa"/>
            <w:vAlign w:val="center"/>
          </w:tcPr>
          <w:p w14:paraId="53A556E0">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786" w:type="dxa"/>
            <w:vAlign w:val="center"/>
          </w:tcPr>
          <w:p w14:paraId="08166B2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1433" w:type="dxa"/>
            <w:vAlign w:val="center"/>
          </w:tcPr>
          <w:p w14:paraId="66DBD5E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资质/职称</w:t>
            </w:r>
          </w:p>
        </w:tc>
        <w:tc>
          <w:tcPr>
            <w:tcW w:w="3646" w:type="dxa"/>
            <w:vAlign w:val="center"/>
          </w:tcPr>
          <w:p w14:paraId="6238147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5414977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85"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5C7D917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85"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A4A815">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85"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4EEC91B8">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AEA80A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85"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392F78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1.项目经理</w:t>
            </w:r>
          </w:p>
        </w:tc>
        <w:tc>
          <w:tcPr>
            <w:tcW w:w="785"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6FB6A22">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85"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7B22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57DE910F">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5D197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7689A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36514F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5216D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FC528E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85"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022D28E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85"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5774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6600FCE">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73B77C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F3D9D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A0B5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9AD80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28D2183D">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85"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93B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434C90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564D33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27816D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5ECCC2C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6E737C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7B46C69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85"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454B3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0C9F35C1">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136D80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31235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B2F51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0FD0F1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447D4C4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85"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0B49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590C034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39FAA7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556324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DD29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1D569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D683A37">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8.造价员</w:t>
            </w:r>
          </w:p>
        </w:tc>
        <w:tc>
          <w:tcPr>
            <w:tcW w:w="785"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6646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1BA56EC">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85" w:type="dxa"/>
            <w:vAlign w:val="top"/>
          </w:tcPr>
          <w:p w14:paraId="4EEF45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3FF532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15D54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783112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188740C3">
            <w:pPr>
              <w:pStyle w:val="25"/>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w:t>
            </w:r>
          </w:p>
        </w:tc>
        <w:tc>
          <w:tcPr>
            <w:tcW w:w="785"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786"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tc>
      </w:tr>
    </w:tbl>
    <w:p w14:paraId="4F6EA95E">
      <w:pPr>
        <w:pStyle w:val="6"/>
        <w:keepNext w:val="0"/>
        <w:keepLines w:val="0"/>
        <w:pageBreakBefore w:val="0"/>
        <w:widowControl/>
        <w:kinsoku w:val="0"/>
        <w:overflowPunct/>
        <w:topLinePunct w:val="0"/>
        <w:autoSpaceDE w:val="0"/>
        <w:autoSpaceDN w:val="0"/>
        <w:bidi w:val="0"/>
        <w:adjustRightInd w:val="0"/>
        <w:snapToGrid w:val="0"/>
        <w:spacing w:line="240" w:lineRule="auto"/>
        <w:ind w:left="0" w:leftChars="0" w:right="0" w:firstLine="460" w:firstLineChars="20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pPr>
    </w:p>
    <w:p w14:paraId="242A4A8B">
      <w:pPr>
        <w:pStyle w:val="6"/>
        <w:keepNext w:val="0"/>
        <w:keepLines w:val="0"/>
        <w:pageBreakBefore w:val="0"/>
        <w:widowControl/>
        <w:kinsoku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sectPr>
          <w:footerReference r:id="rId31" w:type="default"/>
          <w:pgSz w:w="11906" w:h="16839"/>
          <w:pgMar w:top="1440" w:right="1080" w:bottom="1440" w:left="1080" w:header="0" w:footer="720" w:gutter="0"/>
          <w:pgNumType w:fmt="decimal"/>
          <w:cols w:space="720" w:num="1"/>
        </w:sect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注：项目经理应附身份证、建造师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注册</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证书、安全生产考核合格证书（B 类）、职称证书（如有）的扫描件；项目技术负责人应附身份证扫描件、职称证书扫描件；专职安全生产管理人员应附身份证、专职安全员安全生产考核 合格证书（C 类）、职称证书（如有</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扫描件；其他主要人员应附执业证或上岗证书、职称证书（如有）扫描件；提供以上人员由</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部门出具的供应商为其交纳的响应文件递交截止时间前半年内任意</w:t>
      </w:r>
      <w:r>
        <w:rPr>
          <w:rFonts w:hint="eastAsia" w:ascii="宋体" w:hAnsi="宋体" w:eastAsia="宋体" w:cs="宋体"/>
          <w:color w:val="auto"/>
          <w:spacing w:val="10"/>
          <w:sz w:val="21"/>
          <w:szCs w:val="21"/>
          <w:highlight w:val="none"/>
          <w:lang w:eastAsia="zh-CN"/>
          <w14:textOutline w14:w="3795" w14:cap="sq" w14:cmpd="sng">
            <w14:solidFill>
              <w14:srgbClr w14:val="000000"/>
            </w14:solidFill>
            <w14:prstDash w14:val="solid"/>
            <w14:bevel/>
          </w14:textOutline>
        </w:rPr>
        <w:t>一</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个月</w:t>
      </w:r>
      <w:r>
        <w:rPr>
          <w:rFonts w:hint="eastAsia" w:ascii="宋体" w:hAnsi="宋体" w:eastAsia="宋体" w:cs="宋体"/>
          <w:color w:val="auto"/>
          <w:spacing w:val="10"/>
          <w:sz w:val="21"/>
          <w:szCs w:val="21"/>
          <w:highlight w:val="none"/>
          <w:lang w:val="en-US" w:eastAsia="zh-CN"/>
          <w14:textOutline w14:w="3795" w14:cap="sq" w14:cmpd="sng">
            <w14:solidFill>
              <w14:srgbClr w14:val="000000"/>
            </w14:solidFill>
            <w14:prstDash w14:val="solid"/>
            <w14:bevel/>
          </w14:textOutline>
        </w:rPr>
        <w:t>养老保险</w:t>
      </w: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证明复印件；若为新进员工，请提供劳动合同扫描件。</w:t>
      </w: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注：1.项目管理机构人员配备最低要求：</w:t>
      </w:r>
    </w:p>
    <w:tbl>
      <w:tblPr>
        <w:tblStyle w:val="24"/>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center"/>
          </w:tcPr>
          <w:p w14:paraId="0A825F06">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人员类型</w:t>
            </w:r>
          </w:p>
        </w:tc>
        <w:tc>
          <w:tcPr>
            <w:tcW w:w="3230" w:type="dxa"/>
            <w:vAlign w:val="center"/>
          </w:tcPr>
          <w:p w14:paraId="661ED9D0">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center"/>
          </w:tcPr>
          <w:p w14:paraId="78203B67">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3230" w:type="dxa"/>
            <w:vAlign w:val="center"/>
          </w:tcPr>
          <w:p w14:paraId="6840F3BD">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center"/>
          </w:tcPr>
          <w:p w14:paraId="7FBBF88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项目副经理</w:t>
            </w:r>
          </w:p>
        </w:tc>
        <w:tc>
          <w:tcPr>
            <w:tcW w:w="3230" w:type="dxa"/>
            <w:vAlign w:val="center"/>
          </w:tcPr>
          <w:p w14:paraId="69BD9D5B">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position w:val="1"/>
                <w:sz w:val="21"/>
                <w:szCs w:val="21"/>
                <w:highlight w:val="none"/>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center"/>
          </w:tcPr>
          <w:p w14:paraId="2FA5070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项目技术负责人</w:t>
            </w:r>
          </w:p>
        </w:tc>
        <w:tc>
          <w:tcPr>
            <w:tcW w:w="3230" w:type="dxa"/>
            <w:vAlign w:val="center"/>
          </w:tcPr>
          <w:p w14:paraId="5C7925B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center"/>
          </w:tcPr>
          <w:p w14:paraId="04591122">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施工员</w:t>
            </w:r>
          </w:p>
        </w:tc>
        <w:tc>
          <w:tcPr>
            <w:tcW w:w="3230" w:type="dxa"/>
            <w:vAlign w:val="center"/>
          </w:tcPr>
          <w:p w14:paraId="57115BB1">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center"/>
          </w:tcPr>
          <w:p w14:paraId="41FE84EF">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质检</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员</w:t>
            </w:r>
          </w:p>
        </w:tc>
        <w:tc>
          <w:tcPr>
            <w:tcW w:w="3230" w:type="dxa"/>
            <w:vAlign w:val="center"/>
          </w:tcPr>
          <w:p w14:paraId="0E312944">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center"/>
          </w:tcPr>
          <w:p w14:paraId="14FA0D25">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专职安全生产管理人员</w:t>
            </w:r>
          </w:p>
        </w:tc>
        <w:tc>
          <w:tcPr>
            <w:tcW w:w="3230" w:type="dxa"/>
            <w:vAlign w:val="center"/>
          </w:tcPr>
          <w:p w14:paraId="5DA337AC">
            <w:pPr>
              <w:pStyle w:val="25"/>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BC35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15DF3E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5BB9EDE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0EC648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96F59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23C922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p>
    <w:p w14:paraId="4777B4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2DD35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auto"/>
          <w:spacing w:val="-2"/>
          <w:kern w:val="0"/>
          <w:sz w:val="28"/>
          <w:szCs w:val="28"/>
          <w:highlight w:val="none"/>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1.供应商 202</w:t>
      </w:r>
      <w:r>
        <w:rPr>
          <w:rFonts w:hint="eastAsia" w:cs="宋体"/>
          <w:color w:val="auto"/>
          <w:spacing w:val="1"/>
          <w:sz w:val="22"/>
          <w:szCs w:val="22"/>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 xml:space="preserve"> 年以</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来具有</w:t>
      </w:r>
      <w:r>
        <w:rPr>
          <w:rFonts w:hint="eastAsia" w:ascii="宋体" w:hAnsi="宋体" w:eastAsia="宋体" w:cs="宋体"/>
          <w:color w:val="auto"/>
          <w:spacing w:val="-2"/>
          <w:sz w:val="22"/>
          <w:szCs w:val="22"/>
          <w:highlight w:val="none"/>
          <w:lang w:val="en-US" w:eastAsia="zh-CN"/>
          <w14:textOutline w14:w="5103" w14:cap="sq" w14:cmpd="sng">
            <w14:solidFill>
              <w14:srgbClr w14:val="000000"/>
            </w14:solidFill>
            <w14:prstDash w14:val="solid"/>
            <w14:bevel/>
          </w14:textOutline>
        </w:rPr>
        <w:t>公路</w:t>
      </w:r>
      <w:r>
        <w:rPr>
          <w:rFonts w:hint="eastAsia" w:cs="宋体"/>
          <w:color w:val="auto"/>
          <w:spacing w:val="-2"/>
          <w:sz w:val="22"/>
          <w:szCs w:val="22"/>
          <w:highlight w:val="none"/>
          <w:lang w:val="en-US" w:eastAsia="zh-CN"/>
          <w14:textOutline w14:w="5103" w14:cap="sq" w14:cmpd="sng">
            <w14:solidFill>
              <w14:srgbClr w14:val="000000"/>
            </w14:solidFill>
            <w14:prstDash w14:val="solid"/>
            <w14:bevel/>
          </w14:textOutline>
        </w:rPr>
        <w:t>工程</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业绩的相关证明材料（无不</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良记录，以中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color w:val="auto"/>
          <w:spacing w:val="-68"/>
          <w:sz w:val="22"/>
          <w:szCs w:val="22"/>
          <w:highlight w:val="none"/>
        </w:rPr>
        <w:t xml:space="preserve"> </w:t>
      </w:r>
      <w:r>
        <w:rPr>
          <w:rFonts w:hint="eastAsia" w:ascii="宋体" w:hAnsi="宋体" w:eastAsia="宋体" w:cs="宋体"/>
          <w:color w:val="auto"/>
          <w:spacing w:val="-2"/>
          <w:sz w:val="22"/>
          <w:szCs w:val="22"/>
          <w:highlight w:val="none"/>
          <w14:textOutline w14:w="5103" w14:cap="sq" w14:cmpd="sng">
            <w14:solidFill>
              <w14:srgbClr w14:val="000000"/>
            </w14:solidFill>
            <w14:prstDash w14:val="solid"/>
            <w14:bevel/>
          </w14:textOutline>
        </w:rPr>
        <w:t>日期等）</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2"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7A74">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4E92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D840">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587F0D4B">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5C6">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F055">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F055">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11B2">
    <w:pPr>
      <w:pStyle w:val="11"/>
      <w:ind w:right="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1F7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821F7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1586">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30D1586">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68B1">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D568B1">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8014">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E8014">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EE731">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6CEE731">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31BF">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4531BF">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9FF">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AAC9FF">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19E8">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2719E8">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A000">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3A000">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7505">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2E7505">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B5F3D">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AB5F3D">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D87">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F6BD87">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5A7B">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85A7B">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5470">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95470">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FCAC">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C75F">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A5C75F">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6DD7">
                          <w:pPr>
                            <w:pStyle w:val="1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8F36DD7">
                    <w:pPr>
                      <w:pStyle w:val="1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F3065">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F3065">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793">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C4793">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55E3">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1155E3">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CEF6">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3CCEF6">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6FD3">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CC6FD3">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9F4E">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9F4E">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24F">
    <w:pPr>
      <w:pStyle w:val="11"/>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438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F438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B1CC6FF1"/>
    <w:multiLevelType w:val="multilevel"/>
    <w:tmpl w:val="B1CC6FF1"/>
    <w:lvl w:ilvl="0" w:tentative="0">
      <w:start w:val="13"/>
      <w:numFmt w:val="decimal"/>
      <w:lvlText w:val="%1"/>
      <w:lvlJc w:val="left"/>
      <w:pPr>
        <w:ind w:left="424" w:hanging="720"/>
        <w:jc w:val="left"/>
      </w:pPr>
      <w:rPr>
        <w:rFonts w:hint="default"/>
        <w:lang w:val="zh-CN" w:eastAsia="zh-CN" w:bidi="zh-CN"/>
      </w:rPr>
    </w:lvl>
    <w:lvl w:ilvl="1" w:tentative="0">
      <w:start w:val="2"/>
      <w:numFmt w:val="decimal"/>
      <w:lvlText w:val="%1.%2"/>
      <w:lvlJc w:val="left"/>
      <w:pPr>
        <w:ind w:left="424" w:hanging="720"/>
        <w:jc w:val="left"/>
      </w:pPr>
      <w:rPr>
        <w:rFonts w:hint="default"/>
        <w:lang w:val="zh-CN" w:eastAsia="zh-CN" w:bidi="zh-CN"/>
      </w:rPr>
    </w:lvl>
    <w:lvl w:ilvl="2" w:tentative="0">
      <w:start w:val="3"/>
      <w:numFmt w:val="decimal"/>
      <w:lvlText w:val="%1.%2.%3"/>
      <w:lvlJc w:val="left"/>
      <w:pPr>
        <w:ind w:left="424" w:hanging="72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
    <w:nsid w:val="D5BF8882"/>
    <w:multiLevelType w:val="singleLevel"/>
    <w:tmpl w:val="D5BF8882"/>
    <w:lvl w:ilvl="0" w:tentative="0">
      <w:start w:val="4"/>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0083BC2"/>
    <w:rsid w:val="00177175"/>
    <w:rsid w:val="01195D18"/>
    <w:rsid w:val="019624C1"/>
    <w:rsid w:val="01F62F61"/>
    <w:rsid w:val="020616E6"/>
    <w:rsid w:val="020A1730"/>
    <w:rsid w:val="020B2D39"/>
    <w:rsid w:val="024A6667"/>
    <w:rsid w:val="025832D3"/>
    <w:rsid w:val="025F28B4"/>
    <w:rsid w:val="02614FC7"/>
    <w:rsid w:val="02C646E1"/>
    <w:rsid w:val="030F42DA"/>
    <w:rsid w:val="0332621A"/>
    <w:rsid w:val="03C60BA2"/>
    <w:rsid w:val="04124477"/>
    <w:rsid w:val="053269F8"/>
    <w:rsid w:val="0598379D"/>
    <w:rsid w:val="05C37B2F"/>
    <w:rsid w:val="05D11D1B"/>
    <w:rsid w:val="063C0CEA"/>
    <w:rsid w:val="064402C5"/>
    <w:rsid w:val="066A1827"/>
    <w:rsid w:val="06EB24C2"/>
    <w:rsid w:val="078F745F"/>
    <w:rsid w:val="079E07BB"/>
    <w:rsid w:val="088633A5"/>
    <w:rsid w:val="08877967"/>
    <w:rsid w:val="091C1203"/>
    <w:rsid w:val="09BE25B6"/>
    <w:rsid w:val="09FF4915"/>
    <w:rsid w:val="0A0409EB"/>
    <w:rsid w:val="0A40121D"/>
    <w:rsid w:val="0A851732"/>
    <w:rsid w:val="0ADF27E2"/>
    <w:rsid w:val="0AF142C5"/>
    <w:rsid w:val="0B721D5D"/>
    <w:rsid w:val="0B884C29"/>
    <w:rsid w:val="0BAF5E80"/>
    <w:rsid w:val="0BCA1486"/>
    <w:rsid w:val="0BF02F18"/>
    <w:rsid w:val="0C0F534B"/>
    <w:rsid w:val="0C7271BD"/>
    <w:rsid w:val="0CB437FC"/>
    <w:rsid w:val="0CCE5258"/>
    <w:rsid w:val="0D58249E"/>
    <w:rsid w:val="0DCA3C27"/>
    <w:rsid w:val="0DF76096"/>
    <w:rsid w:val="0E480511"/>
    <w:rsid w:val="0EB9159E"/>
    <w:rsid w:val="0F7B634E"/>
    <w:rsid w:val="0FAD5622"/>
    <w:rsid w:val="101F42AC"/>
    <w:rsid w:val="10201652"/>
    <w:rsid w:val="10447E1A"/>
    <w:rsid w:val="104B4477"/>
    <w:rsid w:val="104D5640"/>
    <w:rsid w:val="10750B47"/>
    <w:rsid w:val="109D1177"/>
    <w:rsid w:val="10A36C93"/>
    <w:rsid w:val="10FE7E11"/>
    <w:rsid w:val="11005262"/>
    <w:rsid w:val="110A4333"/>
    <w:rsid w:val="1163470F"/>
    <w:rsid w:val="11CF6765"/>
    <w:rsid w:val="11DE043D"/>
    <w:rsid w:val="11EC57E6"/>
    <w:rsid w:val="11FA4BEA"/>
    <w:rsid w:val="12671783"/>
    <w:rsid w:val="12CA006A"/>
    <w:rsid w:val="12D034B2"/>
    <w:rsid w:val="12D20124"/>
    <w:rsid w:val="13230B5F"/>
    <w:rsid w:val="132A0CBC"/>
    <w:rsid w:val="136C4E31"/>
    <w:rsid w:val="137C2202"/>
    <w:rsid w:val="13A929FF"/>
    <w:rsid w:val="140971E7"/>
    <w:rsid w:val="14667AD2"/>
    <w:rsid w:val="146A0EA9"/>
    <w:rsid w:val="14830684"/>
    <w:rsid w:val="15242FA7"/>
    <w:rsid w:val="155A45B8"/>
    <w:rsid w:val="16204C39"/>
    <w:rsid w:val="16352ABC"/>
    <w:rsid w:val="16353C00"/>
    <w:rsid w:val="16602CA6"/>
    <w:rsid w:val="16862655"/>
    <w:rsid w:val="16D92F8D"/>
    <w:rsid w:val="16DB74FC"/>
    <w:rsid w:val="16E8757C"/>
    <w:rsid w:val="16F5338F"/>
    <w:rsid w:val="1768788C"/>
    <w:rsid w:val="17BD4660"/>
    <w:rsid w:val="17C31746"/>
    <w:rsid w:val="18027B12"/>
    <w:rsid w:val="180C0990"/>
    <w:rsid w:val="18736C61"/>
    <w:rsid w:val="1912647A"/>
    <w:rsid w:val="19476099"/>
    <w:rsid w:val="1980089F"/>
    <w:rsid w:val="198A0292"/>
    <w:rsid w:val="19F4072D"/>
    <w:rsid w:val="1A304E0A"/>
    <w:rsid w:val="1A86193D"/>
    <w:rsid w:val="1A9133CF"/>
    <w:rsid w:val="1B0D514B"/>
    <w:rsid w:val="1B260AFA"/>
    <w:rsid w:val="1B610FF3"/>
    <w:rsid w:val="1B71739B"/>
    <w:rsid w:val="1B925650"/>
    <w:rsid w:val="1BD956BB"/>
    <w:rsid w:val="1C44694B"/>
    <w:rsid w:val="1C53533E"/>
    <w:rsid w:val="1C6E7E6B"/>
    <w:rsid w:val="1C850D11"/>
    <w:rsid w:val="1C8F0CF3"/>
    <w:rsid w:val="1CBD4126"/>
    <w:rsid w:val="1D2B351D"/>
    <w:rsid w:val="1DC77E88"/>
    <w:rsid w:val="1DE55FB8"/>
    <w:rsid w:val="1DF72AE6"/>
    <w:rsid w:val="1E0B1C2E"/>
    <w:rsid w:val="1E222CBC"/>
    <w:rsid w:val="1E3E4C49"/>
    <w:rsid w:val="1E5E181A"/>
    <w:rsid w:val="1E692F26"/>
    <w:rsid w:val="1EAB3859"/>
    <w:rsid w:val="1EB53B30"/>
    <w:rsid w:val="1EC21DA9"/>
    <w:rsid w:val="1ECD6E8A"/>
    <w:rsid w:val="1ED370F8"/>
    <w:rsid w:val="1F122276"/>
    <w:rsid w:val="1F324E37"/>
    <w:rsid w:val="1F9A0F77"/>
    <w:rsid w:val="1FF65365"/>
    <w:rsid w:val="20471EF4"/>
    <w:rsid w:val="206878C2"/>
    <w:rsid w:val="20BD4F1E"/>
    <w:rsid w:val="215256E7"/>
    <w:rsid w:val="21556F04"/>
    <w:rsid w:val="2220455B"/>
    <w:rsid w:val="22561EDF"/>
    <w:rsid w:val="23D01542"/>
    <w:rsid w:val="23DD1433"/>
    <w:rsid w:val="24315EF0"/>
    <w:rsid w:val="246820AF"/>
    <w:rsid w:val="24C06D8A"/>
    <w:rsid w:val="24E23376"/>
    <w:rsid w:val="250B1BFF"/>
    <w:rsid w:val="2528528F"/>
    <w:rsid w:val="253F240C"/>
    <w:rsid w:val="256112DB"/>
    <w:rsid w:val="25DA4D4D"/>
    <w:rsid w:val="25E1345C"/>
    <w:rsid w:val="25E310F1"/>
    <w:rsid w:val="26061115"/>
    <w:rsid w:val="26971D6D"/>
    <w:rsid w:val="26C11210"/>
    <w:rsid w:val="274247AD"/>
    <w:rsid w:val="274C2B57"/>
    <w:rsid w:val="279E3A83"/>
    <w:rsid w:val="27B026F3"/>
    <w:rsid w:val="27BD1FD7"/>
    <w:rsid w:val="27D86AE1"/>
    <w:rsid w:val="27DD7C53"/>
    <w:rsid w:val="285D6D83"/>
    <w:rsid w:val="29023CB8"/>
    <w:rsid w:val="29326B29"/>
    <w:rsid w:val="29675768"/>
    <w:rsid w:val="29CC61D1"/>
    <w:rsid w:val="29D85226"/>
    <w:rsid w:val="29DE16FA"/>
    <w:rsid w:val="2A236E72"/>
    <w:rsid w:val="2A392506"/>
    <w:rsid w:val="2A414BDD"/>
    <w:rsid w:val="2A655ADC"/>
    <w:rsid w:val="2A810D6A"/>
    <w:rsid w:val="2A9D1981"/>
    <w:rsid w:val="2AA04397"/>
    <w:rsid w:val="2ABC6246"/>
    <w:rsid w:val="2AD0584D"/>
    <w:rsid w:val="2AE17A5A"/>
    <w:rsid w:val="2AE93303"/>
    <w:rsid w:val="2AF07C9E"/>
    <w:rsid w:val="2B2A705F"/>
    <w:rsid w:val="2BAA28AB"/>
    <w:rsid w:val="2BE56496"/>
    <w:rsid w:val="2C3F3C94"/>
    <w:rsid w:val="2C5A1872"/>
    <w:rsid w:val="2CE028C6"/>
    <w:rsid w:val="2CF75730"/>
    <w:rsid w:val="2D194B42"/>
    <w:rsid w:val="2D2E55AF"/>
    <w:rsid w:val="2D2F71A3"/>
    <w:rsid w:val="2D354D6C"/>
    <w:rsid w:val="2D6A6FCC"/>
    <w:rsid w:val="2DBE4083"/>
    <w:rsid w:val="2DD15077"/>
    <w:rsid w:val="2E980D78"/>
    <w:rsid w:val="2EB77385"/>
    <w:rsid w:val="2ED2428A"/>
    <w:rsid w:val="2ED63DE8"/>
    <w:rsid w:val="2FD933F6"/>
    <w:rsid w:val="30AC28B9"/>
    <w:rsid w:val="30AF2CA5"/>
    <w:rsid w:val="30F0622E"/>
    <w:rsid w:val="31A1712E"/>
    <w:rsid w:val="31BD62B4"/>
    <w:rsid w:val="31E16592"/>
    <w:rsid w:val="32564BC9"/>
    <w:rsid w:val="32A7067D"/>
    <w:rsid w:val="335039CF"/>
    <w:rsid w:val="33764922"/>
    <w:rsid w:val="33884F17"/>
    <w:rsid w:val="33AB3D18"/>
    <w:rsid w:val="33DC1FC4"/>
    <w:rsid w:val="33EA7732"/>
    <w:rsid w:val="34A060A7"/>
    <w:rsid w:val="34FA64A9"/>
    <w:rsid w:val="34FE6BFF"/>
    <w:rsid w:val="35064C8D"/>
    <w:rsid w:val="3538317A"/>
    <w:rsid w:val="356A3FA5"/>
    <w:rsid w:val="35C96A3C"/>
    <w:rsid w:val="3629796F"/>
    <w:rsid w:val="365372D3"/>
    <w:rsid w:val="36BA0BF6"/>
    <w:rsid w:val="36C02C1A"/>
    <w:rsid w:val="3786033A"/>
    <w:rsid w:val="37C712B2"/>
    <w:rsid w:val="37C8447C"/>
    <w:rsid w:val="37E77F9C"/>
    <w:rsid w:val="37FC04AB"/>
    <w:rsid w:val="383330A9"/>
    <w:rsid w:val="384C6E5B"/>
    <w:rsid w:val="38A27419"/>
    <w:rsid w:val="38AE3672"/>
    <w:rsid w:val="38B82830"/>
    <w:rsid w:val="38F61067"/>
    <w:rsid w:val="395E0DF6"/>
    <w:rsid w:val="39BD1693"/>
    <w:rsid w:val="3A123B87"/>
    <w:rsid w:val="3A2416BE"/>
    <w:rsid w:val="3A323E2F"/>
    <w:rsid w:val="3A820DDC"/>
    <w:rsid w:val="3A8521B0"/>
    <w:rsid w:val="3A882CC9"/>
    <w:rsid w:val="3AA550E1"/>
    <w:rsid w:val="3B7A1D82"/>
    <w:rsid w:val="3BCC2061"/>
    <w:rsid w:val="3BE622FA"/>
    <w:rsid w:val="3C0A3B2C"/>
    <w:rsid w:val="3D5567B2"/>
    <w:rsid w:val="3D5E4C6B"/>
    <w:rsid w:val="3DA07F67"/>
    <w:rsid w:val="3DFF04CC"/>
    <w:rsid w:val="3E4B4434"/>
    <w:rsid w:val="3FCE03D0"/>
    <w:rsid w:val="400022D9"/>
    <w:rsid w:val="40654F22"/>
    <w:rsid w:val="40CD2B03"/>
    <w:rsid w:val="415820B8"/>
    <w:rsid w:val="419942A2"/>
    <w:rsid w:val="419E3FC7"/>
    <w:rsid w:val="41AC0D87"/>
    <w:rsid w:val="41FF0A9A"/>
    <w:rsid w:val="4222383C"/>
    <w:rsid w:val="427920C9"/>
    <w:rsid w:val="42910600"/>
    <w:rsid w:val="42A279A1"/>
    <w:rsid w:val="42B27007"/>
    <w:rsid w:val="4320784B"/>
    <w:rsid w:val="43455EAD"/>
    <w:rsid w:val="4355293C"/>
    <w:rsid w:val="44622F6B"/>
    <w:rsid w:val="44D84400"/>
    <w:rsid w:val="4541586E"/>
    <w:rsid w:val="46195EA3"/>
    <w:rsid w:val="46366A55"/>
    <w:rsid w:val="46747F38"/>
    <w:rsid w:val="46F42187"/>
    <w:rsid w:val="47213261"/>
    <w:rsid w:val="479E37FC"/>
    <w:rsid w:val="47C02A7A"/>
    <w:rsid w:val="47C8357D"/>
    <w:rsid w:val="47D40760"/>
    <w:rsid w:val="47FF420D"/>
    <w:rsid w:val="484D17AE"/>
    <w:rsid w:val="48652187"/>
    <w:rsid w:val="488227EB"/>
    <w:rsid w:val="48AF3164"/>
    <w:rsid w:val="490D6193"/>
    <w:rsid w:val="4943257E"/>
    <w:rsid w:val="498875C7"/>
    <w:rsid w:val="49A13857"/>
    <w:rsid w:val="49EC224C"/>
    <w:rsid w:val="4A1D5D99"/>
    <w:rsid w:val="4A2123FE"/>
    <w:rsid w:val="4A34702F"/>
    <w:rsid w:val="4A4907EF"/>
    <w:rsid w:val="4A58168F"/>
    <w:rsid w:val="4A9E4C37"/>
    <w:rsid w:val="4AEC627C"/>
    <w:rsid w:val="4AEE306A"/>
    <w:rsid w:val="4B250388"/>
    <w:rsid w:val="4B4B2FA2"/>
    <w:rsid w:val="4B6E32FD"/>
    <w:rsid w:val="4CE321B0"/>
    <w:rsid w:val="4CEC5A43"/>
    <w:rsid w:val="4CF93825"/>
    <w:rsid w:val="4D341814"/>
    <w:rsid w:val="4D650B6E"/>
    <w:rsid w:val="4D6804D8"/>
    <w:rsid w:val="4D902EEE"/>
    <w:rsid w:val="4DBA6E7C"/>
    <w:rsid w:val="4E2C0B29"/>
    <w:rsid w:val="4E4010D5"/>
    <w:rsid w:val="4E4D2BD1"/>
    <w:rsid w:val="4E5E049F"/>
    <w:rsid w:val="4F426EA7"/>
    <w:rsid w:val="4F66600B"/>
    <w:rsid w:val="4F734876"/>
    <w:rsid w:val="4F7C4797"/>
    <w:rsid w:val="4F8016F7"/>
    <w:rsid w:val="4FA63C8E"/>
    <w:rsid w:val="4FBA4253"/>
    <w:rsid w:val="50666188"/>
    <w:rsid w:val="508C2093"/>
    <w:rsid w:val="51CD67EE"/>
    <w:rsid w:val="52186957"/>
    <w:rsid w:val="522E3F2F"/>
    <w:rsid w:val="525C7843"/>
    <w:rsid w:val="52B0193D"/>
    <w:rsid w:val="52DC29B7"/>
    <w:rsid w:val="532369DD"/>
    <w:rsid w:val="536D67FD"/>
    <w:rsid w:val="53772E2F"/>
    <w:rsid w:val="53DC2BE1"/>
    <w:rsid w:val="54190AED"/>
    <w:rsid w:val="548E031B"/>
    <w:rsid w:val="55061CE8"/>
    <w:rsid w:val="56A95021"/>
    <w:rsid w:val="56BA41EB"/>
    <w:rsid w:val="56FF2E93"/>
    <w:rsid w:val="57206906"/>
    <w:rsid w:val="573C4206"/>
    <w:rsid w:val="578707D4"/>
    <w:rsid w:val="57F87DC0"/>
    <w:rsid w:val="585B1BA9"/>
    <w:rsid w:val="58A67A6A"/>
    <w:rsid w:val="58C04840"/>
    <w:rsid w:val="594554D5"/>
    <w:rsid w:val="596A0289"/>
    <w:rsid w:val="599729F5"/>
    <w:rsid w:val="59D533E4"/>
    <w:rsid w:val="59D625D1"/>
    <w:rsid w:val="59F86C66"/>
    <w:rsid w:val="5A054D7E"/>
    <w:rsid w:val="5A096502"/>
    <w:rsid w:val="5A213ADF"/>
    <w:rsid w:val="5A5063EA"/>
    <w:rsid w:val="5A927743"/>
    <w:rsid w:val="5AEB5287"/>
    <w:rsid w:val="5B5021B5"/>
    <w:rsid w:val="5B7B0CA9"/>
    <w:rsid w:val="5BB93F58"/>
    <w:rsid w:val="5D177C7A"/>
    <w:rsid w:val="5D1F4852"/>
    <w:rsid w:val="5D4C4454"/>
    <w:rsid w:val="5E107D26"/>
    <w:rsid w:val="5E4C7C30"/>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D30D1"/>
    <w:rsid w:val="62CE12DB"/>
    <w:rsid w:val="635F3C96"/>
    <w:rsid w:val="63B662DA"/>
    <w:rsid w:val="6429154F"/>
    <w:rsid w:val="646627A3"/>
    <w:rsid w:val="64AD4517"/>
    <w:rsid w:val="64C57BD5"/>
    <w:rsid w:val="64E95A7F"/>
    <w:rsid w:val="64F22562"/>
    <w:rsid w:val="65044496"/>
    <w:rsid w:val="65174361"/>
    <w:rsid w:val="652118B3"/>
    <w:rsid w:val="65403F01"/>
    <w:rsid w:val="654B6B17"/>
    <w:rsid w:val="654D3367"/>
    <w:rsid w:val="65A176F1"/>
    <w:rsid w:val="65B970CD"/>
    <w:rsid w:val="65D11E9E"/>
    <w:rsid w:val="665F174A"/>
    <w:rsid w:val="666273E9"/>
    <w:rsid w:val="667B54E5"/>
    <w:rsid w:val="667C4500"/>
    <w:rsid w:val="66D33936"/>
    <w:rsid w:val="672524A2"/>
    <w:rsid w:val="67A529E5"/>
    <w:rsid w:val="67D650DE"/>
    <w:rsid w:val="6894168D"/>
    <w:rsid w:val="68D93544"/>
    <w:rsid w:val="68E753BA"/>
    <w:rsid w:val="6922313D"/>
    <w:rsid w:val="694350A8"/>
    <w:rsid w:val="69794D27"/>
    <w:rsid w:val="69823BDB"/>
    <w:rsid w:val="69DB6A10"/>
    <w:rsid w:val="69F8615D"/>
    <w:rsid w:val="6A3C1FDC"/>
    <w:rsid w:val="6A955BCB"/>
    <w:rsid w:val="6B5B2936"/>
    <w:rsid w:val="6BD821D8"/>
    <w:rsid w:val="6BE03B7F"/>
    <w:rsid w:val="6C67530A"/>
    <w:rsid w:val="6CBC18BC"/>
    <w:rsid w:val="6D6248C6"/>
    <w:rsid w:val="6DA617DD"/>
    <w:rsid w:val="6DBB76BC"/>
    <w:rsid w:val="6DC766AC"/>
    <w:rsid w:val="6DD733CF"/>
    <w:rsid w:val="6E45554E"/>
    <w:rsid w:val="6E533D98"/>
    <w:rsid w:val="6E5673E4"/>
    <w:rsid w:val="6F07618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3B701D"/>
    <w:rsid w:val="72505100"/>
    <w:rsid w:val="72B82989"/>
    <w:rsid w:val="72C65FE5"/>
    <w:rsid w:val="72F01DE9"/>
    <w:rsid w:val="73137F9A"/>
    <w:rsid w:val="73376FFF"/>
    <w:rsid w:val="734739ED"/>
    <w:rsid w:val="73E3395A"/>
    <w:rsid w:val="73E34355"/>
    <w:rsid w:val="73F2088C"/>
    <w:rsid w:val="743E4BA3"/>
    <w:rsid w:val="74B1765F"/>
    <w:rsid w:val="74E41BEE"/>
    <w:rsid w:val="757175F8"/>
    <w:rsid w:val="75800407"/>
    <w:rsid w:val="75B3511C"/>
    <w:rsid w:val="75CF2457"/>
    <w:rsid w:val="75D532E5"/>
    <w:rsid w:val="75E44CC4"/>
    <w:rsid w:val="76760624"/>
    <w:rsid w:val="768076F4"/>
    <w:rsid w:val="76BD6253"/>
    <w:rsid w:val="76D91874"/>
    <w:rsid w:val="772B58B2"/>
    <w:rsid w:val="772B653D"/>
    <w:rsid w:val="773F2196"/>
    <w:rsid w:val="779F07A2"/>
    <w:rsid w:val="78136A35"/>
    <w:rsid w:val="781E47BE"/>
    <w:rsid w:val="788141C3"/>
    <w:rsid w:val="78841A8D"/>
    <w:rsid w:val="788F1A4E"/>
    <w:rsid w:val="78C23FF4"/>
    <w:rsid w:val="78C33A24"/>
    <w:rsid w:val="78C67CED"/>
    <w:rsid w:val="78CD5398"/>
    <w:rsid w:val="78F10436"/>
    <w:rsid w:val="79295E21"/>
    <w:rsid w:val="79C02BDF"/>
    <w:rsid w:val="7A00024C"/>
    <w:rsid w:val="7A12072D"/>
    <w:rsid w:val="7A3D1591"/>
    <w:rsid w:val="7A4E5D1C"/>
    <w:rsid w:val="7A55297D"/>
    <w:rsid w:val="7A9148B2"/>
    <w:rsid w:val="7AE55D78"/>
    <w:rsid w:val="7B052A83"/>
    <w:rsid w:val="7B342CF0"/>
    <w:rsid w:val="7B3A7748"/>
    <w:rsid w:val="7B5A6766"/>
    <w:rsid w:val="7B8F4837"/>
    <w:rsid w:val="7C2C7150"/>
    <w:rsid w:val="7C8820DB"/>
    <w:rsid w:val="7CF9645E"/>
    <w:rsid w:val="7D9D293A"/>
    <w:rsid w:val="7DB55ED6"/>
    <w:rsid w:val="7DCB2CFA"/>
    <w:rsid w:val="7DE844FD"/>
    <w:rsid w:val="7E8F5211"/>
    <w:rsid w:val="7E991353"/>
    <w:rsid w:val="7EA22012"/>
    <w:rsid w:val="7EA7229D"/>
    <w:rsid w:val="7ED24865"/>
    <w:rsid w:val="7EE30820"/>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ind w:firstLine="624"/>
    </w:pPr>
    <w:rPr>
      <w:rFonts w:ascii="仿宋_GB2312" w:eastAsia="仿宋_GB2312"/>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rFonts w:eastAsia="宋体"/>
      <w:kern w:val="2"/>
      <w:sz w:val="18"/>
      <w:szCs w:val="18"/>
      <w:lang w:val="en-US" w:eastAsia="zh-CN" w:bidi="ar-SA"/>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7"/>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paragraph" w:customStyle="1" w:styleId="26">
    <w:name w:val="首行缩进"/>
    <w:basedOn w:val="1"/>
    <w:qFormat/>
    <w:uiPriority w:val="0"/>
    <w:pPr>
      <w:ind w:firstLine="480" w:firstLineChars="200"/>
    </w:p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1">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2">
    <w:name w:val="List Paragraph"/>
    <w:basedOn w:val="1"/>
    <w:qFormat/>
    <w:uiPriority w:val="1"/>
    <w:pPr>
      <w:ind w:left="424" w:firstLine="480"/>
    </w:pPr>
    <w:rPr>
      <w:rFonts w:ascii="宋体" w:hAnsi="宋体" w:cs="宋体"/>
      <w:lang w:val="zh-CN" w:bidi="zh-CN"/>
    </w:rPr>
  </w:style>
  <w:style w:type="paragraph" w:customStyle="1" w:styleId="33">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21162</Words>
  <Characters>23108</Characters>
  <TotalTime>21</TotalTime>
  <ScaleCrop>false</ScaleCrop>
  <LinksUpToDate>false</LinksUpToDate>
  <CharactersWithSpaces>25835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就是一把ok</cp:lastModifiedBy>
  <cp:lastPrinted>2024-05-27T03:13:00Z</cp:lastPrinted>
  <dcterms:modified xsi:type="dcterms:W3CDTF">2025-07-09T07:54:07Z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2052-12.1.0.21915</vt:lpwstr>
  </property>
  <property fmtid="{D5CDD505-2E9C-101B-9397-08002B2CF9AE}" pid="5" name="ICV">
    <vt:lpwstr>60C6C27458B5453AAC3F3B2AC3A8EC1D</vt:lpwstr>
  </property>
  <property fmtid="{D5CDD505-2E9C-101B-9397-08002B2CF9AE}" pid="6" name="KSOTemplateDocerSaveRecord">
    <vt:lpwstr>eyJoZGlkIjoiMzg3NmQ4YjRjMjQ0ZDJmNTIwODE2YWEwNDczY2FlNGEiLCJ1c2VySWQiOiIzNDg4NjEwODgifQ==</vt:lpwstr>
  </property>
</Properties>
</file>