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AA036">
      <w:pPr>
        <w:rPr>
          <w:color w:val="auto"/>
          <w:highlight w:val="none"/>
        </w:rPr>
      </w:pPr>
    </w:p>
    <w:p w14:paraId="77122F65">
      <w:pPr>
        <w:pStyle w:val="23"/>
        <w:keepNext w:val="0"/>
        <w:keepLines w:val="0"/>
        <w:widowControl/>
        <w:suppressLineNumbers w:val="0"/>
        <w:spacing w:before="0" w:beforeAutospacing="0" w:after="0" w:afterAutospacing="0"/>
        <w:ind w:left="0" w:right="0" w:firstLine="0"/>
        <w:jc w:val="center"/>
        <w:rPr>
          <w:color w:val="auto"/>
          <w:sz w:val="72"/>
          <w:szCs w:val="72"/>
          <w:highlight w:val="none"/>
        </w:rPr>
      </w:pPr>
      <w:r>
        <w:rPr>
          <w:color w:val="auto"/>
          <w:sz w:val="72"/>
          <w:szCs w:val="72"/>
          <w:highlight w:val="none"/>
        </w:rPr>
        <w:t>政府采购</w:t>
      </w:r>
    </w:p>
    <w:p w14:paraId="5BC9E853">
      <w:pPr>
        <w:pStyle w:val="23"/>
        <w:keepNext w:val="0"/>
        <w:keepLines w:val="0"/>
        <w:widowControl/>
        <w:suppressLineNumbers w:val="0"/>
        <w:spacing w:before="0" w:beforeAutospacing="0" w:after="0" w:afterAutospacing="0"/>
        <w:ind w:left="0" w:right="0" w:firstLine="0"/>
        <w:jc w:val="center"/>
        <w:rPr>
          <w:color w:val="auto"/>
          <w:sz w:val="72"/>
          <w:szCs w:val="72"/>
          <w:highlight w:val="none"/>
        </w:rPr>
      </w:pPr>
      <w:r>
        <w:rPr>
          <w:color w:val="auto"/>
          <w:sz w:val="72"/>
          <w:szCs w:val="72"/>
          <w:highlight w:val="none"/>
        </w:rPr>
        <w:t>公开征集文件(服务类)</w:t>
      </w:r>
    </w:p>
    <w:p w14:paraId="78F1937B">
      <w:pPr>
        <w:pStyle w:val="23"/>
        <w:keepNext w:val="0"/>
        <w:keepLines w:val="0"/>
        <w:widowControl/>
        <w:suppressLineNumbers w:val="0"/>
        <w:spacing w:before="0" w:beforeAutospacing="0" w:after="0" w:afterAutospacing="0"/>
        <w:ind w:left="0" w:right="0" w:firstLine="0"/>
        <w:rPr>
          <w:color w:val="auto"/>
          <w:highlight w:val="none"/>
        </w:rPr>
      </w:pPr>
    </w:p>
    <w:p w14:paraId="79B49524">
      <w:pPr>
        <w:pStyle w:val="23"/>
        <w:keepNext w:val="0"/>
        <w:keepLines w:val="0"/>
        <w:widowControl/>
        <w:suppressLineNumbers w:val="0"/>
        <w:spacing w:before="0" w:beforeAutospacing="0" w:after="0" w:afterAutospacing="0"/>
        <w:ind w:left="0" w:right="0" w:firstLine="0"/>
        <w:rPr>
          <w:color w:val="auto"/>
          <w:highlight w:val="none"/>
        </w:rPr>
      </w:pPr>
    </w:p>
    <w:p w14:paraId="77C6FBFD">
      <w:pPr>
        <w:pStyle w:val="23"/>
        <w:keepNext w:val="0"/>
        <w:keepLines w:val="0"/>
        <w:widowControl/>
        <w:suppressLineNumbers w:val="0"/>
        <w:spacing w:before="0" w:beforeAutospacing="0" w:after="0" w:afterAutospacing="0"/>
        <w:ind w:left="0" w:right="0" w:firstLine="0"/>
        <w:rPr>
          <w:color w:val="auto"/>
          <w:highlight w:val="none"/>
        </w:rPr>
      </w:pPr>
    </w:p>
    <w:p w14:paraId="65E4F631">
      <w:pPr>
        <w:pStyle w:val="23"/>
        <w:keepNext w:val="0"/>
        <w:keepLines w:val="0"/>
        <w:widowControl/>
        <w:suppressLineNumbers w:val="0"/>
        <w:spacing w:before="0" w:beforeAutospacing="0" w:after="0" w:afterAutospacing="0"/>
        <w:ind w:left="0" w:right="0" w:firstLine="0"/>
        <w:jc w:val="both"/>
        <w:rPr>
          <w:color w:val="auto"/>
          <w:sz w:val="72"/>
          <w:szCs w:val="72"/>
          <w:highlight w:val="none"/>
        </w:rPr>
      </w:pPr>
    </w:p>
    <w:p w14:paraId="72AFC60A">
      <w:pPr>
        <w:pStyle w:val="23"/>
        <w:keepNext w:val="0"/>
        <w:keepLines w:val="0"/>
        <w:widowControl/>
        <w:suppressLineNumbers w:val="0"/>
        <w:spacing w:before="0" w:beforeAutospacing="0" w:after="0" w:afterAutospacing="0"/>
        <w:ind w:left="0" w:right="0" w:firstLine="0"/>
        <w:jc w:val="center"/>
        <w:rPr>
          <w:color w:val="auto"/>
          <w:sz w:val="72"/>
          <w:szCs w:val="72"/>
          <w:highlight w:val="none"/>
        </w:rPr>
      </w:pPr>
      <w:r>
        <w:rPr>
          <w:color w:val="auto"/>
          <w:sz w:val="72"/>
          <w:szCs w:val="72"/>
          <w:highlight w:val="none"/>
        </w:rPr>
        <w:t>征集文件</w:t>
      </w:r>
    </w:p>
    <w:p w14:paraId="692C52CE">
      <w:pPr>
        <w:pStyle w:val="23"/>
        <w:keepNext w:val="0"/>
        <w:keepLines w:val="0"/>
        <w:widowControl/>
        <w:suppressLineNumbers w:val="0"/>
        <w:spacing w:before="0" w:beforeAutospacing="0" w:after="0" w:afterAutospacing="0"/>
        <w:ind w:left="0" w:right="0" w:firstLine="0"/>
        <w:rPr>
          <w:color w:val="auto"/>
          <w:highlight w:val="none"/>
        </w:rPr>
      </w:pPr>
    </w:p>
    <w:p w14:paraId="4CC527E0">
      <w:pPr>
        <w:pStyle w:val="23"/>
        <w:keepNext w:val="0"/>
        <w:keepLines w:val="0"/>
        <w:widowControl/>
        <w:suppressLineNumbers w:val="0"/>
        <w:spacing w:before="0" w:beforeAutospacing="0" w:after="0" w:afterAutospacing="0"/>
        <w:ind w:left="0" w:right="0" w:firstLine="0"/>
        <w:jc w:val="center"/>
        <w:rPr>
          <w:color w:val="auto"/>
          <w:sz w:val="32"/>
          <w:szCs w:val="32"/>
          <w:highlight w:val="none"/>
        </w:rPr>
      </w:pPr>
      <w:r>
        <w:rPr>
          <w:color w:val="auto"/>
          <w:sz w:val="32"/>
          <w:szCs w:val="32"/>
          <w:highlight w:val="none"/>
        </w:rPr>
        <w:t>(全流程电子化评审)</w:t>
      </w:r>
    </w:p>
    <w:p w14:paraId="0AC60F31">
      <w:pPr>
        <w:pStyle w:val="23"/>
        <w:keepNext w:val="0"/>
        <w:keepLines w:val="0"/>
        <w:widowControl/>
        <w:suppressLineNumbers w:val="0"/>
        <w:spacing w:before="0" w:beforeAutospacing="0" w:after="0" w:afterAutospacing="0"/>
        <w:ind w:left="0" w:right="0" w:firstLine="0"/>
        <w:rPr>
          <w:color w:val="auto"/>
          <w:highlight w:val="none"/>
        </w:rPr>
      </w:pPr>
    </w:p>
    <w:p w14:paraId="31976723">
      <w:pPr>
        <w:pStyle w:val="23"/>
        <w:keepNext w:val="0"/>
        <w:keepLines w:val="0"/>
        <w:widowControl/>
        <w:suppressLineNumbers w:val="0"/>
        <w:spacing w:before="0" w:beforeAutospacing="0" w:after="0" w:afterAutospacing="0"/>
        <w:ind w:left="0" w:right="0" w:firstLine="0"/>
        <w:rPr>
          <w:color w:val="auto"/>
          <w:highlight w:val="none"/>
        </w:rPr>
      </w:pPr>
    </w:p>
    <w:p w14:paraId="70038BA4">
      <w:pPr>
        <w:pStyle w:val="23"/>
        <w:keepNext w:val="0"/>
        <w:keepLines w:val="0"/>
        <w:widowControl/>
        <w:suppressLineNumbers w:val="0"/>
        <w:spacing w:before="0" w:beforeAutospacing="0" w:after="0" w:afterAutospacing="0"/>
        <w:ind w:left="0" w:right="0" w:firstLine="0"/>
        <w:rPr>
          <w:color w:val="auto"/>
          <w:highlight w:val="none"/>
        </w:rPr>
      </w:pPr>
    </w:p>
    <w:p w14:paraId="1E540B98">
      <w:pPr>
        <w:pStyle w:val="23"/>
        <w:keepNext w:val="0"/>
        <w:keepLines w:val="0"/>
        <w:widowControl/>
        <w:suppressLineNumbers w:val="0"/>
        <w:spacing w:before="0" w:beforeAutospacing="0" w:after="0" w:afterAutospacing="0"/>
        <w:ind w:left="2877" w:leftChars="608" w:right="0" w:hanging="1600" w:hangingChars="500"/>
        <w:rPr>
          <w:rFonts w:hint="eastAsia" w:eastAsia="宋体"/>
          <w:color w:val="auto"/>
          <w:sz w:val="32"/>
          <w:szCs w:val="32"/>
          <w:highlight w:val="none"/>
          <w:lang w:eastAsia="zh-CN"/>
        </w:rPr>
      </w:pPr>
      <w:r>
        <w:rPr>
          <w:color w:val="auto"/>
          <w:sz w:val="32"/>
          <w:szCs w:val="32"/>
          <w:highlight w:val="none"/>
        </w:rPr>
        <w:t>项目名称：</w:t>
      </w:r>
      <w:r>
        <w:rPr>
          <w:rFonts w:hint="eastAsia"/>
          <w:color w:val="auto"/>
          <w:sz w:val="32"/>
          <w:szCs w:val="32"/>
          <w:highlight w:val="none"/>
          <w:lang w:eastAsia="zh-CN"/>
        </w:rPr>
        <w:t>20</w:t>
      </w:r>
      <w:r>
        <w:rPr>
          <w:rFonts w:hint="eastAsia"/>
          <w:color w:val="auto"/>
          <w:sz w:val="32"/>
          <w:szCs w:val="32"/>
          <w:highlight w:val="none"/>
          <w:lang w:val="en-US" w:eastAsia="zh-CN"/>
        </w:rPr>
        <w:t>25</w:t>
      </w:r>
      <w:r>
        <w:rPr>
          <w:rFonts w:hint="eastAsia"/>
          <w:color w:val="auto"/>
          <w:sz w:val="32"/>
          <w:szCs w:val="32"/>
          <w:highlight w:val="none"/>
          <w:lang w:eastAsia="zh-CN"/>
        </w:rPr>
        <w:t>-20</w:t>
      </w:r>
      <w:r>
        <w:rPr>
          <w:rFonts w:hint="eastAsia"/>
          <w:color w:val="auto"/>
          <w:sz w:val="32"/>
          <w:szCs w:val="32"/>
          <w:highlight w:val="none"/>
          <w:lang w:val="en-US" w:eastAsia="zh-CN"/>
        </w:rPr>
        <w:t>27年度</w:t>
      </w:r>
      <w:r>
        <w:rPr>
          <w:rFonts w:hint="eastAsia"/>
          <w:color w:val="auto"/>
          <w:sz w:val="32"/>
          <w:szCs w:val="32"/>
          <w:highlight w:val="none"/>
          <w:lang w:eastAsia="zh-CN"/>
        </w:rPr>
        <w:t>东兴市车辆维修和保养服务框架协议采购</w:t>
      </w:r>
    </w:p>
    <w:p w14:paraId="31CAF375">
      <w:pPr>
        <w:pStyle w:val="23"/>
        <w:keepNext w:val="0"/>
        <w:keepLines w:val="0"/>
        <w:widowControl/>
        <w:suppressLineNumbers w:val="0"/>
        <w:spacing w:before="0" w:beforeAutospacing="0" w:after="0" w:afterAutospacing="0"/>
        <w:ind w:left="0" w:right="0" w:firstLine="1280" w:firstLineChars="400"/>
        <w:rPr>
          <w:rFonts w:hint="eastAsia" w:eastAsia="宋体"/>
          <w:color w:val="auto"/>
          <w:sz w:val="32"/>
          <w:szCs w:val="32"/>
          <w:highlight w:val="none"/>
          <w:lang w:eastAsia="zh-CN"/>
        </w:rPr>
      </w:pPr>
      <w:r>
        <w:rPr>
          <w:color w:val="auto"/>
          <w:sz w:val="32"/>
          <w:szCs w:val="32"/>
          <w:highlight w:val="none"/>
        </w:rPr>
        <w:t>项目编号：</w:t>
      </w:r>
      <w:r>
        <w:rPr>
          <w:rFonts w:hint="eastAsia"/>
          <w:color w:val="auto"/>
          <w:sz w:val="32"/>
          <w:szCs w:val="32"/>
          <w:highlight w:val="none"/>
          <w:lang w:eastAsia="zh-CN"/>
        </w:rPr>
        <w:t xml:space="preserve">FCZC2025-K3-810087-JGJD </w:t>
      </w:r>
    </w:p>
    <w:p w14:paraId="181B1B63">
      <w:pPr>
        <w:pStyle w:val="23"/>
        <w:keepNext w:val="0"/>
        <w:keepLines w:val="0"/>
        <w:widowControl/>
        <w:suppressLineNumbers w:val="0"/>
        <w:spacing w:before="0" w:beforeAutospacing="0" w:after="0" w:afterAutospacing="0"/>
        <w:ind w:left="0" w:right="0" w:firstLine="1280" w:firstLineChars="400"/>
        <w:rPr>
          <w:color w:val="auto"/>
          <w:sz w:val="32"/>
          <w:szCs w:val="32"/>
          <w:highlight w:val="none"/>
        </w:rPr>
      </w:pPr>
    </w:p>
    <w:p w14:paraId="288B5DAD">
      <w:pPr>
        <w:pStyle w:val="23"/>
        <w:keepNext w:val="0"/>
        <w:keepLines w:val="0"/>
        <w:widowControl/>
        <w:suppressLineNumbers w:val="0"/>
        <w:spacing w:before="0" w:beforeAutospacing="0" w:after="0" w:afterAutospacing="0"/>
        <w:ind w:left="0" w:right="0" w:firstLine="1280" w:firstLineChars="400"/>
        <w:rPr>
          <w:color w:val="auto"/>
          <w:sz w:val="32"/>
          <w:szCs w:val="32"/>
          <w:highlight w:val="none"/>
        </w:rPr>
      </w:pPr>
    </w:p>
    <w:p w14:paraId="382B751A">
      <w:pPr>
        <w:pStyle w:val="23"/>
        <w:keepNext w:val="0"/>
        <w:keepLines w:val="0"/>
        <w:widowControl/>
        <w:suppressLineNumbers w:val="0"/>
        <w:spacing w:before="0" w:beforeAutospacing="0" w:after="0" w:afterAutospacing="0"/>
        <w:ind w:right="0"/>
        <w:rPr>
          <w:color w:val="auto"/>
          <w:sz w:val="32"/>
          <w:szCs w:val="32"/>
          <w:highlight w:val="none"/>
        </w:rPr>
      </w:pPr>
    </w:p>
    <w:p w14:paraId="72C2B864">
      <w:pPr>
        <w:pStyle w:val="23"/>
        <w:keepNext w:val="0"/>
        <w:keepLines w:val="0"/>
        <w:widowControl/>
        <w:suppressLineNumbers w:val="0"/>
        <w:spacing w:before="0" w:beforeAutospacing="0" w:after="0" w:afterAutospacing="0"/>
        <w:ind w:left="0" w:right="0" w:firstLine="1280" w:firstLineChars="400"/>
        <w:rPr>
          <w:rFonts w:hint="eastAsia" w:eastAsia="宋体"/>
          <w:color w:val="auto"/>
          <w:sz w:val="32"/>
          <w:szCs w:val="32"/>
          <w:highlight w:val="none"/>
          <w:lang w:eastAsia="zh-CN"/>
        </w:rPr>
      </w:pPr>
      <w:r>
        <w:rPr>
          <w:color w:val="auto"/>
          <w:sz w:val="32"/>
          <w:szCs w:val="32"/>
          <w:highlight w:val="none"/>
        </w:rPr>
        <w:t>征集人：</w:t>
      </w:r>
      <w:r>
        <w:rPr>
          <w:rFonts w:hint="eastAsia"/>
          <w:color w:val="auto"/>
          <w:sz w:val="32"/>
          <w:szCs w:val="32"/>
          <w:highlight w:val="none"/>
          <w:lang w:eastAsia="zh-CN"/>
        </w:rPr>
        <w:t>东兴市财政局</w:t>
      </w:r>
    </w:p>
    <w:p w14:paraId="5A86C66C">
      <w:pPr>
        <w:pStyle w:val="23"/>
        <w:keepNext w:val="0"/>
        <w:keepLines w:val="0"/>
        <w:widowControl/>
        <w:suppressLineNumbers w:val="0"/>
        <w:spacing w:before="0" w:beforeAutospacing="0" w:after="0" w:afterAutospacing="0"/>
        <w:ind w:left="0" w:right="0" w:firstLine="1280" w:firstLineChars="400"/>
        <w:rPr>
          <w:rFonts w:hint="eastAsia" w:eastAsia="宋体"/>
          <w:color w:val="auto"/>
          <w:sz w:val="32"/>
          <w:szCs w:val="32"/>
          <w:highlight w:val="none"/>
          <w:lang w:eastAsia="zh-CN"/>
        </w:rPr>
      </w:pPr>
      <w:r>
        <w:rPr>
          <w:color w:val="auto"/>
          <w:sz w:val="32"/>
          <w:szCs w:val="32"/>
          <w:highlight w:val="none"/>
        </w:rPr>
        <w:t>采购代理机构：</w:t>
      </w:r>
      <w:r>
        <w:rPr>
          <w:rFonts w:hint="eastAsia"/>
          <w:color w:val="auto"/>
          <w:sz w:val="32"/>
          <w:szCs w:val="32"/>
          <w:highlight w:val="none"/>
          <w:lang w:eastAsia="zh-CN"/>
        </w:rPr>
        <w:t>广西建设工程机电设备招标中心有限公司</w:t>
      </w:r>
    </w:p>
    <w:p w14:paraId="1115B3DA">
      <w:pPr>
        <w:pStyle w:val="23"/>
        <w:keepNext w:val="0"/>
        <w:keepLines w:val="0"/>
        <w:widowControl/>
        <w:suppressLineNumbers w:val="0"/>
        <w:spacing w:before="0" w:beforeAutospacing="0" w:after="0" w:afterAutospacing="0"/>
        <w:ind w:left="0" w:right="0" w:firstLine="0"/>
        <w:jc w:val="center"/>
        <w:rPr>
          <w:color w:val="auto"/>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color w:val="auto"/>
          <w:sz w:val="32"/>
          <w:szCs w:val="32"/>
          <w:highlight w:val="none"/>
          <w:lang w:eastAsia="zh-CN"/>
        </w:rPr>
        <w:t>20</w:t>
      </w:r>
      <w:r>
        <w:rPr>
          <w:rFonts w:hint="eastAsia"/>
          <w:color w:val="auto"/>
          <w:sz w:val="32"/>
          <w:szCs w:val="32"/>
          <w:highlight w:val="none"/>
          <w:lang w:val="en-US" w:eastAsia="zh-CN"/>
        </w:rPr>
        <w:t>25</w:t>
      </w:r>
      <w:r>
        <w:rPr>
          <w:rFonts w:hint="eastAsia"/>
          <w:color w:val="auto"/>
          <w:sz w:val="32"/>
          <w:szCs w:val="32"/>
          <w:highlight w:val="none"/>
          <w:lang w:eastAsia="zh-CN"/>
        </w:rPr>
        <w:t>年</w:t>
      </w:r>
      <w:r>
        <w:rPr>
          <w:rFonts w:hint="eastAsia"/>
          <w:color w:val="auto"/>
          <w:sz w:val="32"/>
          <w:szCs w:val="32"/>
          <w:highlight w:val="none"/>
          <w:lang w:val="en-US" w:eastAsia="zh-CN"/>
        </w:rPr>
        <w:t>10</w:t>
      </w:r>
      <w:r>
        <w:rPr>
          <w:rFonts w:hint="eastAsia"/>
          <w:color w:val="auto"/>
          <w:sz w:val="32"/>
          <w:szCs w:val="32"/>
          <w:highlight w:val="none"/>
          <w:lang w:eastAsia="zh-CN"/>
        </w:rPr>
        <w:t>月</w:t>
      </w:r>
    </w:p>
    <w:p w14:paraId="5FB4A306">
      <w:pPr>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07D31636">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color w:val="auto"/>
          <w:sz w:val="28"/>
          <w:szCs w:val="28"/>
          <w:highlight w:val="none"/>
        </w:rPr>
        <w:fldChar w:fldCharType="begin"/>
      </w:r>
      <w:r>
        <w:rPr>
          <w:rFonts w:hAnsi="宋体"/>
          <w:color w:val="auto"/>
          <w:sz w:val="28"/>
          <w:szCs w:val="28"/>
          <w:highlight w:val="none"/>
        </w:rPr>
        <w:instrText xml:space="preserve"> TOC \o "1-3" \h \z \u </w:instrText>
      </w:r>
      <w:r>
        <w:rPr>
          <w:rFonts w:hAnsi="宋体"/>
          <w:color w:val="auto"/>
          <w:sz w:val="28"/>
          <w:szCs w:val="28"/>
          <w:highlight w:val="none"/>
        </w:rPr>
        <w:fldChar w:fldCharType="separate"/>
      </w:r>
      <w:r>
        <w:rPr>
          <w:rFonts w:hAnsi="宋体"/>
          <w:color w:val="auto"/>
          <w:szCs w:val="28"/>
          <w:highlight w:val="none"/>
        </w:rPr>
        <w:fldChar w:fldCharType="begin"/>
      </w:r>
      <w:r>
        <w:rPr>
          <w:rFonts w:hAnsi="宋体"/>
          <w:color w:val="auto"/>
          <w:szCs w:val="28"/>
          <w:highlight w:val="none"/>
        </w:rPr>
        <w:instrText xml:space="preserve"> HYPERLINK \l _Toc31884 </w:instrText>
      </w:r>
      <w:r>
        <w:rPr>
          <w:rFonts w:hAnsi="宋体"/>
          <w:color w:val="auto"/>
          <w:szCs w:val="28"/>
          <w:highlight w:val="none"/>
        </w:rPr>
        <w:fldChar w:fldCharType="separate"/>
      </w:r>
      <w:r>
        <w:rPr>
          <w:rFonts w:hint="eastAsia"/>
          <w:color w:val="auto"/>
          <w:szCs w:val="20"/>
          <w:highlight w:val="none"/>
        </w:rPr>
        <w:t>第一章</w:t>
      </w:r>
      <w:r>
        <w:rPr>
          <w:color w:val="auto"/>
          <w:szCs w:val="20"/>
          <w:highlight w:val="none"/>
        </w:rPr>
        <w:t xml:space="preserve">  </w:t>
      </w:r>
      <w:r>
        <w:rPr>
          <w:rFonts w:hint="eastAsia"/>
          <w:color w:val="auto"/>
          <w:szCs w:val="20"/>
          <w:highlight w:val="none"/>
        </w:rPr>
        <w:t>征集公告</w:t>
      </w:r>
      <w:r>
        <w:rPr>
          <w:color w:val="auto"/>
          <w:highlight w:val="none"/>
        </w:rPr>
        <w:tab/>
      </w:r>
      <w:r>
        <w:rPr>
          <w:color w:val="auto"/>
          <w:highlight w:val="none"/>
        </w:rPr>
        <w:fldChar w:fldCharType="begin"/>
      </w:r>
      <w:r>
        <w:rPr>
          <w:color w:val="auto"/>
          <w:highlight w:val="none"/>
        </w:rPr>
        <w:instrText xml:space="preserve"> PAGEREF _Toc31884 \h </w:instrText>
      </w:r>
      <w:r>
        <w:rPr>
          <w:color w:val="auto"/>
          <w:highlight w:val="none"/>
        </w:rPr>
        <w:fldChar w:fldCharType="separate"/>
      </w:r>
      <w:r>
        <w:rPr>
          <w:color w:val="auto"/>
          <w:highlight w:val="none"/>
        </w:rPr>
        <w:t>2</w:t>
      </w:r>
      <w:r>
        <w:rPr>
          <w:color w:val="auto"/>
          <w:highlight w:val="none"/>
        </w:rPr>
        <w:fldChar w:fldCharType="end"/>
      </w:r>
      <w:r>
        <w:rPr>
          <w:rFonts w:hAnsi="宋体"/>
          <w:color w:val="auto"/>
          <w:szCs w:val="28"/>
          <w:highlight w:val="none"/>
        </w:rPr>
        <w:fldChar w:fldCharType="end"/>
      </w:r>
    </w:p>
    <w:p w14:paraId="43B2966A">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_Toc23430 </w:instrText>
      </w:r>
      <w:r>
        <w:rPr>
          <w:rFonts w:hAnsi="宋体"/>
          <w:bCs/>
          <w:caps/>
          <w:color w:val="auto"/>
          <w:szCs w:val="28"/>
          <w:highlight w:val="none"/>
        </w:rPr>
        <w:fldChar w:fldCharType="separate"/>
      </w:r>
      <w:r>
        <w:rPr>
          <w:rFonts w:hint="eastAsia" w:ascii="Times New Roman" w:hAnsi="Times New Roman"/>
          <w:color w:val="auto"/>
          <w:szCs w:val="20"/>
          <w:highlight w:val="none"/>
        </w:rPr>
        <w:t>第二章</w:t>
      </w:r>
      <w:r>
        <w:rPr>
          <w:rFonts w:ascii="Times New Roman" w:hAnsi="Times New Roman"/>
          <w:color w:val="auto"/>
          <w:szCs w:val="20"/>
          <w:highlight w:val="none"/>
        </w:rPr>
        <w:t xml:space="preserve">  </w:t>
      </w:r>
      <w:r>
        <w:rPr>
          <w:rFonts w:hint="eastAsia" w:ascii="Times New Roman" w:hAnsi="Times New Roman"/>
          <w:color w:val="auto"/>
          <w:szCs w:val="20"/>
          <w:highlight w:val="none"/>
        </w:rPr>
        <w:t>采购需求</w:t>
      </w:r>
      <w:r>
        <w:rPr>
          <w:color w:val="auto"/>
          <w:highlight w:val="none"/>
        </w:rPr>
        <w:tab/>
      </w:r>
      <w:r>
        <w:rPr>
          <w:color w:val="auto"/>
          <w:highlight w:val="none"/>
        </w:rPr>
        <w:fldChar w:fldCharType="begin"/>
      </w:r>
      <w:r>
        <w:rPr>
          <w:color w:val="auto"/>
          <w:highlight w:val="none"/>
        </w:rPr>
        <w:instrText xml:space="preserve"> PAGEREF _Toc23430 \h </w:instrText>
      </w:r>
      <w:r>
        <w:rPr>
          <w:color w:val="auto"/>
          <w:highlight w:val="none"/>
        </w:rPr>
        <w:fldChar w:fldCharType="separate"/>
      </w:r>
      <w:r>
        <w:rPr>
          <w:color w:val="auto"/>
          <w:highlight w:val="none"/>
        </w:rPr>
        <w:t>6</w:t>
      </w:r>
      <w:r>
        <w:rPr>
          <w:color w:val="auto"/>
          <w:highlight w:val="none"/>
        </w:rPr>
        <w:fldChar w:fldCharType="end"/>
      </w:r>
      <w:r>
        <w:rPr>
          <w:rFonts w:hAnsi="宋体"/>
          <w:bCs/>
          <w:caps/>
          <w:color w:val="auto"/>
          <w:szCs w:val="28"/>
          <w:highlight w:val="none"/>
          <w:u w:val="single"/>
        </w:rPr>
        <w:fldChar w:fldCharType="end"/>
      </w:r>
    </w:p>
    <w:p w14:paraId="1D661354">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_Toc19207 </w:instrText>
      </w:r>
      <w:r>
        <w:rPr>
          <w:rFonts w:hAnsi="宋体"/>
          <w:bCs/>
          <w:caps/>
          <w:color w:val="auto"/>
          <w:szCs w:val="28"/>
          <w:highlight w:val="none"/>
        </w:rPr>
        <w:fldChar w:fldCharType="separate"/>
      </w:r>
      <w:r>
        <w:rPr>
          <w:rFonts w:hint="eastAsia" w:ascii="Times New Roman" w:hAnsi="Times New Roman"/>
          <w:color w:val="auto"/>
          <w:szCs w:val="20"/>
          <w:highlight w:val="none"/>
        </w:rPr>
        <w:t>第三章</w:t>
      </w:r>
      <w:r>
        <w:rPr>
          <w:rFonts w:ascii="Times New Roman" w:hAnsi="Times New Roman"/>
          <w:color w:val="auto"/>
          <w:szCs w:val="20"/>
          <w:highlight w:val="none"/>
        </w:rPr>
        <w:t xml:space="preserve">  </w:t>
      </w:r>
      <w:r>
        <w:rPr>
          <w:rFonts w:hint="eastAsia" w:ascii="Times New Roman" w:hAnsi="Times New Roman"/>
          <w:color w:val="auto"/>
          <w:szCs w:val="20"/>
          <w:highlight w:val="none"/>
        </w:rPr>
        <w:t>供应商须知</w:t>
      </w:r>
      <w:r>
        <w:rPr>
          <w:color w:val="auto"/>
          <w:highlight w:val="none"/>
        </w:rPr>
        <w:tab/>
      </w:r>
      <w:r>
        <w:rPr>
          <w:color w:val="auto"/>
          <w:highlight w:val="none"/>
        </w:rPr>
        <w:fldChar w:fldCharType="begin"/>
      </w:r>
      <w:r>
        <w:rPr>
          <w:color w:val="auto"/>
          <w:highlight w:val="none"/>
        </w:rPr>
        <w:instrText xml:space="preserve"> PAGEREF _Toc19207 \h </w:instrText>
      </w:r>
      <w:r>
        <w:rPr>
          <w:color w:val="auto"/>
          <w:highlight w:val="none"/>
        </w:rPr>
        <w:fldChar w:fldCharType="separate"/>
      </w:r>
      <w:r>
        <w:rPr>
          <w:color w:val="auto"/>
          <w:highlight w:val="none"/>
        </w:rPr>
        <w:t>13</w:t>
      </w:r>
      <w:r>
        <w:rPr>
          <w:color w:val="auto"/>
          <w:highlight w:val="none"/>
        </w:rPr>
        <w:fldChar w:fldCharType="end"/>
      </w:r>
      <w:r>
        <w:rPr>
          <w:rFonts w:hAnsi="宋体"/>
          <w:bCs/>
          <w:caps/>
          <w:color w:val="auto"/>
          <w:szCs w:val="28"/>
          <w:highlight w:val="none"/>
          <w:u w:val="single"/>
        </w:rPr>
        <w:fldChar w:fldCharType="end"/>
      </w:r>
    </w:p>
    <w:p w14:paraId="53AB5977">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_Toc14631 </w:instrText>
      </w:r>
      <w:r>
        <w:rPr>
          <w:rFonts w:hAnsi="宋体"/>
          <w:bCs/>
          <w:caps/>
          <w:color w:val="auto"/>
          <w:szCs w:val="28"/>
          <w:highlight w:val="none"/>
        </w:rPr>
        <w:fldChar w:fldCharType="separate"/>
      </w:r>
      <w:r>
        <w:rPr>
          <w:rFonts w:hint="eastAsia" w:ascii="Times New Roman" w:hAnsi="Times New Roman"/>
          <w:color w:val="auto"/>
          <w:szCs w:val="30"/>
          <w:highlight w:val="none"/>
        </w:rPr>
        <w:t>第一节</w:t>
      </w:r>
      <w:r>
        <w:rPr>
          <w:rFonts w:ascii="Times New Roman" w:hAnsi="Times New Roman"/>
          <w:color w:val="auto"/>
          <w:szCs w:val="30"/>
          <w:highlight w:val="none"/>
        </w:rPr>
        <w:t xml:space="preserve"> </w:t>
      </w:r>
      <w:r>
        <w:rPr>
          <w:rFonts w:hint="eastAsia" w:ascii="Times New Roman" w:hAnsi="Times New Roman"/>
          <w:color w:val="auto"/>
          <w:szCs w:val="30"/>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_Toc14631 \h </w:instrText>
      </w:r>
      <w:r>
        <w:rPr>
          <w:color w:val="auto"/>
          <w:highlight w:val="none"/>
        </w:rPr>
        <w:fldChar w:fldCharType="separate"/>
      </w:r>
      <w:r>
        <w:rPr>
          <w:color w:val="auto"/>
          <w:highlight w:val="none"/>
        </w:rPr>
        <w:t>13</w:t>
      </w:r>
      <w:r>
        <w:rPr>
          <w:color w:val="auto"/>
          <w:highlight w:val="none"/>
        </w:rPr>
        <w:fldChar w:fldCharType="end"/>
      </w:r>
      <w:r>
        <w:rPr>
          <w:rFonts w:hAnsi="宋体"/>
          <w:bCs/>
          <w:caps/>
          <w:color w:val="auto"/>
          <w:szCs w:val="28"/>
          <w:highlight w:val="none"/>
          <w:u w:val="single"/>
        </w:rPr>
        <w:fldChar w:fldCharType="end"/>
      </w:r>
    </w:p>
    <w:p w14:paraId="4542E4CB">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_Toc21268 </w:instrText>
      </w:r>
      <w:r>
        <w:rPr>
          <w:rFonts w:hAnsi="宋体"/>
          <w:bCs/>
          <w:caps/>
          <w:color w:val="auto"/>
          <w:szCs w:val="28"/>
          <w:highlight w:val="none"/>
        </w:rPr>
        <w:fldChar w:fldCharType="separate"/>
      </w:r>
      <w:r>
        <w:rPr>
          <w:rFonts w:hint="eastAsia" w:ascii="Arial" w:hAnsi="Arial" w:eastAsia="黑体"/>
          <w:bCs/>
          <w:color w:val="auto"/>
          <w:szCs w:val="32"/>
          <w:highlight w:val="none"/>
        </w:rPr>
        <w:t>第二节</w:t>
      </w:r>
      <w:r>
        <w:rPr>
          <w:rFonts w:ascii="Arial" w:hAnsi="Arial" w:eastAsia="黑体"/>
          <w:bCs/>
          <w:color w:val="auto"/>
          <w:szCs w:val="32"/>
          <w:highlight w:val="none"/>
        </w:rPr>
        <w:t xml:space="preserve"> </w:t>
      </w:r>
      <w:r>
        <w:rPr>
          <w:rFonts w:hint="eastAsia" w:ascii="Arial" w:hAnsi="Arial" w:eastAsia="黑体"/>
          <w:bCs/>
          <w:color w:val="auto"/>
          <w:szCs w:val="32"/>
          <w:highlight w:val="none"/>
        </w:rPr>
        <w:t>供应商须知正文</w:t>
      </w:r>
      <w:r>
        <w:rPr>
          <w:color w:val="auto"/>
          <w:highlight w:val="none"/>
        </w:rPr>
        <w:tab/>
      </w:r>
      <w:r>
        <w:rPr>
          <w:color w:val="auto"/>
          <w:highlight w:val="none"/>
        </w:rPr>
        <w:fldChar w:fldCharType="begin"/>
      </w:r>
      <w:r>
        <w:rPr>
          <w:color w:val="auto"/>
          <w:highlight w:val="none"/>
        </w:rPr>
        <w:instrText xml:space="preserve"> PAGEREF _Toc21268 \h </w:instrText>
      </w:r>
      <w:r>
        <w:rPr>
          <w:color w:val="auto"/>
          <w:highlight w:val="none"/>
        </w:rPr>
        <w:fldChar w:fldCharType="separate"/>
      </w:r>
      <w:r>
        <w:rPr>
          <w:color w:val="auto"/>
          <w:highlight w:val="none"/>
        </w:rPr>
        <w:t>18</w:t>
      </w:r>
      <w:r>
        <w:rPr>
          <w:color w:val="auto"/>
          <w:highlight w:val="none"/>
        </w:rPr>
        <w:fldChar w:fldCharType="end"/>
      </w:r>
      <w:r>
        <w:rPr>
          <w:rFonts w:hAnsi="宋体"/>
          <w:bCs/>
          <w:caps/>
          <w:color w:val="auto"/>
          <w:szCs w:val="28"/>
          <w:highlight w:val="none"/>
          <w:u w:val="single"/>
        </w:rPr>
        <w:fldChar w:fldCharType="end"/>
      </w:r>
    </w:p>
    <w:p w14:paraId="23EED0B2">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_Toc18899 </w:instrText>
      </w:r>
      <w:r>
        <w:rPr>
          <w:rFonts w:hAnsi="宋体"/>
          <w:bCs/>
          <w:caps/>
          <w:color w:val="auto"/>
          <w:szCs w:val="28"/>
          <w:highlight w:val="none"/>
        </w:rPr>
        <w:fldChar w:fldCharType="separate"/>
      </w:r>
      <w:r>
        <w:rPr>
          <w:rFonts w:hint="eastAsia" w:ascii="Times New Roman" w:hAnsi="Times New Roman"/>
          <w:bCs/>
          <w:color w:val="auto"/>
          <w:szCs w:val="32"/>
          <w:highlight w:val="none"/>
        </w:rPr>
        <w:t>一、总</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则</w:t>
      </w:r>
      <w:r>
        <w:rPr>
          <w:color w:val="auto"/>
          <w:highlight w:val="none"/>
        </w:rPr>
        <w:tab/>
      </w:r>
      <w:r>
        <w:rPr>
          <w:color w:val="auto"/>
          <w:highlight w:val="none"/>
        </w:rPr>
        <w:fldChar w:fldCharType="begin"/>
      </w:r>
      <w:r>
        <w:rPr>
          <w:color w:val="auto"/>
          <w:highlight w:val="none"/>
        </w:rPr>
        <w:instrText xml:space="preserve"> PAGEREF _Toc18899 \h </w:instrText>
      </w:r>
      <w:r>
        <w:rPr>
          <w:color w:val="auto"/>
          <w:highlight w:val="none"/>
        </w:rPr>
        <w:fldChar w:fldCharType="separate"/>
      </w:r>
      <w:r>
        <w:rPr>
          <w:color w:val="auto"/>
          <w:highlight w:val="none"/>
        </w:rPr>
        <w:t>18</w:t>
      </w:r>
      <w:r>
        <w:rPr>
          <w:color w:val="auto"/>
          <w:highlight w:val="none"/>
        </w:rPr>
        <w:fldChar w:fldCharType="end"/>
      </w:r>
      <w:r>
        <w:rPr>
          <w:rFonts w:hAnsi="宋体"/>
          <w:bCs/>
          <w:caps/>
          <w:color w:val="auto"/>
          <w:szCs w:val="28"/>
          <w:highlight w:val="none"/>
          <w:u w:val="single"/>
        </w:rPr>
        <w:fldChar w:fldCharType="end"/>
      </w:r>
    </w:p>
    <w:p w14:paraId="695059EF">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_Toc944 </w:instrText>
      </w:r>
      <w:r>
        <w:rPr>
          <w:rFonts w:hAnsi="宋体"/>
          <w:bCs/>
          <w:caps/>
          <w:color w:val="auto"/>
          <w:szCs w:val="28"/>
          <w:highlight w:val="none"/>
        </w:rPr>
        <w:fldChar w:fldCharType="separate"/>
      </w:r>
      <w:r>
        <w:rPr>
          <w:rFonts w:hint="eastAsia" w:ascii="Times New Roman" w:hAnsi="Times New Roman"/>
          <w:bCs/>
          <w:color w:val="auto"/>
          <w:szCs w:val="32"/>
          <w:highlight w:val="none"/>
        </w:rPr>
        <w:t>二、第一阶段（入围阶段）</w:t>
      </w:r>
      <w:r>
        <w:rPr>
          <w:color w:val="auto"/>
          <w:highlight w:val="none"/>
        </w:rPr>
        <w:tab/>
      </w:r>
      <w:r>
        <w:rPr>
          <w:color w:val="auto"/>
          <w:highlight w:val="none"/>
        </w:rPr>
        <w:fldChar w:fldCharType="begin"/>
      </w:r>
      <w:r>
        <w:rPr>
          <w:color w:val="auto"/>
          <w:highlight w:val="none"/>
        </w:rPr>
        <w:instrText xml:space="preserve"> PAGEREF _Toc944 \h </w:instrText>
      </w:r>
      <w:r>
        <w:rPr>
          <w:color w:val="auto"/>
          <w:highlight w:val="none"/>
        </w:rPr>
        <w:fldChar w:fldCharType="separate"/>
      </w:r>
      <w:r>
        <w:rPr>
          <w:color w:val="auto"/>
          <w:highlight w:val="none"/>
        </w:rPr>
        <w:t>20</w:t>
      </w:r>
      <w:r>
        <w:rPr>
          <w:color w:val="auto"/>
          <w:highlight w:val="none"/>
        </w:rPr>
        <w:fldChar w:fldCharType="end"/>
      </w:r>
      <w:r>
        <w:rPr>
          <w:rFonts w:hAnsi="宋体"/>
          <w:bCs/>
          <w:caps/>
          <w:color w:val="auto"/>
          <w:szCs w:val="28"/>
          <w:highlight w:val="none"/>
          <w:u w:val="single"/>
        </w:rPr>
        <w:fldChar w:fldCharType="end"/>
      </w:r>
    </w:p>
    <w:p w14:paraId="0600F341">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_Toc30907 </w:instrText>
      </w:r>
      <w:r>
        <w:rPr>
          <w:rFonts w:hAnsi="宋体"/>
          <w:bCs/>
          <w:caps/>
          <w:color w:val="auto"/>
          <w:szCs w:val="28"/>
          <w:highlight w:val="none"/>
        </w:rPr>
        <w:fldChar w:fldCharType="separate"/>
      </w:r>
      <w:r>
        <w:rPr>
          <w:rFonts w:hint="eastAsia" w:ascii="Times New Roman" w:hAnsi="Times New Roman"/>
          <w:bCs/>
          <w:color w:val="auto"/>
          <w:szCs w:val="32"/>
          <w:highlight w:val="none"/>
        </w:rPr>
        <w:t>（一）征集文件</w:t>
      </w:r>
      <w:r>
        <w:rPr>
          <w:color w:val="auto"/>
          <w:highlight w:val="none"/>
        </w:rPr>
        <w:tab/>
      </w:r>
      <w:r>
        <w:rPr>
          <w:color w:val="auto"/>
          <w:highlight w:val="none"/>
        </w:rPr>
        <w:fldChar w:fldCharType="begin"/>
      </w:r>
      <w:r>
        <w:rPr>
          <w:color w:val="auto"/>
          <w:highlight w:val="none"/>
        </w:rPr>
        <w:instrText xml:space="preserve"> PAGEREF _Toc30907 \h </w:instrText>
      </w:r>
      <w:r>
        <w:rPr>
          <w:color w:val="auto"/>
          <w:highlight w:val="none"/>
        </w:rPr>
        <w:fldChar w:fldCharType="separate"/>
      </w:r>
      <w:r>
        <w:rPr>
          <w:color w:val="auto"/>
          <w:highlight w:val="none"/>
        </w:rPr>
        <w:t>20</w:t>
      </w:r>
      <w:r>
        <w:rPr>
          <w:color w:val="auto"/>
          <w:highlight w:val="none"/>
        </w:rPr>
        <w:fldChar w:fldCharType="end"/>
      </w:r>
      <w:r>
        <w:rPr>
          <w:rFonts w:hAnsi="宋体"/>
          <w:bCs/>
          <w:caps/>
          <w:color w:val="auto"/>
          <w:szCs w:val="28"/>
          <w:highlight w:val="none"/>
          <w:u w:val="single"/>
        </w:rPr>
        <w:fldChar w:fldCharType="end"/>
      </w:r>
    </w:p>
    <w:p w14:paraId="2B8CA286">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_Toc31462 </w:instrText>
      </w:r>
      <w:r>
        <w:rPr>
          <w:rFonts w:hAnsi="宋体"/>
          <w:bCs/>
          <w:caps/>
          <w:color w:val="auto"/>
          <w:szCs w:val="28"/>
          <w:highlight w:val="none"/>
        </w:rPr>
        <w:fldChar w:fldCharType="separate"/>
      </w:r>
      <w:r>
        <w:rPr>
          <w:rFonts w:hint="eastAsia" w:ascii="宋体" w:hAnsi="宋体" w:cs="宋体"/>
          <w:color w:val="auto"/>
          <w:highlight w:val="none"/>
        </w:rPr>
        <w:t>（二）响应文件的编制</w:t>
      </w:r>
      <w:r>
        <w:rPr>
          <w:color w:val="auto"/>
          <w:highlight w:val="none"/>
        </w:rPr>
        <w:tab/>
      </w:r>
      <w:r>
        <w:rPr>
          <w:color w:val="auto"/>
          <w:highlight w:val="none"/>
        </w:rPr>
        <w:fldChar w:fldCharType="begin"/>
      </w:r>
      <w:r>
        <w:rPr>
          <w:color w:val="auto"/>
          <w:highlight w:val="none"/>
        </w:rPr>
        <w:instrText xml:space="preserve"> PAGEREF _Toc31462 \h </w:instrText>
      </w:r>
      <w:r>
        <w:rPr>
          <w:color w:val="auto"/>
          <w:highlight w:val="none"/>
        </w:rPr>
        <w:fldChar w:fldCharType="separate"/>
      </w:r>
      <w:r>
        <w:rPr>
          <w:color w:val="auto"/>
          <w:highlight w:val="none"/>
        </w:rPr>
        <w:t>21</w:t>
      </w:r>
      <w:r>
        <w:rPr>
          <w:color w:val="auto"/>
          <w:highlight w:val="none"/>
        </w:rPr>
        <w:fldChar w:fldCharType="end"/>
      </w:r>
      <w:r>
        <w:rPr>
          <w:rFonts w:hAnsi="宋体"/>
          <w:bCs/>
          <w:caps/>
          <w:color w:val="auto"/>
          <w:szCs w:val="28"/>
          <w:highlight w:val="none"/>
          <w:u w:val="single"/>
        </w:rPr>
        <w:fldChar w:fldCharType="end"/>
      </w:r>
    </w:p>
    <w:p w14:paraId="59AFCE15">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_Toc13547 </w:instrText>
      </w:r>
      <w:r>
        <w:rPr>
          <w:rFonts w:hAnsi="宋体"/>
          <w:bCs/>
          <w:caps/>
          <w:color w:val="auto"/>
          <w:szCs w:val="28"/>
          <w:highlight w:val="none"/>
        </w:rPr>
        <w:fldChar w:fldCharType="separate"/>
      </w:r>
      <w:r>
        <w:rPr>
          <w:rFonts w:hint="eastAsia" w:ascii="Times New Roman" w:hAnsi="Times New Roman"/>
          <w:bCs/>
          <w:color w:val="auto"/>
          <w:szCs w:val="32"/>
          <w:highlight w:val="none"/>
        </w:rPr>
        <w:t>（三）开</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标</w:t>
      </w:r>
      <w:r>
        <w:rPr>
          <w:color w:val="auto"/>
          <w:highlight w:val="none"/>
        </w:rPr>
        <w:tab/>
      </w:r>
      <w:r>
        <w:rPr>
          <w:color w:val="auto"/>
          <w:highlight w:val="none"/>
        </w:rPr>
        <w:fldChar w:fldCharType="begin"/>
      </w:r>
      <w:r>
        <w:rPr>
          <w:color w:val="auto"/>
          <w:highlight w:val="none"/>
        </w:rPr>
        <w:instrText xml:space="preserve"> PAGEREF _Toc13547 \h </w:instrText>
      </w:r>
      <w:r>
        <w:rPr>
          <w:color w:val="auto"/>
          <w:highlight w:val="none"/>
        </w:rPr>
        <w:fldChar w:fldCharType="separate"/>
      </w:r>
      <w:r>
        <w:rPr>
          <w:color w:val="auto"/>
          <w:highlight w:val="none"/>
        </w:rPr>
        <w:t>24</w:t>
      </w:r>
      <w:r>
        <w:rPr>
          <w:color w:val="auto"/>
          <w:highlight w:val="none"/>
        </w:rPr>
        <w:fldChar w:fldCharType="end"/>
      </w:r>
      <w:r>
        <w:rPr>
          <w:rFonts w:hAnsi="宋体"/>
          <w:bCs/>
          <w:caps/>
          <w:color w:val="auto"/>
          <w:szCs w:val="28"/>
          <w:highlight w:val="none"/>
          <w:u w:val="single"/>
        </w:rPr>
        <w:fldChar w:fldCharType="end"/>
      </w:r>
    </w:p>
    <w:p w14:paraId="4DE64560">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_Toc22525 </w:instrText>
      </w:r>
      <w:r>
        <w:rPr>
          <w:rFonts w:hAnsi="宋体"/>
          <w:bCs/>
          <w:caps/>
          <w:color w:val="auto"/>
          <w:szCs w:val="28"/>
          <w:highlight w:val="none"/>
        </w:rPr>
        <w:fldChar w:fldCharType="separate"/>
      </w:r>
      <w:r>
        <w:rPr>
          <w:rFonts w:hint="eastAsia" w:ascii="Times New Roman" w:hAnsi="Times New Roman"/>
          <w:bCs/>
          <w:color w:val="auto"/>
          <w:szCs w:val="32"/>
          <w:highlight w:val="none"/>
        </w:rPr>
        <w:t>（四）资格审查</w:t>
      </w:r>
      <w:r>
        <w:rPr>
          <w:color w:val="auto"/>
          <w:highlight w:val="none"/>
        </w:rPr>
        <w:tab/>
      </w:r>
      <w:r>
        <w:rPr>
          <w:color w:val="auto"/>
          <w:highlight w:val="none"/>
        </w:rPr>
        <w:fldChar w:fldCharType="begin"/>
      </w:r>
      <w:r>
        <w:rPr>
          <w:color w:val="auto"/>
          <w:highlight w:val="none"/>
        </w:rPr>
        <w:instrText xml:space="preserve"> PAGEREF _Toc22525 \h </w:instrText>
      </w:r>
      <w:r>
        <w:rPr>
          <w:color w:val="auto"/>
          <w:highlight w:val="none"/>
        </w:rPr>
        <w:fldChar w:fldCharType="separate"/>
      </w:r>
      <w:r>
        <w:rPr>
          <w:color w:val="auto"/>
          <w:highlight w:val="none"/>
        </w:rPr>
        <w:t>25</w:t>
      </w:r>
      <w:r>
        <w:rPr>
          <w:color w:val="auto"/>
          <w:highlight w:val="none"/>
        </w:rPr>
        <w:fldChar w:fldCharType="end"/>
      </w:r>
      <w:r>
        <w:rPr>
          <w:rFonts w:hAnsi="宋体"/>
          <w:bCs/>
          <w:caps/>
          <w:color w:val="auto"/>
          <w:szCs w:val="28"/>
          <w:highlight w:val="none"/>
          <w:u w:val="single"/>
        </w:rPr>
        <w:fldChar w:fldCharType="end"/>
      </w:r>
    </w:p>
    <w:p w14:paraId="32195EC9">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_Toc851 </w:instrText>
      </w:r>
      <w:r>
        <w:rPr>
          <w:rFonts w:hAnsi="宋体"/>
          <w:bCs/>
          <w:caps/>
          <w:color w:val="auto"/>
          <w:szCs w:val="28"/>
          <w:highlight w:val="none"/>
        </w:rPr>
        <w:fldChar w:fldCharType="separate"/>
      </w:r>
      <w:r>
        <w:rPr>
          <w:rFonts w:hint="eastAsia" w:ascii="Times New Roman" w:hAnsi="Times New Roman"/>
          <w:bCs/>
          <w:color w:val="auto"/>
          <w:szCs w:val="32"/>
          <w:highlight w:val="none"/>
        </w:rPr>
        <w:t>（五）评</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标</w:t>
      </w:r>
      <w:r>
        <w:rPr>
          <w:color w:val="auto"/>
          <w:highlight w:val="none"/>
        </w:rPr>
        <w:tab/>
      </w:r>
      <w:r>
        <w:rPr>
          <w:color w:val="auto"/>
          <w:highlight w:val="none"/>
        </w:rPr>
        <w:fldChar w:fldCharType="begin"/>
      </w:r>
      <w:r>
        <w:rPr>
          <w:color w:val="auto"/>
          <w:highlight w:val="none"/>
        </w:rPr>
        <w:instrText xml:space="preserve"> PAGEREF _Toc851 \h </w:instrText>
      </w:r>
      <w:r>
        <w:rPr>
          <w:color w:val="auto"/>
          <w:highlight w:val="none"/>
        </w:rPr>
        <w:fldChar w:fldCharType="separate"/>
      </w:r>
      <w:r>
        <w:rPr>
          <w:color w:val="auto"/>
          <w:highlight w:val="none"/>
        </w:rPr>
        <w:t>25</w:t>
      </w:r>
      <w:r>
        <w:rPr>
          <w:color w:val="auto"/>
          <w:highlight w:val="none"/>
        </w:rPr>
        <w:fldChar w:fldCharType="end"/>
      </w:r>
      <w:r>
        <w:rPr>
          <w:rFonts w:hAnsi="宋体"/>
          <w:bCs/>
          <w:caps/>
          <w:color w:val="auto"/>
          <w:szCs w:val="28"/>
          <w:highlight w:val="none"/>
          <w:u w:val="single"/>
        </w:rPr>
        <w:fldChar w:fldCharType="end"/>
      </w:r>
    </w:p>
    <w:p w14:paraId="452C1FCE">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_Toc27613 </w:instrText>
      </w:r>
      <w:r>
        <w:rPr>
          <w:rFonts w:hAnsi="宋体"/>
          <w:bCs/>
          <w:caps/>
          <w:color w:val="auto"/>
          <w:szCs w:val="28"/>
          <w:highlight w:val="none"/>
        </w:rPr>
        <w:fldChar w:fldCharType="separate"/>
      </w:r>
      <w:r>
        <w:rPr>
          <w:rFonts w:hint="eastAsia" w:ascii="宋体" w:hAnsi="宋体" w:cs="宋体"/>
          <w:color w:val="auto"/>
          <w:highlight w:val="none"/>
        </w:rPr>
        <w:t>（六）入围和框架协议</w:t>
      </w:r>
      <w:r>
        <w:rPr>
          <w:color w:val="auto"/>
          <w:highlight w:val="none"/>
        </w:rPr>
        <w:tab/>
      </w:r>
      <w:r>
        <w:rPr>
          <w:color w:val="auto"/>
          <w:highlight w:val="none"/>
        </w:rPr>
        <w:fldChar w:fldCharType="begin"/>
      </w:r>
      <w:r>
        <w:rPr>
          <w:color w:val="auto"/>
          <w:highlight w:val="none"/>
        </w:rPr>
        <w:instrText xml:space="preserve"> PAGEREF _Toc27613 \h </w:instrText>
      </w:r>
      <w:r>
        <w:rPr>
          <w:color w:val="auto"/>
          <w:highlight w:val="none"/>
        </w:rPr>
        <w:fldChar w:fldCharType="separate"/>
      </w:r>
      <w:r>
        <w:rPr>
          <w:color w:val="auto"/>
          <w:highlight w:val="none"/>
        </w:rPr>
        <w:t>26</w:t>
      </w:r>
      <w:r>
        <w:rPr>
          <w:color w:val="auto"/>
          <w:highlight w:val="none"/>
        </w:rPr>
        <w:fldChar w:fldCharType="end"/>
      </w:r>
      <w:r>
        <w:rPr>
          <w:rFonts w:hAnsi="宋体"/>
          <w:bCs/>
          <w:caps/>
          <w:color w:val="auto"/>
          <w:szCs w:val="28"/>
          <w:highlight w:val="none"/>
          <w:u w:val="single"/>
        </w:rPr>
        <w:fldChar w:fldCharType="end"/>
      </w:r>
    </w:p>
    <w:p w14:paraId="0F6BC90A">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_Toc14861 </w:instrText>
      </w:r>
      <w:r>
        <w:rPr>
          <w:rFonts w:hAnsi="宋体"/>
          <w:bCs/>
          <w:caps/>
          <w:color w:val="auto"/>
          <w:szCs w:val="28"/>
          <w:highlight w:val="none"/>
        </w:rPr>
        <w:fldChar w:fldCharType="separate"/>
      </w:r>
      <w:r>
        <w:rPr>
          <w:rFonts w:hint="eastAsia" w:ascii="宋体" w:hAnsi="宋体" w:cs="宋体"/>
          <w:bCs/>
          <w:color w:val="auto"/>
          <w:szCs w:val="32"/>
          <w:highlight w:val="none"/>
        </w:rPr>
        <w:t>三、第二阶段（成交阶段）</w:t>
      </w:r>
      <w:r>
        <w:rPr>
          <w:color w:val="auto"/>
          <w:highlight w:val="none"/>
        </w:rPr>
        <w:tab/>
      </w:r>
      <w:r>
        <w:rPr>
          <w:color w:val="auto"/>
          <w:highlight w:val="none"/>
        </w:rPr>
        <w:fldChar w:fldCharType="begin"/>
      </w:r>
      <w:r>
        <w:rPr>
          <w:color w:val="auto"/>
          <w:highlight w:val="none"/>
        </w:rPr>
        <w:instrText xml:space="preserve"> PAGEREF _Toc14861 \h </w:instrText>
      </w:r>
      <w:r>
        <w:rPr>
          <w:color w:val="auto"/>
          <w:highlight w:val="none"/>
        </w:rPr>
        <w:fldChar w:fldCharType="separate"/>
      </w:r>
      <w:r>
        <w:rPr>
          <w:color w:val="auto"/>
          <w:highlight w:val="none"/>
        </w:rPr>
        <w:t>31</w:t>
      </w:r>
      <w:r>
        <w:rPr>
          <w:color w:val="auto"/>
          <w:highlight w:val="none"/>
        </w:rPr>
        <w:fldChar w:fldCharType="end"/>
      </w:r>
      <w:r>
        <w:rPr>
          <w:rFonts w:hAnsi="宋体"/>
          <w:bCs/>
          <w:caps/>
          <w:color w:val="auto"/>
          <w:szCs w:val="28"/>
          <w:highlight w:val="none"/>
          <w:u w:val="single"/>
        </w:rPr>
        <w:fldChar w:fldCharType="end"/>
      </w:r>
    </w:p>
    <w:p w14:paraId="43D81246">
      <w:pPr>
        <w:pStyle w:val="14"/>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_Toc8643 </w:instrText>
      </w:r>
      <w:r>
        <w:rPr>
          <w:rFonts w:hAnsi="宋体"/>
          <w:bCs/>
          <w:caps/>
          <w:color w:val="auto"/>
          <w:szCs w:val="28"/>
          <w:highlight w:val="none"/>
        </w:rPr>
        <w:fldChar w:fldCharType="separate"/>
      </w:r>
      <w:r>
        <w:rPr>
          <w:rFonts w:hint="eastAsia" w:ascii="宋体" w:hAnsi="宋体" w:cs="宋体"/>
          <w:color w:val="auto"/>
          <w:highlight w:val="none"/>
        </w:rPr>
        <w:t>四、其他事项</w:t>
      </w:r>
      <w:r>
        <w:rPr>
          <w:color w:val="auto"/>
          <w:highlight w:val="none"/>
        </w:rPr>
        <w:tab/>
      </w:r>
      <w:r>
        <w:rPr>
          <w:color w:val="auto"/>
          <w:highlight w:val="none"/>
        </w:rPr>
        <w:fldChar w:fldCharType="begin"/>
      </w:r>
      <w:r>
        <w:rPr>
          <w:color w:val="auto"/>
          <w:highlight w:val="none"/>
        </w:rPr>
        <w:instrText xml:space="preserve"> PAGEREF _Toc8643 \h </w:instrText>
      </w:r>
      <w:r>
        <w:rPr>
          <w:color w:val="auto"/>
          <w:highlight w:val="none"/>
        </w:rPr>
        <w:fldChar w:fldCharType="separate"/>
      </w:r>
      <w:r>
        <w:rPr>
          <w:color w:val="auto"/>
          <w:highlight w:val="none"/>
        </w:rPr>
        <w:t>32</w:t>
      </w:r>
      <w:r>
        <w:rPr>
          <w:color w:val="auto"/>
          <w:highlight w:val="none"/>
        </w:rPr>
        <w:fldChar w:fldCharType="end"/>
      </w:r>
      <w:r>
        <w:rPr>
          <w:rFonts w:hAnsi="宋体"/>
          <w:bCs/>
          <w:caps/>
          <w:color w:val="auto"/>
          <w:szCs w:val="28"/>
          <w:highlight w:val="none"/>
          <w:u w:val="single"/>
        </w:rPr>
        <w:fldChar w:fldCharType="end"/>
      </w:r>
    </w:p>
    <w:p w14:paraId="15BBB52B">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_Toc30405 </w:instrText>
      </w:r>
      <w:r>
        <w:rPr>
          <w:rFonts w:hAnsi="宋体"/>
          <w:bCs/>
          <w:caps/>
          <w:color w:val="auto"/>
          <w:szCs w:val="28"/>
          <w:highlight w:val="none"/>
        </w:rPr>
        <w:fldChar w:fldCharType="separate"/>
      </w:r>
      <w:r>
        <w:rPr>
          <w:rFonts w:hint="eastAsia" w:ascii="Times New Roman" w:hAnsi="Times New Roman"/>
          <w:color w:val="auto"/>
          <w:szCs w:val="20"/>
          <w:highlight w:val="none"/>
        </w:rPr>
        <w:t>第四章</w:t>
      </w:r>
      <w:r>
        <w:rPr>
          <w:rFonts w:ascii="Times New Roman" w:hAnsi="Times New Roman"/>
          <w:color w:val="auto"/>
          <w:szCs w:val="20"/>
          <w:highlight w:val="none"/>
        </w:rPr>
        <w:t xml:space="preserve">  </w:t>
      </w:r>
      <w:r>
        <w:rPr>
          <w:rFonts w:hint="eastAsia" w:ascii="Times New Roman" w:hAnsi="Times New Roman"/>
          <w:color w:val="auto"/>
          <w:szCs w:val="20"/>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_Toc30405 \h </w:instrText>
      </w:r>
      <w:r>
        <w:rPr>
          <w:color w:val="auto"/>
          <w:highlight w:val="none"/>
        </w:rPr>
        <w:fldChar w:fldCharType="separate"/>
      </w:r>
      <w:r>
        <w:rPr>
          <w:color w:val="auto"/>
          <w:highlight w:val="none"/>
        </w:rPr>
        <w:t>35</w:t>
      </w:r>
      <w:r>
        <w:rPr>
          <w:color w:val="auto"/>
          <w:highlight w:val="none"/>
        </w:rPr>
        <w:fldChar w:fldCharType="end"/>
      </w:r>
      <w:r>
        <w:rPr>
          <w:rFonts w:hAnsi="宋体"/>
          <w:bCs/>
          <w:caps/>
          <w:color w:val="auto"/>
          <w:szCs w:val="28"/>
          <w:highlight w:val="none"/>
          <w:u w:val="single"/>
        </w:rPr>
        <w:fldChar w:fldCharType="end"/>
      </w:r>
    </w:p>
    <w:p w14:paraId="1ED1A8B8">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_Toc2689 </w:instrText>
      </w:r>
      <w:r>
        <w:rPr>
          <w:rFonts w:hAnsi="宋体"/>
          <w:bCs/>
          <w:caps/>
          <w:color w:val="auto"/>
          <w:szCs w:val="28"/>
          <w:highlight w:val="none"/>
        </w:rPr>
        <w:fldChar w:fldCharType="separate"/>
      </w:r>
      <w:r>
        <w:rPr>
          <w:rFonts w:hint="eastAsia" w:ascii="宋体" w:hAnsi="宋体" w:cs="宋体"/>
          <w:bCs/>
          <w:color w:val="auto"/>
          <w:szCs w:val="32"/>
          <w:highlight w:val="none"/>
        </w:rPr>
        <w:t>第一节 评审方法</w:t>
      </w:r>
      <w:r>
        <w:rPr>
          <w:color w:val="auto"/>
          <w:highlight w:val="none"/>
        </w:rPr>
        <w:tab/>
      </w:r>
      <w:r>
        <w:rPr>
          <w:color w:val="auto"/>
          <w:highlight w:val="none"/>
        </w:rPr>
        <w:fldChar w:fldCharType="begin"/>
      </w:r>
      <w:r>
        <w:rPr>
          <w:color w:val="auto"/>
          <w:highlight w:val="none"/>
        </w:rPr>
        <w:instrText xml:space="preserve"> PAGEREF _Toc2689 \h </w:instrText>
      </w:r>
      <w:r>
        <w:rPr>
          <w:color w:val="auto"/>
          <w:highlight w:val="none"/>
        </w:rPr>
        <w:fldChar w:fldCharType="separate"/>
      </w:r>
      <w:r>
        <w:rPr>
          <w:color w:val="auto"/>
          <w:highlight w:val="none"/>
        </w:rPr>
        <w:t>35</w:t>
      </w:r>
      <w:r>
        <w:rPr>
          <w:color w:val="auto"/>
          <w:highlight w:val="none"/>
        </w:rPr>
        <w:fldChar w:fldCharType="end"/>
      </w:r>
      <w:r>
        <w:rPr>
          <w:rFonts w:hAnsi="宋体"/>
          <w:bCs/>
          <w:caps/>
          <w:color w:val="auto"/>
          <w:szCs w:val="28"/>
          <w:highlight w:val="none"/>
          <w:u w:val="single"/>
        </w:rPr>
        <w:fldChar w:fldCharType="end"/>
      </w:r>
    </w:p>
    <w:p w14:paraId="0F9A0314">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_Toc12659 </w:instrText>
      </w:r>
      <w:r>
        <w:rPr>
          <w:rFonts w:hAnsi="宋体"/>
          <w:bCs/>
          <w:caps/>
          <w:color w:val="auto"/>
          <w:szCs w:val="28"/>
          <w:highlight w:val="none"/>
        </w:rPr>
        <w:fldChar w:fldCharType="separate"/>
      </w:r>
      <w:r>
        <w:rPr>
          <w:rFonts w:hint="eastAsia" w:ascii="宋体" w:hAnsi="宋体" w:cs="宋体"/>
          <w:bCs/>
          <w:color w:val="auto"/>
          <w:szCs w:val="32"/>
          <w:highlight w:val="none"/>
        </w:rPr>
        <w:t>第二节 评审程序</w:t>
      </w:r>
      <w:r>
        <w:rPr>
          <w:color w:val="auto"/>
          <w:highlight w:val="none"/>
        </w:rPr>
        <w:tab/>
      </w:r>
      <w:r>
        <w:rPr>
          <w:color w:val="auto"/>
          <w:highlight w:val="none"/>
        </w:rPr>
        <w:fldChar w:fldCharType="begin"/>
      </w:r>
      <w:r>
        <w:rPr>
          <w:color w:val="auto"/>
          <w:highlight w:val="none"/>
        </w:rPr>
        <w:instrText xml:space="preserve"> PAGEREF _Toc12659 \h </w:instrText>
      </w:r>
      <w:r>
        <w:rPr>
          <w:color w:val="auto"/>
          <w:highlight w:val="none"/>
        </w:rPr>
        <w:fldChar w:fldCharType="separate"/>
      </w:r>
      <w:r>
        <w:rPr>
          <w:color w:val="auto"/>
          <w:highlight w:val="none"/>
        </w:rPr>
        <w:t>35</w:t>
      </w:r>
      <w:r>
        <w:rPr>
          <w:color w:val="auto"/>
          <w:highlight w:val="none"/>
        </w:rPr>
        <w:fldChar w:fldCharType="end"/>
      </w:r>
      <w:r>
        <w:rPr>
          <w:rFonts w:hAnsi="宋体"/>
          <w:bCs/>
          <w:caps/>
          <w:color w:val="auto"/>
          <w:szCs w:val="28"/>
          <w:highlight w:val="none"/>
          <w:u w:val="single"/>
        </w:rPr>
        <w:fldChar w:fldCharType="end"/>
      </w:r>
    </w:p>
    <w:p w14:paraId="1558F370">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_Toc1760 </w:instrText>
      </w:r>
      <w:r>
        <w:rPr>
          <w:rFonts w:hAnsi="宋体"/>
          <w:bCs/>
          <w:caps/>
          <w:color w:val="auto"/>
          <w:szCs w:val="28"/>
          <w:highlight w:val="none"/>
        </w:rPr>
        <w:fldChar w:fldCharType="separate"/>
      </w:r>
      <w:r>
        <w:rPr>
          <w:rFonts w:hint="eastAsia" w:ascii="宋体" w:hAnsi="宋体" w:cs="宋体"/>
          <w:bCs/>
          <w:color w:val="auto"/>
          <w:szCs w:val="32"/>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_Toc1760 \h </w:instrText>
      </w:r>
      <w:r>
        <w:rPr>
          <w:color w:val="auto"/>
          <w:highlight w:val="none"/>
        </w:rPr>
        <w:fldChar w:fldCharType="separate"/>
      </w:r>
      <w:r>
        <w:rPr>
          <w:color w:val="auto"/>
          <w:highlight w:val="none"/>
        </w:rPr>
        <w:t>38</w:t>
      </w:r>
      <w:r>
        <w:rPr>
          <w:color w:val="auto"/>
          <w:highlight w:val="none"/>
        </w:rPr>
        <w:fldChar w:fldCharType="end"/>
      </w:r>
      <w:r>
        <w:rPr>
          <w:rFonts w:hAnsi="宋体"/>
          <w:bCs/>
          <w:caps/>
          <w:color w:val="auto"/>
          <w:szCs w:val="28"/>
          <w:highlight w:val="none"/>
          <w:u w:val="single"/>
        </w:rPr>
        <w:fldChar w:fldCharType="end"/>
      </w:r>
    </w:p>
    <w:p w14:paraId="7F3D3792">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_Toc3967 </w:instrText>
      </w:r>
      <w:r>
        <w:rPr>
          <w:rFonts w:hAnsi="宋体"/>
          <w:bCs/>
          <w:caps/>
          <w:color w:val="auto"/>
          <w:szCs w:val="28"/>
          <w:highlight w:val="none"/>
        </w:rPr>
        <w:fldChar w:fldCharType="separate"/>
      </w:r>
      <w:r>
        <w:rPr>
          <w:rFonts w:hint="eastAsia" w:ascii="宋体" w:hAnsi="宋体" w:cs="宋体"/>
          <w:bCs/>
          <w:color w:val="auto"/>
          <w:szCs w:val="30"/>
          <w:highlight w:val="none"/>
        </w:rPr>
        <w:t>第四节 入围候选人推荐原则</w:t>
      </w:r>
      <w:r>
        <w:rPr>
          <w:color w:val="auto"/>
          <w:highlight w:val="none"/>
        </w:rPr>
        <w:tab/>
      </w:r>
      <w:r>
        <w:rPr>
          <w:color w:val="auto"/>
          <w:highlight w:val="none"/>
        </w:rPr>
        <w:fldChar w:fldCharType="begin"/>
      </w:r>
      <w:r>
        <w:rPr>
          <w:color w:val="auto"/>
          <w:highlight w:val="none"/>
        </w:rPr>
        <w:instrText xml:space="preserve"> PAGEREF _Toc3967 \h </w:instrText>
      </w:r>
      <w:r>
        <w:rPr>
          <w:color w:val="auto"/>
          <w:highlight w:val="none"/>
        </w:rPr>
        <w:fldChar w:fldCharType="separate"/>
      </w:r>
      <w:r>
        <w:rPr>
          <w:color w:val="auto"/>
          <w:highlight w:val="none"/>
        </w:rPr>
        <w:t>42</w:t>
      </w:r>
      <w:r>
        <w:rPr>
          <w:color w:val="auto"/>
          <w:highlight w:val="none"/>
        </w:rPr>
        <w:fldChar w:fldCharType="end"/>
      </w:r>
      <w:r>
        <w:rPr>
          <w:rFonts w:hAnsi="宋体"/>
          <w:bCs/>
          <w:caps/>
          <w:color w:val="auto"/>
          <w:szCs w:val="28"/>
          <w:highlight w:val="none"/>
          <w:u w:val="single"/>
        </w:rPr>
        <w:fldChar w:fldCharType="end"/>
      </w:r>
    </w:p>
    <w:p w14:paraId="1B0CB320">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_Toc14133 </w:instrText>
      </w:r>
      <w:r>
        <w:rPr>
          <w:rFonts w:hAnsi="宋体"/>
          <w:bCs/>
          <w:caps/>
          <w:color w:val="auto"/>
          <w:szCs w:val="28"/>
          <w:highlight w:val="none"/>
        </w:rPr>
        <w:fldChar w:fldCharType="separate"/>
      </w:r>
      <w:r>
        <w:rPr>
          <w:rFonts w:hint="eastAsia" w:ascii="宋体" w:hAnsi="宋体" w:cs="宋体"/>
          <w:bCs/>
          <w:color w:val="auto"/>
          <w:szCs w:val="30"/>
          <w:highlight w:val="none"/>
        </w:rPr>
        <w:t>第五节 评审报告</w:t>
      </w:r>
      <w:r>
        <w:rPr>
          <w:color w:val="auto"/>
          <w:highlight w:val="none"/>
        </w:rPr>
        <w:tab/>
      </w:r>
      <w:r>
        <w:rPr>
          <w:color w:val="auto"/>
          <w:highlight w:val="none"/>
        </w:rPr>
        <w:fldChar w:fldCharType="begin"/>
      </w:r>
      <w:r>
        <w:rPr>
          <w:color w:val="auto"/>
          <w:highlight w:val="none"/>
        </w:rPr>
        <w:instrText xml:space="preserve"> PAGEREF _Toc14133 \h </w:instrText>
      </w:r>
      <w:r>
        <w:rPr>
          <w:color w:val="auto"/>
          <w:highlight w:val="none"/>
        </w:rPr>
        <w:fldChar w:fldCharType="separate"/>
      </w:r>
      <w:r>
        <w:rPr>
          <w:color w:val="auto"/>
          <w:highlight w:val="none"/>
        </w:rPr>
        <w:t>43</w:t>
      </w:r>
      <w:r>
        <w:rPr>
          <w:color w:val="auto"/>
          <w:highlight w:val="none"/>
        </w:rPr>
        <w:fldChar w:fldCharType="end"/>
      </w:r>
      <w:r>
        <w:rPr>
          <w:rFonts w:hAnsi="宋体"/>
          <w:bCs/>
          <w:caps/>
          <w:color w:val="auto"/>
          <w:szCs w:val="28"/>
          <w:highlight w:val="none"/>
          <w:u w:val="single"/>
        </w:rPr>
        <w:fldChar w:fldCharType="end"/>
      </w:r>
    </w:p>
    <w:p w14:paraId="03DE6911">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_Toc28134 </w:instrText>
      </w:r>
      <w:r>
        <w:rPr>
          <w:rFonts w:hAnsi="宋体"/>
          <w:bCs/>
          <w:caps/>
          <w:color w:val="auto"/>
          <w:szCs w:val="28"/>
          <w:highlight w:val="none"/>
        </w:rPr>
        <w:fldChar w:fldCharType="separate"/>
      </w:r>
      <w:r>
        <w:rPr>
          <w:rFonts w:hint="eastAsia" w:ascii="Times New Roman" w:hAnsi="Times New Roman"/>
          <w:color w:val="auto"/>
          <w:szCs w:val="20"/>
          <w:highlight w:val="none"/>
        </w:rPr>
        <w:t xml:space="preserve">第五章  </w:t>
      </w:r>
      <w:r>
        <w:rPr>
          <w:rFonts w:hint="eastAsia" w:hAnsi="宋体" w:cs="宋体"/>
          <w:color w:val="auto"/>
          <w:highlight w:val="none"/>
        </w:rPr>
        <w:t>拟签订的框架协议文本和采购合同文本</w:t>
      </w:r>
      <w:r>
        <w:rPr>
          <w:color w:val="auto"/>
          <w:highlight w:val="none"/>
        </w:rPr>
        <w:tab/>
      </w:r>
      <w:r>
        <w:rPr>
          <w:color w:val="auto"/>
          <w:highlight w:val="none"/>
        </w:rPr>
        <w:fldChar w:fldCharType="begin"/>
      </w:r>
      <w:r>
        <w:rPr>
          <w:color w:val="auto"/>
          <w:highlight w:val="none"/>
        </w:rPr>
        <w:instrText xml:space="preserve"> PAGEREF _Toc28134 \h </w:instrText>
      </w:r>
      <w:r>
        <w:rPr>
          <w:color w:val="auto"/>
          <w:highlight w:val="none"/>
        </w:rPr>
        <w:fldChar w:fldCharType="separate"/>
      </w:r>
      <w:r>
        <w:rPr>
          <w:color w:val="auto"/>
          <w:highlight w:val="none"/>
        </w:rPr>
        <w:t>44</w:t>
      </w:r>
      <w:r>
        <w:rPr>
          <w:color w:val="auto"/>
          <w:highlight w:val="none"/>
        </w:rPr>
        <w:fldChar w:fldCharType="end"/>
      </w:r>
      <w:r>
        <w:rPr>
          <w:rFonts w:hAnsi="宋体"/>
          <w:bCs/>
          <w:caps/>
          <w:color w:val="auto"/>
          <w:szCs w:val="28"/>
          <w:highlight w:val="none"/>
          <w:u w:val="single"/>
        </w:rPr>
        <w:fldChar w:fldCharType="end"/>
      </w:r>
    </w:p>
    <w:p w14:paraId="3304E9C0">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_Toc21575 </w:instrText>
      </w:r>
      <w:r>
        <w:rPr>
          <w:rFonts w:hAnsi="宋体"/>
          <w:bCs/>
          <w:caps/>
          <w:color w:val="auto"/>
          <w:szCs w:val="28"/>
          <w:highlight w:val="none"/>
        </w:rPr>
        <w:fldChar w:fldCharType="separate"/>
      </w:r>
      <w:r>
        <w:rPr>
          <w:rFonts w:hint="eastAsia" w:ascii="Times New Roman" w:hAnsi="Times New Roman"/>
          <w:color w:val="auto"/>
          <w:szCs w:val="20"/>
          <w:highlight w:val="none"/>
        </w:rPr>
        <w:t>第六章</w:t>
      </w:r>
      <w:r>
        <w:rPr>
          <w:rFonts w:ascii="Times New Roman" w:hAnsi="Times New Roman"/>
          <w:color w:val="auto"/>
          <w:szCs w:val="20"/>
          <w:highlight w:val="none"/>
        </w:rPr>
        <w:t xml:space="preserve"> </w:t>
      </w:r>
      <w:r>
        <w:rPr>
          <w:rFonts w:hint="eastAsia" w:ascii="Times New Roman" w:hAnsi="Times New Roman"/>
          <w:color w:val="auto"/>
          <w:szCs w:val="20"/>
          <w:highlight w:val="none"/>
        </w:rPr>
        <w:t>响应文件格式</w:t>
      </w:r>
      <w:r>
        <w:rPr>
          <w:color w:val="auto"/>
          <w:highlight w:val="none"/>
        </w:rPr>
        <w:tab/>
      </w:r>
      <w:r>
        <w:rPr>
          <w:color w:val="auto"/>
          <w:highlight w:val="none"/>
        </w:rPr>
        <w:fldChar w:fldCharType="begin"/>
      </w:r>
      <w:r>
        <w:rPr>
          <w:color w:val="auto"/>
          <w:highlight w:val="none"/>
        </w:rPr>
        <w:instrText xml:space="preserve"> PAGEREF _Toc21575 \h </w:instrText>
      </w:r>
      <w:r>
        <w:rPr>
          <w:color w:val="auto"/>
          <w:highlight w:val="none"/>
        </w:rPr>
        <w:fldChar w:fldCharType="separate"/>
      </w:r>
      <w:r>
        <w:rPr>
          <w:color w:val="auto"/>
          <w:highlight w:val="none"/>
        </w:rPr>
        <w:t>53</w:t>
      </w:r>
      <w:r>
        <w:rPr>
          <w:color w:val="auto"/>
          <w:highlight w:val="none"/>
        </w:rPr>
        <w:fldChar w:fldCharType="end"/>
      </w:r>
      <w:r>
        <w:rPr>
          <w:rFonts w:hAnsi="宋体"/>
          <w:bCs/>
          <w:caps/>
          <w:color w:val="auto"/>
          <w:szCs w:val="28"/>
          <w:highlight w:val="none"/>
          <w:u w:val="single"/>
        </w:rPr>
        <w:fldChar w:fldCharType="end"/>
      </w:r>
    </w:p>
    <w:p w14:paraId="0ABADD95">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_Toc1528 </w:instrText>
      </w:r>
      <w:r>
        <w:rPr>
          <w:rFonts w:hAnsi="宋体"/>
          <w:bCs/>
          <w:caps/>
          <w:color w:val="auto"/>
          <w:szCs w:val="28"/>
          <w:highlight w:val="none"/>
        </w:rPr>
        <w:fldChar w:fldCharType="separate"/>
      </w:r>
      <w:r>
        <w:rPr>
          <w:rFonts w:hint="eastAsia" w:ascii="宋体" w:hAnsi="宋体"/>
          <w:bCs/>
          <w:color w:val="auto"/>
          <w:szCs w:val="28"/>
          <w:highlight w:val="none"/>
        </w:rPr>
        <w:t>第一节 响应文件外层包装封面</w:t>
      </w:r>
      <w:r>
        <w:rPr>
          <w:color w:val="auto"/>
          <w:highlight w:val="none"/>
        </w:rPr>
        <w:tab/>
      </w:r>
      <w:r>
        <w:rPr>
          <w:color w:val="auto"/>
          <w:highlight w:val="none"/>
        </w:rPr>
        <w:fldChar w:fldCharType="begin"/>
      </w:r>
      <w:r>
        <w:rPr>
          <w:color w:val="auto"/>
          <w:highlight w:val="none"/>
        </w:rPr>
        <w:instrText xml:space="preserve"> PAGEREF _Toc1528 \h </w:instrText>
      </w:r>
      <w:r>
        <w:rPr>
          <w:color w:val="auto"/>
          <w:highlight w:val="none"/>
        </w:rPr>
        <w:fldChar w:fldCharType="separate"/>
      </w:r>
      <w:r>
        <w:rPr>
          <w:color w:val="auto"/>
          <w:highlight w:val="none"/>
        </w:rPr>
        <w:t>54</w:t>
      </w:r>
      <w:r>
        <w:rPr>
          <w:color w:val="auto"/>
          <w:highlight w:val="none"/>
        </w:rPr>
        <w:fldChar w:fldCharType="end"/>
      </w:r>
      <w:r>
        <w:rPr>
          <w:rFonts w:hAnsi="宋体"/>
          <w:bCs/>
          <w:caps/>
          <w:color w:val="auto"/>
          <w:szCs w:val="28"/>
          <w:highlight w:val="none"/>
          <w:u w:val="single"/>
        </w:rPr>
        <w:fldChar w:fldCharType="end"/>
      </w:r>
    </w:p>
    <w:p w14:paraId="0ED6EFE6">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_Toc30163 </w:instrText>
      </w:r>
      <w:r>
        <w:rPr>
          <w:rFonts w:hAnsi="宋体"/>
          <w:bCs/>
          <w:caps/>
          <w:color w:val="auto"/>
          <w:szCs w:val="28"/>
          <w:highlight w:val="none"/>
        </w:rPr>
        <w:fldChar w:fldCharType="separate"/>
      </w:r>
      <w:r>
        <w:rPr>
          <w:rFonts w:hint="eastAsia" w:ascii="宋体" w:hAnsi="宋体"/>
          <w:bCs/>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_Toc30163 \h </w:instrText>
      </w:r>
      <w:r>
        <w:rPr>
          <w:color w:val="auto"/>
          <w:highlight w:val="none"/>
        </w:rPr>
        <w:fldChar w:fldCharType="separate"/>
      </w:r>
      <w:r>
        <w:rPr>
          <w:color w:val="auto"/>
          <w:highlight w:val="none"/>
        </w:rPr>
        <w:t>55</w:t>
      </w:r>
      <w:r>
        <w:rPr>
          <w:color w:val="auto"/>
          <w:highlight w:val="none"/>
        </w:rPr>
        <w:fldChar w:fldCharType="end"/>
      </w:r>
      <w:r>
        <w:rPr>
          <w:rFonts w:hAnsi="宋体"/>
          <w:bCs/>
          <w:caps/>
          <w:color w:val="auto"/>
          <w:szCs w:val="28"/>
          <w:highlight w:val="none"/>
          <w:u w:val="single"/>
        </w:rPr>
        <w:fldChar w:fldCharType="end"/>
      </w:r>
    </w:p>
    <w:p w14:paraId="7D74F313">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_Toc15659 </w:instrText>
      </w:r>
      <w:r>
        <w:rPr>
          <w:rFonts w:hAnsi="宋体"/>
          <w:bCs/>
          <w:caps/>
          <w:color w:val="auto"/>
          <w:szCs w:val="28"/>
          <w:highlight w:val="none"/>
        </w:rPr>
        <w:fldChar w:fldCharType="separate"/>
      </w:r>
      <w:r>
        <w:rPr>
          <w:rFonts w:hint="eastAsia" w:ascii="宋体" w:hAnsi="宋体"/>
          <w:bCs/>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_Toc15659 \h </w:instrText>
      </w:r>
      <w:r>
        <w:rPr>
          <w:color w:val="auto"/>
          <w:highlight w:val="none"/>
        </w:rPr>
        <w:fldChar w:fldCharType="separate"/>
      </w:r>
      <w:r>
        <w:rPr>
          <w:color w:val="auto"/>
          <w:highlight w:val="none"/>
        </w:rPr>
        <w:t>64</w:t>
      </w:r>
      <w:r>
        <w:rPr>
          <w:color w:val="auto"/>
          <w:highlight w:val="none"/>
        </w:rPr>
        <w:fldChar w:fldCharType="end"/>
      </w:r>
      <w:r>
        <w:rPr>
          <w:rFonts w:hAnsi="宋体"/>
          <w:bCs/>
          <w:caps/>
          <w:color w:val="auto"/>
          <w:szCs w:val="28"/>
          <w:highlight w:val="none"/>
          <w:u w:val="single"/>
        </w:rPr>
        <w:fldChar w:fldCharType="end"/>
      </w:r>
    </w:p>
    <w:p w14:paraId="2DD9D10A">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_Toc29021 </w:instrText>
      </w:r>
      <w:r>
        <w:rPr>
          <w:rFonts w:hAnsi="宋体"/>
          <w:bCs/>
          <w:caps/>
          <w:color w:val="auto"/>
          <w:szCs w:val="28"/>
          <w:highlight w:val="none"/>
        </w:rPr>
        <w:fldChar w:fldCharType="separate"/>
      </w:r>
      <w:r>
        <w:rPr>
          <w:rFonts w:hint="eastAsia" w:ascii="宋体" w:hAnsi="宋体" w:cs="宋体"/>
          <w:bCs/>
          <w:color w:val="auto"/>
          <w:szCs w:val="30"/>
          <w:highlight w:val="none"/>
          <w:lang w:val="en-US" w:eastAsia="zh-CN"/>
        </w:rPr>
        <w:t>八、企业质量信誉</w:t>
      </w:r>
      <w:r>
        <w:rPr>
          <w:color w:val="auto"/>
          <w:highlight w:val="none"/>
        </w:rPr>
        <w:tab/>
      </w:r>
      <w:r>
        <w:rPr>
          <w:color w:val="auto"/>
          <w:highlight w:val="none"/>
        </w:rPr>
        <w:fldChar w:fldCharType="begin"/>
      </w:r>
      <w:r>
        <w:rPr>
          <w:color w:val="auto"/>
          <w:highlight w:val="none"/>
        </w:rPr>
        <w:instrText xml:space="preserve"> PAGEREF _Toc29021 \h </w:instrText>
      </w:r>
      <w:r>
        <w:rPr>
          <w:color w:val="auto"/>
          <w:highlight w:val="none"/>
        </w:rPr>
        <w:fldChar w:fldCharType="separate"/>
      </w:r>
      <w:r>
        <w:rPr>
          <w:color w:val="auto"/>
          <w:highlight w:val="none"/>
        </w:rPr>
        <w:t>75</w:t>
      </w:r>
      <w:r>
        <w:rPr>
          <w:color w:val="auto"/>
          <w:highlight w:val="none"/>
        </w:rPr>
        <w:fldChar w:fldCharType="end"/>
      </w:r>
      <w:r>
        <w:rPr>
          <w:rFonts w:hAnsi="宋体"/>
          <w:bCs/>
          <w:caps/>
          <w:color w:val="auto"/>
          <w:szCs w:val="28"/>
          <w:highlight w:val="none"/>
          <w:u w:val="single"/>
        </w:rPr>
        <w:fldChar w:fldCharType="end"/>
      </w:r>
    </w:p>
    <w:p w14:paraId="0CA0CDB4">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_Toc2374 </w:instrText>
      </w:r>
      <w:r>
        <w:rPr>
          <w:rFonts w:hAnsi="宋体"/>
          <w:bCs/>
          <w:caps/>
          <w:color w:val="auto"/>
          <w:szCs w:val="28"/>
          <w:highlight w:val="none"/>
        </w:rPr>
        <w:fldChar w:fldCharType="separate"/>
      </w:r>
      <w:r>
        <w:rPr>
          <w:rFonts w:hint="eastAsia" w:ascii="宋体" w:hAnsi="宋体"/>
          <w:bCs/>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_Toc2374 \h </w:instrText>
      </w:r>
      <w:r>
        <w:rPr>
          <w:color w:val="auto"/>
          <w:highlight w:val="none"/>
        </w:rPr>
        <w:fldChar w:fldCharType="separate"/>
      </w:r>
      <w:r>
        <w:rPr>
          <w:color w:val="auto"/>
          <w:highlight w:val="none"/>
        </w:rPr>
        <w:t>77</w:t>
      </w:r>
      <w:r>
        <w:rPr>
          <w:color w:val="auto"/>
          <w:highlight w:val="none"/>
        </w:rPr>
        <w:fldChar w:fldCharType="end"/>
      </w:r>
      <w:r>
        <w:rPr>
          <w:rFonts w:hAnsi="宋体"/>
          <w:bCs/>
          <w:caps/>
          <w:color w:val="auto"/>
          <w:szCs w:val="28"/>
          <w:highlight w:val="none"/>
          <w:u w:val="single"/>
        </w:rPr>
        <w:fldChar w:fldCharType="end"/>
      </w:r>
    </w:p>
    <w:p w14:paraId="74E53C5E">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_Toc27263 </w:instrText>
      </w:r>
      <w:r>
        <w:rPr>
          <w:rFonts w:hAnsi="宋体"/>
          <w:bCs/>
          <w:caps/>
          <w:color w:val="auto"/>
          <w:szCs w:val="28"/>
          <w:highlight w:val="none"/>
        </w:rPr>
        <w:fldChar w:fldCharType="separate"/>
      </w:r>
      <w:r>
        <w:rPr>
          <w:rFonts w:hint="eastAsia" w:ascii="宋体" w:hAnsi="宋体"/>
          <w:bCs/>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_Toc27263 \h </w:instrText>
      </w:r>
      <w:r>
        <w:rPr>
          <w:color w:val="auto"/>
          <w:highlight w:val="none"/>
        </w:rPr>
        <w:fldChar w:fldCharType="separate"/>
      </w:r>
      <w:r>
        <w:rPr>
          <w:color w:val="auto"/>
          <w:highlight w:val="none"/>
        </w:rPr>
        <w:t>81</w:t>
      </w:r>
      <w:r>
        <w:rPr>
          <w:color w:val="auto"/>
          <w:highlight w:val="none"/>
        </w:rPr>
        <w:fldChar w:fldCharType="end"/>
      </w:r>
      <w:r>
        <w:rPr>
          <w:rFonts w:hAnsi="宋体"/>
          <w:bCs/>
          <w:caps/>
          <w:color w:val="auto"/>
          <w:szCs w:val="28"/>
          <w:highlight w:val="none"/>
          <w:u w:val="single"/>
        </w:rPr>
        <w:fldChar w:fldCharType="end"/>
      </w:r>
    </w:p>
    <w:p w14:paraId="3B92357F">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_Toc14506 </w:instrText>
      </w:r>
      <w:r>
        <w:rPr>
          <w:rFonts w:hAnsi="宋体"/>
          <w:bCs/>
          <w:caps/>
          <w:color w:val="auto"/>
          <w:szCs w:val="28"/>
          <w:highlight w:val="none"/>
        </w:rPr>
        <w:fldChar w:fldCharType="separate"/>
      </w:r>
      <w:r>
        <w:rPr>
          <w:rFonts w:hint="eastAsia" w:ascii="宋体" w:hAnsi="宋体"/>
          <w:bCs/>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_Toc14506 \h </w:instrText>
      </w:r>
      <w:r>
        <w:rPr>
          <w:color w:val="auto"/>
          <w:highlight w:val="none"/>
        </w:rPr>
        <w:fldChar w:fldCharType="separate"/>
      </w:r>
      <w:r>
        <w:rPr>
          <w:color w:val="auto"/>
          <w:highlight w:val="none"/>
        </w:rPr>
        <w:t>86</w:t>
      </w:r>
      <w:r>
        <w:rPr>
          <w:color w:val="auto"/>
          <w:highlight w:val="none"/>
        </w:rPr>
        <w:fldChar w:fldCharType="end"/>
      </w:r>
      <w:r>
        <w:rPr>
          <w:rFonts w:hAnsi="宋体"/>
          <w:bCs/>
          <w:caps/>
          <w:color w:val="auto"/>
          <w:szCs w:val="28"/>
          <w:highlight w:val="none"/>
          <w:u w:val="single"/>
        </w:rPr>
        <w:fldChar w:fldCharType="end"/>
      </w:r>
    </w:p>
    <w:p w14:paraId="11D5A332">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_Toc29334 </w:instrText>
      </w:r>
      <w:r>
        <w:rPr>
          <w:rFonts w:hAnsi="宋体"/>
          <w:bCs/>
          <w:caps/>
          <w:color w:val="auto"/>
          <w:szCs w:val="28"/>
          <w:highlight w:val="none"/>
        </w:rPr>
        <w:fldChar w:fldCharType="separate"/>
      </w:r>
      <w:r>
        <w:rPr>
          <w:rFonts w:hint="eastAsia" w:ascii="Times New Roman" w:hAnsi="Times New Roman"/>
          <w:color w:val="auto"/>
          <w:szCs w:val="20"/>
          <w:highlight w:val="none"/>
        </w:rPr>
        <w:t>第七章</w:t>
      </w:r>
      <w:r>
        <w:rPr>
          <w:rFonts w:ascii="Times New Roman" w:hAnsi="Times New Roman"/>
          <w:color w:val="auto"/>
          <w:szCs w:val="20"/>
          <w:highlight w:val="none"/>
        </w:rPr>
        <w:t xml:space="preserve"> </w:t>
      </w:r>
      <w:r>
        <w:rPr>
          <w:rFonts w:hint="eastAsia" w:ascii="Times New Roman" w:hAnsi="Times New Roman"/>
          <w:color w:val="auto"/>
          <w:szCs w:val="20"/>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_Toc29334 \h </w:instrText>
      </w:r>
      <w:r>
        <w:rPr>
          <w:color w:val="auto"/>
          <w:highlight w:val="none"/>
        </w:rPr>
        <w:fldChar w:fldCharType="separate"/>
      </w:r>
      <w:r>
        <w:rPr>
          <w:color w:val="auto"/>
          <w:highlight w:val="none"/>
        </w:rPr>
        <w:t>87</w:t>
      </w:r>
      <w:r>
        <w:rPr>
          <w:color w:val="auto"/>
          <w:highlight w:val="none"/>
        </w:rPr>
        <w:fldChar w:fldCharType="end"/>
      </w:r>
      <w:r>
        <w:rPr>
          <w:rFonts w:hAnsi="宋体"/>
          <w:bCs/>
          <w:caps/>
          <w:color w:val="auto"/>
          <w:szCs w:val="28"/>
          <w:highlight w:val="none"/>
          <w:u w:val="single"/>
        </w:rPr>
        <w:fldChar w:fldCharType="end"/>
      </w:r>
    </w:p>
    <w:p w14:paraId="55F9F608">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_Toc10679 </w:instrText>
      </w:r>
      <w:r>
        <w:rPr>
          <w:rFonts w:hAnsi="宋体"/>
          <w:bCs/>
          <w:caps/>
          <w:color w:val="auto"/>
          <w:szCs w:val="28"/>
          <w:highlight w:val="none"/>
        </w:rPr>
        <w:fldChar w:fldCharType="separate"/>
      </w:r>
      <w:r>
        <w:rPr>
          <w:rFonts w:hint="eastAsia" w:ascii="宋体" w:hAnsi="宋体" w:eastAsia="黑体"/>
          <w:color w:val="auto"/>
          <w:szCs w:val="32"/>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_Toc10679 \h </w:instrText>
      </w:r>
      <w:r>
        <w:rPr>
          <w:color w:val="auto"/>
          <w:highlight w:val="none"/>
        </w:rPr>
        <w:fldChar w:fldCharType="separate"/>
      </w:r>
      <w:r>
        <w:rPr>
          <w:color w:val="auto"/>
          <w:highlight w:val="none"/>
        </w:rPr>
        <w:t>88</w:t>
      </w:r>
      <w:r>
        <w:rPr>
          <w:color w:val="auto"/>
          <w:highlight w:val="none"/>
        </w:rPr>
        <w:fldChar w:fldCharType="end"/>
      </w:r>
      <w:r>
        <w:rPr>
          <w:rFonts w:hAnsi="宋体"/>
          <w:bCs/>
          <w:caps/>
          <w:color w:val="auto"/>
          <w:szCs w:val="28"/>
          <w:highlight w:val="none"/>
          <w:u w:val="single"/>
        </w:rPr>
        <w:fldChar w:fldCharType="end"/>
      </w:r>
    </w:p>
    <w:p w14:paraId="767DD583">
      <w:pPr>
        <w:pStyle w:val="22"/>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_Toc7959 </w:instrText>
      </w:r>
      <w:r>
        <w:rPr>
          <w:rFonts w:hAnsi="宋体"/>
          <w:bCs/>
          <w:caps/>
          <w:color w:val="auto"/>
          <w:szCs w:val="28"/>
          <w:highlight w:val="none"/>
        </w:rPr>
        <w:fldChar w:fldCharType="separate"/>
      </w:r>
      <w:r>
        <w:rPr>
          <w:rFonts w:hint="eastAsia" w:ascii="宋体" w:hAnsi="宋体" w:eastAsia="黑体"/>
          <w:color w:val="auto"/>
          <w:szCs w:val="32"/>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_Toc7959 \h </w:instrText>
      </w:r>
      <w:r>
        <w:rPr>
          <w:color w:val="auto"/>
          <w:highlight w:val="none"/>
        </w:rPr>
        <w:fldChar w:fldCharType="separate"/>
      </w:r>
      <w:r>
        <w:rPr>
          <w:color w:val="auto"/>
          <w:highlight w:val="none"/>
        </w:rPr>
        <w:t>90</w:t>
      </w:r>
      <w:r>
        <w:rPr>
          <w:color w:val="auto"/>
          <w:highlight w:val="none"/>
        </w:rPr>
        <w:fldChar w:fldCharType="end"/>
      </w:r>
      <w:r>
        <w:rPr>
          <w:rFonts w:hAnsi="宋体"/>
          <w:bCs/>
          <w:caps/>
          <w:color w:val="auto"/>
          <w:szCs w:val="28"/>
          <w:highlight w:val="none"/>
          <w:u w:val="single"/>
        </w:rPr>
        <w:fldChar w:fldCharType="end"/>
      </w:r>
    </w:p>
    <w:p w14:paraId="6FAA6487">
      <w:pPr>
        <w:rPr>
          <w:rFonts w:hint="eastAsia"/>
          <w:color w:val="auto"/>
          <w:highlight w:val="none"/>
        </w:rPr>
      </w:pPr>
      <w:r>
        <w:rPr>
          <w:rFonts w:hAnsi="宋体"/>
          <w:bCs/>
          <w:caps/>
          <w:color w:val="auto"/>
          <w:szCs w:val="28"/>
          <w:highlight w:val="none"/>
          <w:u w:val="single"/>
        </w:rPr>
        <w:fldChar w:fldCharType="end"/>
      </w:r>
      <w:bookmarkStart w:id="0" w:name="_Toc532545041"/>
    </w:p>
    <w:p w14:paraId="7CF2512E">
      <w:pPr>
        <w:pStyle w:val="2"/>
        <w:spacing w:before="0" w:after="0" w:line="360" w:lineRule="auto"/>
        <w:jc w:val="center"/>
        <w:rPr>
          <w:rFonts w:hint="eastAsia" w:ascii="宋体" w:hAnsi="宋体"/>
          <w:color w:val="auto"/>
          <w:sz w:val="36"/>
          <w:szCs w:val="36"/>
          <w:highlight w:val="none"/>
        </w:rPr>
      </w:pPr>
      <w:bookmarkStart w:id="1" w:name="_Toc31884"/>
      <w:r>
        <w:rPr>
          <w:rFonts w:hint="eastAsia"/>
          <w:color w:val="auto"/>
          <w:sz w:val="36"/>
          <w:szCs w:val="20"/>
          <w:highlight w:val="none"/>
        </w:rPr>
        <w:t>第一章</w:t>
      </w:r>
      <w:r>
        <w:rPr>
          <w:color w:val="auto"/>
          <w:sz w:val="36"/>
          <w:szCs w:val="20"/>
          <w:highlight w:val="none"/>
        </w:rPr>
        <w:t xml:space="preserve">  </w:t>
      </w:r>
      <w:r>
        <w:rPr>
          <w:rFonts w:hint="eastAsia"/>
          <w:color w:val="auto"/>
          <w:sz w:val="36"/>
          <w:szCs w:val="20"/>
          <w:highlight w:val="none"/>
        </w:rPr>
        <w:t>征集公告</w:t>
      </w:r>
      <w:bookmarkEnd w:id="0"/>
      <w:bookmarkEnd w:id="1"/>
    </w:p>
    <w:p w14:paraId="29F74308">
      <w:pPr>
        <w:spacing w:line="360" w:lineRule="auto"/>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征集公告</w:t>
      </w:r>
    </w:p>
    <w:p w14:paraId="417CDAE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0CF750B4">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olor w:val="auto"/>
          <w:szCs w:val="21"/>
          <w:highlight w:val="none"/>
          <w:u w:val="single"/>
        </w:rPr>
      </w:pPr>
      <w:r>
        <w:rPr>
          <w:rFonts w:hint="eastAsia" w:ascii="宋体" w:hAnsi="宋体"/>
          <w:color w:val="auto"/>
          <w:szCs w:val="21"/>
          <w:highlight w:val="none"/>
          <w:u w:val="single"/>
          <w:lang w:eastAsia="zh-CN"/>
        </w:rPr>
        <w:t>2025-2027年度东兴市车辆维修和保养服务框架协议采购</w:t>
      </w:r>
      <w:r>
        <w:rPr>
          <w:rFonts w:hint="eastAsia" w:ascii="宋体" w:hAnsi="宋体"/>
          <w:color w:val="auto"/>
          <w:szCs w:val="21"/>
          <w:highlight w:val="none"/>
          <w:u w:val="single"/>
        </w:rPr>
        <w:t>征集</w:t>
      </w:r>
      <w:r>
        <w:rPr>
          <w:rFonts w:hint="eastAsia" w:ascii="宋体" w:hAnsi="宋体"/>
          <w:color w:val="auto"/>
          <w:szCs w:val="21"/>
          <w:highlight w:val="none"/>
        </w:rPr>
        <w:t>项目的潜在供应商应在“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olor w:val="auto"/>
          <w:szCs w:val="21"/>
          <w:highlight w:val="none"/>
        </w:rPr>
        <w:t>）获取（下载）征集文件，并于</w:t>
      </w:r>
      <w:r>
        <w:rPr>
          <w:rFonts w:hint="eastAsia"/>
          <w:color w:val="auto"/>
          <w:highlight w:val="none"/>
          <w:u w:val="single"/>
        </w:rPr>
        <w:t xml:space="preserve"> </w:t>
      </w:r>
      <w:r>
        <w:rPr>
          <w:rFonts w:hint="eastAsia"/>
          <w:b/>
          <w:color w:val="auto"/>
          <w:highlight w:val="none"/>
          <w:u w:val="single"/>
          <w:lang w:val="en-US" w:eastAsia="zh-CN"/>
        </w:rPr>
        <w:t>2025</w:t>
      </w:r>
      <w:r>
        <w:rPr>
          <w:rFonts w:hint="eastAsia"/>
          <w:b/>
          <w:color w:val="auto"/>
          <w:highlight w:val="none"/>
          <w:u w:val="single"/>
        </w:rPr>
        <w:t>年</w:t>
      </w:r>
      <w:r>
        <w:rPr>
          <w:rFonts w:hint="eastAsia"/>
          <w:b/>
          <w:color w:val="auto"/>
          <w:highlight w:val="none"/>
          <w:u w:val="single"/>
          <w:lang w:val="en-US" w:eastAsia="zh-CN"/>
        </w:rPr>
        <w:t>11</w:t>
      </w:r>
      <w:r>
        <w:rPr>
          <w:rFonts w:hint="eastAsia"/>
          <w:b/>
          <w:color w:val="auto"/>
          <w:highlight w:val="none"/>
          <w:u w:val="single"/>
        </w:rPr>
        <w:t>月</w:t>
      </w:r>
      <w:r>
        <w:rPr>
          <w:rFonts w:hint="eastAsia"/>
          <w:b/>
          <w:color w:val="auto"/>
          <w:highlight w:val="none"/>
          <w:u w:val="single"/>
          <w:lang w:val="en-US" w:eastAsia="zh-CN"/>
        </w:rPr>
        <w:t>12</w:t>
      </w:r>
      <w:r>
        <w:rPr>
          <w:rFonts w:hint="eastAsia"/>
          <w:b/>
          <w:color w:val="auto"/>
          <w:highlight w:val="none"/>
          <w:u w:val="single"/>
        </w:rPr>
        <w:t>日 9时30 分</w:t>
      </w:r>
      <w:r>
        <w:rPr>
          <w:rFonts w:hint="eastAsia" w:ascii="宋体" w:hAnsi="宋体"/>
          <w:color w:val="auto"/>
          <w:szCs w:val="21"/>
          <w:highlight w:val="none"/>
        </w:rPr>
        <w:t>（北京时间）前按要求递交（上传）响应文件。</w:t>
      </w:r>
    </w:p>
    <w:p w14:paraId="082DF49D">
      <w:pPr>
        <w:spacing w:line="360" w:lineRule="auto"/>
        <w:rPr>
          <w:rFonts w:hint="eastAsia" w:ascii="黑体" w:hAnsi="黑体" w:eastAsia="黑体"/>
          <w:b/>
          <w:bCs/>
          <w:color w:val="auto"/>
          <w:sz w:val="24"/>
          <w:szCs w:val="24"/>
          <w:highlight w:val="none"/>
        </w:rPr>
      </w:pPr>
      <w:bookmarkStart w:id="2" w:name="_Toc35393621"/>
      <w:bookmarkStart w:id="3" w:name="_Toc28359079"/>
      <w:bookmarkStart w:id="4" w:name="_Toc28359002"/>
      <w:bookmarkStart w:id="5" w:name="_Toc35393790"/>
      <w:bookmarkStart w:id="6" w:name="_Hlk24379207"/>
      <w:r>
        <w:rPr>
          <w:rFonts w:hint="eastAsia" w:ascii="黑体" w:hAnsi="黑体" w:eastAsia="黑体"/>
          <w:b/>
          <w:bCs/>
          <w:color w:val="auto"/>
          <w:sz w:val="24"/>
          <w:szCs w:val="24"/>
          <w:highlight w:val="none"/>
        </w:rPr>
        <w:t>一、项目基本情况</w:t>
      </w:r>
      <w:bookmarkEnd w:id="2"/>
      <w:bookmarkEnd w:id="3"/>
      <w:bookmarkEnd w:id="4"/>
      <w:bookmarkEnd w:id="5"/>
    </w:p>
    <w:p w14:paraId="0F2D665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1.项目编号：</w:t>
      </w:r>
      <w:r>
        <w:rPr>
          <w:rFonts w:hint="eastAsia" w:ascii="宋体" w:hAnsi="宋体"/>
          <w:color w:val="auto"/>
          <w:szCs w:val="21"/>
          <w:highlight w:val="none"/>
          <w:lang w:eastAsia="zh-CN"/>
        </w:rPr>
        <w:t>FCZC2025-K3-810087-JGJD</w:t>
      </w:r>
    </w:p>
    <w:p w14:paraId="6A14625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2.项目名称：</w:t>
      </w:r>
      <w:bookmarkEnd w:id="6"/>
      <w:r>
        <w:rPr>
          <w:rFonts w:hint="eastAsia" w:ascii="宋体" w:hAnsi="宋体"/>
          <w:color w:val="auto"/>
          <w:szCs w:val="21"/>
          <w:highlight w:val="none"/>
          <w:lang w:eastAsia="zh-CN"/>
        </w:rPr>
        <w:t>2025-2027年度东兴市车辆维修和保养服务框架协议采购</w:t>
      </w:r>
    </w:p>
    <w:p w14:paraId="3EFFBA19">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3.最高限价：</w:t>
      </w:r>
      <w:r>
        <w:rPr>
          <w:rFonts w:hint="eastAsia" w:ascii="宋体" w:hAnsi="宋体"/>
          <w:color w:val="auto"/>
          <w:szCs w:val="21"/>
          <w:highlight w:val="none"/>
          <w:lang w:val="en-US" w:eastAsia="zh-CN"/>
        </w:rPr>
        <w:t>无</w:t>
      </w:r>
    </w:p>
    <w:p w14:paraId="6E683472">
      <w:pPr>
        <w:spacing w:line="360" w:lineRule="auto"/>
        <w:ind w:firstLine="420" w:firstLineChars="200"/>
        <w:rPr>
          <w:rFonts w:hint="eastAsia"/>
          <w:color w:val="auto"/>
          <w:highlight w:val="none"/>
        </w:rPr>
      </w:pPr>
      <w:r>
        <w:rPr>
          <w:rFonts w:hint="eastAsia" w:ascii="宋体" w:hAnsi="宋体"/>
          <w:color w:val="auto"/>
          <w:szCs w:val="21"/>
          <w:highlight w:val="none"/>
        </w:rPr>
        <w:t>4.采购需求：</w:t>
      </w:r>
      <w:bookmarkStart w:id="7" w:name="PO_3000001866_PM004"/>
    </w:p>
    <w:tbl>
      <w:tblPr>
        <w:tblStyle w:val="25"/>
        <w:tblW w:w="9370" w:type="dxa"/>
        <w:tblInd w:w="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62"/>
        <w:gridCol w:w="4558"/>
        <w:gridCol w:w="1350"/>
      </w:tblGrid>
      <w:tr w14:paraId="1CCE7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462" w:type="dxa"/>
            <w:tcBorders>
              <w:top w:val="single" w:color="auto" w:sz="4" w:space="0"/>
              <w:left w:val="single" w:color="auto" w:sz="4" w:space="0"/>
              <w:bottom w:val="single" w:color="auto" w:sz="4" w:space="0"/>
              <w:right w:val="single" w:color="auto" w:sz="4" w:space="0"/>
            </w:tcBorders>
            <w:noWrap w:val="0"/>
            <w:vAlign w:val="center"/>
          </w:tcPr>
          <w:p w14:paraId="6F77DA91">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采购名称</w:t>
            </w:r>
          </w:p>
        </w:tc>
        <w:tc>
          <w:tcPr>
            <w:tcW w:w="4558" w:type="dxa"/>
            <w:tcBorders>
              <w:top w:val="single" w:color="auto" w:sz="4" w:space="0"/>
              <w:left w:val="single" w:color="auto" w:sz="4" w:space="0"/>
              <w:bottom w:val="single" w:color="auto" w:sz="4" w:space="0"/>
              <w:right w:val="single" w:color="auto" w:sz="4" w:space="0"/>
            </w:tcBorders>
            <w:noWrap w:val="0"/>
            <w:vAlign w:val="center"/>
          </w:tcPr>
          <w:p w14:paraId="2C52B656">
            <w:pPr>
              <w:snapToGrid w:val="0"/>
              <w:spacing w:line="500" w:lineRule="exact"/>
              <w:jc w:val="center"/>
              <w:rPr>
                <w:rFonts w:hint="eastAsia" w:ascii="宋体" w:hAnsi="宋体"/>
                <w:color w:val="auto"/>
                <w:szCs w:val="21"/>
                <w:highlight w:val="none"/>
              </w:rPr>
            </w:pPr>
            <w:r>
              <w:rPr>
                <w:rFonts w:hint="eastAsia" w:ascii="宋体" w:hAnsi="宋体" w:cs="宋体"/>
                <w:color w:val="auto"/>
                <w:szCs w:val="21"/>
                <w:highlight w:val="none"/>
                <w:lang w:eastAsia="zh-CN"/>
              </w:rPr>
              <w:t>第</w:t>
            </w:r>
            <w:r>
              <w:rPr>
                <w:rFonts w:hint="eastAsia" w:ascii="宋体" w:hAnsi="宋体" w:cs="宋体"/>
                <w:color w:val="auto"/>
                <w:szCs w:val="21"/>
                <w:highlight w:val="none"/>
              </w:rPr>
              <w:t>一阶段供应商入围数量</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8C31228">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预算金额</w:t>
            </w:r>
          </w:p>
        </w:tc>
      </w:tr>
      <w:tr w14:paraId="1DD15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462" w:type="dxa"/>
            <w:tcBorders>
              <w:top w:val="single" w:color="auto" w:sz="4" w:space="0"/>
              <w:left w:val="single" w:color="auto" w:sz="4" w:space="0"/>
              <w:bottom w:val="single" w:color="auto" w:sz="4" w:space="0"/>
              <w:right w:val="single" w:color="auto" w:sz="4" w:space="0"/>
            </w:tcBorders>
            <w:noWrap w:val="0"/>
            <w:vAlign w:val="center"/>
          </w:tcPr>
          <w:p w14:paraId="7B14E534">
            <w:pPr>
              <w:snapToGrid w:val="0"/>
              <w:spacing w:line="500" w:lineRule="exact"/>
              <w:jc w:val="center"/>
              <w:rPr>
                <w:rFonts w:ascii="宋体" w:hAnsi="宋体"/>
                <w:color w:val="auto"/>
                <w:szCs w:val="21"/>
                <w:highlight w:val="none"/>
              </w:rPr>
            </w:pPr>
            <w:r>
              <w:rPr>
                <w:rFonts w:hint="eastAsia" w:ascii="宋体" w:hAnsi="宋体"/>
                <w:color w:val="auto"/>
                <w:szCs w:val="21"/>
                <w:highlight w:val="none"/>
                <w:lang w:eastAsia="zh-CN"/>
              </w:rPr>
              <w:t>2025-2027年度东兴市车辆维修和保养服务框架协议采购</w:t>
            </w:r>
          </w:p>
        </w:tc>
        <w:tc>
          <w:tcPr>
            <w:tcW w:w="4558" w:type="dxa"/>
            <w:tcBorders>
              <w:top w:val="single" w:color="auto" w:sz="4" w:space="0"/>
              <w:left w:val="single" w:color="auto" w:sz="4" w:space="0"/>
              <w:right w:val="single" w:color="auto" w:sz="4" w:space="0"/>
            </w:tcBorders>
            <w:noWrap w:val="0"/>
            <w:vAlign w:val="center"/>
          </w:tcPr>
          <w:p w14:paraId="7900D2B0">
            <w:pPr>
              <w:snapToGrid w:val="0"/>
              <w:spacing w:line="500" w:lineRule="exact"/>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确定入围供应商数量上限为6家，淘汰比例≥20%，且至少淘汰一家供应商。</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23C5FB9">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无</w:t>
            </w:r>
          </w:p>
        </w:tc>
      </w:tr>
    </w:tbl>
    <w:p w14:paraId="7A345E5F">
      <w:pPr>
        <w:keepNext w:val="0"/>
        <w:keepLines w:val="0"/>
        <w:pageBreakBefore w:val="0"/>
        <w:widowControl w:val="0"/>
        <w:kinsoku/>
        <w:wordWrap/>
        <w:overflowPunct/>
        <w:topLinePunct w:val="0"/>
        <w:autoSpaceDE/>
        <w:autoSpaceDN/>
        <w:bidi w:val="0"/>
        <w:adjustRightInd/>
        <w:snapToGrid/>
        <w:spacing w:before="167" w:beforeLines="50" w:line="360" w:lineRule="auto"/>
        <w:ind w:firstLine="420" w:firstLineChars="200"/>
        <w:textAlignment w:val="auto"/>
        <w:rPr>
          <w:color w:val="auto"/>
          <w:highlight w:val="none"/>
          <w:u w:val="single"/>
        </w:rPr>
      </w:pPr>
      <w:r>
        <w:rPr>
          <w:rFonts w:hint="eastAsia" w:ascii="宋体" w:hAnsi="宋体"/>
          <w:color w:val="auto"/>
          <w:szCs w:val="21"/>
          <w:highlight w:val="none"/>
        </w:rPr>
        <w:t>5.</w:t>
      </w:r>
      <w:r>
        <w:rPr>
          <w:color w:val="auto"/>
          <w:highlight w:val="none"/>
          <w:u w:val="none"/>
        </w:rPr>
        <w:t xml:space="preserve"> 适用本次框架协议的服务对象范围：</w:t>
      </w:r>
      <w:r>
        <w:rPr>
          <w:rFonts w:hint="eastAsia"/>
          <w:color w:val="auto"/>
          <w:highlight w:val="none"/>
          <w:u w:val="single"/>
          <w:lang w:val="en-US" w:eastAsia="zh-CN"/>
        </w:rPr>
        <w:t>东兴市各预算单位</w:t>
      </w:r>
    </w:p>
    <w:bookmarkEnd w:id="7"/>
    <w:p w14:paraId="0DC7F95A">
      <w:pPr>
        <w:spacing w:line="360" w:lineRule="auto"/>
        <w:ind w:firstLine="420" w:firstLineChars="200"/>
        <w:rPr>
          <w:rFonts w:hint="eastAsia" w:ascii="宋体" w:hAnsi="宋体" w:cs="宋体"/>
          <w:color w:val="auto"/>
          <w:highlight w:val="none"/>
        </w:rPr>
      </w:pPr>
      <w:r>
        <w:rPr>
          <w:rFonts w:hint="eastAsia" w:ascii="宋体" w:hAnsi="宋体"/>
          <w:color w:val="auto"/>
          <w:szCs w:val="21"/>
          <w:highlight w:val="none"/>
        </w:rPr>
        <w:t>6.</w:t>
      </w:r>
      <w:r>
        <w:rPr>
          <w:rFonts w:hint="eastAsia"/>
          <w:i w:val="0"/>
          <w:iCs w:val="0"/>
          <w:color w:val="auto"/>
          <w:highlight w:val="none"/>
          <w:u w:val="none"/>
        </w:rPr>
        <w:t>框架协议的期限</w:t>
      </w:r>
      <w:r>
        <w:rPr>
          <w:rFonts w:hint="eastAsia" w:ascii="宋体" w:hAnsi="宋体"/>
          <w:i w:val="0"/>
          <w:iCs w:val="0"/>
          <w:color w:val="auto"/>
          <w:szCs w:val="21"/>
          <w:highlight w:val="none"/>
          <w:u w:val="none"/>
        </w:rPr>
        <w:t>：</w:t>
      </w:r>
      <w:r>
        <w:rPr>
          <w:rFonts w:hint="eastAsia" w:ascii="宋体" w:hAnsi="宋体"/>
          <w:i w:val="0"/>
          <w:iCs w:val="0"/>
          <w:color w:val="auto"/>
          <w:szCs w:val="21"/>
          <w:highlight w:val="none"/>
          <w:u w:val="none"/>
          <w:lang w:eastAsia="zh-CN"/>
        </w:rPr>
        <w:t>自合同签订之日起两年</w:t>
      </w:r>
      <w:r>
        <w:rPr>
          <w:rFonts w:hint="eastAsia" w:ascii="宋体" w:hAnsi="宋体" w:cs="宋体"/>
          <w:color w:val="auto"/>
          <w:highlight w:val="none"/>
        </w:rPr>
        <w:t>。</w:t>
      </w:r>
    </w:p>
    <w:p w14:paraId="679F68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7.本项目是否接受联合体投标：否。</w:t>
      </w:r>
    </w:p>
    <w:p w14:paraId="4C5D2FED">
      <w:pPr>
        <w:spacing w:line="360" w:lineRule="auto"/>
        <w:rPr>
          <w:rFonts w:hint="eastAsia" w:ascii="黑体" w:hAnsi="黑体" w:eastAsia="黑体"/>
          <w:b/>
          <w:bCs/>
          <w:color w:val="auto"/>
          <w:sz w:val="24"/>
          <w:szCs w:val="24"/>
          <w:highlight w:val="none"/>
        </w:rPr>
      </w:pPr>
      <w:bookmarkStart w:id="8" w:name="_Toc28359080"/>
      <w:bookmarkStart w:id="9" w:name="_Toc28359003"/>
      <w:bookmarkStart w:id="10" w:name="_Toc35393791"/>
      <w:bookmarkStart w:id="11" w:name="_Toc35393622"/>
      <w:r>
        <w:rPr>
          <w:rFonts w:hint="eastAsia" w:ascii="黑体" w:hAnsi="黑体" w:eastAsia="黑体"/>
          <w:b/>
          <w:bCs/>
          <w:color w:val="auto"/>
          <w:sz w:val="24"/>
          <w:szCs w:val="24"/>
          <w:highlight w:val="none"/>
        </w:rPr>
        <w:t>二、供应商的资格要求：</w:t>
      </w:r>
      <w:bookmarkEnd w:id="8"/>
      <w:bookmarkEnd w:id="9"/>
      <w:bookmarkEnd w:id="10"/>
      <w:bookmarkEnd w:id="11"/>
    </w:p>
    <w:p w14:paraId="6EEFE0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830EE2F">
      <w:pPr>
        <w:spacing w:line="360" w:lineRule="auto"/>
        <w:ind w:firstLine="420" w:firstLineChars="200"/>
        <w:rPr>
          <w:rFonts w:hint="eastAsia" w:ascii="宋体" w:hAnsi="宋体"/>
          <w:color w:val="auto"/>
          <w:szCs w:val="21"/>
          <w:highlight w:val="none"/>
        </w:rPr>
      </w:pPr>
      <w:bookmarkStart w:id="12" w:name="_Toc28359081"/>
      <w:bookmarkStart w:id="13" w:name="_Toc28359004"/>
      <w:r>
        <w:rPr>
          <w:rFonts w:hint="eastAsia" w:ascii="宋体" w:hAnsi="宋体"/>
          <w:color w:val="auto"/>
          <w:szCs w:val="21"/>
          <w:highlight w:val="none"/>
        </w:rPr>
        <w:t>2.落实政府采购政策需满足的资格要求：</w:t>
      </w:r>
    </w:p>
    <w:p w14:paraId="2DE1BBBB">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sym w:font="Wingdings 2" w:char="0052"/>
      </w:r>
      <w:r>
        <w:rPr>
          <w:rFonts w:hint="eastAsia" w:ascii="宋体" w:hAnsi="宋体" w:cs="宋体"/>
          <w:color w:val="auto"/>
          <w:szCs w:val="21"/>
          <w:highlight w:val="none"/>
        </w:rPr>
        <w:t>专门面向中小企业采购的项目（供应商应为中小微企业、监狱企业、残疾人福利性单位)</w:t>
      </w:r>
    </w:p>
    <w:p w14:paraId="1552B4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具有交通行政主管部门审核批准或同意备案的</w:t>
      </w:r>
      <w:r>
        <w:rPr>
          <w:rFonts w:hint="eastAsia" w:ascii="宋体" w:hAnsi="宋体"/>
          <w:color w:val="auto"/>
          <w:szCs w:val="21"/>
          <w:highlight w:val="none"/>
          <w:lang w:val="en-US" w:eastAsia="zh-CN"/>
        </w:rPr>
        <w:t>三</w:t>
      </w:r>
      <w:r>
        <w:rPr>
          <w:rFonts w:hint="eastAsia" w:ascii="宋体" w:hAnsi="宋体"/>
          <w:color w:val="auto"/>
          <w:szCs w:val="21"/>
          <w:highlight w:val="none"/>
        </w:rPr>
        <w:t>类以上（含</w:t>
      </w:r>
      <w:r>
        <w:rPr>
          <w:rFonts w:hint="eastAsia" w:ascii="宋体" w:hAnsi="宋体"/>
          <w:color w:val="auto"/>
          <w:szCs w:val="21"/>
          <w:highlight w:val="none"/>
          <w:lang w:val="en-US" w:eastAsia="zh-CN"/>
        </w:rPr>
        <w:t>三</w:t>
      </w:r>
      <w:r>
        <w:rPr>
          <w:rFonts w:hint="eastAsia" w:ascii="宋体" w:hAnsi="宋体"/>
          <w:color w:val="auto"/>
          <w:szCs w:val="21"/>
          <w:highlight w:val="none"/>
        </w:rPr>
        <w:t>类）机动车维修服务企业（许可或备案在有效期内）。</w:t>
      </w:r>
    </w:p>
    <w:p w14:paraId="2E5BB4EB">
      <w:pPr>
        <w:snapToGrid w:val="0"/>
        <w:spacing w:line="420" w:lineRule="exact"/>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rPr>
        <w:t>4.本项目的特定条件：</w:t>
      </w:r>
      <w:r>
        <w:rPr>
          <w:rFonts w:hint="eastAsia"/>
          <w:color w:val="auto"/>
          <w:highlight w:val="none"/>
          <w:u w:val="none"/>
        </w:rPr>
        <w:t>无；</w:t>
      </w:r>
    </w:p>
    <w:p w14:paraId="2C39D7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p>
    <w:p w14:paraId="422840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A24E0CD">
      <w:pPr>
        <w:spacing w:line="360" w:lineRule="auto"/>
        <w:rPr>
          <w:rFonts w:hint="eastAsia" w:ascii="宋体" w:hAnsi="宋体" w:cs="宋体"/>
          <w:b/>
          <w:bCs/>
          <w:color w:val="auto"/>
          <w:sz w:val="24"/>
          <w:szCs w:val="24"/>
          <w:highlight w:val="none"/>
        </w:rPr>
      </w:pPr>
      <w:bookmarkStart w:id="14" w:name="_Toc12028"/>
      <w:bookmarkStart w:id="15" w:name="_Toc7096"/>
      <w:r>
        <w:rPr>
          <w:rFonts w:hint="eastAsia" w:ascii="黑体" w:hAnsi="黑体" w:eastAsia="黑体"/>
          <w:b/>
          <w:bCs/>
          <w:color w:val="auto"/>
          <w:sz w:val="24"/>
          <w:szCs w:val="24"/>
          <w:highlight w:val="none"/>
        </w:rPr>
        <w:t>三</w:t>
      </w:r>
      <w:r>
        <w:rPr>
          <w:rFonts w:hint="eastAsia" w:ascii="宋体" w:hAnsi="宋体" w:cs="宋体"/>
          <w:b/>
          <w:bCs/>
          <w:color w:val="auto"/>
          <w:sz w:val="24"/>
          <w:szCs w:val="24"/>
          <w:highlight w:val="none"/>
        </w:rPr>
        <w:t>、获取征集文件</w:t>
      </w:r>
      <w:bookmarkEnd w:id="14"/>
      <w:bookmarkEnd w:id="15"/>
    </w:p>
    <w:p w14:paraId="5568B2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时间：</w:t>
      </w:r>
      <w:r>
        <w:rPr>
          <w:rFonts w:hint="eastAsia"/>
          <w:b/>
          <w:color w:val="auto"/>
          <w:highlight w:val="none"/>
          <w:u w:val="single"/>
          <w:lang w:val="en-US" w:eastAsia="zh-CN"/>
        </w:rPr>
        <w:t xml:space="preserve">2025年10月21日至2025年10月28日 </w:t>
      </w:r>
      <w:r>
        <w:rPr>
          <w:rFonts w:hint="eastAsia"/>
          <w:b w:val="0"/>
          <w:bCs/>
          <w:color w:val="auto"/>
          <w:highlight w:val="none"/>
          <w:u w:val="none"/>
          <w:lang w:val="en-US" w:eastAsia="zh-CN"/>
        </w:rPr>
        <w:t>，每天上午08:00至11:59 ，下午12:00至23:59（北京时间，法定节假日除外）。</w:t>
      </w:r>
    </w:p>
    <w:p w14:paraId="4085F9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获取方式:网上下载。本项目不发放纸质文件，供应商可自行在“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olor w:val="auto"/>
          <w:szCs w:val="21"/>
          <w:highlight w:val="none"/>
        </w:rPr>
        <w:t>）下载</w:t>
      </w:r>
      <w:r>
        <w:rPr>
          <w:rFonts w:hint="eastAsia" w:ascii="宋体" w:hAnsi="宋体"/>
          <w:color w:val="auto"/>
          <w:szCs w:val="21"/>
          <w:highlight w:val="none"/>
          <w:lang w:eastAsia="zh-CN"/>
        </w:rPr>
        <w:t>征集文件</w:t>
      </w:r>
      <w:r>
        <w:rPr>
          <w:rFonts w:hint="eastAsia" w:ascii="宋体" w:hAnsi="宋体"/>
          <w:color w:val="auto"/>
          <w:szCs w:val="21"/>
          <w:highlight w:val="none"/>
        </w:rPr>
        <w:t>（操作路径：登录“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”-项目采购-获取采购文件-找到本项目-点击“申请获取采购文件”），电子投标文件制作需要基于“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”获取的</w:t>
      </w:r>
      <w:r>
        <w:rPr>
          <w:rFonts w:hint="eastAsia" w:ascii="宋体" w:hAnsi="宋体"/>
          <w:color w:val="auto"/>
          <w:szCs w:val="21"/>
          <w:highlight w:val="none"/>
          <w:lang w:eastAsia="zh-CN"/>
        </w:rPr>
        <w:t>征集文件</w:t>
      </w:r>
      <w:r>
        <w:rPr>
          <w:rFonts w:hint="eastAsia" w:ascii="宋体" w:hAnsi="宋体"/>
          <w:color w:val="auto"/>
          <w:szCs w:val="21"/>
          <w:highlight w:val="none"/>
        </w:rPr>
        <w:t>编制。</w:t>
      </w:r>
    </w:p>
    <w:p w14:paraId="33CD62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53F08DA6">
      <w:pPr>
        <w:spacing w:line="360" w:lineRule="auto"/>
        <w:rPr>
          <w:rFonts w:hint="eastAsia" w:ascii="宋体" w:hAnsi="宋体" w:cs="宋体"/>
          <w:b/>
          <w:bCs/>
          <w:color w:val="auto"/>
          <w:sz w:val="24"/>
          <w:szCs w:val="24"/>
          <w:highlight w:val="none"/>
        </w:rPr>
      </w:pPr>
      <w:bookmarkStart w:id="16" w:name="_Toc26645"/>
      <w:bookmarkStart w:id="17" w:name="_Toc5668"/>
      <w:r>
        <w:rPr>
          <w:rFonts w:hint="eastAsia" w:ascii="宋体" w:hAnsi="宋体" w:cs="宋体"/>
          <w:b/>
          <w:bCs/>
          <w:color w:val="auto"/>
          <w:sz w:val="24"/>
          <w:szCs w:val="24"/>
          <w:highlight w:val="none"/>
        </w:rPr>
        <w:t>四、提交响应文件截止时间、开标时间和地点</w:t>
      </w:r>
      <w:bookmarkEnd w:id="16"/>
      <w:bookmarkEnd w:id="17"/>
    </w:p>
    <w:p w14:paraId="1372C24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1.提交响应文件截止时间和开标时间</w:t>
      </w:r>
      <w:r>
        <w:rPr>
          <w:rFonts w:hint="eastAsia"/>
          <w:color w:val="auto"/>
          <w:highlight w:val="none"/>
          <w:u w:val="single"/>
        </w:rPr>
        <w:t>：</w:t>
      </w:r>
      <w:r>
        <w:rPr>
          <w:rFonts w:hint="eastAsia"/>
          <w:b/>
          <w:color w:val="auto"/>
          <w:highlight w:val="none"/>
          <w:u w:val="single"/>
          <w:lang w:val="en-US" w:eastAsia="zh-CN"/>
        </w:rPr>
        <w:t>2025</w:t>
      </w:r>
      <w:r>
        <w:rPr>
          <w:rFonts w:hint="eastAsia"/>
          <w:b/>
          <w:color w:val="auto"/>
          <w:highlight w:val="none"/>
          <w:u w:val="single"/>
        </w:rPr>
        <w:t>年</w:t>
      </w:r>
      <w:r>
        <w:rPr>
          <w:rFonts w:hint="eastAsia"/>
          <w:b/>
          <w:color w:val="auto"/>
          <w:highlight w:val="none"/>
          <w:u w:val="single"/>
          <w:lang w:val="en-US" w:eastAsia="zh-CN"/>
        </w:rPr>
        <w:t>11</w:t>
      </w:r>
      <w:r>
        <w:rPr>
          <w:rFonts w:hint="eastAsia"/>
          <w:b/>
          <w:color w:val="auto"/>
          <w:highlight w:val="none"/>
          <w:u w:val="single"/>
        </w:rPr>
        <w:t>月</w:t>
      </w:r>
      <w:r>
        <w:rPr>
          <w:rFonts w:hint="eastAsia"/>
          <w:b/>
          <w:color w:val="auto"/>
          <w:highlight w:val="none"/>
          <w:u w:val="single"/>
          <w:lang w:val="en-US" w:eastAsia="zh-CN"/>
        </w:rPr>
        <w:t>12</w:t>
      </w:r>
      <w:r>
        <w:rPr>
          <w:rFonts w:hint="eastAsia"/>
          <w:b/>
          <w:color w:val="auto"/>
          <w:highlight w:val="none"/>
          <w:u w:val="single"/>
        </w:rPr>
        <w:t>日9时30分（北京时间）</w:t>
      </w:r>
    </w:p>
    <w:p w14:paraId="3D2173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2.响应文件提交地点：</w:t>
      </w:r>
    </w:p>
    <w:p w14:paraId="60154E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（1）响应文件提交方式：本项目为全流程电子化项目，通过“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”（https：//www.zcygov.cn）实行在线电子响应，供应商应先安装“</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进行下载），并按照本项目征集文件和“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”的要求编制、加密后在响应截止时间前通过网络上传至“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”，供应商在“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”平台提交电子版响应文件时，请填写参加远程开标活动经办人联系方式，电子响应具体操作流程详见本公告附件。</w:t>
      </w:r>
    </w:p>
    <w:p w14:paraId="51643B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响应截止时间前，完成电子交易平台上的CA数字证书办理（申领流程见本公告附件）及响应文件的提交。完成CA数字证书办理预计7日左右，供应商只需办理其中一家CA数字证书及签章，建议各供应商抓紧时间办理。</w:t>
      </w:r>
    </w:p>
    <w:p w14:paraId="0B17C4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（3）为确保网上操作合法、有效和安全，请响应供应商确保在电子响应过程中能够对相关数据电文进行加密和使用电子签章，妥善保管CA数字证书并使用有效的CA数字证书参与整个征集活动。</w:t>
      </w:r>
    </w:p>
    <w:p w14:paraId="7424430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注：供应商应当在响应截止时间前完成电子响应文件的上传、递交，响应截止时间前可以补充、修改或者撤回响应文件。补充或者修改响应文件的，应当先行撤回原文件，补充、修改后重新上传、递交。响应截止时间前未完成上传、递交的，视为撤回响应文件。响应截止时间以后上传递交的响应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将予以拒收。</w:t>
      </w:r>
    </w:p>
    <w:p w14:paraId="680AB72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b/>
          <w:color w:val="auto"/>
          <w:szCs w:val="21"/>
          <w:highlight w:val="none"/>
        </w:rPr>
        <w:t>开标地点：</w:t>
      </w:r>
      <w:r>
        <w:rPr>
          <w:rFonts w:hint="eastAsia" w:ascii="宋体" w:hAnsi="宋体"/>
          <w:color w:val="auto"/>
          <w:szCs w:val="21"/>
          <w:highlight w:val="none"/>
        </w:rPr>
        <w:t>本次招标在“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电子开标大厅开标。</w:t>
      </w:r>
    </w:p>
    <w:p w14:paraId="5AA36CD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（5）CA证书在线解密：供应商响应时，需携带制作响应文件时用来加密的有效数字证书（CA认证）登录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电子采购大厅现场按规定时间对加密的响应文件进行解密，否则后果自负。</w:t>
      </w:r>
    </w:p>
    <w:p w14:paraId="05C1F0EB">
      <w:pPr>
        <w:spacing w:line="360" w:lineRule="auto"/>
        <w:rPr>
          <w:rFonts w:hint="eastAsia" w:ascii="宋体" w:hAnsi="宋体" w:cs="宋体"/>
          <w:b/>
          <w:bCs/>
          <w:color w:val="auto"/>
          <w:sz w:val="24"/>
          <w:szCs w:val="24"/>
          <w:highlight w:val="none"/>
        </w:rPr>
      </w:pPr>
      <w:bookmarkStart w:id="18" w:name="_Toc30115"/>
      <w:bookmarkStart w:id="19" w:name="_Toc28558"/>
      <w:r>
        <w:rPr>
          <w:rFonts w:hint="eastAsia" w:ascii="宋体" w:hAnsi="宋体" w:cs="宋体"/>
          <w:b/>
          <w:bCs/>
          <w:color w:val="auto"/>
          <w:sz w:val="24"/>
          <w:szCs w:val="24"/>
          <w:highlight w:val="none"/>
        </w:rPr>
        <w:t>五、公告期限</w:t>
      </w:r>
      <w:bookmarkEnd w:id="18"/>
      <w:bookmarkEnd w:id="19"/>
    </w:p>
    <w:p w14:paraId="602D03A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97AA937">
      <w:pPr>
        <w:spacing w:line="360" w:lineRule="auto"/>
        <w:rPr>
          <w:rFonts w:hint="eastAsia" w:ascii="宋体" w:hAnsi="宋体" w:cs="宋体"/>
          <w:b/>
          <w:bCs/>
          <w:color w:val="auto"/>
          <w:sz w:val="24"/>
          <w:szCs w:val="24"/>
          <w:highlight w:val="none"/>
        </w:rPr>
      </w:pPr>
      <w:bookmarkStart w:id="20" w:name="_Toc5340"/>
      <w:bookmarkStart w:id="21" w:name="_Toc30769"/>
      <w:r>
        <w:rPr>
          <w:rFonts w:hint="eastAsia" w:ascii="宋体" w:hAnsi="宋体" w:cs="宋体"/>
          <w:b/>
          <w:bCs/>
          <w:color w:val="auto"/>
          <w:sz w:val="24"/>
          <w:szCs w:val="24"/>
          <w:highlight w:val="none"/>
        </w:rPr>
        <w:t>六、其他补充事宜</w:t>
      </w:r>
      <w:bookmarkEnd w:id="20"/>
      <w:bookmarkEnd w:id="21"/>
    </w:p>
    <w:p w14:paraId="5D3BC958">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1.响应保证金：本项目不收取响应保证金</w:t>
      </w:r>
    </w:p>
    <w:p w14:paraId="0873D9EF">
      <w:pPr>
        <w:wordWrap w:val="0"/>
        <w:spacing w:line="420" w:lineRule="exact"/>
        <w:ind w:firstLine="420" w:firstLineChars="200"/>
        <w:jc w:val="left"/>
        <w:rPr>
          <w:rFonts w:hint="eastAsia" w:ascii="宋体" w:hAnsi="宋体" w:cs="宋体"/>
          <w:color w:val="auto"/>
          <w:kern w:val="0"/>
          <w:szCs w:val="21"/>
          <w:highlight w:val="none"/>
        </w:rPr>
      </w:pPr>
      <w:bookmarkStart w:id="22" w:name="_Hlk37429585"/>
      <w:r>
        <w:rPr>
          <w:rFonts w:hint="eastAsia" w:ascii="宋体" w:hAnsi="宋体" w:cs="宋体"/>
          <w:color w:val="auto"/>
          <w:kern w:val="0"/>
          <w:szCs w:val="21"/>
          <w:highlight w:val="none"/>
        </w:rPr>
        <w:t>2.</w:t>
      </w:r>
      <w:bookmarkStart w:id="23" w:name="_Hlk37429595"/>
      <w:r>
        <w:rPr>
          <w:rFonts w:hint="eastAsia" w:ascii="宋体" w:hAnsi="宋体" w:cs="宋体"/>
          <w:color w:val="auto"/>
          <w:kern w:val="0"/>
          <w:szCs w:val="21"/>
          <w:highlight w:val="none"/>
        </w:rPr>
        <w:t>网上查询地址</w:t>
      </w:r>
      <w:bookmarkEnd w:id="22"/>
      <w:bookmarkEnd w:id="23"/>
      <w:r>
        <w:rPr>
          <w:rFonts w:hint="eastAsia" w:ascii="宋体" w:hAnsi="宋体" w:cs="宋体"/>
          <w:color w:val="auto"/>
          <w:kern w:val="0"/>
          <w:szCs w:val="21"/>
          <w:highlight w:val="none"/>
        </w:rPr>
        <w:t>：中国政府采购网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广西政府采购网</w:t>
      </w:r>
      <w:r>
        <w:rPr>
          <w:rFonts w:hint="eastAsia" w:ascii="宋体" w:hAnsi="宋体" w:cs="宋体"/>
          <w:color w:val="auto"/>
          <w:kern w:val="0"/>
          <w:szCs w:val="21"/>
          <w:highlight w:val="none"/>
          <w:lang w:eastAsia="zh-CN"/>
        </w:rPr>
        <w:t>、东兴市人民政府门户网站、全国公共资源交易平台（广西·防城港）</w:t>
      </w:r>
    </w:p>
    <w:p w14:paraId="35011EDE">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p w14:paraId="410C82BD">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12CD772">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B8734FA">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615F30D0">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503E4A9">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789F6E57">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扶持不发达地区和少数民族地区政策</w:t>
      </w:r>
    </w:p>
    <w:p w14:paraId="5B4F39DA">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供应商认为采购文件使自己的权益受到损害的，可以在知道或者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14:paraId="26EE1D7D">
      <w:pPr>
        <w:wordWrap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获取热线服务帮助。</w:t>
      </w:r>
    </w:p>
    <w:p w14:paraId="1D1F7CD2">
      <w:pPr>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6、本项目采用远程异地评标，评标主场设在防城港市公共资源交易中心，评标副场设在</w:t>
      </w:r>
      <w:r>
        <w:rPr>
          <w:rFonts w:hint="eastAsia" w:ascii="宋体" w:hAnsi="宋体" w:cs="宋体"/>
          <w:color w:val="auto"/>
          <w:kern w:val="0"/>
          <w:szCs w:val="21"/>
          <w:highlight w:val="none"/>
          <w:lang w:val="en-US" w:eastAsia="zh-CN"/>
        </w:rPr>
        <w:t>柳州市公共资源交易中心</w:t>
      </w:r>
      <w:r>
        <w:rPr>
          <w:rFonts w:hint="eastAsia" w:ascii="宋体" w:hAnsi="宋体" w:eastAsia="宋体" w:cs="宋体"/>
          <w:color w:val="auto"/>
          <w:kern w:val="0"/>
          <w:szCs w:val="21"/>
          <w:highlight w:val="none"/>
          <w:lang w:val="en-US" w:eastAsia="zh-CN"/>
        </w:rPr>
        <w:t>。 </w:t>
      </w:r>
    </w:p>
    <w:p w14:paraId="580FB522">
      <w:pPr>
        <w:spacing w:line="400" w:lineRule="exact"/>
        <w:ind w:firstLine="420" w:firstLineChars="200"/>
        <w:rPr>
          <w:rFonts w:hint="eastAsia" w:ascii="宋体" w:hAnsi="宋体"/>
          <w:b/>
          <w:bCs/>
          <w:color w:val="auto"/>
          <w:szCs w:val="21"/>
          <w:highlight w:val="none"/>
        </w:rPr>
      </w:pPr>
      <w:r>
        <w:rPr>
          <w:rStyle w:val="40"/>
          <w:rFonts w:hint="eastAsia" w:ascii="宋体" w:hAnsi="宋体" w:cs="宋体"/>
          <w:color w:val="auto"/>
          <w:szCs w:val="21"/>
          <w:highlight w:val="none"/>
          <w:lang w:val="en-US" w:eastAsia="zh-CN"/>
        </w:rPr>
        <w:t>7</w:t>
      </w:r>
      <w:r>
        <w:rPr>
          <w:rStyle w:val="40"/>
          <w:rFonts w:hint="eastAsia" w:ascii="宋体" w:hAnsi="宋体" w:eastAsia="宋体" w:cs="宋体"/>
          <w:color w:val="auto"/>
          <w:szCs w:val="21"/>
          <w:highlight w:val="none"/>
          <w:lang w:val="en-US" w:eastAsia="zh-CN"/>
        </w:rPr>
        <w:t>、监督部门：东兴市政府采购中心</w:t>
      </w:r>
      <w:r>
        <w:rPr>
          <w:rStyle w:val="40"/>
          <w:rFonts w:hint="eastAsia" w:ascii="宋体" w:hAnsi="宋体" w:cs="宋体"/>
          <w:color w:val="auto"/>
          <w:szCs w:val="21"/>
          <w:highlight w:val="none"/>
          <w:lang w:val="en-US" w:eastAsia="zh-CN"/>
        </w:rPr>
        <w:t xml:space="preserve">  </w:t>
      </w:r>
      <w:r>
        <w:rPr>
          <w:rStyle w:val="40"/>
          <w:rFonts w:hint="eastAsia" w:ascii="宋体" w:hAnsi="宋体" w:eastAsia="宋体" w:cs="宋体"/>
          <w:color w:val="auto"/>
          <w:szCs w:val="21"/>
          <w:highlight w:val="none"/>
          <w:lang w:val="en-US" w:eastAsia="zh-CN"/>
        </w:rPr>
        <w:t>电 话：0770-7690518</w:t>
      </w:r>
    </w:p>
    <w:p w14:paraId="22837EAE">
      <w:pPr>
        <w:pStyle w:val="12"/>
        <w:rPr>
          <w:rFonts w:hint="eastAsia"/>
          <w:color w:val="auto"/>
          <w:highlight w:val="none"/>
        </w:rPr>
      </w:pPr>
    </w:p>
    <w:p w14:paraId="6B8EFC4D">
      <w:pPr>
        <w:spacing w:line="360" w:lineRule="auto"/>
        <w:rPr>
          <w:rFonts w:hint="eastAsia" w:ascii="宋体" w:hAnsi="宋体" w:cs="宋体"/>
          <w:b/>
          <w:bCs/>
          <w:color w:val="auto"/>
          <w:sz w:val="24"/>
          <w:szCs w:val="24"/>
          <w:highlight w:val="none"/>
        </w:rPr>
      </w:pPr>
      <w:bookmarkStart w:id="24" w:name="_Toc4817"/>
      <w:bookmarkStart w:id="25" w:name="_Toc18490"/>
      <w:r>
        <w:rPr>
          <w:rFonts w:hint="eastAsia" w:ascii="宋体" w:hAnsi="宋体" w:cs="宋体"/>
          <w:b/>
          <w:bCs/>
          <w:color w:val="auto"/>
          <w:sz w:val="24"/>
          <w:szCs w:val="24"/>
          <w:highlight w:val="none"/>
        </w:rPr>
        <w:t>七、对本次征集提出询问，请按以下方式联系。</w:t>
      </w:r>
      <w:bookmarkEnd w:id="24"/>
      <w:bookmarkEnd w:id="25"/>
    </w:p>
    <w:bookmarkEnd w:id="12"/>
    <w:bookmarkEnd w:id="13"/>
    <w:p w14:paraId="17D80778">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　　　  1.项目监管部门信息</w:t>
      </w:r>
    </w:p>
    <w:p w14:paraId="57BAEF9A">
      <w:pPr>
        <w:spacing w:line="360" w:lineRule="auto"/>
        <w:ind w:left="1041" w:leftChars="371" w:hanging="262" w:hangingChars="125"/>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r>
        <w:rPr>
          <w:rFonts w:hint="eastAsia"/>
          <w:color w:val="auto"/>
          <w:highlight w:val="none"/>
          <w:u w:val="single"/>
          <w:lang w:eastAsia="zh-CN"/>
        </w:rPr>
        <w:t>东兴市财政局</w:t>
      </w:r>
    </w:p>
    <w:p w14:paraId="18FA4CE6">
      <w:pPr>
        <w:spacing w:line="360" w:lineRule="auto"/>
        <w:ind w:left="1041" w:leftChars="371" w:hanging="262" w:hangingChars="125"/>
        <w:jc w:val="lef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地址：</w:t>
      </w:r>
      <w:r>
        <w:rPr>
          <w:rFonts w:hint="eastAsia" w:ascii="宋体" w:hAnsi="宋体"/>
          <w:color w:val="auto"/>
          <w:szCs w:val="21"/>
          <w:highlight w:val="none"/>
          <w:u w:val="single"/>
        </w:rPr>
        <w:t>广西壮族自治区防城港市东兴市财源路33号</w:t>
      </w:r>
    </w:p>
    <w:p w14:paraId="3193582C">
      <w:pPr>
        <w:spacing w:line="360" w:lineRule="auto"/>
        <w:ind w:firstLine="735" w:firstLineChars="350"/>
        <w:rPr>
          <w:rFonts w:hint="eastAsia" w:eastAsia="宋体"/>
          <w:color w:val="auto"/>
          <w:highlight w:val="none"/>
          <w:u w:val="single"/>
          <w:lang w:eastAsia="zh-CN"/>
        </w:rPr>
      </w:pPr>
      <w:r>
        <w:rPr>
          <w:rFonts w:hint="eastAsia" w:ascii="宋体" w:hAnsi="宋体"/>
          <w:color w:val="auto"/>
          <w:szCs w:val="20"/>
          <w:highlight w:val="none"/>
        </w:rPr>
        <w:t>项目联系人：</w:t>
      </w:r>
      <w:r>
        <w:rPr>
          <w:rFonts w:hint="eastAsia" w:ascii="宋体" w:hAnsi="宋体"/>
          <w:color w:val="auto"/>
          <w:szCs w:val="20"/>
          <w:highlight w:val="none"/>
          <w:u w:val="single"/>
          <w:lang w:eastAsia="zh-CN"/>
        </w:rPr>
        <w:t>邓荣震</w:t>
      </w:r>
    </w:p>
    <w:p w14:paraId="0F0DC2BA">
      <w:pPr>
        <w:spacing w:line="360" w:lineRule="auto"/>
        <w:ind w:left="1041" w:leftChars="371" w:hanging="262" w:hangingChars="125"/>
        <w:jc w:val="lef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联系电话：</w:t>
      </w:r>
      <w:r>
        <w:rPr>
          <w:rFonts w:hint="eastAsia" w:ascii="宋体" w:hAnsi="宋体"/>
          <w:color w:val="auto"/>
          <w:szCs w:val="20"/>
          <w:highlight w:val="none"/>
          <w:u w:val="single"/>
          <w:lang w:eastAsia="zh-CN"/>
        </w:rPr>
        <w:t>0770</w:t>
      </w:r>
      <w:r>
        <w:rPr>
          <w:rFonts w:hint="eastAsia" w:ascii="宋体" w:hAnsi="宋体"/>
          <w:color w:val="auto"/>
          <w:szCs w:val="20"/>
          <w:highlight w:val="none"/>
          <w:u w:val="single"/>
          <w:lang w:val="en-US" w:eastAsia="zh-CN"/>
        </w:rPr>
        <w:t>-</w:t>
      </w:r>
      <w:r>
        <w:rPr>
          <w:rFonts w:hint="eastAsia" w:ascii="宋体" w:hAnsi="宋体"/>
          <w:color w:val="auto"/>
          <w:szCs w:val="20"/>
          <w:highlight w:val="none"/>
          <w:u w:val="single"/>
          <w:lang w:eastAsia="zh-CN"/>
        </w:rPr>
        <w:t>7690518</w:t>
      </w:r>
    </w:p>
    <w:p w14:paraId="61A6CD2C">
      <w:pPr>
        <w:spacing w:line="360" w:lineRule="auto"/>
        <w:ind w:left="1041" w:leftChars="371" w:hanging="262" w:hangingChars="125"/>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p>
    <w:p w14:paraId="5E654D07">
      <w:pPr>
        <w:spacing w:line="360" w:lineRule="auto"/>
        <w:ind w:firstLine="735" w:firstLineChars="350"/>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r>
        <w:rPr>
          <w:rFonts w:hint="eastAsia"/>
          <w:color w:val="auto"/>
          <w:highlight w:val="none"/>
          <w:u w:val="single"/>
          <w:lang w:eastAsia="zh-CN"/>
        </w:rPr>
        <w:t>广西建设工程机电设备招标中心有限公司</w:t>
      </w:r>
    </w:p>
    <w:p w14:paraId="61AB3FF5">
      <w:pPr>
        <w:spacing w:line="360" w:lineRule="auto"/>
        <w:ind w:firstLine="735" w:firstLineChars="350"/>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u w:val="single"/>
          <w:lang w:eastAsia="zh-CN"/>
        </w:rPr>
        <w:t>广西壮族自治区南宁市青秀区枫林路18号广西国控大厦裙楼三层</w:t>
      </w:r>
    </w:p>
    <w:p w14:paraId="16D77647">
      <w:pPr>
        <w:spacing w:line="360" w:lineRule="auto"/>
        <w:ind w:firstLine="735" w:firstLineChars="35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rPr>
        <w:t>项目联系人：</w:t>
      </w:r>
      <w:r>
        <w:rPr>
          <w:rFonts w:hint="eastAsia" w:ascii="宋体" w:hAnsi="宋体" w:eastAsia="宋体" w:cs="Times New Roman"/>
          <w:color w:val="auto"/>
          <w:szCs w:val="20"/>
          <w:highlight w:val="none"/>
          <w:u w:val="single"/>
          <w:lang w:eastAsia="zh-CN"/>
        </w:rPr>
        <w:t>刘雅婷、谭琦辉、钟颜襄</w:t>
      </w:r>
      <w:r>
        <w:rPr>
          <w:rFonts w:hint="eastAsia" w:ascii="宋体" w:hAnsi="宋体" w:eastAsia="宋体" w:cs="Times New Roman"/>
          <w:color w:val="auto"/>
          <w:szCs w:val="20"/>
          <w:highlight w:val="none"/>
          <w:u w:val="single"/>
        </w:rPr>
        <w:t xml:space="preserve">   </w:t>
      </w:r>
    </w:p>
    <w:p w14:paraId="1F430635">
      <w:pPr>
        <w:spacing w:line="360" w:lineRule="auto"/>
        <w:ind w:firstLine="735" w:firstLineChars="350"/>
        <w:rPr>
          <w:rFonts w:hint="eastAsia" w:ascii="宋体" w:hAnsi="宋体" w:eastAsia="宋体" w:cs="Times New Roman"/>
          <w:color w:val="auto"/>
          <w:szCs w:val="20"/>
          <w:highlight w:val="none"/>
          <w:lang w:val="en-US" w:eastAsia="zh-CN"/>
        </w:rPr>
      </w:pPr>
      <w:r>
        <w:rPr>
          <w:rFonts w:hint="eastAsia" w:ascii="宋体" w:hAnsi="宋体" w:eastAsia="宋体" w:cs="Times New Roman"/>
          <w:color w:val="auto"/>
          <w:szCs w:val="20"/>
          <w:highlight w:val="none"/>
        </w:rPr>
        <w:t>联系电话：</w:t>
      </w:r>
      <w:r>
        <w:rPr>
          <w:rFonts w:hint="eastAsia" w:ascii="宋体" w:hAnsi="宋体" w:eastAsia="宋体" w:cs="Times New Roman"/>
          <w:color w:val="auto"/>
          <w:szCs w:val="20"/>
          <w:highlight w:val="none"/>
          <w:u w:val="single"/>
          <w:lang w:eastAsia="zh-CN"/>
        </w:rPr>
        <w:t>0771-2821389</w:t>
      </w:r>
    </w:p>
    <w:p w14:paraId="4FF75F6D">
      <w:pPr>
        <w:spacing w:line="360" w:lineRule="auto"/>
        <w:ind w:firstLine="420" w:firstLineChars="200"/>
        <w:jc w:val="left"/>
        <w:rPr>
          <w:rFonts w:hint="eastAsia" w:ascii="宋体" w:hAnsi="宋体"/>
          <w:color w:val="auto"/>
          <w:szCs w:val="21"/>
          <w:highlight w:val="none"/>
        </w:rPr>
      </w:pPr>
    </w:p>
    <w:p w14:paraId="4ED74249">
      <w:pPr>
        <w:spacing w:line="360" w:lineRule="auto"/>
        <w:rPr>
          <w:rFonts w:hint="eastAsia" w:ascii="宋体" w:hAnsi="宋体"/>
          <w:color w:val="auto"/>
          <w:szCs w:val="21"/>
          <w:highlight w:val="none"/>
        </w:rPr>
      </w:pPr>
    </w:p>
    <w:p w14:paraId="7FA389E2">
      <w:pPr>
        <w:spacing w:line="360" w:lineRule="auto"/>
        <w:jc w:val="right"/>
        <w:rPr>
          <w:rFonts w:hint="eastAsia" w:ascii="宋体" w:hAnsi="宋体" w:eastAsia="宋体"/>
          <w:color w:val="auto"/>
          <w:szCs w:val="21"/>
          <w:highlight w:val="none"/>
          <w:lang w:eastAsia="zh-CN"/>
        </w:rPr>
      </w:pPr>
      <w:r>
        <w:rPr>
          <w:rFonts w:hint="eastAsia" w:ascii="宋体" w:hAnsi="宋体"/>
          <w:color w:val="auto"/>
          <w:szCs w:val="21"/>
          <w:highlight w:val="none"/>
          <w:u w:val="single"/>
          <w:lang w:eastAsia="zh-CN"/>
        </w:rPr>
        <w:t>广西建设工程机电设备招标中心有限公司</w:t>
      </w:r>
    </w:p>
    <w:p w14:paraId="282713C0">
      <w:pPr>
        <w:wordWrap w:val="0"/>
        <w:spacing w:line="360" w:lineRule="auto"/>
        <w:ind w:firstLine="210" w:firstLineChars="100"/>
        <w:jc w:val="right"/>
        <w:rPr>
          <w:rFonts w:hint="eastAsia"/>
          <w:color w:val="auto"/>
          <w:highlight w:val="none"/>
          <w:u w:val="single"/>
        </w:rPr>
      </w:pPr>
      <w:r>
        <w:rPr>
          <w:rFonts w:hint="eastAsia"/>
          <w:color w:val="auto"/>
          <w:highlight w:val="none"/>
          <w:u w:val="single"/>
          <w:lang w:val="en-US" w:eastAsia="zh-CN"/>
        </w:rPr>
        <w:t>2025</w:t>
      </w:r>
      <w:r>
        <w:rPr>
          <w:rFonts w:hint="eastAsia"/>
          <w:color w:val="auto"/>
          <w:highlight w:val="none"/>
          <w:u w:val="single"/>
        </w:rPr>
        <w:t>年</w:t>
      </w:r>
      <w:r>
        <w:rPr>
          <w:rFonts w:hint="eastAsia"/>
          <w:color w:val="auto"/>
          <w:highlight w:val="none"/>
          <w:u w:val="single"/>
          <w:lang w:val="en-US" w:eastAsia="zh-CN"/>
        </w:rPr>
        <w:t>10</w:t>
      </w:r>
      <w:r>
        <w:rPr>
          <w:rFonts w:hint="eastAsia"/>
          <w:color w:val="auto"/>
          <w:highlight w:val="none"/>
          <w:u w:val="single"/>
        </w:rPr>
        <w:t>月</w:t>
      </w:r>
      <w:r>
        <w:rPr>
          <w:rFonts w:hint="eastAsia"/>
          <w:color w:val="auto"/>
          <w:highlight w:val="none"/>
          <w:u w:val="single"/>
          <w:lang w:val="en-US" w:eastAsia="zh-CN"/>
        </w:rPr>
        <w:t>21</w:t>
      </w:r>
      <w:r>
        <w:rPr>
          <w:rFonts w:hint="eastAsia"/>
          <w:color w:val="auto"/>
          <w:highlight w:val="none"/>
          <w:u w:val="single"/>
        </w:rPr>
        <w:t>日</w:t>
      </w:r>
    </w:p>
    <w:p w14:paraId="47902BDF">
      <w:pPr>
        <w:widowControl/>
        <w:spacing w:line="360" w:lineRule="auto"/>
        <w:jc w:val="left"/>
        <w:rPr>
          <w:color w:val="auto"/>
          <w:highlight w:val="none"/>
          <w:u w:val="single"/>
        </w:rPr>
        <w:sectPr>
          <w:headerReference r:id="rId6" w:type="default"/>
          <w:footerReference r:id="rId7" w:type="default"/>
          <w:pgSz w:w="11906" w:h="16838"/>
          <w:pgMar w:top="1134" w:right="1134" w:bottom="1134" w:left="1134" w:header="720" w:footer="720" w:gutter="0"/>
          <w:pgNumType w:fmt="decimal" w:start="1"/>
          <w:cols w:space="720" w:num="1"/>
          <w:docGrid w:type="lines" w:linePitch="331" w:charSpace="0"/>
        </w:sectPr>
      </w:pPr>
    </w:p>
    <w:p w14:paraId="6DC4F953">
      <w:pPr>
        <w:jc w:val="center"/>
        <w:outlineLvl w:val="0"/>
        <w:rPr>
          <w:rFonts w:hint="eastAsia" w:ascii="Times New Roman" w:hAnsi="Times New Roman"/>
          <w:b/>
          <w:color w:val="auto"/>
          <w:sz w:val="36"/>
          <w:szCs w:val="20"/>
          <w:highlight w:val="none"/>
        </w:rPr>
      </w:pPr>
      <w:bookmarkStart w:id="26" w:name="_Toc532545042"/>
      <w:bookmarkStart w:id="27" w:name="_Toc23430"/>
      <w:r>
        <w:rPr>
          <w:rFonts w:hint="eastAsia" w:ascii="Times New Roman" w:hAnsi="Times New Roman"/>
          <w:b/>
          <w:color w:val="auto"/>
          <w:sz w:val="36"/>
          <w:szCs w:val="20"/>
          <w:highlight w:val="none"/>
        </w:rPr>
        <w:t>第二章</w:t>
      </w:r>
      <w:r>
        <w:rPr>
          <w:rFonts w:ascii="Times New Roman" w:hAnsi="Times New Roman"/>
          <w:b/>
          <w:color w:val="auto"/>
          <w:sz w:val="36"/>
          <w:szCs w:val="20"/>
          <w:highlight w:val="none"/>
        </w:rPr>
        <w:t xml:space="preserve">  </w:t>
      </w:r>
      <w:bookmarkEnd w:id="26"/>
      <w:r>
        <w:rPr>
          <w:rFonts w:hint="eastAsia" w:ascii="Times New Roman" w:hAnsi="Times New Roman"/>
          <w:b/>
          <w:color w:val="auto"/>
          <w:sz w:val="36"/>
          <w:szCs w:val="20"/>
          <w:highlight w:val="none"/>
        </w:rPr>
        <w:t>采购需求</w:t>
      </w:r>
      <w:bookmarkEnd w:id="27"/>
    </w:p>
    <w:p w14:paraId="3899406B">
      <w:pPr>
        <w:adjustRightInd w:val="0"/>
        <w:spacing w:line="340" w:lineRule="exact"/>
        <w:rPr>
          <w:rFonts w:ascii="Times New Roman" w:hAnsi="宋体"/>
          <w:b/>
          <w:color w:val="auto"/>
          <w:szCs w:val="21"/>
          <w:highlight w:val="none"/>
        </w:rPr>
      </w:pPr>
    </w:p>
    <w:p w14:paraId="024747F1">
      <w:pPr>
        <w:adjustRightInd w:val="0"/>
        <w:spacing w:line="340" w:lineRule="exact"/>
        <w:rPr>
          <w:rFonts w:ascii="Times New Roman" w:hAnsi="宋体"/>
          <w:b/>
          <w:color w:val="auto"/>
          <w:szCs w:val="21"/>
          <w:highlight w:val="none"/>
        </w:rPr>
      </w:pPr>
      <w:r>
        <w:rPr>
          <w:rFonts w:hint="eastAsia" w:ascii="Times New Roman" w:hAnsi="宋体"/>
          <w:b/>
          <w:color w:val="auto"/>
          <w:szCs w:val="21"/>
          <w:highlight w:val="none"/>
        </w:rPr>
        <w:t>说明：</w:t>
      </w:r>
    </w:p>
    <w:p w14:paraId="4D5D8DB5">
      <w:pPr>
        <w:spacing w:line="360" w:lineRule="auto"/>
        <w:ind w:firstLine="420" w:firstLineChars="200"/>
        <w:jc w:val="left"/>
        <w:rPr>
          <w:rFonts w:ascii="Times New Roman" w:hAnsi="Times New Roman"/>
          <w:color w:val="auto"/>
          <w:szCs w:val="24"/>
          <w:highlight w:val="none"/>
        </w:rPr>
      </w:pPr>
      <w:r>
        <w:rPr>
          <w:rFonts w:ascii="Times New Roman" w:hAnsi="Times New Roman"/>
          <w:color w:val="auto"/>
          <w:szCs w:val="24"/>
          <w:highlight w:val="none"/>
        </w:rPr>
        <w:t xml:space="preserve">1. </w:t>
      </w:r>
      <w:r>
        <w:rPr>
          <w:rFonts w:hint="eastAsia" w:ascii="Times New Roman" w:hAnsi="Times New Roman"/>
          <w:color w:val="auto"/>
          <w:szCs w:val="24"/>
          <w:highlight w:val="none"/>
        </w:rPr>
        <w:t>为落实政府采购政策需满足的要求（根据项目实际情况填写内容）</w:t>
      </w:r>
    </w:p>
    <w:p w14:paraId="76E35CB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所称中小企业必须符合《政府采购促进中小企业发展管理办法》（财库〔2020〕46号）的规定。</w:t>
      </w:r>
    </w:p>
    <w:p w14:paraId="03C9AFF1">
      <w:pPr>
        <w:spacing w:line="360" w:lineRule="auto"/>
        <w:ind w:firstLine="420" w:firstLineChars="200"/>
        <w:jc w:val="left"/>
        <w:rPr>
          <w:rFonts w:ascii="宋体" w:hAnsi="宋体"/>
          <w:color w:val="auto"/>
          <w:szCs w:val="24"/>
          <w:highlight w:val="none"/>
        </w:rPr>
      </w:pPr>
      <w:r>
        <w:rPr>
          <w:rFonts w:hint="eastAsia" w:ascii="宋体" w:hAnsi="宋体" w:cs="宋体"/>
          <w:color w:val="auto"/>
          <w:szCs w:val="21"/>
          <w:highlight w:val="none"/>
        </w:rPr>
        <w:t>2.“实质性要求”是指</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中已经指明不满足则投标无效的条款，或者不能负偏离的条款，或者采购需求中带“▲”的条款。</w:t>
      </w:r>
      <w:bookmarkStart w:id="28" w:name="PO_TDCUS_ITEM_PB_REQ_FILE_1_1_1"/>
    </w:p>
    <w:tbl>
      <w:tblPr>
        <w:tblStyle w:val="25"/>
        <w:tblW w:w="9646" w:type="dxa"/>
        <w:tblInd w:w="0" w:type="dxa"/>
        <w:tblLayout w:type="fixed"/>
        <w:tblCellMar>
          <w:top w:w="0" w:type="dxa"/>
          <w:left w:w="0" w:type="dxa"/>
          <w:bottom w:w="0" w:type="dxa"/>
          <w:right w:w="0" w:type="dxa"/>
        </w:tblCellMar>
      </w:tblPr>
      <w:tblGrid>
        <w:gridCol w:w="720"/>
        <w:gridCol w:w="1135"/>
        <w:gridCol w:w="1396"/>
        <w:gridCol w:w="6395"/>
      </w:tblGrid>
      <w:tr w14:paraId="280CC344">
        <w:tblPrEx>
          <w:tblCellMar>
            <w:top w:w="0" w:type="dxa"/>
            <w:left w:w="0" w:type="dxa"/>
            <w:bottom w:w="0" w:type="dxa"/>
            <w:right w:w="0" w:type="dxa"/>
          </w:tblCellMar>
        </w:tblPrEx>
        <w:trPr>
          <w:trHeight w:val="517" w:hRule="atLeast"/>
        </w:trPr>
        <w:tc>
          <w:tcPr>
            <w:tcW w:w="9646" w:type="dxa"/>
            <w:gridSpan w:val="4"/>
            <w:tcBorders>
              <w:top w:val="single" w:color="auto" w:sz="8" w:space="0"/>
              <w:left w:val="single" w:color="auto" w:sz="8" w:space="0"/>
              <w:bottom w:val="single" w:color="auto" w:sz="8" w:space="0"/>
              <w:right w:val="single" w:color="auto" w:sz="8" w:space="0"/>
            </w:tcBorders>
            <w:noWrap w:val="0"/>
            <w:vAlign w:val="center"/>
          </w:tcPr>
          <w:p w14:paraId="648FB725">
            <w:pPr>
              <w:jc w:val="center"/>
              <w:rPr>
                <w:color w:val="auto"/>
                <w:highlight w:val="none"/>
              </w:rPr>
            </w:pPr>
            <w:r>
              <w:rPr>
                <w:rFonts w:hint="eastAsia" w:ascii="黑体" w:hAnsi="黑体" w:eastAsia="黑体" w:cs="宋体"/>
                <w:color w:val="auto"/>
                <w:kern w:val="0"/>
                <w:sz w:val="24"/>
                <w:highlight w:val="none"/>
                <w:lang w:val="zh-CN"/>
              </w:rPr>
              <w:t>服务需求一览表</w:t>
            </w:r>
          </w:p>
        </w:tc>
      </w:tr>
      <w:tr w14:paraId="419A174F">
        <w:tblPrEx>
          <w:tblCellMar>
            <w:top w:w="0" w:type="dxa"/>
            <w:left w:w="0" w:type="dxa"/>
            <w:bottom w:w="0" w:type="dxa"/>
            <w:right w:w="0" w:type="dxa"/>
          </w:tblCellMar>
        </w:tblPrEx>
        <w:trPr>
          <w:trHeight w:val="958" w:hRule="atLeast"/>
        </w:trPr>
        <w:tc>
          <w:tcPr>
            <w:tcW w:w="720" w:type="dxa"/>
            <w:tcBorders>
              <w:top w:val="single" w:color="auto" w:sz="8" w:space="0"/>
              <w:left w:val="single" w:color="auto" w:sz="8" w:space="0"/>
              <w:bottom w:val="single" w:color="auto" w:sz="8" w:space="0"/>
              <w:right w:val="single" w:color="auto" w:sz="8" w:space="0"/>
            </w:tcBorders>
            <w:noWrap w:val="0"/>
            <w:vAlign w:val="center"/>
          </w:tcPr>
          <w:p w14:paraId="0FC5EB61">
            <w:pPr>
              <w:jc w:val="center"/>
              <w:rPr>
                <w:color w:val="auto"/>
                <w:highlight w:val="none"/>
              </w:rPr>
            </w:pPr>
            <w:r>
              <w:rPr>
                <w:rFonts w:hint="eastAsia"/>
                <w:color w:val="auto"/>
                <w:highlight w:val="none"/>
              </w:rPr>
              <w:t>序号</w:t>
            </w:r>
          </w:p>
        </w:tc>
        <w:tc>
          <w:tcPr>
            <w:tcW w:w="11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711E4EF">
            <w:pPr>
              <w:jc w:val="center"/>
              <w:rPr>
                <w:color w:val="auto"/>
                <w:highlight w:val="none"/>
              </w:rPr>
            </w:pPr>
            <w:r>
              <w:rPr>
                <w:rFonts w:hint="eastAsia"/>
                <w:color w:val="auto"/>
                <w:highlight w:val="none"/>
              </w:rPr>
              <w:t>服务名称</w:t>
            </w:r>
          </w:p>
        </w:tc>
        <w:tc>
          <w:tcPr>
            <w:tcW w:w="13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1CC392F">
            <w:pPr>
              <w:jc w:val="center"/>
              <w:rPr>
                <w:color w:val="auto"/>
                <w:szCs w:val="21"/>
                <w:highlight w:val="none"/>
              </w:rPr>
            </w:pPr>
            <w:r>
              <w:rPr>
                <w:rFonts w:hint="eastAsia" w:ascii="宋体" w:cs="宋体"/>
                <w:color w:val="auto"/>
                <w:kern w:val="0"/>
                <w:szCs w:val="21"/>
                <w:highlight w:val="none"/>
                <w:lang w:val="zh-CN"/>
              </w:rPr>
              <w:t>第一阶段供应商入围数量上限</w:t>
            </w:r>
          </w:p>
        </w:tc>
        <w:tc>
          <w:tcPr>
            <w:tcW w:w="63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4E6146B">
            <w:pPr>
              <w:jc w:val="center"/>
              <w:rPr>
                <w:color w:val="auto"/>
                <w:szCs w:val="21"/>
                <w:highlight w:val="none"/>
              </w:rPr>
            </w:pPr>
            <w:r>
              <w:rPr>
                <w:rFonts w:hint="eastAsia" w:ascii="宋体" w:hAnsi="宋体" w:cs="宋体"/>
                <w:color w:val="auto"/>
                <w:sz w:val="24"/>
                <w:highlight w:val="none"/>
              </w:rPr>
              <w:t>服务参数</w:t>
            </w:r>
          </w:p>
        </w:tc>
      </w:tr>
      <w:tr w14:paraId="048C31E9">
        <w:tblPrEx>
          <w:tblCellMar>
            <w:top w:w="0" w:type="dxa"/>
            <w:left w:w="0" w:type="dxa"/>
            <w:bottom w:w="0" w:type="dxa"/>
            <w:right w:w="0" w:type="dxa"/>
          </w:tblCellMar>
        </w:tblPrEx>
        <w:trPr>
          <w:trHeight w:val="1437" w:hRule="atLeast"/>
        </w:trPr>
        <w:tc>
          <w:tcPr>
            <w:tcW w:w="72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DC6C91">
            <w:pPr>
              <w:jc w:val="center"/>
              <w:rPr>
                <w:rFonts w:hint="eastAsia" w:eastAsia="宋体"/>
                <w:color w:val="auto"/>
                <w:highlight w:val="none"/>
                <w:lang w:val="en-US" w:eastAsia="zh-CN"/>
              </w:rPr>
            </w:pPr>
            <w:r>
              <w:rPr>
                <w:rFonts w:hint="eastAsia" w:ascii="宋体" w:hAnsi="宋体" w:eastAsia="宋体" w:cs="宋体"/>
                <w:color w:val="auto"/>
                <w:highlight w:val="none"/>
                <w:lang w:val="en-US" w:eastAsia="zh-CN"/>
              </w:rPr>
              <w:t>1</w:t>
            </w:r>
          </w:p>
        </w:tc>
        <w:tc>
          <w:tcPr>
            <w:tcW w:w="11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3270C0">
            <w:pPr>
              <w:jc w:val="center"/>
              <w:rPr>
                <w:rFonts w:hint="eastAsia" w:eastAsia="宋体"/>
                <w:color w:val="auto"/>
                <w:szCs w:val="21"/>
                <w:highlight w:val="none"/>
                <w:lang w:eastAsia="zh-CN"/>
              </w:rPr>
            </w:pPr>
            <w:r>
              <w:rPr>
                <w:rFonts w:hint="eastAsia" w:ascii="宋体" w:hAnsi="宋体"/>
                <w:color w:val="auto"/>
                <w:szCs w:val="21"/>
                <w:highlight w:val="none"/>
                <w:u w:val="none"/>
                <w:lang w:eastAsia="zh-CN"/>
              </w:rPr>
              <w:t>2025-2027年度东兴市车辆维修和保养服务框架协议采购</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9837FB">
            <w:pPr>
              <w:spacing w:line="400" w:lineRule="exact"/>
              <w:jc w:val="center"/>
              <w:rPr>
                <w:rFonts w:ascii="宋体" w:hAnsi="宋体"/>
                <w:color w:val="auto"/>
                <w:szCs w:val="21"/>
                <w:highlight w:val="none"/>
              </w:rPr>
            </w:pPr>
            <w:r>
              <w:rPr>
                <w:rFonts w:hint="eastAsia" w:ascii="宋体" w:hAnsi="宋体" w:eastAsia="宋体" w:cs="Times New Roman"/>
                <w:color w:val="auto"/>
                <w:szCs w:val="21"/>
                <w:highlight w:val="none"/>
                <w:lang w:val="en-US" w:eastAsia="zh-CN"/>
              </w:rPr>
              <w:t>确定入围供应商数量上限为6家，淘汰比例≥20%，且至少淘汰一家供应商</w:t>
            </w:r>
          </w:p>
        </w:tc>
        <w:tc>
          <w:tcPr>
            <w:tcW w:w="63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D65C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本项目服务内容主要包括</w:t>
            </w:r>
            <w:r>
              <w:rPr>
                <w:rFonts w:hint="eastAsia" w:ascii="宋体" w:hAnsi="宋体" w:eastAsia="宋体" w:cs="宋体"/>
                <w:color w:val="auto"/>
                <w:sz w:val="21"/>
                <w:szCs w:val="21"/>
                <w:highlight w:val="none"/>
                <w:lang w:eastAsia="zh-CN"/>
              </w:rPr>
              <w:t>为</w:t>
            </w:r>
            <w:r>
              <w:rPr>
                <w:rFonts w:hint="eastAsia" w:ascii="宋体" w:hAnsi="宋体" w:cs="宋体"/>
                <w:color w:val="auto"/>
                <w:highlight w:val="none"/>
                <w:lang w:eastAsia="zh-CN"/>
              </w:rPr>
              <w:t>东兴市本级</w:t>
            </w:r>
            <w:r>
              <w:rPr>
                <w:rFonts w:hint="eastAsia" w:ascii="宋体" w:hAnsi="宋体" w:eastAsia="宋体" w:cs="宋体"/>
                <w:color w:val="auto"/>
                <w:sz w:val="21"/>
                <w:szCs w:val="21"/>
                <w:highlight w:val="none"/>
              </w:rPr>
              <w:t>预算</w:t>
            </w:r>
            <w:r>
              <w:rPr>
                <w:rFonts w:hint="eastAsia" w:ascii="宋体" w:hAnsi="宋体" w:eastAsia="宋体" w:cs="宋体"/>
                <w:color w:val="auto"/>
                <w:sz w:val="21"/>
                <w:szCs w:val="21"/>
                <w:highlight w:val="none"/>
                <w:lang w:eastAsia="zh-CN"/>
              </w:rPr>
              <w:t>单位</w:t>
            </w:r>
            <w:r>
              <w:rPr>
                <w:rFonts w:hint="eastAsia" w:ascii="宋体" w:hAnsi="宋体" w:eastAsia="宋体" w:cs="宋体"/>
                <w:bCs/>
                <w:color w:val="auto"/>
                <w:szCs w:val="21"/>
                <w:highlight w:val="none"/>
              </w:rPr>
              <w:t>的</w:t>
            </w:r>
            <w:r>
              <w:rPr>
                <w:rFonts w:hint="eastAsia" w:ascii="宋体" w:hAnsi="宋体" w:eastAsia="宋体" w:cs="宋体"/>
                <w:color w:val="auto"/>
                <w:sz w:val="21"/>
                <w:szCs w:val="21"/>
                <w:highlight w:val="none"/>
              </w:rPr>
              <w:t>车辆维修</w:t>
            </w:r>
            <w:r>
              <w:rPr>
                <w:rFonts w:hint="eastAsia" w:ascii="宋体" w:hAnsi="宋体" w:eastAsia="宋体" w:cs="宋体"/>
                <w:color w:val="auto"/>
                <w:sz w:val="21"/>
                <w:szCs w:val="21"/>
                <w:highlight w:val="none"/>
                <w:lang w:eastAsia="zh-CN"/>
              </w:rPr>
              <w:t>和保养</w:t>
            </w:r>
            <w:r>
              <w:rPr>
                <w:rFonts w:hint="eastAsia" w:ascii="宋体" w:hAnsi="宋体" w:eastAsia="宋体" w:cs="宋体"/>
                <w:color w:val="auto"/>
                <w:sz w:val="21"/>
                <w:szCs w:val="21"/>
                <w:highlight w:val="none"/>
              </w:rPr>
              <w:t>服务，包括汽车大修、总成修理、保养、小修和专项维修等与</w:t>
            </w:r>
            <w:r>
              <w:rPr>
                <w:rFonts w:hint="eastAsia" w:ascii="宋体" w:hAnsi="宋体" w:eastAsia="宋体" w:cs="宋体"/>
                <w:color w:val="auto"/>
                <w:sz w:val="21"/>
                <w:szCs w:val="21"/>
                <w:highlight w:val="none"/>
                <w:lang w:val="en"/>
              </w:rPr>
              <w:t>车辆维修</w:t>
            </w:r>
            <w:r>
              <w:rPr>
                <w:rFonts w:hint="eastAsia" w:ascii="宋体" w:hAnsi="宋体" w:eastAsia="宋体" w:cs="宋体"/>
                <w:color w:val="auto"/>
                <w:sz w:val="21"/>
                <w:szCs w:val="21"/>
                <w:highlight w:val="none"/>
              </w:rPr>
              <w:t>有关的项目。</w:t>
            </w:r>
          </w:p>
          <w:p w14:paraId="7C124D8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一、服务内容和要求</w:t>
            </w:r>
          </w:p>
          <w:p w14:paraId="55E1068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应保证</w:t>
            </w:r>
            <w:r>
              <w:rPr>
                <w:rFonts w:hint="eastAsia" w:ascii="宋体" w:hAnsi="宋体" w:cs="宋体"/>
                <w:color w:val="auto"/>
                <w:highlight w:val="none"/>
                <w:lang w:eastAsia="zh-CN"/>
              </w:rPr>
              <w:t>东兴市本级</w:t>
            </w:r>
            <w:r>
              <w:rPr>
                <w:rFonts w:hint="eastAsia" w:ascii="宋体" w:hAnsi="宋体" w:eastAsia="宋体" w:cs="宋体"/>
                <w:color w:val="auto"/>
                <w:sz w:val="21"/>
                <w:szCs w:val="21"/>
                <w:highlight w:val="none"/>
              </w:rPr>
              <w:t>预算</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Cs w:val="21"/>
                <w:highlight w:val="none"/>
              </w:rPr>
              <w:t>获得维修</w:t>
            </w:r>
            <w:r>
              <w:rPr>
                <w:rFonts w:hint="eastAsia" w:ascii="宋体" w:hAnsi="宋体" w:cs="宋体"/>
                <w:color w:val="auto"/>
                <w:szCs w:val="21"/>
                <w:highlight w:val="none"/>
                <w:lang w:eastAsia="zh-CN"/>
              </w:rPr>
              <w:t>公务用车</w:t>
            </w:r>
            <w:r>
              <w:rPr>
                <w:rFonts w:hint="eastAsia" w:ascii="宋体" w:hAnsi="宋体" w:eastAsia="宋体" w:cs="宋体"/>
                <w:color w:val="auto"/>
                <w:szCs w:val="21"/>
                <w:highlight w:val="none"/>
              </w:rPr>
              <w:t>优先服务的权力，并在不超过有关部门核定的工时内完成维修工作。</w:t>
            </w:r>
          </w:p>
          <w:p w14:paraId="4D52672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应设有全年每天24小时服务电话，在接到报修电话后半小时内予以响应，并能提供上门维修。</w:t>
            </w:r>
          </w:p>
          <w:p w14:paraId="1D4752A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维修厂设有客户休息场所供客人休息，并配备相关的配套服务设施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确保在规定的时限内完成维修项目，保障采购人用车需要。</w:t>
            </w:r>
          </w:p>
          <w:p w14:paraId="1AD2D0E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及时、真实地向采购人报送送修车辆的维修情况及各种数据。</w:t>
            </w:r>
          </w:p>
          <w:p w14:paraId="40E7B71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Cs w:val="21"/>
                <w:highlight w:val="none"/>
              </w:rPr>
            </w:pPr>
            <w:r>
              <w:rPr>
                <w:rFonts w:hint="eastAsia" w:ascii="宋体" w:hAnsi="宋体" w:cs="宋体"/>
                <w:color w:val="auto"/>
                <w:sz w:val="24"/>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公务车辆维修时，重在修理，以节省财政资金；确需更换零配件时，必须经过采购人同意。入围供应商应</w:t>
            </w:r>
            <w:r>
              <w:rPr>
                <w:rFonts w:hint="eastAsia" w:ascii="宋体" w:hAnsi="宋体" w:eastAsia="宋体" w:cs="宋体"/>
                <w:color w:val="auto"/>
                <w:highlight w:val="none"/>
              </w:rPr>
              <w:t>当将原厂配件、副厂配件和修复配件分别标识，明码标价，供采购人选择。对于换下的配件、总成，应当交采购人自行处理</w:t>
            </w:r>
            <w:r>
              <w:rPr>
                <w:rFonts w:hint="eastAsia" w:ascii="宋体" w:hAnsi="宋体" w:eastAsia="宋体" w:cs="宋体"/>
                <w:color w:val="auto"/>
                <w:szCs w:val="21"/>
                <w:highlight w:val="none"/>
              </w:rPr>
              <w:t>。</w:t>
            </w:r>
          </w:p>
          <w:p w14:paraId="4FF2B44F">
            <w:pPr>
              <w:pStyle w:val="24"/>
              <w:spacing w:line="400" w:lineRule="exact"/>
              <w:ind w:left="0" w:leftChars="0"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为完工出厂车辆提供免费清洁、吸尘服务。</w:t>
            </w:r>
          </w:p>
          <w:p w14:paraId="253C578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7、建立健全机动车维修档案，通过计算机管理系统实行一车一户管理，妥善保管维修合同、检验单、竣工出厂合格证（副本）及结算清单等资料，提供技术咨询培训服务，确保车辆具有良好状况。</w:t>
            </w:r>
          </w:p>
          <w:p w14:paraId="7CD5D25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建立定期售后回访制度，真实记录采购人的意见和建议。</w:t>
            </w:r>
          </w:p>
          <w:p w14:paraId="6DDB3EB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 w:val="24"/>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应按照交通部门的要求，实行车辆竣工出厂质量保证期制度，竣工出厂合格证制度</w:t>
            </w:r>
            <w:r>
              <w:rPr>
                <w:rFonts w:hint="eastAsia" w:ascii="宋体" w:hAnsi="宋体" w:cs="宋体"/>
                <w:color w:val="auto"/>
                <w:szCs w:val="21"/>
                <w:highlight w:val="none"/>
                <w:lang w:eastAsia="zh-CN"/>
              </w:rPr>
              <w:t>及从业人员的从业资格证制度</w:t>
            </w:r>
            <w:r>
              <w:rPr>
                <w:rFonts w:hint="eastAsia" w:ascii="宋体" w:hAnsi="宋体" w:eastAsia="宋体" w:cs="宋体"/>
                <w:color w:val="auto"/>
                <w:szCs w:val="21"/>
                <w:highlight w:val="none"/>
              </w:rPr>
              <w:t>。因维修质量造成车辆不能运行，维修企业必须承担无偿返修的责任。</w:t>
            </w:r>
          </w:p>
          <w:p w14:paraId="6399BEA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 w:val="24"/>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在双方商定的维修完成时间内，入围供应商应主动通知</w:t>
            </w:r>
            <w:r>
              <w:rPr>
                <w:rFonts w:hint="eastAsia" w:ascii="宋体" w:hAnsi="宋体" w:cs="宋体"/>
                <w:color w:val="auto"/>
                <w:szCs w:val="21"/>
                <w:highlight w:val="none"/>
                <w:lang w:eastAsia="zh-CN"/>
              </w:rPr>
              <w:t>车辆送修</w:t>
            </w:r>
            <w:r>
              <w:rPr>
                <w:rFonts w:hint="eastAsia" w:ascii="宋体" w:hAnsi="宋体" w:eastAsia="宋体" w:cs="宋体"/>
                <w:color w:val="auto"/>
                <w:szCs w:val="21"/>
                <w:highlight w:val="none"/>
              </w:rPr>
              <w:t>采购人办理接车手续，并向</w:t>
            </w:r>
            <w:r>
              <w:rPr>
                <w:rFonts w:hint="eastAsia" w:ascii="宋体" w:hAnsi="宋体" w:cs="宋体"/>
                <w:color w:val="auto"/>
                <w:szCs w:val="21"/>
                <w:highlight w:val="none"/>
                <w:lang w:eastAsia="zh-CN"/>
              </w:rPr>
              <w:t>车辆送修</w:t>
            </w:r>
            <w:r>
              <w:rPr>
                <w:rFonts w:hint="eastAsia" w:ascii="宋体" w:hAnsi="宋体" w:eastAsia="宋体" w:cs="宋体"/>
                <w:color w:val="auto"/>
                <w:szCs w:val="21"/>
                <w:highlight w:val="none"/>
              </w:rPr>
              <w:t>采购人出具机动车维修竣工出厂合格证和结算清单，结算清单必须含有维修项目、零配件名称、门市标价、结算价格、优惠率等指标，经</w:t>
            </w:r>
            <w:r>
              <w:rPr>
                <w:rFonts w:hint="eastAsia" w:ascii="宋体" w:hAnsi="宋体" w:cs="宋体"/>
                <w:color w:val="auto"/>
                <w:szCs w:val="21"/>
                <w:highlight w:val="none"/>
                <w:lang w:eastAsia="zh-CN"/>
              </w:rPr>
              <w:t>车辆送修</w:t>
            </w:r>
            <w:r>
              <w:rPr>
                <w:rFonts w:hint="eastAsia" w:ascii="宋体" w:hAnsi="宋体" w:eastAsia="宋体" w:cs="宋体"/>
                <w:color w:val="auto"/>
                <w:szCs w:val="21"/>
                <w:highlight w:val="none"/>
              </w:rPr>
              <w:t>采购人和入围供应商双方签字盖章确认作为维修费用结算的凭据。</w:t>
            </w:r>
          </w:p>
          <w:p w14:paraId="1379B4C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eastAsia="宋体"/>
                <w:color w:val="auto"/>
                <w:highlight w:val="none"/>
                <w:lang w:val="en-US" w:eastAsia="zh-CN"/>
              </w:rPr>
            </w:pPr>
            <w:r>
              <w:rPr>
                <w:rFonts w:hint="eastAsia" w:ascii="宋体" w:hAnsi="宋体" w:cs="宋体"/>
                <w:color w:val="auto"/>
                <w:sz w:val="24"/>
                <w:highlight w:val="none"/>
              </w:rPr>
              <w:t>▲</w:t>
            </w:r>
            <w:r>
              <w:rPr>
                <w:rFonts w:hint="eastAsia" w:ascii="宋体" w:hAnsi="宋体" w:cs="宋体"/>
                <w:color w:val="auto"/>
                <w:szCs w:val="21"/>
                <w:highlight w:val="none"/>
                <w:lang w:val="en-US" w:eastAsia="zh-CN"/>
              </w:rPr>
              <w:t>11、接受征集人及财政监督管理部门的管理要求,征集人将定期或不定期对入围供应商维修服务进行检查；对发现的问题，入围供应商应积极配合进行整改。</w:t>
            </w:r>
          </w:p>
          <w:p w14:paraId="032E70C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hAnsi="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、供</w:t>
            </w:r>
            <w:r>
              <w:rPr>
                <w:rFonts w:hint="eastAsia" w:hAnsi="宋体"/>
                <w:color w:val="auto"/>
                <w:szCs w:val="21"/>
                <w:highlight w:val="none"/>
                <w:lang w:eastAsia="zh-CN"/>
              </w:rPr>
              <w:t>应商</w:t>
            </w:r>
            <w:r>
              <w:rPr>
                <w:rFonts w:hint="eastAsia" w:hAnsi="宋体"/>
                <w:color w:val="auto"/>
                <w:szCs w:val="21"/>
                <w:highlight w:val="none"/>
              </w:rPr>
              <w:t>须在满足上述服务要求的前提下，在</w:t>
            </w:r>
            <w:r>
              <w:rPr>
                <w:rFonts w:hint="eastAsia" w:hAnsi="宋体"/>
                <w:color w:val="auto"/>
                <w:szCs w:val="21"/>
                <w:highlight w:val="none"/>
                <w:lang w:eastAsia="zh-CN"/>
              </w:rPr>
              <w:t>征集</w:t>
            </w:r>
            <w:r>
              <w:rPr>
                <w:rFonts w:hint="eastAsia" w:hAnsi="宋体"/>
                <w:color w:val="auto"/>
                <w:szCs w:val="21"/>
                <w:highlight w:val="none"/>
              </w:rPr>
              <w:t>文件中自行提供其他服务承诺，并保证具有相应的完善的服务能力。</w:t>
            </w:r>
          </w:p>
          <w:p w14:paraId="69CD75E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有下列情况之一的，可到非入围供应商处进行维修：①、采购人新购置的车辆，在保修期内，可到汽车生产厂家指定的企业进行免费维护保养；②、在</w:t>
            </w:r>
            <w:r>
              <w:rPr>
                <w:rFonts w:hint="eastAsia" w:ascii="宋体" w:hAnsi="宋体" w:cs="宋体"/>
                <w:color w:val="auto"/>
                <w:sz w:val="21"/>
                <w:szCs w:val="21"/>
                <w:highlight w:val="none"/>
                <w:lang w:val="en-US" w:eastAsia="zh-CN"/>
              </w:rPr>
              <w:t>东兴</w:t>
            </w:r>
            <w:r>
              <w:rPr>
                <w:rFonts w:hint="eastAsia" w:ascii="宋体" w:hAnsi="宋体" w:cs="宋体"/>
                <w:color w:val="auto"/>
                <w:sz w:val="21"/>
                <w:szCs w:val="21"/>
                <w:highlight w:val="none"/>
                <w:lang w:eastAsia="zh-CN"/>
              </w:rPr>
              <w:t>市外发生故障的车辆，无法到入围供应商维修的，可就地维修；③、交通事故车辆维修的；④、入围供应商出具书面证明无力维修或有其他特殊情况。</w:t>
            </w:r>
          </w:p>
          <w:p w14:paraId="4702C30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二、质量要求</w:t>
            </w:r>
          </w:p>
          <w:p w14:paraId="3A8792F9">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lang w:val="en-US" w:eastAsia="zh-CN"/>
              </w:rPr>
              <w:t>、车辆入围维修实行竣工出厂合格证制度，未签机动车维修竣工出厂合格证的机动车，不得交付使用，采购人可以拒绝交费或接车。</w:t>
            </w:r>
          </w:p>
          <w:p w14:paraId="7EC1BBEE">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车辆入围维修实行竣工出厂质量保证期制度，质量保证期不得低于《机动车维修管理规定》（中华人民共和国交通运输部令2019年第20号））第三十六条、第三十七条规定的要求。具体的质量保证期由供应商在征集文件的《车辆维修和保养服务采购承诺书》中根据自身情况进行承诺。具体维修项目的质量保证期最低要求为： </w:t>
            </w:r>
          </w:p>
          <w:p w14:paraId="7E9FD169">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（一）总成修理质量保证期为车辆行驶20000公里或者100日；</w:t>
            </w:r>
          </w:p>
          <w:p w14:paraId="7105CDCF">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（二）二级维护质量保证期为车辆行驶5000公里或者30日；</w:t>
            </w:r>
          </w:p>
          <w:p w14:paraId="088FF66D">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（三）一级维护、小修及专项修理质量保证期为车辆行驶2000公里或者10日。</w:t>
            </w:r>
          </w:p>
          <w:p w14:paraId="2865DFA5">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机动车维修质量保证期，从维修竣工出厂之日起计算。</w:t>
            </w:r>
          </w:p>
          <w:p w14:paraId="335975D1">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在入围供应商承诺的质量保证期内，因维修质量原因造成机动车无法正常使用，且承修方在3日内不能或者无法提供因非维修原因而造成机动车无法使用的相关证据的，承修方应当及时、优先、无偿返修，不得故意拖延或者无理拒绝。在质量保证期内，机动车因同一故障或维修项目经两次修理仍不能正常使用的，承修方应当负责联系其他公务车辆维修入围供应商，并承担相应修理费用。</w:t>
            </w:r>
          </w:p>
          <w:p w14:paraId="08BEE68B">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3、公务车辆入围维修实行零配件质量保证制度：</w:t>
            </w:r>
          </w:p>
          <w:p w14:paraId="3AF5DFFD">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（1）入围供应商所采用的零部件、配件、轮胎等材料必须符合国家或行业标准，不得使用假冒伪劣产品或以次充好，以旧代新。</w:t>
            </w:r>
          </w:p>
          <w:p w14:paraId="66E2580A">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（2）入围供应商应当建立采购配件登记制度，记录购买日期、供应商名称、地址、产品名称及规格型号等，并查验产品合格证等相关证明。</w:t>
            </w:r>
          </w:p>
          <w:p w14:paraId="474045C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三、监督管理及违规处理</w:t>
            </w:r>
          </w:p>
          <w:p w14:paraId="09A8442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1、为了保证公务车辆维修入围采购的质量与服务，入围供应商必须接受东兴市财政局的监督检查，接受对采购人投诉的调查和处理。</w:t>
            </w:r>
          </w:p>
          <w:p w14:paraId="5F18420D">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入围供应商应在其经营场地内醒目位置公示其投标时承诺的维修、保养项目投标报价表，以接受采购人的监督。</w:t>
            </w:r>
          </w:p>
          <w:p w14:paraId="4B33F5F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在采购执行过程中，如入围供应商有违约行为或采购人有不合理要求的，采购人或入围供应商应遵照双方签订的《政府采购合同》及法律法规的有关条款进行处理；涉及到违法行为的，应向</w:t>
            </w:r>
            <w:r>
              <w:rPr>
                <w:rFonts w:hint="eastAsia" w:ascii="宋体" w:hAnsi="宋体" w:cs="宋体"/>
                <w:color w:val="auto"/>
                <w:sz w:val="21"/>
                <w:szCs w:val="21"/>
                <w:highlight w:val="none"/>
                <w:lang w:eastAsia="zh-CN"/>
              </w:rPr>
              <w:t>东兴市财政局</w:t>
            </w:r>
            <w:r>
              <w:rPr>
                <w:rFonts w:hint="eastAsia" w:ascii="宋体" w:hAnsi="宋体" w:eastAsia="宋体" w:cs="宋体"/>
                <w:color w:val="auto"/>
                <w:sz w:val="21"/>
                <w:szCs w:val="21"/>
                <w:highlight w:val="none"/>
              </w:rPr>
              <w:t>书面反映，按《中华人民共和国政府采购法》及其有关规定进行处理。</w:t>
            </w:r>
          </w:p>
          <w:p w14:paraId="199DCF89">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、供应商有下列行为之一的，可根据其情节轻重由东兴市财政局暂停或取消其入围服务资格：</w:t>
            </w:r>
            <w:r>
              <w:rPr>
                <w:rFonts w:hint="eastAsia" w:ascii="宋体" w:hAnsi="宋体" w:eastAsia="宋体" w:cs="宋体"/>
                <w:color w:val="auto"/>
                <w:sz w:val="21"/>
                <w:szCs w:val="21"/>
                <w:highlight w:val="none"/>
              </w:rPr>
              <w:t>凡被取消入围资格的供应商，三年内不得参加</w:t>
            </w:r>
            <w:r>
              <w:rPr>
                <w:rFonts w:hint="eastAsia" w:ascii="宋体" w:hAnsi="宋体" w:cs="宋体"/>
                <w:color w:val="auto"/>
                <w:sz w:val="21"/>
                <w:szCs w:val="21"/>
                <w:highlight w:val="none"/>
                <w:lang w:eastAsia="zh-CN"/>
              </w:rPr>
              <w:t>东兴市本级</w:t>
            </w:r>
            <w:r>
              <w:rPr>
                <w:rFonts w:hint="eastAsia" w:ascii="宋体" w:hAnsi="宋体" w:eastAsia="宋体" w:cs="宋体"/>
                <w:color w:val="auto"/>
                <w:sz w:val="21"/>
                <w:szCs w:val="21"/>
                <w:highlight w:val="none"/>
              </w:rPr>
              <w:t xml:space="preserve">预算单位公务车辆维修、保养服务入围采购的投（竞）标活动。 </w:t>
            </w:r>
          </w:p>
          <w:p w14:paraId="33115B7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（1）无正当理由拒绝承接各预算单位车辆维修业务的；</w:t>
            </w:r>
          </w:p>
          <w:p w14:paraId="3FE6158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（2）擅自抬高收费价格或价格明显高于市场价的；</w:t>
            </w:r>
          </w:p>
          <w:p w14:paraId="443F483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（3）未按规定给予价格优惠的；</w:t>
            </w:r>
          </w:p>
          <w:p w14:paraId="472D858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（4）不按合同规定提供服务；</w:t>
            </w:r>
          </w:p>
          <w:p w14:paraId="771C265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（5）虚假修车或虚报维修项目，或使用假冒伪劣零配件的；</w:t>
            </w:r>
          </w:p>
          <w:p w14:paraId="051FCBD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（6）因严重的质量问题、服务问题被采购人投诉的；</w:t>
            </w:r>
          </w:p>
          <w:p w14:paraId="19D2E23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（7）通过给回扣或变相给回扣的方式招揽生意的；</w:t>
            </w:r>
          </w:p>
          <w:p w14:paraId="161832A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（8）擅自转由其他关联企业维修的；</w:t>
            </w:r>
          </w:p>
          <w:p w14:paraId="173C59E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（9）拒绝接受监督、检查，或不按要求报送统计报表等有关资料的；</w:t>
            </w:r>
          </w:p>
          <w:p w14:paraId="0AD020B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（10）不如实反映情况，提供虚假材料的；</w:t>
            </w:r>
          </w:p>
          <w:p w14:paraId="6EE640A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（11）入围有效期内，被行业行政主管部门取消经营资格的；</w:t>
            </w:r>
          </w:p>
          <w:p w14:paraId="204B4A3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（12）其它违反法律、法规、协议及合同的行为。</w:t>
            </w:r>
          </w:p>
          <w:p w14:paraId="29855338">
            <w:pPr>
              <w:keepNext w:val="0"/>
              <w:keepLines w:val="0"/>
              <w:pageBreakBefore w:val="0"/>
              <w:tabs>
                <w:tab w:val="left" w:pos="0"/>
                <w:tab w:val="left" w:pos="720"/>
                <w:tab w:val="left" w:pos="90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olor w:val="auto"/>
                <w:szCs w:val="21"/>
                <w:highlight w:val="none"/>
                <w:lang w:val="en-US" w:eastAsia="zh-CN"/>
              </w:rPr>
              <w:t>四、其他要求</w:t>
            </w:r>
            <w:r>
              <w:rPr>
                <w:rFonts w:hint="eastAsia" w:ascii="宋体" w:hAnsi="宋体" w:cs="宋体"/>
                <w:color w:val="auto"/>
                <w:highlight w:val="none"/>
              </w:rPr>
              <w:t>：</w:t>
            </w:r>
          </w:p>
          <w:p w14:paraId="12AB0D9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(1)报价方式：按零配件价格优惠率和工时费优惠率进行报价。</w:t>
            </w:r>
          </w:p>
          <w:p w14:paraId="4F67F65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公务用车辆维修和保养服务的结算方式：具体维修和保养费=零配件价格+工时费。零配件采购最高限价＝零配件市场实时价×（1－零配件优惠率）；工时费最高限价=量化后的工时定额×工时单价（均为完税价格），工时单价＝入围供应商备案工时费单价×（1－工时费优惠率）。</w:t>
            </w:r>
          </w:p>
          <w:p w14:paraId="4AA9ECD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(2)本次框架协议采购第一阶段确定的价格优惠率为采购人采购公务车辆维修和保养服务时所能享受的零配件优惠率和工时费优惠率。</w:t>
            </w:r>
          </w:p>
          <w:p w14:paraId="65465AD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(3)优惠后的价格应包含履行合同所有相关服务所需的服务费用及所有的税费。</w:t>
            </w:r>
          </w:p>
          <w:p w14:paraId="0BE4E29A">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
                <w:bCs/>
                <w:color w:val="auto"/>
                <w:highlight w:val="none"/>
              </w:rPr>
            </w:pPr>
            <w:r>
              <w:rPr>
                <w:rFonts w:hint="eastAsia" w:ascii="宋体" w:hAnsi="宋体" w:cs="宋体"/>
                <w:color w:val="auto"/>
                <w:szCs w:val="21"/>
                <w:highlight w:val="none"/>
              </w:rPr>
              <w:t>▲</w:t>
            </w:r>
            <w:r>
              <w:rPr>
                <w:rFonts w:hint="eastAsia" w:ascii="宋体" w:hAnsi="宋体" w:cs="宋体"/>
                <w:b/>
                <w:bCs/>
                <w:color w:val="auto"/>
                <w:highlight w:val="none"/>
              </w:rPr>
              <w:t>(4)本项目零配件</w:t>
            </w:r>
            <w:r>
              <w:rPr>
                <w:rFonts w:hint="eastAsia" w:ascii="宋体" w:hAnsi="宋体" w:cs="宋体"/>
                <w:b/>
                <w:bCs/>
                <w:color w:val="auto"/>
                <w:highlight w:val="none"/>
                <w:lang w:val="en-US" w:eastAsia="zh-CN"/>
              </w:rPr>
              <w:t>价格</w:t>
            </w:r>
            <w:r>
              <w:rPr>
                <w:rFonts w:hint="eastAsia" w:ascii="宋体" w:hAnsi="宋体" w:cs="宋体"/>
                <w:b/>
                <w:bCs/>
                <w:color w:val="auto"/>
                <w:highlight w:val="none"/>
              </w:rPr>
              <w:t>优惠率允许范围 20%（含）以内，工时优惠率允许范围 20%（含）以内，超出范围不予接受，作无效投标；本项目不接受零优惠率（或免费）的报价。</w:t>
            </w:r>
          </w:p>
          <w:p w14:paraId="2D7CEEF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(5)采购人在公务车辆维修和保养时与成交供应商以采购合同约定的价格优惠率进行购买维修和保养服务。供应商所报优惠率为采购人购买维修和保养服务时所能享受的最高优惠率。成交供应商以合同承诺的优惠价格收取维修（工时、材料）费、配件费等。</w:t>
            </w:r>
          </w:p>
          <w:p w14:paraId="09551779">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lang w:eastAsia="zh-CN"/>
              </w:rPr>
              <w:t>五、</w:t>
            </w:r>
            <w:r>
              <w:rPr>
                <w:rFonts w:hint="eastAsia" w:ascii="宋体" w:hAnsi="宋体" w:cs="宋体"/>
                <w:color w:val="auto"/>
                <w:highlight w:val="none"/>
              </w:rPr>
              <w:t>特别说明:</w:t>
            </w:r>
          </w:p>
          <w:p w14:paraId="0D00A48B">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成交供应商的零配件在按优惠率结算的价格不能高于</w:t>
            </w:r>
            <w:r>
              <w:rPr>
                <w:rFonts w:hint="eastAsia" w:ascii="宋体" w:hAnsi="宋体" w:cs="宋体"/>
                <w:color w:val="auto"/>
                <w:highlight w:val="none"/>
                <w:lang w:eastAsia="zh-CN"/>
              </w:rPr>
              <w:t>东兴</w:t>
            </w:r>
            <w:r>
              <w:rPr>
                <w:rFonts w:hint="eastAsia" w:ascii="宋体" w:hAnsi="宋体" w:cs="宋体"/>
                <w:color w:val="auto"/>
                <w:highlight w:val="none"/>
                <w:lang w:val="en-US" w:eastAsia="zh-CN"/>
              </w:rPr>
              <w:t>市</w:t>
            </w:r>
            <w:r>
              <w:rPr>
                <w:rFonts w:hint="eastAsia" w:ascii="宋体" w:hAnsi="宋体" w:cs="宋体"/>
                <w:color w:val="auto"/>
                <w:highlight w:val="none"/>
              </w:rPr>
              <w:t>本地市场零售价格。</w:t>
            </w:r>
          </w:p>
          <w:p w14:paraId="1D286CC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成交供应商的工时费报价不能高于</w:t>
            </w:r>
            <w:r>
              <w:rPr>
                <w:rFonts w:hint="eastAsia" w:ascii="宋体" w:hAnsi="宋体" w:cs="宋体"/>
                <w:color w:val="auto"/>
                <w:highlight w:val="none"/>
                <w:lang w:eastAsia="zh-CN"/>
              </w:rPr>
              <w:t>东兴</w:t>
            </w:r>
            <w:r>
              <w:rPr>
                <w:rFonts w:hint="eastAsia" w:ascii="宋体" w:hAnsi="宋体" w:cs="宋体"/>
                <w:color w:val="auto"/>
                <w:highlight w:val="none"/>
                <w:lang w:val="en-US" w:eastAsia="zh-CN"/>
              </w:rPr>
              <w:t>市</w:t>
            </w:r>
            <w:r>
              <w:rPr>
                <w:rFonts w:hint="eastAsia" w:ascii="宋体" w:hAnsi="宋体" w:cs="宋体"/>
                <w:color w:val="auto"/>
                <w:highlight w:val="none"/>
              </w:rPr>
              <w:t>汽车维修行业工时定额收费标准。某些固定维修项目统一了维修价格的，则按统一维修价格的 80%计算，不再套用工时定额计算。</w:t>
            </w:r>
          </w:p>
          <w:p w14:paraId="0382645B">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成交供应商应根据自身管理水平诚实报价，采购人在维修服务期间将定期或不定期地对维修项目的零配件价格进行核查,若发现维修供应商弄虚作假(包括伪造进货价票据、以低报价高收费等行为)或零配件价格高于</w:t>
            </w:r>
            <w:r>
              <w:rPr>
                <w:rFonts w:hint="eastAsia" w:ascii="宋体" w:hAnsi="宋体" w:cs="宋体"/>
                <w:color w:val="auto"/>
                <w:highlight w:val="none"/>
                <w:lang w:eastAsia="zh-CN"/>
              </w:rPr>
              <w:t>东兴</w:t>
            </w:r>
            <w:r>
              <w:rPr>
                <w:rFonts w:hint="eastAsia" w:ascii="宋体" w:hAnsi="宋体" w:cs="宋体"/>
                <w:color w:val="auto"/>
                <w:highlight w:val="none"/>
                <w:lang w:val="en-US" w:eastAsia="zh-CN"/>
              </w:rPr>
              <w:t>市</w:t>
            </w:r>
            <w:r>
              <w:rPr>
                <w:rFonts w:hint="eastAsia" w:ascii="宋体" w:hAnsi="宋体" w:cs="宋体"/>
                <w:color w:val="auto"/>
                <w:highlight w:val="none"/>
              </w:rPr>
              <w:t>本地市场价的，按协议书违约处理规定处理。</w:t>
            </w:r>
          </w:p>
          <w:p w14:paraId="5ACC7E28">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采购人有权与成交供应商在</w:t>
            </w:r>
            <w:r>
              <w:rPr>
                <w:rFonts w:hint="eastAsia" w:ascii="宋体" w:hAnsi="宋体" w:cs="宋体"/>
                <w:color w:val="auto"/>
                <w:highlight w:val="none"/>
                <w:lang w:eastAsia="zh-CN"/>
              </w:rPr>
              <w:t>入围</w:t>
            </w:r>
            <w:r>
              <w:rPr>
                <w:rFonts w:hint="eastAsia" w:ascii="宋体" w:hAnsi="宋体" w:cs="宋体"/>
                <w:color w:val="auto"/>
                <w:highlight w:val="none"/>
              </w:rPr>
              <w:t>所报优惠率的基础上进行价格谈判，以获取更低价格确定维修或采购。</w:t>
            </w:r>
          </w:p>
          <w:p w14:paraId="583071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六、本项目须遵守的有关法律法规及有关标准</w:t>
            </w:r>
          </w:p>
          <w:p w14:paraId="52D5FA7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中华人民共和国政府采购法》、《中华人民共和国政府采购法实施条例》、《政府采购框架协议采购方式管理暂行办法》（财政部令第110号）等规定；</w:t>
            </w:r>
          </w:p>
          <w:p w14:paraId="2D36D9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2．中华人民共和国交通部令2019年第20号《机动车维修管理规定》；</w:t>
            </w:r>
          </w:p>
          <w:p w14:paraId="5F736E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3．GB/T 5624-2019 《汽车维修术语》；</w:t>
            </w:r>
          </w:p>
          <w:p w14:paraId="60C721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4．GB/T 3730.1-2001 《汽车和挂车类型的术语和定义》；</w:t>
            </w:r>
          </w:p>
          <w:p w14:paraId="5D040E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5．GB 20001.3-2015 《中国汽车分类标准》；</w:t>
            </w:r>
          </w:p>
          <w:p w14:paraId="3DB47D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6．GB/T 16739.1-2014、GB/T 16739.2-2014《汽车维修业开业条件》；</w:t>
            </w:r>
          </w:p>
          <w:p w14:paraId="6917ABA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cs="宋体"/>
                <w:color w:val="auto"/>
                <w:highlight w:val="none"/>
                <w:lang w:val="en-US" w:eastAsia="zh-CN"/>
              </w:rPr>
            </w:pPr>
            <w:r>
              <w:rPr>
                <w:rFonts w:hint="eastAsia" w:ascii="宋体" w:hAnsi="宋体" w:eastAsia="宋体" w:cs="宋体"/>
                <w:color w:val="auto"/>
                <w:sz w:val="21"/>
                <w:szCs w:val="21"/>
                <w:highlight w:val="none"/>
              </w:rPr>
              <w:t>7．GB/T 15746-2011 《汽车修理质量检查评定标准》。</w:t>
            </w:r>
          </w:p>
        </w:tc>
      </w:tr>
      <w:tr w14:paraId="1497B27F">
        <w:tblPrEx>
          <w:tblCellMar>
            <w:top w:w="0" w:type="dxa"/>
            <w:left w:w="0" w:type="dxa"/>
            <w:bottom w:w="0" w:type="dxa"/>
            <w:right w:w="0" w:type="dxa"/>
          </w:tblCellMar>
        </w:tblPrEx>
        <w:trPr>
          <w:trHeight w:val="569" w:hRule="atLeast"/>
        </w:trPr>
        <w:tc>
          <w:tcPr>
            <w:tcW w:w="720"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6F09CFC">
            <w:pPr>
              <w:rPr>
                <w:color w:val="auto"/>
                <w:highlight w:val="none"/>
              </w:rPr>
            </w:pPr>
            <w:r>
              <w:rPr>
                <w:rFonts w:hint="eastAsia"/>
                <w:color w:val="auto"/>
                <w:highlight w:val="none"/>
              </w:rPr>
              <w:t>商务条款</w:t>
            </w:r>
          </w:p>
        </w:tc>
        <w:tc>
          <w:tcPr>
            <w:tcW w:w="8926" w:type="dxa"/>
            <w:gridSpan w:val="3"/>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54FD6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color w:val="auto"/>
                <w:highlight w:val="none"/>
              </w:rPr>
            </w:pPr>
            <w:r>
              <w:rPr>
                <w:rFonts w:hint="eastAsia" w:ascii="Calibri" w:hAnsi="Calibri" w:eastAsia="宋体" w:cs="Times New Roman"/>
                <w:color w:val="auto"/>
                <w:kern w:val="2"/>
                <w:sz w:val="21"/>
                <w:szCs w:val="22"/>
                <w:highlight w:val="none"/>
                <w:lang w:val="en-US" w:eastAsia="zh-CN" w:bidi="ar-SA"/>
              </w:rPr>
              <w:t>一、</w:t>
            </w:r>
            <w:r>
              <w:rPr>
                <w:rFonts w:hint="eastAsia" w:ascii="宋体" w:hAnsi="宋体" w:cs="宋体"/>
                <w:color w:val="auto"/>
                <w:szCs w:val="21"/>
                <w:highlight w:val="none"/>
              </w:rPr>
              <w:t>框架协议签订期：自入围通知书发出之日起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内</w:t>
            </w:r>
            <w:r>
              <w:rPr>
                <w:rFonts w:hint="eastAsia" w:ascii="宋体" w:hAnsi="宋体" w:cs="宋体"/>
                <w:color w:val="auto"/>
                <w:szCs w:val="21"/>
                <w:highlight w:val="none"/>
              </w:rPr>
              <w:t>。</w:t>
            </w:r>
          </w:p>
          <w:p w14:paraId="4A5DC7E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▲二、确定第二阶段成交供应商方式：直接选定。由采购人依据项目实际情况、供应商服务质量、价格及服务便利性、用户评价等因素，从第一阶段入围供应商中直接选定。</w:t>
            </w:r>
          </w:p>
          <w:p w14:paraId="66EEA756">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eastAsia="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olor w:val="auto"/>
                <w:szCs w:val="21"/>
                <w:highlight w:val="none"/>
                <w:lang w:val="en-US" w:eastAsia="zh-CN"/>
              </w:rPr>
              <w:t>三、框架协议的期限：自合同签订之日起两年。</w:t>
            </w:r>
          </w:p>
          <w:p w14:paraId="7F054941">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、其他要求：</w:t>
            </w:r>
          </w:p>
          <w:p w14:paraId="0EEE56A6">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1、报价必须含以下部分，包括</w:t>
            </w:r>
          </w:p>
          <w:p w14:paraId="3C804C8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1"/>
                <w:highlight w:val="none"/>
              </w:rPr>
            </w:pPr>
            <w:r>
              <w:rPr>
                <w:rFonts w:hint="eastAsia" w:ascii="宋体" w:hAnsi="宋体"/>
                <w:color w:val="auto"/>
                <w:szCs w:val="21"/>
                <w:highlight w:val="none"/>
              </w:rPr>
              <w:t>（1）服务和货物的价格；</w:t>
            </w:r>
          </w:p>
          <w:p w14:paraId="376884B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1"/>
                <w:highlight w:val="none"/>
              </w:rPr>
            </w:pPr>
            <w:r>
              <w:rPr>
                <w:rFonts w:hint="eastAsia" w:ascii="宋体" w:hAnsi="宋体"/>
                <w:color w:val="auto"/>
                <w:szCs w:val="21"/>
                <w:highlight w:val="none"/>
              </w:rPr>
              <w:t>（2）必要的保险费用和各项税金；</w:t>
            </w:r>
          </w:p>
          <w:p w14:paraId="398BDF03">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1"/>
                <w:highlight w:val="none"/>
              </w:rPr>
            </w:pPr>
            <w:r>
              <w:rPr>
                <w:rFonts w:hint="eastAsia" w:ascii="宋体" w:hAnsi="宋体"/>
                <w:color w:val="auto"/>
                <w:szCs w:val="21"/>
                <w:highlight w:val="none"/>
              </w:rPr>
              <w:t>（3）实施和完成工作所需的设备、劳务、运输、搬运、技术服务费、交通、维护、利润等费用和政策性文件规定及合同包含的所有风险、责任等各项应有的费用。</w:t>
            </w:r>
          </w:p>
          <w:p w14:paraId="10340949">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2、付款方式：</w:t>
            </w:r>
            <w:r>
              <w:rPr>
                <w:rFonts w:hint="eastAsia" w:ascii="宋体" w:hAnsi="宋体" w:cs="宋体"/>
                <w:color w:val="auto"/>
                <w:szCs w:val="21"/>
                <w:highlight w:val="none"/>
              </w:rPr>
              <w:t>本框架协议车辆维修和保养服务费具体付款方式由采购人与成交供应商在采购合同中约定</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rPr>
              <w:t>采用非现金方式</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结算。</w:t>
            </w:r>
          </w:p>
          <w:p w14:paraId="1F119A5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3.其它约定：详见后附《框架协议合同文本》。</w:t>
            </w:r>
          </w:p>
          <w:p w14:paraId="4C854F3A">
            <w:pPr>
              <w:keepNext w:val="0"/>
              <w:keepLines w:val="0"/>
              <w:pageBreakBefore w:val="0"/>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color w:val="auto"/>
                <w:szCs w:val="21"/>
                <w:highlight w:val="none"/>
              </w:rPr>
              <w:t>4、</w:t>
            </w:r>
            <w:r>
              <w:rPr>
                <w:rFonts w:hint="eastAsia" w:ascii="Arial" w:hAnsi="Arial"/>
                <w:color w:val="auto"/>
                <w:szCs w:val="21"/>
                <w:highlight w:val="none"/>
              </w:rPr>
              <w:t>投标人提供的产品实行“三包”，即包退、包换、包修，按国家有关在质保期内承担因产品质量问题发生的相关费用。</w:t>
            </w:r>
          </w:p>
          <w:p w14:paraId="7B5A65A4">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cs="宋体"/>
                <w:color w:val="auto"/>
                <w:szCs w:val="21"/>
                <w:highlight w:val="none"/>
              </w:rPr>
              <w:t>▲</w:t>
            </w:r>
            <w:r>
              <w:rPr>
                <w:rFonts w:hint="eastAsia" w:ascii="宋体" w:hAnsi="宋体"/>
                <w:color w:val="auto"/>
                <w:szCs w:val="21"/>
                <w:highlight w:val="none"/>
              </w:rPr>
              <w:t>5</w:t>
            </w:r>
            <w:r>
              <w:rPr>
                <w:rFonts w:hint="eastAsia" w:hAnsi="宋体"/>
                <w:color w:val="auto"/>
                <w:szCs w:val="21"/>
                <w:highlight w:val="none"/>
              </w:rPr>
              <w:t>采购人经市场多方面询价发现</w:t>
            </w:r>
            <w:r>
              <w:rPr>
                <w:rFonts w:hint="eastAsia" w:ascii="宋体" w:hAnsi="宋体" w:cs="宋体"/>
                <w:color w:val="auto"/>
                <w:szCs w:val="21"/>
                <w:highlight w:val="none"/>
              </w:rPr>
              <w:t>入围</w:t>
            </w:r>
            <w:r>
              <w:rPr>
                <w:rFonts w:hint="eastAsia" w:hAnsi="宋体"/>
                <w:color w:val="auto"/>
                <w:szCs w:val="21"/>
                <w:highlight w:val="none"/>
              </w:rPr>
              <w:t>供应商在合同服务期内所提供的商品价格或服务价格普遍比市场询价高的，采购人有权要求供应商进行整改，</w:t>
            </w:r>
            <w:r>
              <w:rPr>
                <w:rFonts w:hint="eastAsia" w:ascii="宋体" w:hAnsi="宋体" w:cs="宋体"/>
                <w:color w:val="auto"/>
                <w:szCs w:val="21"/>
                <w:highlight w:val="none"/>
              </w:rPr>
              <w:t>入围</w:t>
            </w:r>
            <w:r>
              <w:rPr>
                <w:rFonts w:hint="eastAsia" w:hAnsi="宋体"/>
                <w:color w:val="auto"/>
                <w:szCs w:val="21"/>
                <w:highlight w:val="none"/>
              </w:rPr>
              <w:t>供应商累计达到三次或拒绝整改的，视为供应商违约，采购人有权解除合同</w:t>
            </w:r>
            <w:r>
              <w:rPr>
                <w:rFonts w:hint="eastAsia" w:ascii="宋体" w:hAnsi="宋体"/>
                <w:color w:val="auto"/>
                <w:szCs w:val="21"/>
                <w:highlight w:val="none"/>
              </w:rPr>
              <w:t>。</w:t>
            </w:r>
          </w:p>
        </w:tc>
      </w:tr>
      <w:tr w14:paraId="2B3C4FEE">
        <w:tblPrEx>
          <w:tblCellMar>
            <w:top w:w="0" w:type="dxa"/>
            <w:left w:w="0" w:type="dxa"/>
            <w:bottom w:w="0" w:type="dxa"/>
            <w:right w:w="0" w:type="dxa"/>
          </w:tblCellMar>
        </w:tblPrEx>
        <w:trPr>
          <w:trHeight w:val="1055" w:hRule="atLeast"/>
        </w:trPr>
        <w:tc>
          <w:tcPr>
            <w:tcW w:w="720"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D54C2A">
            <w:pPr>
              <w:rPr>
                <w:rFonts w:hint="default" w:eastAsia="宋体"/>
                <w:color w:val="auto"/>
                <w:highlight w:val="none"/>
                <w:lang w:val="en-US" w:eastAsia="zh-CN"/>
              </w:rPr>
            </w:pPr>
            <w:r>
              <w:rPr>
                <w:rFonts w:hint="eastAsia"/>
                <w:color w:val="auto"/>
                <w:highlight w:val="none"/>
                <w:lang w:val="en-US" w:eastAsia="zh-CN"/>
              </w:rPr>
              <w:t>其他说明</w:t>
            </w:r>
          </w:p>
        </w:tc>
        <w:tc>
          <w:tcPr>
            <w:tcW w:w="8926" w:type="dxa"/>
            <w:gridSpan w:val="3"/>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4C0F1985">
            <w:pPr>
              <w:spacing w:line="36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本项目采购标的对应的中小企业划分标准所属行业:其他未列明行业。</w:t>
            </w:r>
          </w:p>
        </w:tc>
      </w:tr>
    </w:tbl>
    <w:p w14:paraId="53F82016">
      <w:pP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p w14:paraId="0D36C1EE">
      <w:pPr>
        <w:spacing w:line="320" w:lineRule="exact"/>
        <w:ind w:firstLine="361" w:firstLineChars="150"/>
        <w:rPr>
          <w:rFonts w:hint="eastAsia" w:ascii="宋体" w:hAnsi="宋体"/>
          <w:b/>
          <w:bCs/>
          <w:color w:val="auto"/>
          <w:sz w:val="24"/>
          <w:szCs w:val="24"/>
          <w:highlight w:val="none"/>
        </w:rPr>
      </w:pPr>
    </w:p>
    <w:p w14:paraId="59ECDD13">
      <w:pPr>
        <w:rPr>
          <w:rFonts w:hint="eastAsia" w:ascii="宋体" w:hAnsi="宋体"/>
          <w:color w:val="auto"/>
          <w:szCs w:val="21"/>
          <w:highlight w:val="none"/>
        </w:rPr>
      </w:pPr>
    </w:p>
    <w:p w14:paraId="26884781">
      <w:pPr>
        <w:rPr>
          <w:rFonts w:hint="eastAsia" w:ascii="宋体" w:hAnsi="宋体"/>
          <w:color w:val="auto"/>
          <w:szCs w:val="21"/>
          <w:highlight w:val="none"/>
        </w:rPr>
      </w:pPr>
    </w:p>
    <w:bookmarkEnd w:id="28"/>
    <w:p w14:paraId="2839A37D">
      <w:pPr>
        <w:rPr>
          <w:rFonts w:hint="eastAsia" w:ascii="宋体" w:hAnsi="宋体" w:cs="微软雅黑"/>
          <w:color w:val="auto"/>
          <w:sz w:val="24"/>
          <w:szCs w:val="24"/>
          <w:highlight w:val="none"/>
        </w:rPr>
      </w:pPr>
    </w:p>
    <w:p w14:paraId="1204C45E">
      <w:pPr>
        <w:rPr>
          <w:rFonts w:hint="eastAsia" w:ascii="宋体" w:hAnsi="宋体" w:cs="微软雅黑"/>
          <w:color w:val="auto"/>
          <w:sz w:val="24"/>
          <w:szCs w:val="24"/>
          <w:highlight w:val="none"/>
        </w:rPr>
      </w:pPr>
      <w:r>
        <w:rPr>
          <w:rFonts w:hint="eastAsia" w:ascii="宋体" w:hAnsi="宋体" w:cs="微软雅黑"/>
          <w:color w:val="auto"/>
          <w:sz w:val="24"/>
          <w:szCs w:val="24"/>
          <w:highlight w:val="none"/>
        </w:rPr>
        <w:br w:type="page"/>
      </w:r>
    </w:p>
    <w:p w14:paraId="16B0812A">
      <w:pPr>
        <w:jc w:val="left"/>
        <w:rPr>
          <w:rFonts w:ascii="宋体" w:hAnsi="宋体" w:cs="Arial Unicode MS"/>
          <w:color w:val="auto"/>
          <w:sz w:val="24"/>
          <w:szCs w:val="24"/>
          <w:highlight w:val="none"/>
        </w:rPr>
      </w:pPr>
      <w:r>
        <w:rPr>
          <w:rFonts w:hint="eastAsia" w:ascii="宋体" w:hAnsi="宋体" w:cs="微软雅黑"/>
          <w:color w:val="auto"/>
          <w:sz w:val="24"/>
          <w:szCs w:val="24"/>
          <w:highlight w:val="none"/>
        </w:rPr>
        <w:t>附件</w:t>
      </w:r>
      <w:r>
        <w:rPr>
          <w:rFonts w:ascii="宋体" w:hAnsi="宋体" w:cs="Arial Unicode MS"/>
          <w:color w:val="auto"/>
          <w:sz w:val="24"/>
          <w:szCs w:val="24"/>
          <w:highlight w:val="none"/>
        </w:rPr>
        <w:t>1</w:t>
      </w:r>
      <w:r>
        <w:rPr>
          <w:rFonts w:hint="eastAsia" w:ascii="宋体" w:hAnsi="宋体" w:cs="微软雅黑"/>
          <w:color w:val="auto"/>
          <w:sz w:val="24"/>
          <w:szCs w:val="24"/>
          <w:highlight w:val="none"/>
        </w:rPr>
        <w:t>：</w:t>
      </w:r>
    </w:p>
    <w:p w14:paraId="71C49F95">
      <w:pPr>
        <w:spacing w:line="528" w:lineRule="exact"/>
        <w:ind w:left="1871"/>
        <w:rPr>
          <w:rFonts w:ascii="宋体" w:hAnsi="宋体" w:cs="Arial Unicode MS"/>
          <w:b/>
          <w:color w:val="auto"/>
          <w:sz w:val="30"/>
          <w:szCs w:val="30"/>
          <w:highlight w:val="none"/>
        </w:rPr>
      </w:pPr>
      <w:r>
        <w:rPr>
          <w:rFonts w:hint="eastAsia" w:ascii="宋体" w:hAnsi="宋体" w:cs="微软雅黑"/>
          <w:b/>
          <w:color w:val="auto"/>
          <w:sz w:val="30"/>
          <w:szCs w:val="30"/>
          <w:highlight w:val="none"/>
        </w:rPr>
        <w:t>中小微企业划型标准</w:t>
      </w:r>
    </w:p>
    <w:tbl>
      <w:tblPr>
        <w:tblStyle w:val="25"/>
        <w:tblW w:w="8884" w:type="dxa"/>
        <w:tblInd w:w="250" w:type="dxa"/>
        <w:tblLayout w:type="fixed"/>
        <w:tblCellMar>
          <w:top w:w="0" w:type="dxa"/>
          <w:left w:w="108" w:type="dxa"/>
          <w:bottom w:w="0" w:type="dxa"/>
          <w:right w:w="108" w:type="dxa"/>
        </w:tblCellMar>
      </w:tblPr>
      <w:tblGrid>
        <w:gridCol w:w="1894"/>
        <w:gridCol w:w="1540"/>
        <w:gridCol w:w="1016"/>
        <w:gridCol w:w="1802"/>
        <w:gridCol w:w="1602"/>
        <w:gridCol w:w="1030"/>
      </w:tblGrid>
      <w:tr w14:paraId="137B6BAE">
        <w:tblPrEx>
          <w:tblCellMar>
            <w:top w:w="0" w:type="dxa"/>
            <w:left w:w="108" w:type="dxa"/>
            <w:bottom w:w="0" w:type="dxa"/>
            <w:right w:w="108" w:type="dxa"/>
          </w:tblCellMar>
        </w:tblPrEx>
        <w:trPr>
          <w:trHeight w:val="286" w:hRule="atLeast"/>
        </w:trPr>
        <w:tc>
          <w:tcPr>
            <w:tcW w:w="1894" w:type="dxa"/>
            <w:tcBorders>
              <w:top w:val="single" w:color="auto" w:sz="4" w:space="0"/>
              <w:left w:val="single" w:color="auto" w:sz="4" w:space="0"/>
              <w:bottom w:val="single" w:color="auto" w:sz="4" w:space="0"/>
              <w:right w:val="single" w:color="auto" w:sz="4" w:space="0"/>
            </w:tcBorders>
            <w:noWrap w:val="0"/>
            <w:vAlign w:val="center"/>
          </w:tcPr>
          <w:p w14:paraId="35AD2951">
            <w:pPr>
              <w:widowControl/>
              <w:jc w:val="left"/>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行业名称</w:t>
            </w:r>
          </w:p>
        </w:tc>
        <w:tc>
          <w:tcPr>
            <w:tcW w:w="1540" w:type="dxa"/>
            <w:tcBorders>
              <w:top w:val="single" w:color="auto" w:sz="4" w:space="0"/>
              <w:left w:val="nil"/>
              <w:bottom w:val="single" w:color="auto" w:sz="4" w:space="0"/>
              <w:right w:val="single" w:color="auto" w:sz="4" w:space="0"/>
            </w:tcBorders>
            <w:noWrap w:val="0"/>
            <w:vAlign w:val="center"/>
          </w:tcPr>
          <w:p w14:paraId="1C5B582E">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指标名称</w:t>
            </w:r>
          </w:p>
        </w:tc>
        <w:tc>
          <w:tcPr>
            <w:tcW w:w="1016" w:type="dxa"/>
            <w:tcBorders>
              <w:top w:val="single" w:color="auto" w:sz="4" w:space="0"/>
              <w:left w:val="nil"/>
              <w:bottom w:val="single" w:color="auto" w:sz="4" w:space="0"/>
              <w:right w:val="single" w:color="auto" w:sz="4" w:space="0"/>
            </w:tcBorders>
            <w:noWrap w:val="0"/>
            <w:vAlign w:val="center"/>
          </w:tcPr>
          <w:p w14:paraId="09040FAB">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计量单位</w:t>
            </w:r>
          </w:p>
        </w:tc>
        <w:tc>
          <w:tcPr>
            <w:tcW w:w="1802" w:type="dxa"/>
            <w:tcBorders>
              <w:top w:val="single" w:color="auto" w:sz="4" w:space="0"/>
              <w:left w:val="nil"/>
              <w:bottom w:val="single" w:color="auto" w:sz="4" w:space="0"/>
              <w:right w:val="single" w:color="auto" w:sz="4" w:space="0"/>
            </w:tcBorders>
            <w:noWrap w:val="0"/>
            <w:vAlign w:val="center"/>
          </w:tcPr>
          <w:p w14:paraId="4F9DCB9D">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中型</w:t>
            </w:r>
          </w:p>
        </w:tc>
        <w:tc>
          <w:tcPr>
            <w:tcW w:w="1602" w:type="dxa"/>
            <w:tcBorders>
              <w:top w:val="single" w:color="auto" w:sz="4" w:space="0"/>
              <w:left w:val="nil"/>
              <w:bottom w:val="single" w:color="auto" w:sz="4" w:space="0"/>
              <w:right w:val="single" w:color="auto" w:sz="4" w:space="0"/>
            </w:tcBorders>
            <w:noWrap w:val="0"/>
            <w:vAlign w:val="center"/>
          </w:tcPr>
          <w:p w14:paraId="344DC998">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小型</w:t>
            </w:r>
          </w:p>
        </w:tc>
        <w:tc>
          <w:tcPr>
            <w:tcW w:w="1030" w:type="dxa"/>
            <w:tcBorders>
              <w:top w:val="single" w:color="auto" w:sz="4" w:space="0"/>
              <w:left w:val="nil"/>
              <w:bottom w:val="single" w:color="auto" w:sz="4" w:space="0"/>
              <w:right w:val="single" w:color="auto" w:sz="4" w:space="0"/>
            </w:tcBorders>
            <w:noWrap w:val="0"/>
            <w:vAlign w:val="center"/>
          </w:tcPr>
          <w:p w14:paraId="681EC0B4">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微型</w:t>
            </w:r>
          </w:p>
        </w:tc>
      </w:tr>
      <w:tr w14:paraId="15457912">
        <w:tblPrEx>
          <w:tblCellMar>
            <w:top w:w="0" w:type="dxa"/>
            <w:left w:w="108" w:type="dxa"/>
            <w:bottom w:w="0" w:type="dxa"/>
            <w:right w:w="108" w:type="dxa"/>
          </w:tblCellMar>
        </w:tblPrEx>
        <w:trPr>
          <w:trHeight w:val="226" w:hRule="atLeast"/>
        </w:trPr>
        <w:tc>
          <w:tcPr>
            <w:tcW w:w="1894" w:type="dxa"/>
            <w:tcBorders>
              <w:top w:val="nil"/>
              <w:left w:val="single" w:color="auto" w:sz="4" w:space="0"/>
              <w:bottom w:val="single" w:color="auto" w:sz="4" w:space="0"/>
              <w:right w:val="single" w:color="auto" w:sz="4" w:space="0"/>
            </w:tcBorders>
            <w:noWrap w:val="0"/>
            <w:vAlign w:val="bottom"/>
          </w:tcPr>
          <w:p w14:paraId="2A78A82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540" w:type="dxa"/>
            <w:tcBorders>
              <w:top w:val="nil"/>
              <w:left w:val="nil"/>
              <w:bottom w:val="single" w:color="auto" w:sz="4" w:space="0"/>
              <w:right w:val="single" w:color="auto" w:sz="4" w:space="0"/>
            </w:tcBorders>
            <w:noWrap w:val="0"/>
            <w:vAlign w:val="center"/>
          </w:tcPr>
          <w:p w14:paraId="32B4A5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7971A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85417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02" w:type="dxa"/>
            <w:tcBorders>
              <w:top w:val="nil"/>
              <w:left w:val="nil"/>
              <w:bottom w:val="single" w:color="auto" w:sz="4" w:space="0"/>
              <w:right w:val="single" w:color="auto" w:sz="4" w:space="0"/>
            </w:tcBorders>
            <w:noWrap w:val="0"/>
            <w:vAlign w:val="center"/>
          </w:tcPr>
          <w:p w14:paraId="5CCB64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30" w:type="dxa"/>
            <w:tcBorders>
              <w:top w:val="nil"/>
              <w:left w:val="nil"/>
              <w:bottom w:val="single" w:color="auto" w:sz="4" w:space="0"/>
              <w:right w:val="single" w:color="auto" w:sz="4" w:space="0"/>
            </w:tcBorders>
            <w:noWrap w:val="0"/>
            <w:vAlign w:val="center"/>
          </w:tcPr>
          <w:p w14:paraId="5BB663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C2099AE">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0643E05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540" w:type="dxa"/>
            <w:tcBorders>
              <w:top w:val="nil"/>
              <w:left w:val="nil"/>
              <w:bottom w:val="single" w:color="auto" w:sz="4" w:space="0"/>
              <w:right w:val="single" w:color="auto" w:sz="4" w:space="0"/>
            </w:tcBorders>
            <w:noWrap w:val="0"/>
            <w:vAlign w:val="center"/>
          </w:tcPr>
          <w:p w14:paraId="368828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6F4FCE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028385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4F92F6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30" w:type="dxa"/>
            <w:tcBorders>
              <w:top w:val="nil"/>
              <w:left w:val="nil"/>
              <w:bottom w:val="single" w:color="auto" w:sz="4" w:space="0"/>
              <w:right w:val="single" w:color="auto" w:sz="4" w:space="0"/>
            </w:tcBorders>
            <w:noWrap w:val="0"/>
            <w:vAlign w:val="center"/>
          </w:tcPr>
          <w:p w14:paraId="11FF6F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B78C65A">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46FADF36">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4FE12D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6CD4A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F2138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02" w:type="dxa"/>
            <w:tcBorders>
              <w:top w:val="nil"/>
              <w:left w:val="nil"/>
              <w:bottom w:val="single" w:color="auto" w:sz="4" w:space="0"/>
              <w:right w:val="single" w:color="auto" w:sz="4" w:space="0"/>
            </w:tcBorders>
            <w:noWrap w:val="0"/>
            <w:vAlign w:val="center"/>
          </w:tcPr>
          <w:p w14:paraId="18DBA1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30" w:type="dxa"/>
            <w:tcBorders>
              <w:top w:val="nil"/>
              <w:left w:val="nil"/>
              <w:bottom w:val="single" w:color="auto" w:sz="4" w:space="0"/>
              <w:right w:val="single" w:color="auto" w:sz="4" w:space="0"/>
            </w:tcBorders>
            <w:noWrap w:val="0"/>
            <w:vAlign w:val="center"/>
          </w:tcPr>
          <w:p w14:paraId="76483E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2C9E7BE">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280D5BE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540" w:type="dxa"/>
            <w:tcBorders>
              <w:top w:val="nil"/>
              <w:left w:val="nil"/>
              <w:bottom w:val="single" w:color="auto" w:sz="4" w:space="0"/>
              <w:right w:val="single" w:color="auto" w:sz="4" w:space="0"/>
            </w:tcBorders>
            <w:noWrap w:val="0"/>
            <w:vAlign w:val="center"/>
          </w:tcPr>
          <w:p w14:paraId="002C61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D01B0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11F24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02" w:type="dxa"/>
            <w:tcBorders>
              <w:top w:val="nil"/>
              <w:left w:val="nil"/>
              <w:bottom w:val="single" w:color="auto" w:sz="4" w:space="0"/>
              <w:right w:val="single" w:color="auto" w:sz="4" w:space="0"/>
            </w:tcBorders>
            <w:noWrap w:val="0"/>
            <w:vAlign w:val="center"/>
          </w:tcPr>
          <w:p w14:paraId="3E58FF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30" w:type="dxa"/>
            <w:tcBorders>
              <w:top w:val="nil"/>
              <w:left w:val="nil"/>
              <w:bottom w:val="single" w:color="auto" w:sz="4" w:space="0"/>
              <w:right w:val="single" w:color="auto" w:sz="4" w:space="0"/>
            </w:tcBorders>
            <w:noWrap w:val="0"/>
            <w:vAlign w:val="center"/>
          </w:tcPr>
          <w:p w14:paraId="28220C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98AFD7">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37C2E450">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02E55D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6821AC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B10E6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02" w:type="dxa"/>
            <w:tcBorders>
              <w:top w:val="nil"/>
              <w:left w:val="nil"/>
              <w:bottom w:val="single" w:color="auto" w:sz="4" w:space="0"/>
              <w:right w:val="single" w:color="auto" w:sz="4" w:space="0"/>
            </w:tcBorders>
            <w:noWrap w:val="0"/>
            <w:vAlign w:val="center"/>
          </w:tcPr>
          <w:p w14:paraId="142D51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30" w:type="dxa"/>
            <w:tcBorders>
              <w:top w:val="nil"/>
              <w:left w:val="nil"/>
              <w:bottom w:val="single" w:color="auto" w:sz="4" w:space="0"/>
              <w:right w:val="single" w:color="auto" w:sz="4" w:space="0"/>
            </w:tcBorders>
            <w:noWrap w:val="0"/>
            <w:vAlign w:val="center"/>
          </w:tcPr>
          <w:p w14:paraId="3DA41D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EF68C27">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696E12E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540" w:type="dxa"/>
            <w:tcBorders>
              <w:top w:val="nil"/>
              <w:left w:val="nil"/>
              <w:bottom w:val="single" w:color="auto" w:sz="4" w:space="0"/>
              <w:right w:val="single" w:color="auto" w:sz="4" w:space="0"/>
            </w:tcBorders>
            <w:noWrap w:val="0"/>
            <w:vAlign w:val="center"/>
          </w:tcPr>
          <w:p w14:paraId="24CF46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34F3F4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2F360E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02" w:type="dxa"/>
            <w:tcBorders>
              <w:top w:val="nil"/>
              <w:left w:val="nil"/>
              <w:bottom w:val="single" w:color="auto" w:sz="4" w:space="0"/>
              <w:right w:val="single" w:color="auto" w:sz="4" w:space="0"/>
            </w:tcBorders>
            <w:noWrap w:val="0"/>
            <w:vAlign w:val="center"/>
          </w:tcPr>
          <w:p w14:paraId="5BCCD9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30" w:type="dxa"/>
            <w:tcBorders>
              <w:top w:val="nil"/>
              <w:left w:val="nil"/>
              <w:bottom w:val="single" w:color="auto" w:sz="4" w:space="0"/>
              <w:right w:val="single" w:color="auto" w:sz="4" w:space="0"/>
            </w:tcBorders>
            <w:noWrap w:val="0"/>
            <w:vAlign w:val="center"/>
          </w:tcPr>
          <w:p w14:paraId="5F6FFA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ACD09C6">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3E83EEFC">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514409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62B92B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C4126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02" w:type="dxa"/>
            <w:tcBorders>
              <w:top w:val="nil"/>
              <w:left w:val="nil"/>
              <w:bottom w:val="single" w:color="auto" w:sz="4" w:space="0"/>
              <w:right w:val="single" w:color="auto" w:sz="4" w:space="0"/>
            </w:tcBorders>
            <w:noWrap w:val="0"/>
            <w:vAlign w:val="center"/>
          </w:tcPr>
          <w:p w14:paraId="580080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30" w:type="dxa"/>
            <w:tcBorders>
              <w:top w:val="nil"/>
              <w:left w:val="nil"/>
              <w:bottom w:val="single" w:color="auto" w:sz="4" w:space="0"/>
              <w:right w:val="single" w:color="auto" w:sz="4" w:space="0"/>
            </w:tcBorders>
            <w:noWrap w:val="0"/>
            <w:vAlign w:val="center"/>
          </w:tcPr>
          <w:p w14:paraId="42EF1F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056F87B">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0966141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540" w:type="dxa"/>
            <w:tcBorders>
              <w:top w:val="nil"/>
              <w:left w:val="nil"/>
              <w:bottom w:val="single" w:color="auto" w:sz="4" w:space="0"/>
              <w:right w:val="single" w:color="auto" w:sz="4" w:space="0"/>
            </w:tcBorders>
            <w:noWrap w:val="0"/>
            <w:vAlign w:val="center"/>
          </w:tcPr>
          <w:p w14:paraId="56EF6E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857B5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6E7A86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02" w:type="dxa"/>
            <w:tcBorders>
              <w:top w:val="nil"/>
              <w:left w:val="nil"/>
              <w:bottom w:val="single" w:color="auto" w:sz="4" w:space="0"/>
              <w:right w:val="single" w:color="auto" w:sz="4" w:space="0"/>
            </w:tcBorders>
            <w:noWrap w:val="0"/>
            <w:vAlign w:val="center"/>
          </w:tcPr>
          <w:p w14:paraId="6D7D80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30" w:type="dxa"/>
            <w:tcBorders>
              <w:top w:val="nil"/>
              <w:left w:val="nil"/>
              <w:bottom w:val="single" w:color="auto" w:sz="4" w:space="0"/>
              <w:right w:val="single" w:color="auto" w:sz="4" w:space="0"/>
            </w:tcBorders>
            <w:noWrap w:val="0"/>
            <w:vAlign w:val="center"/>
          </w:tcPr>
          <w:p w14:paraId="1406F94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19A980">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294619FF">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36560C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EE418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C01B0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02" w:type="dxa"/>
            <w:tcBorders>
              <w:top w:val="nil"/>
              <w:left w:val="nil"/>
              <w:bottom w:val="single" w:color="auto" w:sz="4" w:space="0"/>
              <w:right w:val="single" w:color="auto" w:sz="4" w:space="0"/>
            </w:tcBorders>
            <w:noWrap w:val="0"/>
            <w:vAlign w:val="center"/>
          </w:tcPr>
          <w:p w14:paraId="0D05C6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30" w:type="dxa"/>
            <w:tcBorders>
              <w:top w:val="nil"/>
              <w:left w:val="nil"/>
              <w:bottom w:val="single" w:color="auto" w:sz="4" w:space="0"/>
              <w:right w:val="single" w:color="auto" w:sz="4" w:space="0"/>
            </w:tcBorders>
            <w:noWrap w:val="0"/>
            <w:vAlign w:val="center"/>
          </w:tcPr>
          <w:p w14:paraId="315C26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996361C">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78FB63C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540" w:type="dxa"/>
            <w:tcBorders>
              <w:top w:val="nil"/>
              <w:left w:val="nil"/>
              <w:bottom w:val="single" w:color="auto" w:sz="4" w:space="0"/>
              <w:right w:val="single" w:color="auto" w:sz="4" w:space="0"/>
            </w:tcBorders>
            <w:noWrap w:val="0"/>
            <w:vAlign w:val="center"/>
          </w:tcPr>
          <w:p w14:paraId="036A69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ED888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31A056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714DF7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30" w:type="dxa"/>
            <w:tcBorders>
              <w:top w:val="nil"/>
              <w:left w:val="nil"/>
              <w:bottom w:val="single" w:color="auto" w:sz="4" w:space="0"/>
              <w:right w:val="single" w:color="auto" w:sz="4" w:space="0"/>
            </w:tcBorders>
            <w:noWrap w:val="0"/>
            <w:vAlign w:val="center"/>
          </w:tcPr>
          <w:p w14:paraId="352692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64E9565">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360B8FE5">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06712A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90CBF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3A9034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02" w:type="dxa"/>
            <w:tcBorders>
              <w:top w:val="nil"/>
              <w:left w:val="nil"/>
              <w:bottom w:val="single" w:color="auto" w:sz="4" w:space="0"/>
              <w:right w:val="single" w:color="auto" w:sz="4" w:space="0"/>
            </w:tcBorders>
            <w:noWrap w:val="0"/>
            <w:vAlign w:val="center"/>
          </w:tcPr>
          <w:p w14:paraId="7940E0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30" w:type="dxa"/>
            <w:tcBorders>
              <w:top w:val="nil"/>
              <w:left w:val="nil"/>
              <w:bottom w:val="single" w:color="auto" w:sz="4" w:space="0"/>
              <w:right w:val="single" w:color="auto" w:sz="4" w:space="0"/>
            </w:tcBorders>
            <w:noWrap w:val="0"/>
            <w:vAlign w:val="center"/>
          </w:tcPr>
          <w:p w14:paraId="5E5C06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A57545E">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6BC32A8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540" w:type="dxa"/>
            <w:tcBorders>
              <w:top w:val="nil"/>
              <w:left w:val="nil"/>
              <w:bottom w:val="single" w:color="auto" w:sz="4" w:space="0"/>
              <w:right w:val="single" w:color="auto" w:sz="4" w:space="0"/>
            </w:tcBorders>
            <w:noWrap w:val="0"/>
            <w:vAlign w:val="center"/>
          </w:tcPr>
          <w:p w14:paraId="1F33D8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52593B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5589D3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02" w:type="dxa"/>
            <w:tcBorders>
              <w:top w:val="nil"/>
              <w:left w:val="nil"/>
              <w:bottom w:val="single" w:color="auto" w:sz="4" w:space="0"/>
              <w:right w:val="single" w:color="auto" w:sz="4" w:space="0"/>
            </w:tcBorders>
            <w:noWrap w:val="0"/>
            <w:vAlign w:val="center"/>
          </w:tcPr>
          <w:p w14:paraId="0C9E39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30" w:type="dxa"/>
            <w:tcBorders>
              <w:top w:val="nil"/>
              <w:left w:val="nil"/>
              <w:bottom w:val="single" w:color="auto" w:sz="4" w:space="0"/>
              <w:right w:val="single" w:color="auto" w:sz="4" w:space="0"/>
            </w:tcBorders>
            <w:noWrap w:val="0"/>
            <w:vAlign w:val="center"/>
          </w:tcPr>
          <w:p w14:paraId="5E9286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E7468AA">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511E2D22">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633734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247182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C723D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02" w:type="dxa"/>
            <w:tcBorders>
              <w:top w:val="nil"/>
              <w:left w:val="nil"/>
              <w:bottom w:val="single" w:color="auto" w:sz="4" w:space="0"/>
              <w:right w:val="single" w:color="auto" w:sz="4" w:space="0"/>
            </w:tcBorders>
            <w:noWrap w:val="0"/>
            <w:vAlign w:val="center"/>
          </w:tcPr>
          <w:p w14:paraId="7C711A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30" w:type="dxa"/>
            <w:tcBorders>
              <w:top w:val="nil"/>
              <w:left w:val="nil"/>
              <w:bottom w:val="single" w:color="auto" w:sz="4" w:space="0"/>
              <w:right w:val="single" w:color="auto" w:sz="4" w:space="0"/>
            </w:tcBorders>
            <w:noWrap w:val="0"/>
            <w:vAlign w:val="center"/>
          </w:tcPr>
          <w:p w14:paraId="42A98E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AA2052F">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519EBA4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540" w:type="dxa"/>
            <w:tcBorders>
              <w:top w:val="nil"/>
              <w:left w:val="nil"/>
              <w:bottom w:val="single" w:color="auto" w:sz="4" w:space="0"/>
              <w:right w:val="single" w:color="auto" w:sz="4" w:space="0"/>
            </w:tcBorders>
            <w:noWrap w:val="0"/>
            <w:vAlign w:val="center"/>
          </w:tcPr>
          <w:p w14:paraId="31F1EF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9B3C3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37F827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2C8331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30" w:type="dxa"/>
            <w:tcBorders>
              <w:top w:val="nil"/>
              <w:left w:val="nil"/>
              <w:bottom w:val="single" w:color="auto" w:sz="4" w:space="0"/>
              <w:right w:val="single" w:color="auto" w:sz="4" w:space="0"/>
            </w:tcBorders>
            <w:noWrap w:val="0"/>
            <w:vAlign w:val="center"/>
          </w:tcPr>
          <w:p w14:paraId="728742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71B2FE5">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0E168E14">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797995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A9D1F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1D48FD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02" w:type="dxa"/>
            <w:tcBorders>
              <w:top w:val="nil"/>
              <w:left w:val="nil"/>
              <w:bottom w:val="single" w:color="auto" w:sz="4" w:space="0"/>
              <w:right w:val="single" w:color="auto" w:sz="4" w:space="0"/>
            </w:tcBorders>
            <w:noWrap w:val="0"/>
            <w:vAlign w:val="center"/>
          </w:tcPr>
          <w:p w14:paraId="63105A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30" w:type="dxa"/>
            <w:tcBorders>
              <w:top w:val="nil"/>
              <w:left w:val="nil"/>
              <w:bottom w:val="single" w:color="auto" w:sz="4" w:space="0"/>
              <w:right w:val="single" w:color="auto" w:sz="4" w:space="0"/>
            </w:tcBorders>
            <w:noWrap w:val="0"/>
            <w:vAlign w:val="center"/>
          </w:tcPr>
          <w:p w14:paraId="670E93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BCF80E">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7A826D6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540" w:type="dxa"/>
            <w:tcBorders>
              <w:top w:val="nil"/>
              <w:left w:val="nil"/>
              <w:bottom w:val="single" w:color="auto" w:sz="4" w:space="0"/>
              <w:right w:val="single" w:color="auto" w:sz="4" w:space="0"/>
            </w:tcBorders>
            <w:noWrap w:val="0"/>
            <w:vAlign w:val="center"/>
          </w:tcPr>
          <w:p w14:paraId="1F7D80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720058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0AB484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023E3F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0465B5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E633C4">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1EB351CA">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48064D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4222C8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653501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02" w:type="dxa"/>
            <w:tcBorders>
              <w:top w:val="nil"/>
              <w:left w:val="nil"/>
              <w:bottom w:val="single" w:color="auto" w:sz="4" w:space="0"/>
              <w:right w:val="single" w:color="auto" w:sz="4" w:space="0"/>
            </w:tcBorders>
            <w:noWrap w:val="0"/>
            <w:vAlign w:val="center"/>
          </w:tcPr>
          <w:p w14:paraId="00CD74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30" w:type="dxa"/>
            <w:tcBorders>
              <w:top w:val="nil"/>
              <w:left w:val="nil"/>
              <w:bottom w:val="single" w:color="auto" w:sz="4" w:space="0"/>
              <w:right w:val="single" w:color="auto" w:sz="4" w:space="0"/>
            </w:tcBorders>
            <w:noWrap w:val="0"/>
            <w:vAlign w:val="center"/>
          </w:tcPr>
          <w:p w14:paraId="39FF0F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D9D39DE">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22BA057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540" w:type="dxa"/>
            <w:tcBorders>
              <w:top w:val="nil"/>
              <w:left w:val="nil"/>
              <w:bottom w:val="single" w:color="auto" w:sz="4" w:space="0"/>
              <w:right w:val="single" w:color="auto" w:sz="4" w:space="0"/>
            </w:tcBorders>
            <w:noWrap w:val="0"/>
            <w:vAlign w:val="center"/>
          </w:tcPr>
          <w:p w14:paraId="6D684F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FC656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335259F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28C2D4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027EE5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44B94B3">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65B77B31">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2B4E5F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50077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34977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02" w:type="dxa"/>
            <w:tcBorders>
              <w:top w:val="nil"/>
              <w:left w:val="nil"/>
              <w:bottom w:val="single" w:color="auto" w:sz="4" w:space="0"/>
              <w:right w:val="single" w:color="auto" w:sz="4" w:space="0"/>
            </w:tcBorders>
            <w:noWrap w:val="0"/>
            <w:vAlign w:val="center"/>
          </w:tcPr>
          <w:p w14:paraId="35D3C5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30" w:type="dxa"/>
            <w:tcBorders>
              <w:top w:val="nil"/>
              <w:left w:val="nil"/>
              <w:bottom w:val="single" w:color="auto" w:sz="4" w:space="0"/>
              <w:right w:val="single" w:color="auto" w:sz="4" w:space="0"/>
            </w:tcBorders>
            <w:noWrap w:val="0"/>
            <w:vAlign w:val="center"/>
          </w:tcPr>
          <w:p w14:paraId="70AED0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5A77DC">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3153746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540" w:type="dxa"/>
            <w:tcBorders>
              <w:top w:val="nil"/>
              <w:left w:val="nil"/>
              <w:bottom w:val="single" w:color="auto" w:sz="4" w:space="0"/>
              <w:right w:val="single" w:color="auto" w:sz="4" w:space="0"/>
            </w:tcBorders>
            <w:noWrap w:val="0"/>
            <w:vAlign w:val="center"/>
          </w:tcPr>
          <w:p w14:paraId="38E763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669106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478917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02" w:type="dxa"/>
            <w:tcBorders>
              <w:top w:val="nil"/>
              <w:left w:val="nil"/>
              <w:bottom w:val="single" w:color="auto" w:sz="4" w:space="0"/>
              <w:right w:val="single" w:color="auto" w:sz="4" w:space="0"/>
            </w:tcBorders>
            <w:noWrap w:val="0"/>
            <w:vAlign w:val="center"/>
          </w:tcPr>
          <w:p w14:paraId="2FC492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52225D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59FD30">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4D382A79">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100A1D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B4BA3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30550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02" w:type="dxa"/>
            <w:tcBorders>
              <w:top w:val="nil"/>
              <w:left w:val="nil"/>
              <w:bottom w:val="single" w:color="auto" w:sz="4" w:space="0"/>
              <w:right w:val="single" w:color="auto" w:sz="4" w:space="0"/>
            </w:tcBorders>
            <w:noWrap w:val="0"/>
            <w:vAlign w:val="center"/>
          </w:tcPr>
          <w:p w14:paraId="2DE0AC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30" w:type="dxa"/>
            <w:tcBorders>
              <w:top w:val="nil"/>
              <w:left w:val="nil"/>
              <w:bottom w:val="single" w:color="auto" w:sz="4" w:space="0"/>
              <w:right w:val="single" w:color="auto" w:sz="4" w:space="0"/>
            </w:tcBorders>
            <w:noWrap w:val="0"/>
            <w:vAlign w:val="center"/>
          </w:tcPr>
          <w:p w14:paraId="3271C3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4426B1">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36E9926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540" w:type="dxa"/>
            <w:tcBorders>
              <w:top w:val="nil"/>
              <w:left w:val="nil"/>
              <w:bottom w:val="single" w:color="auto" w:sz="4" w:space="0"/>
              <w:right w:val="single" w:color="auto" w:sz="4" w:space="0"/>
            </w:tcBorders>
            <w:noWrap w:val="0"/>
            <w:vAlign w:val="center"/>
          </w:tcPr>
          <w:p w14:paraId="5C8F23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8348C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03BF40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53E784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5C860F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1E5A98">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4777BBA6">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69FEC6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4E3950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E718F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02" w:type="dxa"/>
            <w:tcBorders>
              <w:top w:val="nil"/>
              <w:left w:val="nil"/>
              <w:bottom w:val="single" w:color="auto" w:sz="4" w:space="0"/>
              <w:right w:val="single" w:color="auto" w:sz="4" w:space="0"/>
            </w:tcBorders>
            <w:noWrap w:val="0"/>
            <w:vAlign w:val="center"/>
          </w:tcPr>
          <w:p w14:paraId="565BCE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30" w:type="dxa"/>
            <w:tcBorders>
              <w:top w:val="nil"/>
              <w:left w:val="nil"/>
              <w:bottom w:val="single" w:color="auto" w:sz="4" w:space="0"/>
              <w:right w:val="single" w:color="auto" w:sz="4" w:space="0"/>
            </w:tcBorders>
            <w:noWrap w:val="0"/>
            <w:vAlign w:val="center"/>
          </w:tcPr>
          <w:p w14:paraId="646ABF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074CD2E">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22C8BEB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540" w:type="dxa"/>
            <w:tcBorders>
              <w:top w:val="nil"/>
              <w:left w:val="nil"/>
              <w:bottom w:val="single" w:color="auto" w:sz="4" w:space="0"/>
              <w:right w:val="single" w:color="auto" w:sz="4" w:space="0"/>
            </w:tcBorders>
            <w:noWrap w:val="0"/>
            <w:vAlign w:val="center"/>
          </w:tcPr>
          <w:p w14:paraId="332D67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1F702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CE8B9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02" w:type="dxa"/>
            <w:tcBorders>
              <w:top w:val="nil"/>
              <w:left w:val="nil"/>
              <w:bottom w:val="single" w:color="auto" w:sz="4" w:space="0"/>
              <w:right w:val="single" w:color="auto" w:sz="4" w:space="0"/>
            </w:tcBorders>
            <w:noWrap w:val="0"/>
            <w:vAlign w:val="center"/>
          </w:tcPr>
          <w:p w14:paraId="7ADA8F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＜1000</w:t>
            </w:r>
          </w:p>
        </w:tc>
        <w:tc>
          <w:tcPr>
            <w:tcW w:w="1030" w:type="dxa"/>
            <w:tcBorders>
              <w:top w:val="nil"/>
              <w:left w:val="nil"/>
              <w:bottom w:val="single" w:color="auto" w:sz="4" w:space="0"/>
              <w:right w:val="single" w:color="auto" w:sz="4" w:space="0"/>
            </w:tcBorders>
            <w:noWrap w:val="0"/>
            <w:vAlign w:val="center"/>
          </w:tcPr>
          <w:p w14:paraId="2A2220D4">
            <w:pPr>
              <w:widowControl/>
              <w:jc w:val="left"/>
              <w:rPr>
                <w:rFonts w:hint="eastAsia" w:ascii="宋体" w:hAns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＜100</w:t>
            </w:r>
          </w:p>
        </w:tc>
      </w:tr>
      <w:tr w14:paraId="47429220">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17C28859">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6C0CBD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18067E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17D043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02" w:type="dxa"/>
            <w:tcBorders>
              <w:top w:val="nil"/>
              <w:left w:val="nil"/>
              <w:bottom w:val="single" w:color="auto" w:sz="4" w:space="0"/>
              <w:right w:val="single" w:color="auto" w:sz="4" w:space="0"/>
            </w:tcBorders>
            <w:noWrap w:val="0"/>
            <w:vAlign w:val="center"/>
          </w:tcPr>
          <w:p w14:paraId="3B112F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＜5000</w:t>
            </w:r>
          </w:p>
        </w:tc>
        <w:tc>
          <w:tcPr>
            <w:tcW w:w="1030" w:type="dxa"/>
            <w:tcBorders>
              <w:top w:val="nil"/>
              <w:left w:val="nil"/>
              <w:bottom w:val="single" w:color="auto" w:sz="4" w:space="0"/>
              <w:right w:val="single" w:color="auto" w:sz="4" w:space="0"/>
            </w:tcBorders>
            <w:noWrap w:val="0"/>
            <w:vAlign w:val="center"/>
          </w:tcPr>
          <w:p w14:paraId="26AEF2F9">
            <w:pPr>
              <w:widowControl/>
              <w:jc w:val="left"/>
              <w:rPr>
                <w:rFonts w:hint="eastAsia" w:ascii="宋体" w:hAns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＜2000</w:t>
            </w:r>
          </w:p>
        </w:tc>
      </w:tr>
      <w:tr w14:paraId="374ADBDF">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5D4DE04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540" w:type="dxa"/>
            <w:tcBorders>
              <w:top w:val="nil"/>
              <w:left w:val="nil"/>
              <w:bottom w:val="single" w:color="auto" w:sz="4" w:space="0"/>
              <w:right w:val="single" w:color="auto" w:sz="4" w:space="0"/>
            </w:tcBorders>
            <w:noWrap w:val="0"/>
            <w:vAlign w:val="center"/>
          </w:tcPr>
          <w:p w14:paraId="33FDBB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8A2F5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23A480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22AE55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30" w:type="dxa"/>
            <w:tcBorders>
              <w:top w:val="nil"/>
              <w:left w:val="nil"/>
              <w:bottom w:val="single" w:color="auto" w:sz="4" w:space="0"/>
              <w:right w:val="single" w:color="auto" w:sz="4" w:space="0"/>
            </w:tcBorders>
            <w:noWrap w:val="0"/>
            <w:vAlign w:val="center"/>
          </w:tcPr>
          <w:p w14:paraId="2B9D5A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FFBBE78">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57BF008C">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49DBBF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6C548A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C2D87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02" w:type="dxa"/>
            <w:tcBorders>
              <w:top w:val="nil"/>
              <w:left w:val="nil"/>
              <w:bottom w:val="single" w:color="auto" w:sz="4" w:space="0"/>
              <w:right w:val="single" w:color="auto" w:sz="4" w:space="0"/>
            </w:tcBorders>
            <w:noWrap w:val="0"/>
            <w:vAlign w:val="center"/>
          </w:tcPr>
          <w:p w14:paraId="6872EC0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30" w:type="dxa"/>
            <w:tcBorders>
              <w:top w:val="nil"/>
              <w:left w:val="nil"/>
              <w:bottom w:val="single" w:color="auto" w:sz="4" w:space="0"/>
              <w:right w:val="single" w:color="auto" w:sz="4" w:space="0"/>
            </w:tcBorders>
            <w:noWrap w:val="0"/>
            <w:vAlign w:val="center"/>
          </w:tcPr>
          <w:p w14:paraId="23C338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21A1D8E">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1625657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540" w:type="dxa"/>
            <w:tcBorders>
              <w:top w:val="nil"/>
              <w:left w:val="nil"/>
              <w:bottom w:val="single" w:color="auto" w:sz="4" w:space="0"/>
              <w:right w:val="single" w:color="auto" w:sz="4" w:space="0"/>
            </w:tcBorders>
            <w:noWrap w:val="0"/>
            <w:vAlign w:val="center"/>
          </w:tcPr>
          <w:p w14:paraId="04E063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8DDF4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514C5A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171EC0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757D8B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7114388">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6FAB23C1">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7516DC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28AE5C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3A16D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02" w:type="dxa"/>
            <w:tcBorders>
              <w:top w:val="nil"/>
              <w:left w:val="nil"/>
              <w:bottom w:val="single" w:color="auto" w:sz="4" w:space="0"/>
              <w:right w:val="single" w:color="auto" w:sz="4" w:space="0"/>
            </w:tcBorders>
            <w:noWrap w:val="0"/>
            <w:vAlign w:val="center"/>
          </w:tcPr>
          <w:p w14:paraId="77BF5A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30" w:type="dxa"/>
            <w:tcBorders>
              <w:top w:val="nil"/>
              <w:left w:val="nil"/>
              <w:bottom w:val="single" w:color="auto" w:sz="4" w:space="0"/>
              <w:right w:val="single" w:color="auto" w:sz="4" w:space="0"/>
            </w:tcBorders>
            <w:noWrap w:val="0"/>
            <w:vAlign w:val="center"/>
          </w:tcPr>
          <w:p w14:paraId="36AE6A57">
            <w:pPr>
              <w:widowControl/>
              <w:jc w:val="left"/>
              <w:rPr>
                <w:rFonts w:hint="eastAsia" w:ascii="宋体" w:hAns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＜100</w:t>
            </w:r>
          </w:p>
        </w:tc>
      </w:tr>
      <w:tr w14:paraId="2AEEBE54">
        <w:tblPrEx>
          <w:tblCellMar>
            <w:top w:w="0" w:type="dxa"/>
            <w:left w:w="108" w:type="dxa"/>
            <w:bottom w:w="0" w:type="dxa"/>
            <w:right w:w="108" w:type="dxa"/>
          </w:tblCellMar>
        </w:tblPrEx>
        <w:trPr>
          <w:trHeight w:val="226" w:hRule="atLeast"/>
        </w:trPr>
        <w:tc>
          <w:tcPr>
            <w:tcW w:w="1894" w:type="dxa"/>
            <w:tcBorders>
              <w:top w:val="nil"/>
              <w:left w:val="single" w:color="auto" w:sz="4" w:space="0"/>
              <w:bottom w:val="single" w:color="auto" w:sz="4" w:space="0"/>
              <w:right w:val="single" w:color="auto" w:sz="4" w:space="0"/>
            </w:tcBorders>
            <w:noWrap w:val="0"/>
            <w:vAlign w:val="bottom"/>
          </w:tcPr>
          <w:p w14:paraId="2A5DEEA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540" w:type="dxa"/>
            <w:tcBorders>
              <w:top w:val="nil"/>
              <w:left w:val="nil"/>
              <w:bottom w:val="single" w:color="auto" w:sz="4" w:space="0"/>
              <w:right w:val="single" w:color="auto" w:sz="4" w:space="0"/>
            </w:tcBorders>
            <w:noWrap w:val="0"/>
            <w:vAlign w:val="center"/>
          </w:tcPr>
          <w:p w14:paraId="31A5F4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34CEAF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45B412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373B49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50C31E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871B9FC">
      <w:pPr>
        <w:spacing w:line="360" w:lineRule="auto"/>
        <w:ind w:firstLine="450" w:firstLineChars="250"/>
        <w:rPr>
          <w:rFonts w:hint="eastAsia" w:ascii="宋体" w:hAnsi="宋体"/>
          <w:color w:val="auto"/>
          <w:sz w:val="18"/>
          <w:szCs w:val="18"/>
          <w:highlight w:val="none"/>
        </w:rPr>
      </w:pPr>
      <w:r>
        <w:rPr>
          <w:rFonts w:hint="eastAsia" w:ascii="宋体" w:hAnsi="宋体"/>
          <w:color w:val="auto"/>
          <w:sz w:val="18"/>
          <w:szCs w:val="18"/>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B640E13">
      <w:pPr>
        <w:widowControl/>
        <w:jc w:val="left"/>
        <w:rPr>
          <w:rFonts w:ascii="宋体" w:hAnsi="宋体"/>
          <w:color w:val="auto"/>
          <w:sz w:val="18"/>
          <w:szCs w:val="18"/>
          <w:highlight w:val="none"/>
        </w:rPr>
        <w:sectPr>
          <w:footerReference r:id="rId8" w:type="default"/>
          <w:pgSz w:w="11906" w:h="16838"/>
          <w:pgMar w:top="1134" w:right="1134" w:bottom="1134" w:left="1134" w:header="720" w:footer="720" w:gutter="0"/>
          <w:pgNumType w:fmt="decimal"/>
          <w:cols w:space="720" w:num="1"/>
          <w:docGrid w:type="lines" w:linePitch="331" w:charSpace="0"/>
        </w:sectPr>
      </w:pPr>
    </w:p>
    <w:p w14:paraId="7730DD9E">
      <w:pPr>
        <w:jc w:val="center"/>
        <w:outlineLvl w:val="0"/>
        <w:rPr>
          <w:rFonts w:hint="eastAsia" w:ascii="宋体" w:hAnsi="宋体"/>
          <w:b/>
          <w:color w:val="auto"/>
          <w:sz w:val="36"/>
          <w:szCs w:val="36"/>
          <w:highlight w:val="none"/>
        </w:rPr>
      </w:pPr>
      <w:bookmarkStart w:id="29" w:name="_Toc532545044"/>
      <w:bookmarkStart w:id="30" w:name="_Toc19207"/>
      <w:r>
        <w:rPr>
          <w:rFonts w:hint="eastAsia" w:ascii="Times New Roman" w:hAnsi="Times New Roman"/>
          <w:b/>
          <w:color w:val="auto"/>
          <w:sz w:val="36"/>
          <w:szCs w:val="20"/>
          <w:highlight w:val="none"/>
        </w:rPr>
        <w:t>第三章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供应商</w:t>
      </w:r>
      <w:bookmarkEnd w:id="29"/>
      <w:r>
        <w:rPr>
          <w:rFonts w:hint="eastAsia" w:ascii="Times New Roman" w:hAnsi="Times New Roman"/>
          <w:b/>
          <w:color w:val="auto"/>
          <w:sz w:val="36"/>
          <w:szCs w:val="20"/>
          <w:highlight w:val="none"/>
        </w:rPr>
        <w:t>须知</w:t>
      </w:r>
      <w:bookmarkEnd w:id="30"/>
    </w:p>
    <w:p w14:paraId="2D8DD686">
      <w:pPr>
        <w:spacing w:line="720" w:lineRule="auto"/>
        <w:jc w:val="center"/>
        <w:outlineLvl w:val="1"/>
        <w:rPr>
          <w:rFonts w:hint="eastAsia" w:ascii="Times New Roman" w:hAnsi="Times New Roman"/>
          <w:b/>
          <w:color w:val="auto"/>
          <w:sz w:val="30"/>
          <w:szCs w:val="30"/>
          <w:highlight w:val="none"/>
        </w:rPr>
      </w:pPr>
      <w:bookmarkStart w:id="31" w:name="_Toc14631"/>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供应商须知前附表</w:t>
      </w:r>
      <w:bookmarkEnd w:id="31"/>
    </w:p>
    <w:tbl>
      <w:tblPr>
        <w:tblStyle w:val="25"/>
        <w:tblW w:w="98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1983"/>
        <w:gridCol w:w="6940"/>
      </w:tblGrid>
      <w:tr w14:paraId="7A4D8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08AAE766">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04E0FC2">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项目内容</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3D335EE">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编列内容</w:t>
            </w:r>
          </w:p>
        </w:tc>
      </w:tr>
      <w:tr w14:paraId="15A17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03BF1504">
            <w:pPr>
              <w:snapToGrid w:val="0"/>
              <w:spacing w:line="360" w:lineRule="auto"/>
              <w:jc w:val="center"/>
              <w:rPr>
                <w:rFonts w:hint="eastAsia" w:ascii="宋体" w:hAnsi="宋体" w:cs="宋体"/>
                <w:color w:val="auto"/>
                <w:szCs w:val="21"/>
                <w:highlight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ascii="宋体" w:hAnsi="宋体" w:cs="宋体"/>
                <w:color w:val="auto"/>
                <w:szCs w:val="21"/>
                <w:highlight w:val="none"/>
              </w:rPr>
              <w:t>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21B230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项目名称及编号</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5131345">
            <w:pPr>
              <w:snapToGrid w:val="0"/>
              <w:spacing w:line="440" w:lineRule="exact"/>
              <w:jc w:val="left"/>
              <w:rPr>
                <w:rFonts w:hint="eastAsia" w:eastAsia="宋体"/>
                <w:color w:val="auto"/>
                <w:highlight w:val="none"/>
                <w:lang w:eastAsia="zh-CN"/>
              </w:rPr>
            </w:pPr>
            <w:r>
              <w:rPr>
                <w:rFonts w:hint="eastAsia"/>
                <w:color w:val="auto"/>
                <w:highlight w:val="none"/>
              </w:rPr>
              <w:t>项目名称：</w:t>
            </w:r>
            <w:r>
              <w:rPr>
                <w:rFonts w:hint="eastAsia"/>
                <w:color w:val="auto"/>
                <w:highlight w:val="none"/>
                <w:u w:val="single"/>
                <w:lang w:eastAsia="zh-CN"/>
              </w:rPr>
              <w:t>2025-2027年度东兴市车辆维修和保养服务框架协议采购</w:t>
            </w:r>
          </w:p>
          <w:p w14:paraId="48B8ABD3">
            <w:pPr>
              <w:snapToGrid w:val="0"/>
              <w:spacing w:line="440" w:lineRule="exact"/>
              <w:jc w:val="left"/>
              <w:rPr>
                <w:rFonts w:hint="eastAsia" w:eastAsia="宋体"/>
                <w:color w:val="auto"/>
                <w:highlight w:val="none"/>
                <w:lang w:eastAsia="zh-CN"/>
              </w:rPr>
            </w:pPr>
            <w:r>
              <w:rPr>
                <w:rFonts w:hint="eastAsia"/>
                <w:color w:val="auto"/>
                <w:highlight w:val="none"/>
              </w:rPr>
              <w:t>项目编号：</w:t>
            </w:r>
            <w:r>
              <w:rPr>
                <w:rFonts w:hint="eastAsia"/>
                <w:color w:val="auto"/>
                <w:highlight w:val="none"/>
                <w:u w:val="single"/>
                <w:lang w:val="en-US" w:eastAsia="zh-CN"/>
              </w:rPr>
              <w:t>FCZC2025-K3-810087-JGJD</w:t>
            </w:r>
          </w:p>
        </w:tc>
      </w:tr>
      <w:tr w14:paraId="58479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24412C19">
            <w:pPr>
              <w:snapToGrid w:val="0"/>
              <w:spacing w:line="360" w:lineRule="auto"/>
              <w:jc w:val="center"/>
              <w:rPr>
                <w:rFonts w:hint="eastAsia" w:ascii="宋体" w:hAnsi="宋体" w:cs="宋体"/>
                <w:color w:val="auto"/>
                <w:szCs w:val="21"/>
                <w:highlight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ascii="宋体" w:hAnsi="宋体" w:cs="宋体"/>
                <w:color w:val="auto"/>
                <w:szCs w:val="21"/>
                <w:highlight w:val="none"/>
              </w:rPr>
              <w:t>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839A3D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85952DD">
            <w:pPr>
              <w:widowControl/>
              <w:jc w:val="left"/>
              <w:rPr>
                <w:rFonts w:hint="eastAsia"/>
                <w:color w:val="auto"/>
                <w:highlight w:val="none"/>
              </w:rPr>
            </w:pPr>
            <w:r>
              <w:rPr>
                <w:color w:val="auto"/>
                <w:highlight w:val="none"/>
              </w:rPr>
              <w:t>框架协议采购</w:t>
            </w:r>
          </w:p>
        </w:tc>
      </w:tr>
      <w:tr w14:paraId="0AD2D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2849E494">
            <w:pPr>
              <w:snapToGrid w:val="0"/>
              <w:spacing w:line="360" w:lineRule="auto"/>
              <w:jc w:val="center"/>
              <w:rPr>
                <w:rFonts w:hint="eastAsia" w:ascii="宋体" w:hAnsi="宋体" w:cs="宋体"/>
                <w:color w:val="auto"/>
                <w:szCs w:val="21"/>
                <w:highlight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ascii="宋体" w:hAnsi="宋体" w:cs="宋体"/>
                <w:color w:val="auto"/>
                <w:szCs w:val="21"/>
                <w:highlight w:val="none"/>
              </w:rPr>
              <w:t>3</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C664B2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项目类别</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2E63BBB3">
            <w:pPr>
              <w:snapToGrid w:val="0"/>
              <w:spacing w:line="360" w:lineRule="auto"/>
              <w:jc w:val="left"/>
              <w:rPr>
                <w:rFonts w:hint="eastAsia"/>
                <w:color w:val="auto"/>
                <w:szCs w:val="21"/>
                <w:highlight w:val="none"/>
              </w:rPr>
            </w:pPr>
            <w:r>
              <w:rPr>
                <w:rFonts w:ascii="宋体" w:hAnsi="宋体" w:cs="宋体"/>
                <w:color w:val="auto"/>
                <w:szCs w:val="21"/>
                <w:highlight w:val="none"/>
              </w:rPr>
              <w:t>本项目为</w:t>
            </w:r>
            <w:r>
              <w:rPr>
                <w:rFonts w:hint="eastAsia"/>
                <w:color w:val="auto"/>
                <w:spacing w:val="60"/>
                <w:szCs w:val="21"/>
                <w:highlight w:val="none"/>
              </w:rPr>
              <w:t>：</w:t>
            </w:r>
            <w:r>
              <w:rPr>
                <w:rFonts w:ascii="宋体" w:hAnsi="宋体" w:cs="宋体"/>
                <w:color w:val="auto"/>
                <w:szCs w:val="21"/>
                <w:highlight w:val="none"/>
              </w:rPr>
              <w:t>□货物</w:t>
            </w:r>
            <w:r>
              <w:rPr>
                <w:color w:val="auto"/>
                <w:spacing w:val="60"/>
                <w:szCs w:val="21"/>
                <w:highlight w:val="none"/>
              </w:rPr>
              <w:t xml:space="preserve"> </w:t>
            </w:r>
            <w:r>
              <w:rPr>
                <w:rFonts w:hint="eastAsia" w:ascii="MS Gothic" w:hAnsi="MS Gothic" w:eastAsia="MS Gothic" w:cs="MS Gothic"/>
                <w:color w:val="auto"/>
                <w:highlight w:val="none"/>
              </w:rPr>
              <w:t>☑</w:t>
            </w:r>
            <w:r>
              <w:rPr>
                <w:rFonts w:ascii="宋体" w:hAnsi="宋体" w:cs="宋体"/>
                <w:color w:val="auto"/>
                <w:szCs w:val="21"/>
                <w:highlight w:val="none"/>
              </w:rPr>
              <w:t>服务采购。</w:t>
            </w:r>
          </w:p>
        </w:tc>
      </w:tr>
      <w:tr w14:paraId="7DB95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59E0FB6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79757F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E03B1BE">
            <w:pPr>
              <w:spacing w:line="440" w:lineRule="exact"/>
              <w:jc w:val="left"/>
              <w:rPr>
                <w:rFonts w:hint="eastAsia" w:ascii="宋体" w:hAnsi="宋体" w:cs="宋体"/>
                <w:color w:val="auto"/>
                <w:szCs w:val="21"/>
                <w:highlight w:val="none"/>
              </w:rPr>
            </w:pPr>
            <w:r>
              <w:rPr>
                <w:rFonts w:hint="eastAsia"/>
                <w:color w:val="auto"/>
                <w:highlight w:val="none"/>
              </w:rPr>
              <w:t>不允许</w:t>
            </w:r>
          </w:p>
        </w:tc>
      </w:tr>
      <w:tr w14:paraId="73A10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5EE5854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7A659A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是否允许转包/分包</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75B20728">
            <w:pPr>
              <w:spacing w:line="440" w:lineRule="exact"/>
              <w:jc w:val="left"/>
              <w:rPr>
                <w:rFonts w:hint="eastAsia" w:ascii="宋体" w:hAnsi="宋体" w:cs="宋体"/>
                <w:color w:val="auto"/>
                <w:szCs w:val="21"/>
                <w:highlight w:val="none"/>
              </w:rPr>
            </w:pPr>
            <w:r>
              <w:rPr>
                <w:rFonts w:hint="eastAsia"/>
                <w:color w:val="auto"/>
                <w:highlight w:val="none"/>
              </w:rPr>
              <w:sym w:font="Wingdings 2" w:char="0052"/>
            </w:r>
            <w:r>
              <w:rPr>
                <w:rFonts w:hint="eastAsia" w:ascii="宋体" w:hAnsi="宋体" w:cs="宋体"/>
                <w:color w:val="auto"/>
                <w:szCs w:val="21"/>
                <w:highlight w:val="none"/>
              </w:rPr>
              <w:t>不允许转包/分包</w:t>
            </w:r>
          </w:p>
        </w:tc>
      </w:tr>
      <w:tr w14:paraId="2DD00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2D8B0B9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3B2451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CDDCF6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w:t>
            </w:r>
            <w:r>
              <w:rPr>
                <w:rFonts w:hint="eastAsia"/>
                <w:color w:val="auto"/>
                <w:highlight w:val="none"/>
              </w:rPr>
              <w:t>征集公告</w:t>
            </w:r>
            <w:r>
              <w:rPr>
                <w:rFonts w:hint="eastAsia" w:ascii="宋体" w:hAnsi="宋体" w:cs="宋体"/>
                <w:color w:val="auto"/>
                <w:szCs w:val="21"/>
                <w:highlight w:val="none"/>
              </w:rPr>
              <w:t>中“六、其他补充事宜”中网上查询地址上发布</w:t>
            </w:r>
            <w:r>
              <w:rPr>
                <w:rFonts w:hint="eastAsia" w:ascii="宋体" w:hAnsi="宋体" w:cs="宋体"/>
                <w:color w:val="auto"/>
                <w:kern w:val="0"/>
                <w:szCs w:val="21"/>
                <w:highlight w:val="none"/>
              </w:rPr>
              <w:t>。</w:t>
            </w:r>
          </w:p>
        </w:tc>
      </w:tr>
      <w:tr w14:paraId="6699C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56959AE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F231A1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B1EB619">
            <w:pPr>
              <w:snapToGrid w:val="0"/>
              <w:spacing w:line="440" w:lineRule="exact"/>
              <w:rPr>
                <w:rFonts w:hint="eastAsia" w:ascii="宋体" w:hAnsi="宋体" w:cs="宋体"/>
                <w:color w:val="auto"/>
                <w:szCs w:val="21"/>
                <w:highlight w:val="none"/>
                <w:u w:val="single"/>
              </w:rPr>
            </w:pPr>
            <w:r>
              <w:rPr>
                <w:rFonts w:hint="eastAsia"/>
                <w:color w:val="auto"/>
                <w:highlight w:val="none"/>
              </w:rPr>
              <w:sym w:font="Wingdings 2" w:char="0052"/>
            </w:r>
            <w:r>
              <w:rPr>
                <w:rFonts w:hint="eastAsia" w:ascii="宋体" w:hAnsi="宋体" w:cs="宋体"/>
                <w:color w:val="auto"/>
                <w:szCs w:val="21"/>
                <w:highlight w:val="none"/>
              </w:rPr>
              <w:t>不组织召开开标前答疑会</w:t>
            </w:r>
          </w:p>
        </w:tc>
      </w:tr>
      <w:tr w14:paraId="55176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left w:val="single" w:color="auto" w:sz="4" w:space="0"/>
              <w:right w:val="single" w:color="auto" w:sz="4" w:space="0"/>
            </w:tcBorders>
            <w:noWrap w:val="0"/>
            <w:vAlign w:val="center"/>
          </w:tcPr>
          <w:p w14:paraId="43012A0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D84D93E">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资格证明文件组成</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80DE3A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1.供应商为法人或者其他组织的，提供营业执照等</w:t>
            </w:r>
            <w:r>
              <w:rPr>
                <w:rFonts w:hint="eastAsia" w:ascii="宋体" w:hAnsi="宋体" w:cs="宋体"/>
                <w:b/>
                <w:color w:val="auto"/>
                <w:szCs w:val="21"/>
                <w:highlight w:val="none"/>
              </w:rPr>
              <w:t>证明文件（</w:t>
            </w:r>
            <w:r>
              <w:rPr>
                <w:rFonts w:hint="eastAsia" w:ascii="宋体" w:hAnsi="宋体" w:cs="宋体"/>
                <w:color w:val="auto"/>
                <w:szCs w:val="21"/>
                <w:highlight w:val="none"/>
              </w:rPr>
              <w:t>如营业执照或者事业单位法人证书或者</w:t>
            </w:r>
            <w:r>
              <w:rPr>
                <w:rFonts w:hint="eastAsia" w:ascii="宋体" w:hAnsi="宋体" w:cs="宋体"/>
                <w:color w:val="auto"/>
                <w:szCs w:val="21"/>
                <w:highlight w:val="none"/>
                <w:lang w:val="zh-CN" w:bidi="zh-CN"/>
              </w:rPr>
              <w:t>执业许可证</w:t>
            </w:r>
            <w:r>
              <w:rPr>
                <w:rFonts w:hint="eastAsia" w:ascii="宋体" w:hAnsi="宋体" w:cs="宋体"/>
                <w:color w:val="auto"/>
                <w:szCs w:val="21"/>
                <w:highlight w:val="none"/>
              </w:rPr>
              <w:t>等），供应商为自然人的，提供身份证复印件；（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1EBA253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2.竞标人根据防财监〔2023〕58 号文要求提供的《防城港市政府采购供应商信用承诺函》（格式附后）</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0E62763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6AE3AD9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.响应资格声明；（</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1B1B5C3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olor w:val="auto"/>
                <w:sz w:val="21"/>
                <w:szCs w:val="24"/>
                <w:highlight w:val="none"/>
                <w:lang w:val="en-US" w:eastAsia="zh-CN"/>
              </w:rPr>
              <w:t>中小企业声明函或其他证明材料（监狱企业、残疾人福利性单位视同小型、微型企业）</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1F2BE5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征集公告</w:t>
            </w:r>
            <w:r>
              <w:rPr>
                <w:rFonts w:hint="eastAsia" w:ascii="宋体" w:hAnsi="宋体" w:cs="宋体"/>
                <w:color w:val="auto"/>
                <w:szCs w:val="21"/>
                <w:highlight w:val="none"/>
              </w:rPr>
              <w:t>对应的特定资格要求的资格证明材料；</w:t>
            </w:r>
            <w:r>
              <w:rPr>
                <w:rFonts w:hint="eastAsia" w:ascii="宋体" w:hAnsi="宋体" w:cs="宋体"/>
                <w:b/>
                <w:bCs/>
                <w:color w:val="auto"/>
                <w:szCs w:val="21"/>
                <w:highlight w:val="none"/>
              </w:rPr>
              <w:t>（公告如有则必须提供，否则响应文件按无效响应处理）</w:t>
            </w:r>
          </w:p>
          <w:p w14:paraId="6475A9D7">
            <w:pPr>
              <w:snapToGrid w:val="0"/>
              <w:spacing w:line="440" w:lineRule="exact"/>
              <w:ind w:firstLine="420" w:firstLineChars="200"/>
              <w:jc w:val="left"/>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.除征集文件规定必须提供以外，供应商认为需要提供的其他证明材料。</w:t>
            </w:r>
            <w:r>
              <w:rPr>
                <w:rFonts w:hint="eastAsia" w:ascii="宋体" w:hAnsi="宋体" w:cs="宋体"/>
                <w:b/>
                <w:bCs/>
                <w:color w:val="auto"/>
                <w:szCs w:val="21"/>
                <w:highlight w:val="none"/>
                <w:lang w:eastAsia="zh-CN"/>
              </w:rPr>
              <w:t>（如有请提供）</w:t>
            </w:r>
          </w:p>
          <w:p w14:paraId="6D02D522">
            <w:pPr>
              <w:snapToGrid w:val="0"/>
              <w:spacing w:line="440" w:lineRule="exact"/>
              <w:ind w:firstLine="422" w:firstLineChars="200"/>
              <w:jc w:val="left"/>
              <w:rPr>
                <w:rFonts w:hint="eastAsia" w:ascii="宋体" w:hAnsi="宋体" w:cs="宋体"/>
                <w:b/>
                <w:bCs/>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52F47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left w:val="single" w:color="auto" w:sz="4" w:space="0"/>
              <w:right w:val="single" w:color="auto" w:sz="4" w:space="0"/>
            </w:tcBorders>
            <w:noWrap w:val="0"/>
            <w:vAlign w:val="center"/>
          </w:tcPr>
          <w:p w14:paraId="2EEFCC79">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A4ABA82">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商务文件组成</w:t>
            </w:r>
          </w:p>
          <w:p w14:paraId="128D8896">
            <w:pPr>
              <w:spacing w:line="380" w:lineRule="exact"/>
              <w:jc w:val="center"/>
              <w:rPr>
                <w:rFonts w:hint="eastAsia" w:ascii="宋体" w:hAnsi="宋体" w:cs="宋体"/>
                <w:color w:val="auto"/>
                <w:szCs w:val="21"/>
                <w:highlight w:val="none"/>
              </w:rPr>
            </w:pP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BD976D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1.无串通响应行为的承诺函；（</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77CCFB7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除自然人响应外</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5DD19C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委托时必须提供，否则作无效响应处理</w:t>
            </w:r>
            <w:r>
              <w:rPr>
                <w:rFonts w:hint="eastAsia" w:ascii="宋体" w:hAnsi="宋体" w:cs="宋体"/>
                <w:color w:val="auto"/>
                <w:szCs w:val="21"/>
                <w:highlight w:val="none"/>
              </w:rPr>
              <w:t>）</w:t>
            </w:r>
          </w:p>
          <w:p w14:paraId="0420081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3B04B2D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经营场地；</w:t>
            </w:r>
            <w:r>
              <w:rPr>
                <w:rFonts w:hint="eastAsia" w:ascii="宋体" w:hAnsi="宋体" w:cs="宋体"/>
                <w:b w:val="0"/>
                <w:bCs w:val="0"/>
                <w:color w:val="auto"/>
                <w:szCs w:val="21"/>
                <w:highlight w:val="none"/>
                <w:lang w:eastAsia="zh-CN"/>
              </w:rPr>
              <w:t>（如有请提供）</w:t>
            </w:r>
          </w:p>
          <w:p w14:paraId="7F5539A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技术工人配备；</w:t>
            </w:r>
            <w:r>
              <w:rPr>
                <w:rFonts w:hint="eastAsia" w:ascii="宋体" w:hAnsi="宋体" w:cs="宋体"/>
                <w:b w:val="0"/>
                <w:bCs w:val="0"/>
                <w:color w:val="auto"/>
                <w:szCs w:val="21"/>
                <w:highlight w:val="none"/>
                <w:lang w:eastAsia="zh-CN"/>
              </w:rPr>
              <w:t>（如有请提供）</w:t>
            </w:r>
          </w:p>
          <w:p w14:paraId="12EF27F9">
            <w:pPr>
              <w:snapToGrid w:val="0"/>
              <w:spacing w:line="44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主要维修检测设备一览表；</w:t>
            </w:r>
            <w:r>
              <w:rPr>
                <w:rFonts w:hint="eastAsia" w:ascii="宋体" w:hAnsi="宋体" w:cs="宋体"/>
                <w:b w:val="0"/>
                <w:bCs w:val="0"/>
                <w:color w:val="auto"/>
                <w:szCs w:val="21"/>
                <w:highlight w:val="none"/>
                <w:lang w:eastAsia="zh-CN"/>
              </w:rPr>
              <w:t>（如有请提供）</w:t>
            </w:r>
          </w:p>
          <w:p w14:paraId="502E8AC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.企业质量信誉</w:t>
            </w:r>
            <w:r>
              <w:rPr>
                <w:rFonts w:hint="eastAsia" w:ascii="宋体" w:hAnsi="宋体" w:cs="宋体"/>
                <w:color w:val="auto"/>
                <w:szCs w:val="21"/>
                <w:highlight w:val="none"/>
              </w:rPr>
              <w:t>；</w:t>
            </w:r>
            <w:r>
              <w:rPr>
                <w:rFonts w:hint="eastAsia" w:ascii="宋体" w:hAnsi="宋体" w:cs="宋体"/>
                <w:b w:val="0"/>
                <w:bCs w:val="0"/>
                <w:color w:val="auto"/>
                <w:szCs w:val="21"/>
                <w:highlight w:val="none"/>
                <w:lang w:eastAsia="zh-CN"/>
              </w:rPr>
              <w:t>（如有请提供）</w:t>
            </w:r>
          </w:p>
          <w:p w14:paraId="0E6C162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供应商类似项目业绩证明文件；</w:t>
            </w:r>
            <w:r>
              <w:rPr>
                <w:rFonts w:hint="eastAsia" w:ascii="宋体" w:hAnsi="宋体" w:cs="宋体"/>
                <w:b w:val="0"/>
                <w:bCs w:val="0"/>
                <w:color w:val="auto"/>
                <w:szCs w:val="21"/>
                <w:highlight w:val="none"/>
                <w:lang w:eastAsia="zh-CN"/>
              </w:rPr>
              <w:t>（如有请提供）</w:t>
            </w:r>
          </w:p>
          <w:p w14:paraId="78B1B0DC">
            <w:pPr>
              <w:snapToGrid w:val="0"/>
              <w:spacing w:line="440" w:lineRule="exact"/>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.供应商认为需要提供的其他证明材料。</w:t>
            </w:r>
            <w:r>
              <w:rPr>
                <w:rFonts w:hint="eastAsia" w:ascii="宋体" w:hAnsi="宋体" w:cs="宋体"/>
                <w:b w:val="0"/>
                <w:bCs w:val="0"/>
                <w:color w:val="auto"/>
                <w:szCs w:val="21"/>
                <w:highlight w:val="none"/>
                <w:lang w:eastAsia="zh-CN"/>
              </w:rPr>
              <w:t>（如有请提供）</w:t>
            </w:r>
          </w:p>
          <w:p w14:paraId="7BA537F7">
            <w:pPr>
              <w:snapToGrid w:val="0"/>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注：1.法定代表人授权委托书必须由法定代表人及委托代理人签字，并加盖供应商公章，否则作无效响应处理。</w:t>
            </w:r>
          </w:p>
          <w:p w14:paraId="2582B81E">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b/>
                <w:bCs/>
                <w:color w:val="auto"/>
                <w:szCs w:val="21"/>
                <w:highlight w:val="none"/>
              </w:rPr>
              <w:t>2</w:t>
            </w:r>
            <w:r>
              <w:rPr>
                <w:rFonts w:hint="eastAsia" w:ascii="宋体" w:hAnsi="宋体" w:cs="宋体"/>
                <w:b/>
                <w:bCs/>
                <w:color w:val="auto"/>
                <w:szCs w:val="21"/>
                <w:highlight w:val="none"/>
              </w:rPr>
              <w:t>.</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63196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vMerge w:val="restart"/>
            <w:tcBorders>
              <w:left w:val="single" w:color="auto" w:sz="4" w:space="0"/>
              <w:right w:val="single" w:color="auto" w:sz="4" w:space="0"/>
            </w:tcBorders>
            <w:noWrap w:val="0"/>
            <w:vAlign w:val="center"/>
          </w:tcPr>
          <w:p w14:paraId="51F9CBE7">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425398C">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技术文件组成</w:t>
            </w:r>
          </w:p>
          <w:p w14:paraId="1FCEF6B3">
            <w:pPr>
              <w:spacing w:line="380" w:lineRule="exact"/>
              <w:jc w:val="center"/>
              <w:rPr>
                <w:rFonts w:hint="eastAsia" w:ascii="宋体" w:hAnsi="宋体" w:cs="宋体"/>
                <w:color w:val="auto"/>
                <w:szCs w:val="21"/>
                <w:highlight w:val="none"/>
              </w:rPr>
            </w:pP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2AE8F63">
            <w:pPr>
              <w:autoSpaceDE w:val="0"/>
              <w:autoSpaceDN w:val="0"/>
              <w:adjustRightInd w:val="0"/>
              <w:spacing w:line="360" w:lineRule="auto"/>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1、响应服务技术需求偏离表；</w:t>
            </w:r>
            <w:r>
              <w:rPr>
                <w:rFonts w:hint="eastAsia" w:ascii="宋体" w:hAnsi="宋体" w:cs="宋体"/>
                <w:b/>
                <w:bCs/>
                <w:color w:val="auto"/>
                <w:szCs w:val="21"/>
                <w:highlight w:val="none"/>
              </w:rPr>
              <w:t>（必须提供，否则作无效响应处理）</w:t>
            </w:r>
          </w:p>
          <w:p w14:paraId="0F5E7B65">
            <w:pPr>
              <w:autoSpaceDE w:val="0"/>
              <w:autoSpaceDN w:val="0"/>
              <w:adjustRightInd w:val="0"/>
              <w:spacing w:line="360" w:lineRule="auto"/>
              <w:ind w:firstLine="315" w:firstLineChars="150"/>
              <w:jc w:val="left"/>
              <w:rPr>
                <w:rFonts w:hint="eastAsia" w:ascii="宋体" w:hAnsi="宋体" w:cs="宋体"/>
                <w:b/>
                <w:bCs/>
                <w:color w:val="auto"/>
                <w:szCs w:val="21"/>
                <w:highlight w:val="none"/>
              </w:rPr>
            </w:pPr>
            <w:r>
              <w:rPr>
                <w:rFonts w:hint="eastAsia" w:ascii="宋体" w:hAnsi="宋体" w:cs="宋体"/>
                <w:color w:val="auto"/>
                <w:szCs w:val="21"/>
                <w:highlight w:val="none"/>
              </w:rPr>
              <w:t>2、各项方案</w:t>
            </w:r>
            <w:r>
              <w:rPr>
                <w:rFonts w:hint="eastAsia" w:ascii="宋体" w:hAnsi="宋体" w:cs="宋体"/>
                <w:b/>
                <w:bCs/>
                <w:color w:val="auto"/>
                <w:szCs w:val="21"/>
                <w:highlight w:val="none"/>
              </w:rPr>
              <w:t>（各供应商根据“第二章 采购需求”及“第四章 评审方法及评审标准”编制）；</w:t>
            </w:r>
          </w:p>
          <w:p w14:paraId="3FAD0377">
            <w:pPr>
              <w:autoSpaceDE w:val="0"/>
              <w:autoSpaceDN w:val="0"/>
              <w:adjustRightInd w:val="0"/>
              <w:spacing w:line="360" w:lineRule="auto"/>
              <w:ind w:firstLine="315" w:firstLineChars="150"/>
              <w:jc w:val="left"/>
              <w:rPr>
                <w:rFonts w:ascii="宋体" w:hAnsi="宋体"/>
                <w:color w:val="auto"/>
                <w:kern w:val="0"/>
                <w:szCs w:val="21"/>
                <w:highlight w:val="none"/>
              </w:rPr>
            </w:pPr>
            <w:r>
              <w:rPr>
                <w:rFonts w:hint="eastAsia" w:ascii="宋体" w:hAnsi="宋体" w:cs="宋体"/>
                <w:color w:val="auto"/>
                <w:szCs w:val="21"/>
                <w:highlight w:val="none"/>
              </w:rPr>
              <w:t>3、售后服务承诺；</w:t>
            </w:r>
            <w:r>
              <w:rPr>
                <w:rFonts w:hint="eastAsia" w:ascii="宋体" w:hAnsi="宋体" w:cs="宋体"/>
                <w:b w:val="0"/>
                <w:bCs w:val="0"/>
                <w:color w:val="auto"/>
                <w:szCs w:val="21"/>
                <w:highlight w:val="none"/>
                <w:lang w:eastAsia="zh-CN"/>
              </w:rPr>
              <w:t>（如有请提供）</w:t>
            </w:r>
          </w:p>
          <w:p w14:paraId="556B3AC9">
            <w:pPr>
              <w:autoSpaceDE w:val="0"/>
              <w:autoSpaceDN w:val="0"/>
              <w:adjustRightInd w:val="0"/>
              <w:spacing w:line="360" w:lineRule="auto"/>
              <w:ind w:firstLine="315" w:firstLineChars="150"/>
              <w:jc w:val="left"/>
              <w:rPr>
                <w:rFonts w:hint="eastAsia" w:ascii="宋体" w:hAnsi="宋体" w:eastAsia="宋体"/>
                <w:b/>
                <w:bCs/>
                <w:color w:val="auto"/>
                <w:kern w:val="0"/>
                <w:szCs w:val="21"/>
                <w:highlight w:val="none"/>
                <w:lang w:eastAsia="zh-CN"/>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w:t>
            </w:r>
            <w:r>
              <w:rPr>
                <w:rFonts w:hint="eastAsia" w:ascii="宋体" w:hAnsi="宋体" w:cs="宋体"/>
                <w:color w:val="auto"/>
                <w:szCs w:val="21"/>
                <w:highlight w:val="none"/>
              </w:rPr>
              <w:t>除征集文件规定必须提供以外，供应商认为需要提供的其他证明材料。</w:t>
            </w:r>
            <w:r>
              <w:rPr>
                <w:rFonts w:hint="eastAsia" w:ascii="宋体" w:hAnsi="宋体" w:cs="宋体"/>
                <w:b w:val="0"/>
                <w:bCs w:val="0"/>
                <w:color w:val="auto"/>
                <w:szCs w:val="21"/>
                <w:highlight w:val="none"/>
                <w:lang w:eastAsia="zh-CN"/>
              </w:rPr>
              <w:t>（如有请提供）</w:t>
            </w:r>
          </w:p>
          <w:p w14:paraId="1B233EF4">
            <w:pPr>
              <w:snapToGrid w:val="0"/>
              <w:spacing w:line="440" w:lineRule="exact"/>
              <w:ind w:firstLine="422" w:firstLineChars="200"/>
              <w:jc w:val="left"/>
              <w:rPr>
                <w:rFonts w:hint="eastAsia" w:ascii="宋体" w:hAnsi="宋体" w:cs="宋体"/>
                <w:b/>
                <w:bCs/>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37629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vMerge w:val="continue"/>
            <w:tcBorders>
              <w:left w:val="single" w:color="auto" w:sz="4" w:space="0"/>
              <w:bottom w:val="single" w:color="auto" w:sz="4" w:space="0"/>
              <w:right w:val="single" w:color="auto" w:sz="4" w:space="0"/>
            </w:tcBorders>
            <w:noWrap w:val="0"/>
            <w:vAlign w:val="center"/>
          </w:tcPr>
          <w:p w14:paraId="6FAE4A34">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63A79D8">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4FB7F52">
            <w:pPr>
              <w:tabs>
                <w:tab w:val="left" w:pos="459"/>
              </w:tabs>
              <w:snapToGrid w:val="0"/>
              <w:spacing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34146534">
            <w:pPr>
              <w:tabs>
                <w:tab w:val="left" w:pos="459"/>
              </w:tabs>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2.开标一览表；（</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5C660FDC">
            <w:pPr>
              <w:tabs>
                <w:tab w:val="left" w:pos="459"/>
              </w:tabs>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3.供应商针对报价需要说明的其他文件和说明。</w:t>
            </w:r>
            <w:r>
              <w:rPr>
                <w:rFonts w:hint="eastAsia" w:ascii="宋体" w:hAnsi="宋体" w:cs="宋体"/>
                <w:b/>
                <w:bCs/>
                <w:color w:val="auto"/>
                <w:szCs w:val="21"/>
                <w:highlight w:val="none"/>
                <w:lang w:eastAsia="zh-CN"/>
              </w:rPr>
              <w:t>（如有请提供）</w:t>
            </w:r>
          </w:p>
          <w:p w14:paraId="6B44EFD9">
            <w:pPr>
              <w:snapToGrid w:val="0"/>
              <w:spacing w:line="440" w:lineRule="exact"/>
              <w:jc w:val="left"/>
              <w:rPr>
                <w:rFonts w:hint="eastAsia" w:ascii="宋体" w:hAnsi="宋体" w:cs="宋体"/>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3B3A0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099F4B3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968A81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DC42994">
            <w:pPr>
              <w:snapToGrid w:val="0"/>
              <w:spacing w:line="440" w:lineRule="exact"/>
              <w:rPr>
                <w:rFonts w:hint="eastAsia" w:ascii="宋体" w:hAnsi="宋体" w:cs="宋体"/>
                <w:b/>
                <w:color w:val="auto"/>
                <w:szCs w:val="21"/>
                <w:highlight w:val="none"/>
              </w:rPr>
            </w:pPr>
            <w:r>
              <w:rPr>
                <w:rFonts w:hint="eastAsia"/>
                <w:b/>
                <w:color w:val="auto"/>
                <w:szCs w:val="21"/>
                <w:highlight w:val="none"/>
              </w:rPr>
              <w:t>按零配件价格优惠率和工时费优惠率进行报价。本项目零配件价格优惠率允许范围 20%（含）以内，工时费优惠率允许范围 20%（含）以内，超出范围不予接受，作无效投标；本项目不接受零优惠率（或免费）的报价。</w:t>
            </w:r>
          </w:p>
        </w:tc>
      </w:tr>
      <w:tr w14:paraId="2A3B7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7409C1B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216BB1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215D11B">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自响应截止之日起 60 日。</w:t>
            </w:r>
          </w:p>
        </w:tc>
      </w:tr>
      <w:tr w14:paraId="60941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242DE7D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3F42E2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响应文件编制要求</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A2EF2D9">
            <w:pPr>
              <w:spacing w:line="440" w:lineRule="exact"/>
              <w:ind w:firstLine="420" w:firstLineChars="200"/>
              <w:rPr>
                <w:rFonts w:hint="eastAsia" w:ascii="Times New Roman" w:hAnsi="Times New Roman"/>
                <w:color w:val="auto"/>
                <w:szCs w:val="21"/>
                <w:highlight w:val="none"/>
              </w:rPr>
            </w:pPr>
            <w:r>
              <w:rPr>
                <w:rFonts w:hint="eastAsia" w:ascii="宋体" w:hAnsi="宋体" w:cs="宋体"/>
                <w:color w:val="auto"/>
                <w:szCs w:val="21"/>
                <w:highlight w:val="none"/>
              </w:rPr>
              <w:t>响应文件应按报价文件、资格证明文件、商务文件、技术文件分别编制，报价文件、资格证明文件分别生成电子文件，商务文件和技术文件按顺序合并生成电子文件。电子版响应文件制作方式见征集公告附件。</w:t>
            </w:r>
          </w:p>
        </w:tc>
      </w:tr>
      <w:tr w14:paraId="169F5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0062609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B57A11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D97C763">
            <w:pPr>
              <w:autoSpaceDE w:val="0"/>
              <w:autoSpaceDN w:val="0"/>
              <w:snapToGrid w:val="0"/>
              <w:spacing w:line="44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61A10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3520870B">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kern w:val="0"/>
                <w:szCs w:val="21"/>
                <w:highlight w:val="none"/>
              </w:rPr>
              <w:t>24.2（1）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5E7EF8A">
            <w:pPr>
              <w:spacing w:line="380" w:lineRule="exact"/>
              <w:jc w:val="center"/>
              <w:rPr>
                <w:rFonts w:hint="eastAsia" w:ascii="宋体" w:hAnsi="宋体" w:cs="宋体"/>
                <w:color w:val="auto"/>
                <w:szCs w:val="21"/>
                <w:highlight w:val="none"/>
              </w:rPr>
            </w:pPr>
            <w:r>
              <w:rPr>
                <w:rFonts w:hint="eastAsia" w:ascii="宋体" w:hAnsi="宋体" w:cs="宋体"/>
                <w:b/>
                <w:color w:val="auto"/>
                <w:szCs w:val="21"/>
                <w:highlight w:val="none"/>
              </w:rPr>
              <w:t>解密电子响应文件</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2E231CA5">
            <w:pPr>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电子响应文件解密时间：30 分钟</w:t>
            </w:r>
          </w:p>
        </w:tc>
      </w:tr>
      <w:tr w14:paraId="7FA94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60" w:type="dxa"/>
            <w:vMerge w:val="restart"/>
            <w:tcBorders>
              <w:top w:val="single" w:color="auto" w:sz="4" w:space="0"/>
              <w:left w:val="single" w:color="auto" w:sz="4" w:space="0"/>
              <w:right w:val="single" w:color="auto" w:sz="4" w:space="0"/>
            </w:tcBorders>
            <w:noWrap w:val="0"/>
            <w:vAlign w:val="center"/>
          </w:tcPr>
          <w:p w14:paraId="3B20D2CC">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25.3（2）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59D1E1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供应商信用查询渠道</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39F23E4">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征集人或者采购代理机构在资格审查结束前，对供应商进行信用查询。</w:t>
            </w:r>
          </w:p>
          <w:p w14:paraId="77C8BD40">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1D7FF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60" w:type="dxa"/>
            <w:vMerge w:val="continue"/>
            <w:tcBorders>
              <w:left w:val="single" w:color="auto" w:sz="4" w:space="0"/>
              <w:right w:val="single" w:color="auto" w:sz="4" w:space="0"/>
            </w:tcBorders>
            <w:noWrap w:val="0"/>
            <w:vAlign w:val="center"/>
          </w:tcPr>
          <w:p w14:paraId="01F7BBA0">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41C400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8C4956D">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618F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60" w:type="dxa"/>
            <w:vMerge w:val="continue"/>
            <w:tcBorders>
              <w:left w:val="single" w:color="auto" w:sz="4" w:space="0"/>
              <w:right w:val="single" w:color="auto" w:sz="4" w:space="0"/>
            </w:tcBorders>
            <w:noWrap w:val="0"/>
            <w:vAlign w:val="center"/>
          </w:tcPr>
          <w:p w14:paraId="0EFC0018">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F9A799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9AE0753">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”平台作为附件上传保存。</w:t>
            </w:r>
          </w:p>
        </w:tc>
      </w:tr>
      <w:tr w14:paraId="16B73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continue"/>
            <w:tcBorders>
              <w:left w:val="single" w:color="auto" w:sz="4" w:space="0"/>
              <w:right w:val="single" w:color="auto" w:sz="4" w:space="0"/>
            </w:tcBorders>
            <w:noWrap w:val="0"/>
            <w:vAlign w:val="center"/>
          </w:tcPr>
          <w:p w14:paraId="20B05786">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2A7D45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05DB68D">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DCA9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76A8229D">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29.1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6FE42B0">
            <w:pPr>
              <w:spacing w:line="380" w:lineRule="exact"/>
              <w:jc w:val="center"/>
              <w:rPr>
                <w:rFonts w:hint="eastAsia" w:ascii="宋体" w:hAnsi="宋体" w:cs="宋体"/>
                <w:color w:val="auto"/>
                <w:szCs w:val="21"/>
                <w:highlight w:val="none"/>
              </w:rPr>
            </w:pPr>
            <w:r>
              <w:rPr>
                <w:rFonts w:hint="eastAsia"/>
                <w:color w:val="auto"/>
                <w:highlight w:val="none"/>
              </w:rPr>
              <w:t>第一阶段评审方法</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DC0F724">
            <w:pPr>
              <w:autoSpaceDE w:val="0"/>
              <w:autoSpaceDN w:val="0"/>
              <w:snapToGrid w:val="0"/>
              <w:spacing w:line="440" w:lineRule="exact"/>
              <w:textAlignment w:val="bottom"/>
              <w:rPr>
                <w:rFonts w:hint="eastAsia" w:ascii="宋体" w:hAnsi="宋体" w:cs="宋体"/>
                <w:color w:val="auto"/>
                <w:szCs w:val="21"/>
                <w:highlight w:val="none"/>
              </w:rPr>
            </w:pPr>
            <w:r>
              <w:rPr>
                <w:rFonts w:ascii="宋体" w:hAnsi="宋体" w:cs="宋体"/>
                <w:color w:val="auto"/>
                <w:highlight w:val="none"/>
              </w:rPr>
              <w:t>□</w:t>
            </w:r>
            <w:r>
              <w:rPr>
                <w:rFonts w:hint="eastAsia" w:ascii="宋体" w:hAnsi="宋体" w:cs="宋体"/>
                <w:color w:val="auto"/>
                <w:szCs w:val="21"/>
                <w:highlight w:val="none"/>
              </w:rPr>
              <w:t xml:space="preserve">价格优先法   </w:t>
            </w:r>
            <w:r>
              <w:rPr>
                <w:rFonts w:hint="eastAsia" w:ascii="宋体" w:hAnsi="宋体" w:cs="宋体"/>
                <w:b/>
                <w:bCs/>
                <w:color w:val="auto"/>
                <w:szCs w:val="21"/>
                <w:highlight w:val="none"/>
              </w:rPr>
              <w:t xml:space="preserve"> </w:t>
            </w:r>
            <w:r>
              <w:rPr>
                <w:rFonts w:hint="eastAsia" w:ascii="MS Gothic" w:hAnsi="MS Gothic" w:cs="MS Gothic"/>
                <w:b/>
                <w:bCs/>
                <w:color w:val="auto"/>
                <w:highlight w:val="none"/>
                <w:lang w:eastAsia="zh-CN"/>
              </w:rPr>
              <w:sym w:font="Wingdings 2" w:char="0052"/>
            </w:r>
            <w:r>
              <w:rPr>
                <w:rFonts w:hint="eastAsia" w:ascii="宋体" w:hAnsi="宋体" w:cs="宋体"/>
                <w:b/>
                <w:bCs/>
                <w:color w:val="auto"/>
                <w:szCs w:val="21"/>
                <w:highlight w:val="none"/>
              </w:rPr>
              <w:t>质量优先法</w:t>
            </w:r>
          </w:p>
        </w:tc>
      </w:tr>
      <w:tr w14:paraId="2F5B9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0" w:type="dxa"/>
            <w:tcBorders>
              <w:top w:val="single" w:color="auto" w:sz="4" w:space="0"/>
              <w:left w:val="single" w:color="auto" w:sz="4" w:space="0"/>
              <w:right w:val="single" w:color="auto" w:sz="4" w:space="0"/>
            </w:tcBorders>
            <w:noWrap w:val="0"/>
            <w:vAlign w:val="center"/>
          </w:tcPr>
          <w:p w14:paraId="56ABA6F2">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39.1</w:t>
            </w:r>
          </w:p>
        </w:tc>
        <w:tc>
          <w:tcPr>
            <w:tcW w:w="1983" w:type="dxa"/>
            <w:tcBorders>
              <w:top w:val="single" w:color="auto" w:sz="4" w:space="0"/>
              <w:left w:val="single" w:color="auto" w:sz="4" w:space="0"/>
              <w:right w:val="single" w:color="auto" w:sz="4" w:space="0"/>
            </w:tcBorders>
            <w:noWrap w:val="0"/>
            <w:vAlign w:val="center"/>
          </w:tcPr>
          <w:p w14:paraId="7891A9D5">
            <w:pPr>
              <w:spacing w:line="380" w:lineRule="exact"/>
              <w:jc w:val="center"/>
              <w:rPr>
                <w:rFonts w:hint="eastAsia"/>
                <w:color w:val="auto"/>
                <w:highlight w:val="none"/>
              </w:rPr>
            </w:pPr>
            <w:r>
              <w:rPr>
                <w:rFonts w:hint="eastAsia"/>
                <w:color w:val="auto"/>
                <w:highlight w:val="none"/>
              </w:rPr>
              <w:t>第二阶段成交供应商的方式</w:t>
            </w:r>
          </w:p>
        </w:tc>
        <w:tc>
          <w:tcPr>
            <w:tcW w:w="6940" w:type="dxa"/>
            <w:tcBorders>
              <w:top w:val="single" w:color="auto" w:sz="4" w:space="0"/>
              <w:left w:val="single" w:color="auto" w:sz="4" w:space="0"/>
              <w:right w:val="single" w:color="auto" w:sz="4" w:space="0"/>
            </w:tcBorders>
            <w:noWrap w:val="0"/>
            <w:vAlign w:val="center"/>
          </w:tcPr>
          <w:p w14:paraId="117A11FC">
            <w:pPr>
              <w:pStyle w:val="32"/>
              <w:spacing w:before="0" w:after="0"/>
              <w:jc w:val="left"/>
              <w:rPr>
                <w:rFonts w:hint="eastAsia" w:ascii="宋体" w:hAnsi="宋体" w:eastAsia="宋体" w:cs="宋体"/>
                <w:color w:val="auto"/>
                <w:sz w:val="21"/>
                <w:szCs w:val="21"/>
                <w:highlight w:val="none"/>
                <w:lang w:eastAsia="zh-CN"/>
              </w:rPr>
            </w:pPr>
            <w:r>
              <w:rPr>
                <w:rFonts w:ascii="宋体" w:hAnsi="宋体" w:cs="宋体"/>
                <w:b/>
                <w:bCs/>
                <w:color w:val="auto"/>
                <w:highlight w:val="none"/>
                <w:lang w:eastAsia="zh-CN"/>
              </w:rPr>
              <w:sym w:font="Wingdings 2" w:char="0052"/>
            </w:r>
            <w:r>
              <w:rPr>
                <w:rFonts w:ascii="宋体" w:hAnsi="宋体" w:cs="宋体"/>
                <w:b/>
                <w:bCs/>
                <w:color w:val="auto"/>
                <w:highlight w:val="none"/>
                <w:lang w:eastAsia="zh-CN"/>
              </w:rPr>
              <w:t>直接选定；</w:t>
            </w:r>
            <w:r>
              <w:rPr>
                <w:color w:val="auto"/>
                <w:spacing w:val="60"/>
                <w:highlight w:val="none"/>
                <w:lang w:eastAsia="zh-CN"/>
              </w:rPr>
              <w:t xml:space="preserve"> </w:t>
            </w:r>
            <w:r>
              <w:rPr>
                <w:rFonts w:hint="eastAsia" w:ascii="MS Gothic" w:hAnsi="MS Gothic" w:eastAsia="MS Gothic" w:cs="MS Gothic"/>
                <w:color w:val="auto"/>
                <w:highlight w:val="none"/>
                <w:lang w:eastAsia="zh-CN"/>
              </w:rPr>
              <w:t>□</w:t>
            </w:r>
            <w:r>
              <w:rPr>
                <w:rFonts w:ascii="宋体" w:hAnsi="宋体" w:cs="宋体"/>
                <w:color w:val="auto"/>
                <w:highlight w:val="none"/>
                <w:lang w:eastAsia="zh-CN"/>
              </w:rPr>
              <w:t>二次竞价；</w:t>
            </w:r>
            <w:r>
              <w:rPr>
                <w:color w:val="auto"/>
                <w:spacing w:val="60"/>
                <w:highlight w:val="none"/>
                <w:lang w:eastAsia="zh-CN"/>
              </w:rPr>
              <w:t xml:space="preserve"> </w:t>
            </w:r>
            <w:r>
              <w:rPr>
                <w:rFonts w:ascii="宋体" w:hAnsi="宋体" w:cs="宋体"/>
                <w:color w:val="auto"/>
                <w:highlight w:val="none"/>
                <w:lang w:eastAsia="zh-CN"/>
              </w:rPr>
              <w:t>□顺序轮候。</w:t>
            </w:r>
          </w:p>
        </w:tc>
      </w:tr>
      <w:tr w14:paraId="22AF5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32874E58">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35</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700D58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履约保证金金额</w:t>
            </w:r>
          </w:p>
        </w:tc>
        <w:tc>
          <w:tcPr>
            <w:tcW w:w="6940" w:type="dxa"/>
            <w:tcBorders>
              <w:top w:val="single" w:color="auto" w:sz="4" w:space="0"/>
              <w:left w:val="single" w:color="auto" w:sz="4" w:space="0"/>
              <w:bottom w:val="single" w:color="auto" w:sz="4" w:space="0"/>
              <w:right w:val="single" w:color="auto" w:sz="4" w:space="0"/>
            </w:tcBorders>
            <w:noWrap w:val="0"/>
            <w:vAlign w:val="bottom"/>
          </w:tcPr>
          <w:p w14:paraId="2EBE72CD">
            <w:pPr>
              <w:autoSpaceDE w:val="0"/>
              <w:autoSpaceDN w:val="0"/>
              <w:snapToGrid w:val="0"/>
              <w:spacing w:line="440" w:lineRule="exact"/>
              <w:jc w:val="left"/>
              <w:textAlignment w:val="bottom"/>
              <w:rPr>
                <w:rFonts w:hint="eastAsia" w:ascii="宋体" w:hAnsi="宋体" w:cs="宋体"/>
                <w:color w:val="auto"/>
                <w:szCs w:val="21"/>
                <w:highlight w:val="none"/>
              </w:rPr>
            </w:pPr>
            <w:r>
              <w:rPr>
                <w:rFonts w:hint="eastAsia" w:ascii="宋体" w:hAnsi="宋体" w:cs="宋体"/>
                <w:color w:val="auto"/>
                <w:kern w:val="0"/>
                <w:szCs w:val="21"/>
                <w:highlight w:val="none"/>
              </w:rPr>
              <w:t>本项目不收取履约保证金。</w:t>
            </w:r>
          </w:p>
        </w:tc>
      </w:tr>
      <w:tr w14:paraId="18567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60" w:type="dxa"/>
            <w:vMerge w:val="restart"/>
            <w:tcBorders>
              <w:top w:val="single" w:color="auto" w:sz="4" w:space="0"/>
              <w:left w:val="single" w:color="auto" w:sz="4" w:space="0"/>
              <w:right w:val="single" w:color="auto" w:sz="4" w:space="0"/>
            </w:tcBorders>
            <w:noWrap w:val="0"/>
            <w:vAlign w:val="center"/>
          </w:tcPr>
          <w:p w14:paraId="3FC4FDD8">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38.2.1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E8733CA">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060CD87">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2B675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0" w:type="dxa"/>
            <w:vMerge w:val="continue"/>
            <w:tcBorders>
              <w:left w:val="single" w:color="auto" w:sz="4" w:space="0"/>
              <w:right w:val="single" w:color="auto" w:sz="4" w:space="0"/>
            </w:tcBorders>
            <w:noWrap w:val="0"/>
            <w:vAlign w:val="center"/>
          </w:tcPr>
          <w:p w14:paraId="310690B7">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DCC2A3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959A6C5">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u w:val="single"/>
                <w:lang w:eastAsia="zh-CN"/>
              </w:rPr>
              <w:t>广西建设工程机电设备招标中心有限公司</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14:paraId="5DD4BB6C">
            <w:pPr>
              <w:snapToGrid w:val="0"/>
              <w:spacing w:line="38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0771-2821389</w:t>
            </w:r>
          </w:p>
          <w:p w14:paraId="7043F3F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eastAsia="zh-CN"/>
              </w:rPr>
              <w:t>广西壮族自治区南宁市青秀区枫林路18号广西国控大厦裙楼三层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A14403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eastAsia="zh-CN"/>
              </w:rPr>
              <w:t>东兴市财政局</w:t>
            </w:r>
            <w:r>
              <w:rPr>
                <w:rFonts w:hint="eastAsia" w:ascii="宋体" w:hAnsi="宋体" w:cs="宋体"/>
                <w:color w:val="auto"/>
                <w:szCs w:val="21"/>
                <w:highlight w:val="none"/>
              </w:rPr>
              <w:t>；</w:t>
            </w:r>
          </w:p>
          <w:p w14:paraId="5D31F4FA">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联系电话：0770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7690518，</w:t>
            </w:r>
          </w:p>
          <w:p w14:paraId="027BA82A">
            <w:pPr>
              <w:snapToGrid w:val="0"/>
              <w:spacing w:line="440" w:lineRule="exact"/>
              <w:rPr>
                <w:rFonts w:hint="eastAsia" w:ascii="宋体" w:hAnsi="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广西壮族自治区防城港市东兴市财源路33号</w:t>
            </w:r>
          </w:p>
        </w:tc>
      </w:tr>
      <w:tr w14:paraId="2765F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0" w:type="dxa"/>
            <w:vMerge w:val="continue"/>
            <w:tcBorders>
              <w:left w:val="single" w:color="auto" w:sz="4" w:space="0"/>
              <w:bottom w:val="single" w:color="auto" w:sz="4" w:space="0"/>
              <w:right w:val="single" w:color="auto" w:sz="4" w:space="0"/>
            </w:tcBorders>
            <w:noWrap w:val="0"/>
            <w:vAlign w:val="center"/>
          </w:tcPr>
          <w:p w14:paraId="0B70CA1C">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F19D205">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7E36BEF">
            <w:pPr>
              <w:snapToGrid w:val="0"/>
              <w:spacing w:line="440" w:lineRule="exact"/>
              <w:rPr>
                <w:rFonts w:hint="eastAsia" w:ascii="宋体" w:hAnsi="宋体" w:cs="宋体"/>
                <w:color w:val="auto"/>
                <w:szCs w:val="21"/>
                <w:highlight w:val="none"/>
              </w:rPr>
            </w:pPr>
            <w:r>
              <w:rPr>
                <w:rFonts w:hint="eastAsia" w:ascii="宋体" w:hAnsi="宋体"/>
                <w:color w:val="auto"/>
                <w:szCs w:val="21"/>
                <w:highlight w:val="none"/>
              </w:rPr>
              <w:t>质疑期内每个工作日</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8</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分到</w:t>
            </w:r>
            <w:r>
              <w:rPr>
                <w:rFonts w:ascii="宋体" w:hAnsi="宋体"/>
                <w:color w:val="auto"/>
                <w:szCs w:val="21"/>
                <w:highlight w:val="none"/>
                <w:u w:val="single"/>
              </w:rPr>
              <w:t xml:space="preserve"> </w:t>
            </w:r>
            <w:r>
              <w:rPr>
                <w:rFonts w:hint="eastAsia" w:ascii="宋体" w:hAnsi="宋体"/>
                <w:color w:val="auto"/>
                <w:szCs w:val="21"/>
                <w:highlight w:val="none"/>
                <w:u w:val="single"/>
              </w:rPr>
              <w:t>12</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分到</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18</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w:t>
            </w:r>
          </w:p>
        </w:tc>
      </w:tr>
      <w:tr w14:paraId="7ED47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0" w:type="dxa"/>
            <w:tcBorders>
              <w:left w:val="single" w:color="auto" w:sz="4" w:space="0"/>
              <w:bottom w:val="single" w:color="auto" w:sz="4" w:space="0"/>
              <w:right w:val="single" w:color="auto" w:sz="4" w:space="0"/>
            </w:tcBorders>
            <w:noWrap w:val="0"/>
            <w:vAlign w:val="center"/>
          </w:tcPr>
          <w:p w14:paraId="0D0B2B77">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38.3.1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FD9B0D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投诉受理方式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71DD47F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1、受理方式：纸质方式受理，投诉书正、副本（经过质疑的事项才可投诉）。</w:t>
            </w:r>
          </w:p>
          <w:p w14:paraId="6ACA6A1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2、邮寄地址：</w:t>
            </w:r>
          </w:p>
          <w:p w14:paraId="26A7CC1F">
            <w:pPr>
              <w:snapToGrid w:val="0"/>
              <w:spacing w:line="380" w:lineRule="exact"/>
              <w:rPr>
                <w:rFonts w:hint="eastAsia" w:ascii="宋体" w:hAnsi="宋体" w:eastAsia="宋体" w:cs="宋体"/>
                <w:color w:val="auto"/>
                <w:highlight w:val="none"/>
                <w:lang w:eastAsia="zh-CN"/>
              </w:rPr>
            </w:pPr>
            <w:r>
              <w:rPr>
                <w:rFonts w:hint="eastAsia" w:ascii="宋体" w:hAnsi="宋体" w:cs="宋体"/>
                <w:color w:val="auto"/>
                <w:highlight w:val="none"/>
              </w:rPr>
              <w:t>名称：</w:t>
            </w:r>
            <w:r>
              <w:rPr>
                <w:rFonts w:hint="eastAsia" w:ascii="宋体" w:hAnsi="宋体" w:cs="宋体"/>
                <w:color w:val="auto"/>
                <w:szCs w:val="21"/>
                <w:highlight w:val="none"/>
                <w:u w:val="single"/>
                <w:lang w:eastAsia="zh-CN"/>
              </w:rPr>
              <w:t>东兴市财政局</w:t>
            </w:r>
          </w:p>
          <w:p w14:paraId="6F8A54E8">
            <w:pPr>
              <w:snapToGrid w:val="0"/>
              <w:spacing w:line="380" w:lineRule="exact"/>
              <w:rPr>
                <w:rFonts w:hint="eastAsia" w:ascii="宋体" w:hAnsi="宋体" w:eastAsia="宋体" w:cs="宋体"/>
                <w:color w:val="auto"/>
                <w:highlight w:val="none"/>
                <w:lang w:eastAsia="zh-CN"/>
              </w:rPr>
            </w:pPr>
            <w:r>
              <w:rPr>
                <w:rFonts w:hint="eastAsia" w:ascii="宋体" w:hAnsi="宋体" w:cs="宋体"/>
                <w:color w:val="auto"/>
                <w:highlight w:val="none"/>
              </w:rPr>
              <w:t>地址：</w:t>
            </w:r>
            <w:r>
              <w:rPr>
                <w:rFonts w:hint="eastAsia" w:ascii="宋体" w:hAnsi="宋体" w:cs="宋体"/>
                <w:color w:val="auto"/>
                <w:szCs w:val="21"/>
                <w:highlight w:val="none"/>
                <w:u w:val="single"/>
                <w:lang w:eastAsia="zh-CN"/>
              </w:rPr>
              <w:t>广西壮族自治区防城港市东兴市财源路33号</w:t>
            </w:r>
          </w:p>
          <w:p w14:paraId="7F4B4931">
            <w:pPr>
              <w:snapToGrid w:val="0"/>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highlight w:val="none"/>
              </w:rPr>
              <w:t>联系电话：</w:t>
            </w:r>
            <w:r>
              <w:rPr>
                <w:rFonts w:hint="eastAsia" w:hAnsi="宋体"/>
                <w:color w:val="auto"/>
                <w:highlight w:val="none"/>
              </w:rPr>
              <w:t>0770</w:t>
            </w:r>
            <w:r>
              <w:rPr>
                <w:rFonts w:hint="eastAsia" w:hAnsi="宋体"/>
                <w:color w:val="auto"/>
                <w:highlight w:val="none"/>
                <w:lang w:val="en-US" w:eastAsia="zh-CN"/>
              </w:rPr>
              <w:t>-</w:t>
            </w:r>
            <w:r>
              <w:rPr>
                <w:rFonts w:hint="eastAsia" w:hAnsi="宋体"/>
                <w:color w:val="auto"/>
                <w:highlight w:val="none"/>
              </w:rPr>
              <w:t>7690518</w:t>
            </w:r>
          </w:p>
        </w:tc>
      </w:tr>
      <w:tr w14:paraId="2B458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960" w:type="dxa"/>
            <w:vMerge w:val="restart"/>
            <w:tcBorders>
              <w:top w:val="single" w:color="auto" w:sz="4" w:space="0"/>
              <w:left w:val="single" w:color="auto" w:sz="4" w:space="0"/>
              <w:right w:val="single" w:color="auto" w:sz="4" w:space="0"/>
            </w:tcBorders>
            <w:noWrap w:val="0"/>
            <w:vAlign w:val="center"/>
          </w:tcPr>
          <w:p w14:paraId="3ED533F2">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41</w:t>
            </w:r>
          </w:p>
        </w:tc>
        <w:tc>
          <w:tcPr>
            <w:tcW w:w="1983" w:type="dxa"/>
            <w:tcBorders>
              <w:top w:val="single" w:color="auto" w:sz="4" w:space="0"/>
              <w:left w:val="single" w:color="auto" w:sz="4" w:space="0"/>
              <w:right w:val="single" w:color="auto" w:sz="4" w:space="0"/>
            </w:tcBorders>
            <w:noWrap w:val="0"/>
            <w:vAlign w:val="center"/>
          </w:tcPr>
          <w:p w14:paraId="6BAF5D3D">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采购代理费支付方式</w:t>
            </w:r>
          </w:p>
        </w:tc>
        <w:tc>
          <w:tcPr>
            <w:tcW w:w="6940" w:type="dxa"/>
            <w:tcBorders>
              <w:top w:val="single" w:color="auto" w:sz="4" w:space="0"/>
              <w:left w:val="single" w:color="auto" w:sz="4" w:space="0"/>
              <w:right w:val="single" w:color="auto" w:sz="4" w:space="0"/>
            </w:tcBorders>
            <w:noWrap w:val="0"/>
            <w:vAlign w:val="center"/>
          </w:tcPr>
          <w:p w14:paraId="6C4C4D8D">
            <w:pPr>
              <w:pStyle w:val="15"/>
              <w:snapToGrid w:val="0"/>
              <w:spacing w:line="380" w:lineRule="exact"/>
              <w:ind w:left="560" w:hanging="560"/>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本项目代理服务费由</w:t>
            </w:r>
            <w:r>
              <w:rPr>
                <w:rFonts w:hint="eastAsia" w:hAnsi="宋体" w:cs="宋体"/>
                <w:color w:val="auto"/>
                <w:sz w:val="21"/>
                <w:szCs w:val="21"/>
                <w:highlight w:val="none"/>
                <w:u w:val="single"/>
              </w:rPr>
              <w:t>中标人</w:t>
            </w:r>
            <w:r>
              <w:rPr>
                <w:rFonts w:hint="eastAsia" w:hAnsi="宋体" w:cs="宋体"/>
                <w:color w:val="auto"/>
                <w:sz w:val="21"/>
                <w:szCs w:val="21"/>
                <w:highlight w:val="none"/>
              </w:rPr>
              <w:t>在领取中标通知书前，一次性向采购代理机构支付。</w:t>
            </w:r>
          </w:p>
          <w:p w14:paraId="04EC1A44">
            <w:pPr>
              <w:pStyle w:val="15"/>
              <w:snapToGrid w:val="0"/>
              <w:spacing w:line="380" w:lineRule="exact"/>
              <w:ind w:left="560" w:hanging="560"/>
              <w:rPr>
                <w:rFonts w:hint="eastAsia" w:hAnsi="宋体" w:cs="宋体"/>
                <w:color w:val="auto"/>
                <w:sz w:val="21"/>
                <w:szCs w:val="21"/>
                <w:highlight w:val="none"/>
              </w:rPr>
            </w:pPr>
            <w:r>
              <w:rPr>
                <w:rFonts w:hint="eastAsia" w:hAnsi="宋体" w:cs="宋体"/>
                <w:color w:val="auto"/>
                <w:sz w:val="21"/>
                <w:szCs w:val="21"/>
                <w:highlight w:val="none"/>
              </w:rPr>
              <w:t>□采购人支付。</w:t>
            </w:r>
          </w:p>
          <w:p w14:paraId="6D6A1880">
            <w:pPr>
              <w:pStyle w:val="15"/>
              <w:snapToGrid w:val="0"/>
              <w:spacing w:line="380" w:lineRule="exact"/>
              <w:ind w:left="560" w:leftChars="0" w:hanging="560" w:firstLineChars="0"/>
              <w:rPr>
                <w:rFonts w:hint="eastAsia" w:ascii="宋体" w:hAnsi="宋体" w:cs="宋体"/>
                <w:color w:val="auto"/>
                <w:sz w:val="21"/>
                <w:szCs w:val="21"/>
                <w:highlight w:val="none"/>
              </w:rPr>
            </w:pPr>
            <w:r>
              <w:rPr>
                <w:rFonts w:hint="eastAsia" w:hAnsi="宋体" w:cs="宋体"/>
                <w:color w:val="auto"/>
                <w:sz w:val="21"/>
                <w:szCs w:val="21"/>
                <w:highlight w:val="none"/>
              </w:rPr>
              <w:t>□本项目不收取代理服务费。</w:t>
            </w:r>
          </w:p>
        </w:tc>
      </w:tr>
      <w:tr w14:paraId="1101B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960" w:type="dxa"/>
            <w:vMerge w:val="continue"/>
            <w:tcBorders>
              <w:left w:val="single" w:color="auto" w:sz="4" w:space="0"/>
              <w:right w:val="single" w:color="auto" w:sz="4" w:space="0"/>
            </w:tcBorders>
            <w:noWrap w:val="0"/>
            <w:vAlign w:val="center"/>
          </w:tcPr>
          <w:p w14:paraId="6ED72EB0">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right w:val="single" w:color="auto" w:sz="4" w:space="0"/>
            </w:tcBorders>
            <w:noWrap w:val="0"/>
            <w:vAlign w:val="center"/>
          </w:tcPr>
          <w:p w14:paraId="0B4E533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6940" w:type="dxa"/>
            <w:tcBorders>
              <w:top w:val="single" w:color="auto" w:sz="4" w:space="0"/>
              <w:left w:val="single" w:color="auto" w:sz="4" w:space="0"/>
              <w:right w:val="single" w:color="auto" w:sz="4" w:space="0"/>
            </w:tcBorders>
            <w:noWrap w:val="0"/>
            <w:vAlign w:val="center"/>
          </w:tcPr>
          <w:p w14:paraId="4508EBB7">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固定采购代理收费：向每个入围供应商收取人民币捌仟元（¥8,000.00）</w:t>
            </w:r>
          </w:p>
        </w:tc>
      </w:tr>
      <w:tr w14:paraId="52695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960" w:type="dxa"/>
            <w:vMerge w:val="continue"/>
            <w:tcBorders>
              <w:left w:val="single" w:color="auto" w:sz="4" w:space="0"/>
              <w:right w:val="single" w:color="auto" w:sz="4" w:space="0"/>
            </w:tcBorders>
            <w:noWrap w:val="0"/>
            <w:vAlign w:val="center"/>
          </w:tcPr>
          <w:p w14:paraId="01F34E3D">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right w:val="single" w:color="auto" w:sz="4" w:space="0"/>
            </w:tcBorders>
            <w:noWrap w:val="0"/>
            <w:vAlign w:val="center"/>
          </w:tcPr>
          <w:p w14:paraId="5D8965E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代理服务费收款账户信息</w:t>
            </w:r>
          </w:p>
        </w:tc>
        <w:tc>
          <w:tcPr>
            <w:tcW w:w="6940" w:type="dxa"/>
            <w:tcBorders>
              <w:top w:val="single" w:color="auto" w:sz="4" w:space="0"/>
              <w:left w:val="single" w:color="auto" w:sz="4" w:space="0"/>
              <w:right w:val="single" w:color="auto" w:sz="4" w:space="0"/>
            </w:tcBorders>
            <w:noWrap w:val="0"/>
            <w:vAlign w:val="center"/>
          </w:tcPr>
          <w:p w14:paraId="391C0DEF">
            <w:pPr>
              <w:snapToGrid w:val="0"/>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开户名称：广西建设工程机电设备招标中心有限公司</w:t>
            </w:r>
          </w:p>
          <w:p w14:paraId="21E6D47C">
            <w:pPr>
              <w:snapToGrid w:val="0"/>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开户银行：招商银行南宁分行营业部 </w:t>
            </w:r>
          </w:p>
          <w:p w14:paraId="5B59B3D3">
            <w:pPr>
              <w:pStyle w:val="15"/>
              <w:snapToGrid w:val="0"/>
              <w:spacing w:line="380" w:lineRule="exact"/>
              <w:ind w:left="560" w:leftChars="0" w:hanging="56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银行账号：7719 0142 3310 201</w:t>
            </w:r>
          </w:p>
        </w:tc>
      </w:tr>
      <w:tr w14:paraId="2B97D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2759CED0">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06B9F94">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AD58BB3">
            <w:pPr>
              <w:snapToGrid w:val="0"/>
              <w:spacing w:line="380" w:lineRule="exact"/>
              <w:rPr>
                <w:rFonts w:hint="eastAsia"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color w:val="auto"/>
                <w:szCs w:val="21"/>
                <w:highlight w:val="none"/>
              </w:rPr>
              <w:t>，由征集人或者采购代理机构负责解释。</w:t>
            </w:r>
          </w:p>
          <w:p w14:paraId="5B5211E4">
            <w:pPr>
              <w:snapToGrid w:val="0"/>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法律责任：</w:t>
            </w:r>
            <w:r>
              <w:rPr>
                <w:rFonts w:hint="eastAsia" w:ascii="宋体" w:hAnsi="宋体" w:cs="宋体"/>
                <w:color w:val="auto"/>
                <w:szCs w:val="21"/>
                <w:highlight w:val="none"/>
              </w:rPr>
              <w:t>本征集文件根据《中华人民共和国政府采购法》、《中华人民共和国民法典》；《中华人民共和国政府采购法实施条例》</w:t>
            </w:r>
            <w:r>
              <w:rPr>
                <w:rFonts w:hint="eastAsia" w:ascii="宋体" w:hAnsi="宋体" w:cs="宋体"/>
                <w:color w:val="auto"/>
                <w:szCs w:val="21"/>
                <w:highlight w:val="none"/>
                <w:lang w:eastAsia="zh-CN"/>
              </w:rPr>
              <w:t>、</w:t>
            </w:r>
            <w:r>
              <w:rPr>
                <w:rFonts w:hint="eastAsia"/>
                <w:color w:val="auto"/>
                <w:highlight w:val="none"/>
                <w:u w:val="none"/>
              </w:rPr>
              <w:t>《</w:t>
            </w:r>
            <w:r>
              <w:rPr>
                <w:color w:val="auto"/>
                <w:highlight w:val="none"/>
                <w:u w:val="none"/>
              </w:rPr>
              <w:t>政府采购框架协议采购方式管理暂行办法</w:t>
            </w:r>
            <w:r>
              <w:rPr>
                <w:rFonts w:hint="eastAsia"/>
                <w:color w:val="auto"/>
                <w:highlight w:val="none"/>
                <w:u w:val="none"/>
              </w:rPr>
              <w:t>》</w:t>
            </w:r>
            <w:r>
              <w:rPr>
                <w:rFonts w:hint="eastAsia" w:ascii="宋体" w:hAnsi="宋体" w:cs="宋体"/>
                <w:color w:val="auto"/>
                <w:szCs w:val="21"/>
                <w:highlight w:val="none"/>
              </w:rPr>
              <w:t>等有关法律、法规编制，参与本项目的各政府采购当事人依法享有上述法律法规所赋予的权利与义务。</w:t>
            </w:r>
          </w:p>
        </w:tc>
      </w:tr>
      <w:tr w14:paraId="444BB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5E041B06">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1F54F80">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C591694">
            <w:pPr>
              <w:snapToGrid w:val="0"/>
              <w:spacing w:line="360" w:lineRule="auto"/>
              <w:rPr>
                <w:rFonts w:ascii="宋体" w:hAnsi="宋体" w:cs="宋体"/>
                <w:color w:val="auto"/>
                <w:szCs w:val="21"/>
                <w:highlight w:val="none"/>
              </w:rPr>
            </w:pPr>
            <w:r>
              <w:rPr>
                <w:rFonts w:hint="eastAsia" w:ascii="宋体" w:hAnsi="宋体" w:cs="宋体"/>
                <w:color w:val="auto"/>
                <w:szCs w:val="20"/>
                <w:highlight w:val="none"/>
              </w:rPr>
              <w:t>1.本</w:t>
            </w:r>
            <w:r>
              <w:rPr>
                <w:rFonts w:hint="eastAsia" w:ascii="宋体" w:hAnsi="宋体" w:cs="宋体"/>
                <w:b/>
                <w:bCs/>
                <w:color w:val="auto"/>
                <w:szCs w:val="21"/>
                <w:highlight w:val="none"/>
              </w:rPr>
              <w:t>征集文件</w:t>
            </w:r>
            <w:r>
              <w:rPr>
                <w:rFonts w:hint="eastAsia" w:ascii="宋体" w:hAnsi="宋体" w:cs="宋体"/>
                <w:color w:val="auto"/>
                <w:szCs w:val="20"/>
                <w:highlight w:val="none"/>
              </w:rPr>
              <w:t>中描述供应商的“公章”是指供应商通过指定电子化政府采购平台办理数字证书（CA认证）获得的以法定主体行为名称制作的电子印章。</w:t>
            </w:r>
          </w:p>
          <w:p w14:paraId="54BFFB3E">
            <w:pPr>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2.本</w:t>
            </w:r>
            <w:r>
              <w:rPr>
                <w:rFonts w:hint="eastAsia" w:ascii="宋体" w:hAnsi="宋体" w:cs="宋体"/>
                <w:b/>
                <w:bCs/>
                <w:color w:val="auto"/>
                <w:szCs w:val="21"/>
                <w:highlight w:val="none"/>
              </w:rPr>
              <w:t>征集文件</w:t>
            </w:r>
            <w:r>
              <w:rPr>
                <w:rFonts w:hint="eastAsia" w:ascii="宋体" w:hAnsi="宋体" w:cs="宋体"/>
                <w:color w:val="auto"/>
                <w:szCs w:val="20"/>
                <w:highlight w:val="none"/>
              </w:rPr>
              <w:t>中描述供应商的“签字”是指供应商通过指定电子化政府采购平台办理数字证书（CA认证）获得的以供应商法定代表人或者委托代理人姓名制作的电子印章或手写签字。</w:t>
            </w:r>
          </w:p>
          <w:p w14:paraId="64C55FAD">
            <w:pPr>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3.供应商为其他组织或者自然人时，本</w:t>
            </w:r>
            <w:r>
              <w:rPr>
                <w:rFonts w:hint="eastAsia" w:ascii="宋体" w:hAnsi="宋体" w:cs="宋体"/>
                <w:b/>
                <w:bCs/>
                <w:color w:val="auto"/>
                <w:szCs w:val="21"/>
                <w:highlight w:val="none"/>
              </w:rPr>
              <w:t>征集文件</w:t>
            </w:r>
            <w:r>
              <w:rPr>
                <w:rFonts w:hint="eastAsia" w:ascii="宋体" w:hAnsi="宋体" w:cs="宋体"/>
                <w:color w:val="auto"/>
                <w:szCs w:val="20"/>
                <w:highlight w:val="none"/>
              </w:rPr>
              <w:t>规定的法定代表人指负责人或者自然人。本</w:t>
            </w:r>
            <w:r>
              <w:rPr>
                <w:rFonts w:hint="eastAsia" w:ascii="宋体" w:hAnsi="宋体" w:cs="宋体"/>
                <w:b/>
                <w:bCs/>
                <w:color w:val="auto"/>
                <w:szCs w:val="21"/>
                <w:highlight w:val="none"/>
              </w:rPr>
              <w:t>征集文件</w:t>
            </w:r>
            <w:r>
              <w:rPr>
                <w:rFonts w:hint="eastAsia" w:ascii="宋体" w:hAnsi="宋体" w:cs="宋体"/>
                <w:color w:val="auto"/>
                <w:szCs w:val="20"/>
                <w:highlight w:val="none"/>
              </w:rPr>
              <w:t>所称负责人是指参加竞标的其他组织营业执照上的负责人，本</w:t>
            </w:r>
            <w:r>
              <w:rPr>
                <w:rFonts w:hint="eastAsia" w:ascii="宋体" w:hAnsi="宋体" w:cs="宋体"/>
                <w:b/>
                <w:bCs/>
                <w:color w:val="auto"/>
                <w:szCs w:val="21"/>
                <w:highlight w:val="none"/>
              </w:rPr>
              <w:t>征集文件</w:t>
            </w:r>
            <w:r>
              <w:rPr>
                <w:rFonts w:hint="eastAsia" w:ascii="宋体" w:hAnsi="宋体" w:cs="宋体"/>
                <w:color w:val="auto"/>
                <w:szCs w:val="20"/>
                <w:highlight w:val="none"/>
              </w:rPr>
              <w:t>所称自然人指参与竞标的自然人本人。</w:t>
            </w:r>
          </w:p>
          <w:p w14:paraId="6EF16B7C">
            <w:pPr>
              <w:snapToGrid w:val="0"/>
              <w:spacing w:line="440" w:lineRule="exact"/>
              <w:rPr>
                <w:rFonts w:hint="eastAsia" w:ascii="宋体" w:hAnsi="宋体" w:cs="宋体"/>
                <w:b/>
                <w:bCs/>
                <w:color w:val="auto"/>
                <w:szCs w:val="21"/>
                <w:highlight w:val="none"/>
              </w:rPr>
            </w:pPr>
            <w:r>
              <w:rPr>
                <w:rFonts w:hint="eastAsia" w:hAnsi="宋体" w:cs="宋体"/>
                <w:color w:val="auto"/>
                <w:highlight w:val="none"/>
              </w:rPr>
              <w:t>4.自然人竞标的，</w:t>
            </w:r>
            <w:r>
              <w:rPr>
                <w:rFonts w:hint="eastAsia" w:ascii="宋体" w:hAnsi="宋体" w:cs="宋体"/>
                <w:b/>
                <w:bCs/>
                <w:color w:val="auto"/>
                <w:szCs w:val="21"/>
                <w:highlight w:val="none"/>
              </w:rPr>
              <w:t>征集文件</w:t>
            </w:r>
            <w:r>
              <w:rPr>
                <w:rFonts w:hint="eastAsia" w:hAnsi="宋体" w:cs="宋体"/>
                <w:color w:val="auto"/>
                <w:highlight w:val="none"/>
              </w:rPr>
              <w:t>规定盖公章处由自然人摁手指指印。</w:t>
            </w:r>
          </w:p>
          <w:p w14:paraId="203E9584">
            <w:pPr>
              <w:spacing w:line="44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5.本征集文件所称的“以上”“以下”“以内”“届满”，包括本数；所称的“不满”“超过”“以外”，不包括本数。</w:t>
            </w:r>
          </w:p>
        </w:tc>
      </w:tr>
    </w:tbl>
    <w:p w14:paraId="299D246E">
      <w:pPr>
        <w:widowControl/>
        <w:spacing w:line="412" w:lineRule="auto"/>
        <w:jc w:val="left"/>
        <w:rPr>
          <w:rFonts w:ascii="Arial" w:hAnsi="Arial" w:eastAsia="黑体"/>
          <w:b/>
          <w:bCs/>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14:paraId="1326AFEF">
      <w:pPr>
        <w:rPr>
          <w:rFonts w:hint="eastAsia" w:ascii="Times New Roman" w:hAnsi="Times New Roman"/>
          <w:color w:val="auto"/>
          <w:szCs w:val="24"/>
          <w:highlight w:val="none"/>
        </w:rPr>
      </w:pPr>
    </w:p>
    <w:p w14:paraId="5481D142">
      <w:pPr>
        <w:keepNext/>
        <w:keepLines/>
        <w:spacing w:before="260" w:after="260" w:line="413" w:lineRule="auto"/>
        <w:jc w:val="center"/>
        <w:outlineLvl w:val="1"/>
        <w:rPr>
          <w:rFonts w:ascii="Arial" w:hAnsi="Arial" w:eastAsia="黑体"/>
          <w:b/>
          <w:bCs/>
          <w:color w:val="auto"/>
          <w:sz w:val="32"/>
          <w:szCs w:val="32"/>
          <w:highlight w:val="none"/>
        </w:rPr>
      </w:pPr>
      <w:bookmarkStart w:id="32" w:name="_Toc21268"/>
      <w:r>
        <w:rPr>
          <w:rFonts w:hint="eastAsia" w:ascii="Arial" w:hAnsi="Arial" w:eastAsia="黑体"/>
          <w:b/>
          <w:bCs/>
          <w:color w:val="auto"/>
          <w:sz w:val="32"/>
          <w:szCs w:val="32"/>
          <w:highlight w:val="none"/>
        </w:rPr>
        <w:t>第二节</w:t>
      </w:r>
      <w:r>
        <w:rPr>
          <w:rFonts w:ascii="Arial" w:hAnsi="Arial" w:eastAsia="黑体"/>
          <w:b/>
          <w:bCs/>
          <w:color w:val="auto"/>
          <w:sz w:val="32"/>
          <w:szCs w:val="32"/>
          <w:highlight w:val="none"/>
        </w:rPr>
        <w:t xml:space="preserve"> </w:t>
      </w:r>
      <w:r>
        <w:rPr>
          <w:rFonts w:hint="eastAsia" w:ascii="Arial" w:hAnsi="Arial" w:eastAsia="黑体"/>
          <w:b/>
          <w:bCs/>
          <w:color w:val="auto"/>
          <w:sz w:val="32"/>
          <w:szCs w:val="32"/>
          <w:highlight w:val="none"/>
        </w:rPr>
        <w:t>供应商须知正文</w:t>
      </w:r>
      <w:bookmarkEnd w:id="32"/>
    </w:p>
    <w:p w14:paraId="4DA92845">
      <w:pPr>
        <w:spacing w:line="400" w:lineRule="exact"/>
        <w:ind w:firstLine="643" w:firstLineChars="200"/>
        <w:jc w:val="center"/>
        <w:outlineLvl w:val="2"/>
        <w:rPr>
          <w:rFonts w:ascii="Times New Roman" w:hAnsi="Times New Roman"/>
          <w:b/>
          <w:bCs/>
          <w:color w:val="auto"/>
          <w:sz w:val="32"/>
          <w:szCs w:val="32"/>
          <w:highlight w:val="none"/>
        </w:rPr>
      </w:pPr>
      <w:bookmarkStart w:id="33" w:name="_Toc18899"/>
      <w:r>
        <w:rPr>
          <w:rFonts w:hint="eastAsia" w:ascii="Times New Roman" w:hAnsi="Times New Roman"/>
          <w:b/>
          <w:bCs/>
          <w:color w:val="auto"/>
          <w:sz w:val="32"/>
          <w:szCs w:val="32"/>
          <w:highlight w:val="none"/>
        </w:rPr>
        <w:t>一、总</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则</w:t>
      </w:r>
      <w:bookmarkEnd w:id="33"/>
    </w:p>
    <w:p w14:paraId="1806B866">
      <w:pPr>
        <w:spacing w:line="360" w:lineRule="auto"/>
        <w:ind w:firstLine="480" w:firstLineChars="200"/>
        <w:rPr>
          <w:rFonts w:ascii="黑体" w:hAnsi="黑体" w:eastAsia="黑体"/>
          <w:color w:val="auto"/>
          <w:sz w:val="24"/>
          <w:szCs w:val="24"/>
          <w:highlight w:val="none"/>
        </w:rPr>
      </w:pPr>
      <w:bookmarkStart w:id="34" w:name="_Toc254970668"/>
      <w:bookmarkStart w:id="35" w:name="_Toc254970527"/>
      <w:r>
        <w:rPr>
          <w:rFonts w:hint="eastAsia" w:ascii="黑体" w:hAnsi="黑体" w:eastAsia="黑体"/>
          <w:color w:val="auto"/>
          <w:sz w:val="24"/>
          <w:szCs w:val="24"/>
          <w:highlight w:val="none"/>
        </w:rPr>
        <w:t>1.适用范围</w:t>
      </w:r>
      <w:bookmarkEnd w:id="34"/>
      <w:bookmarkEnd w:id="35"/>
      <w:r>
        <w:rPr>
          <w:rFonts w:hint="eastAsia" w:ascii="黑体" w:hAnsi="黑体" w:eastAsia="黑体"/>
          <w:color w:val="auto"/>
          <w:sz w:val="24"/>
          <w:szCs w:val="24"/>
          <w:highlight w:val="none"/>
        </w:rPr>
        <w:t>及项目信息</w:t>
      </w:r>
    </w:p>
    <w:p w14:paraId="41D9D4E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1.1适用法律：本项目</w:t>
      </w:r>
      <w:r>
        <w:rPr>
          <w:rFonts w:hint="eastAsia"/>
          <w:color w:val="auto"/>
          <w:highlight w:val="none"/>
          <w:u w:val="single"/>
        </w:rPr>
        <w:t>征集人</w:t>
      </w:r>
      <w:r>
        <w:rPr>
          <w:rFonts w:hint="eastAsia" w:ascii="宋体" w:hAnsi="宋体"/>
          <w:color w:val="auto"/>
          <w:szCs w:val="21"/>
          <w:highlight w:val="none"/>
        </w:rPr>
        <w:t>、采购代理机构、供应商、评标委员会的相关行为均受《中华人民共和国政府采购法》、《中华人民共和国政府采购法实施条例》、</w:t>
      </w:r>
      <w:r>
        <w:rPr>
          <w:rFonts w:hint="eastAsia"/>
          <w:color w:val="auto"/>
          <w:highlight w:val="none"/>
          <w:u w:val="none"/>
        </w:rPr>
        <w:t>《</w:t>
      </w:r>
      <w:r>
        <w:rPr>
          <w:color w:val="auto"/>
          <w:highlight w:val="none"/>
          <w:u w:val="none"/>
        </w:rPr>
        <w:t>政府采购框架协议采购方式管理暂行办法</w:t>
      </w:r>
      <w:r>
        <w:rPr>
          <w:rFonts w:hint="eastAsia"/>
          <w:color w:val="auto"/>
          <w:highlight w:val="none"/>
          <w:u w:val="none"/>
        </w:rPr>
        <w:t>》</w:t>
      </w:r>
      <w:r>
        <w:rPr>
          <w:rFonts w:hint="eastAsia" w:ascii="宋体" w:hAnsi="宋体"/>
          <w:color w:val="auto"/>
          <w:szCs w:val="21"/>
          <w:highlight w:val="none"/>
        </w:rPr>
        <w:t>及本项目本级和上级财政部门政府采购有关规定的约束和保护。</w:t>
      </w:r>
    </w:p>
    <w:p w14:paraId="74812808">
      <w:pPr>
        <w:spacing w:line="360" w:lineRule="auto"/>
        <w:ind w:firstLine="420" w:firstLineChars="200"/>
        <w:rPr>
          <w:rFonts w:hint="eastAsia" w:ascii="宋体" w:hAnsi="宋体" w:cs="宋体"/>
          <w:color w:val="auto"/>
          <w:spacing w:val="-6"/>
          <w:szCs w:val="21"/>
          <w:highlight w:val="none"/>
        </w:rPr>
      </w:pPr>
      <w:r>
        <w:rPr>
          <w:rFonts w:hint="eastAsia" w:ascii="宋体" w:hAnsi="宋体"/>
          <w:color w:val="auto"/>
          <w:szCs w:val="21"/>
          <w:highlight w:val="none"/>
        </w:rPr>
        <w:t>1.2本</w:t>
      </w:r>
      <w:r>
        <w:rPr>
          <w:rFonts w:hint="eastAsia" w:ascii="宋体" w:hAnsi="宋体"/>
          <w:color w:val="auto"/>
          <w:szCs w:val="21"/>
          <w:highlight w:val="none"/>
          <w:lang w:eastAsia="zh-CN"/>
        </w:rPr>
        <w:t>征集文件</w:t>
      </w:r>
      <w:r>
        <w:rPr>
          <w:rFonts w:hint="eastAsia" w:ascii="宋体" w:hAnsi="宋体" w:cs="宋体"/>
          <w:color w:val="auto"/>
          <w:spacing w:val="-6"/>
          <w:szCs w:val="21"/>
          <w:highlight w:val="none"/>
        </w:rPr>
        <w:t>适用于本项目的所有采购程序和环节（法律、法规另有规定的，从其规定）。</w:t>
      </w:r>
    </w:p>
    <w:p w14:paraId="66E1B42B">
      <w:pPr>
        <w:spacing w:line="360" w:lineRule="auto"/>
        <w:ind w:firstLine="420" w:firstLineChars="200"/>
        <w:rPr>
          <w:color w:val="auto"/>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项目信息</w:t>
      </w:r>
    </w:p>
    <w:p w14:paraId="00FD2A87">
      <w:pPr>
        <w:widowControl/>
        <w:spacing w:line="244" w:lineRule="exact"/>
        <w:ind w:left="420"/>
        <w:jc w:val="left"/>
        <w:rPr>
          <w:color w:val="auto"/>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 xml:space="preserve">. </w:t>
      </w:r>
      <w:r>
        <w:rPr>
          <w:rFonts w:hint="eastAsia"/>
          <w:color w:val="auto"/>
          <w:highlight w:val="none"/>
          <w:u w:val="none"/>
        </w:rPr>
        <w:t>1</w:t>
      </w:r>
      <w:r>
        <w:rPr>
          <w:color w:val="auto"/>
          <w:highlight w:val="none"/>
          <w:u w:val="none"/>
        </w:rPr>
        <w:t>项目名称及编号：详见供应商须知前附表</w:t>
      </w:r>
    </w:p>
    <w:p w14:paraId="1C59E5DD">
      <w:pPr>
        <w:widowControl/>
        <w:spacing w:before="236" w:line="244" w:lineRule="exact"/>
        <w:ind w:left="420"/>
        <w:jc w:val="left"/>
        <w:rPr>
          <w:rFonts w:hint="eastAsia"/>
          <w:color w:val="auto"/>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.2 采购方式：详见供应商须知前附表</w:t>
      </w:r>
    </w:p>
    <w:p w14:paraId="6441C9F6">
      <w:pPr>
        <w:widowControl/>
        <w:spacing w:before="236" w:line="244" w:lineRule="exact"/>
        <w:ind w:left="420"/>
        <w:jc w:val="left"/>
        <w:rPr>
          <w:rFonts w:hint="eastAsia" w:ascii="宋体" w:hAnsi="宋体"/>
          <w:color w:val="auto"/>
          <w:szCs w:val="21"/>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color w:val="auto"/>
          <w:highlight w:val="none"/>
          <w:u w:val="none"/>
        </w:rPr>
        <w:t>3</w:t>
      </w:r>
      <w:r>
        <w:rPr>
          <w:color w:val="auto"/>
          <w:highlight w:val="none"/>
          <w:u w:val="none"/>
        </w:rPr>
        <w:t xml:space="preserve"> </w:t>
      </w:r>
      <w:r>
        <w:rPr>
          <w:rFonts w:hint="eastAsia"/>
          <w:color w:val="auto"/>
          <w:highlight w:val="none"/>
          <w:u w:val="none"/>
        </w:rPr>
        <w:t>项目类别</w:t>
      </w:r>
      <w:r>
        <w:rPr>
          <w:color w:val="auto"/>
          <w:highlight w:val="none"/>
          <w:u w:val="none"/>
        </w:rPr>
        <w:t>：详见供应商须知前附表</w:t>
      </w:r>
    </w:p>
    <w:p w14:paraId="5013FA90">
      <w:pPr>
        <w:spacing w:line="360" w:lineRule="auto"/>
        <w:ind w:firstLine="480" w:firstLineChars="200"/>
        <w:rPr>
          <w:rFonts w:hint="eastAsia" w:ascii="黑体" w:hAnsi="黑体" w:eastAsia="黑体"/>
          <w:color w:val="auto"/>
          <w:sz w:val="24"/>
          <w:szCs w:val="24"/>
          <w:highlight w:val="none"/>
        </w:rPr>
      </w:pPr>
      <w:bookmarkStart w:id="36" w:name="_8.1提供相同品牌产品且通过资格审查、符合性审查的不同投标人参加同一合"/>
      <w:bookmarkEnd w:id="36"/>
      <w:bookmarkStart w:id="37" w:name="_5.投标费用"/>
      <w:bookmarkEnd w:id="37"/>
      <w:r>
        <w:rPr>
          <w:rFonts w:hint="eastAsia" w:ascii="黑体" w:hAnsi="黑体" w:eastAsia="黑体"/>
          <w:color w:val="auto"/>
          <w:sz w:val="24"/>
          <w:szCs w:val="24"/>
          <w:highlight w:val="none"/>
        </w:rPr>
        <w:t>2.定义</w:t>
      </w:r>
    </w:p>
    <w:p w14:paraId="55A5620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2.1 </w:t>
      </w:r>
      <w:r>
        <w:rPr>
          <w:rFonts w:ascii="宋体" w:hAnsi="宋体" w:cs="宋体"/>
          <w:b/>
          <w:color w:val="auto"/>
          <w:szCs w:val="21"/>
          <w:highlight w:val="none"/>
        </w:rPr>
        <w:t>“征集人”系指第一阶段主管预算单位及其委托的采购代理机构、集中采购机构的统称。</w:t>
      </w:r>
    </w:p>
    <w:p w14:paraId="0190E26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3A655E4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2.3“供应商”是指向征集人、采购单位提供货物、工程或者服务的法人、其他组织或者自然人。</w:t>
      </w:r>
    </w:p>
    <w:p w14:paraId="3A1AEE6A">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2.4“采购单位”是指依法在框架协议范围内选定成交供应商并委托其开展相关服务工作的国家机关、事业单位、团体组织、企业等</w:t>
      </w:r>
      <w:r>
        <w:rPr>
          <w:rFonts w:hint="eastAsia" w:ascii="宋体" w:hAnsi="宋体" w:cs="宋体"/>
          <w:color w:val="auto"/>
          <w:szCs w:val="21"/>
          <w:highlight w:val="none"/>
        </w:rPr>
        <w:t>。</w:t>
      </w:r>
    </w:p>
    <w:p w14:paraId="797B6F2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4DFC609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3E47FEF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2.7“实质性要求”是指征集文件中已经指明不满足则响应无效的条款，或者不能负偏离的条款，或者采购需求中带“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26F52D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2.8“正偏离”，是指响应文件对征集文件“采购需求”中有关条款作出的响应优于条款要求并有利于征集人的情形。</w:t>
      </w:r>
    </w:p>
    <w:p w14:paraId="2BECC3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2.9“负偏离”，是指响应文件对征集文件“采购需求”中有关条款作出的响应不满足条款要求，导致采购单位要求不能得到满足的情形。</w:t>
      </w:r>
    </w:p>
    <w:p w14:paraId="69D672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17A18723">
      <w:pPr>
        <w:spacing w:line="360" w:lineRule="auto"/>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3</w:t>
      </w:r>
      <w:r>
        <w:rPr>
          <w:rFonts w:ascii="黑体" w:hAnsi="黑体" w:eastAsia="黑体"/>
          <w:color w:val="auto"/>
          <w:sz w:val="24"/>
          <w:szCs w:val="24"/>
          <w:highlight w:val="none"/>
        </w:rPr>
        <w:t>.供应商</w:t>
      </w:r>
      <w:r>
        <w:rPr>
          <w:rFonts w:hint="eastAsia" w:ascii="黑体" w:hAnsi="黑体" w:eastAsia="黑体"/>
          <w:color w:val="auto"/>
          <w:sz w:val="24"/>
          <w:szCs w:val="24"/>
          <w:highlight w:val="none"/>
        </w:rPr>
        <w:t>的</w:t>
      </w:r>
      <w:r>
        <w:rPr>
          <w:rFonts w:ascii="黑体" w:hAnsi="黑体" w:eastAsia="黑体"/>
          <w:color w:val="auto"/>
          <w:sz w:val="24"/>
          <w:szCs w:val="24"/>
          <w:highlight w:val="none"/>
        </w:rPr>
        <w:t>资格要求</w:t>
      </w:r>
      <w:r>
        <w:rPr>
          <w:rFonts w:hint="eastAsia" w:ascii="黑体" w:hAnsi="黑体" w:eastAsia="黑体"/>
          <w:color w:val="auto"/>
          <w:sz w:val="24"/>
          <w:szCs w:val="24"/>
          <w:highlight w:val="none"/>
        </w:rPr>
        <w:t>：</w:t>
      </w:r>
      <w:r>
        <w:rPr>
          <w:color w:val="auto"/>
          <w:highlight w:val="none"/>
          <w:u w:val="none"/>
        </w:rPr>
        <w:t>详见</w:t>
      </w:r>
      <w:r>
        <w:rPr>
          <w:rFonts w:hint="eastAsia"/>
          <w:color w:val="auto"/>
          <w:highlight w:val="none"/>
          <w:u w:val="none"/>
        </w:rPr>
        <w:t>征集文件第一章《征集公告》</w:t>
      </w:r>
    </w:p>
    <w:p w14:paraId="4C6A1CF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4.响应委托</w:t>
      </w:r>
    </w:p>
    <w:p w14:paraId="3AADBB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供应商代表参加响应活动过程中必须携带个人有效身份证件。如供应商代表不是法定代表人，须持有法定代表人授权委托书（正本用原件，副本用复印件，按第六章要求格式填写）。</w:t>
      </w:r>
    </w:p>
    <w:p w14:paraId="4BFC6466">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5.响应费用</w:t>
      </w:r>
    </w:p>
    <w:p w14:paraId="3DA9C6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响应费用：供应商应承担参与本次采购活动有关的所有费用，包括但不限于勘查现场、编制响应文件、参加澄清说明、签订合同等，不论响应结果如何，均应自行承担。</w:t>
      </w:r>
    </w:p>
    <w:p w14:paraId="7805B884">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6.联合体响应</w:t>
      </w:r>
    </w:p>
    <w:p w14:paraId="32E60680">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6.1本项目是否接受联合体响应，详见“供应商须知前附表”。</w:t>
      </w:r>
    </w:p>
    <w:p w14:paraId="4AD251B6">
      <w:pPr>
        <w:spacing w:line="360" w:lineRule="auto"/>
        <w:ind w:firstLine="480" w:firstLineChars="200"/>
        <w:rPr>
          <w:rFonts w:hint="eastAsia" w:ascii="宋体" w:hAnsi="宋体" w:cs="宋体"/>
          <w:color w:val="auto"/>
          <w:szCs w:val="21"/>
          <w:highlight w:val="none"/>
        </w:rPr>
      </w:pPr>
      <w:r>
        <w:rPr>
          <w:rFonts w:hint="eastAsia" w:ascii="黑体" w:hAnsi="黑体" w:eastAsia="黑体"/>
          <w:color w:val="auto"/>
          <w:sz w:val="24"/>
          <w:szCs w:val="24"/>
          <w:highlight w:val="none"/>
        </w:rPr>
        <w:t xml:space="preserve">7.转包与分包  </w:t>
      </w:r>
      <w:r>
        <w:rPr>
          <w:rFonts w:hint="eastAsia" w:ascii="宋体" w:hAnsi="宋体" w:cs="宋体"/>
          <w:color w:val="auto"/>
          <w:szCs w:val="21"/>
          <w:highlight w:val="none"/>
        </w:rPr>
        <w:t xml:space="preserve">           </w:t>
      </w:r>
    </w:p>
    <w:p w14:paraId="4788CF3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7.1本项目是否允许分包详见“供应商须知前附表”。</w:t>
      </w:r>
    </w:p>
    <w:p w14:paraId="2EBAB02E">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8.特别说明：</w:t>
      </w:r>
    </w:p>
    <w:p w14:paraId="5C30544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8.1如果本征集文件要求供应商提供资格、信誉、荣誉、业绩与企业认证等材料的，则供应商所提供的以上材料必须为供应商所拥有。</w:t>
      </w:r>
    </w:p>
    <w:p w14:paraId="4D8AA7A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8.2供应商应仔细阅读征集文件的所有内容，按照征集文件的要求提交响应文件，并对所提供的全部资料的真实性承担法律责任。</w:t>
      </w:r>
    </w:p>
    <w:p w14:paraId="3356794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8.3供应商在响应活动中提供任何虚假材料，将报监管部门查处。</w:t>
      </w:r>
    </w:p>
    <w:p w14:paraId="07251A98">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9.回避与串通响应</w:t>
      </w:r>
    </w:p>
    <w:p w14:paraId="0D8CB76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9.1在政府采购活动中，征集人员及相关人员与供应商有下列利害关系之一的，应当回避：</w:t>
      </w:r>
    </w:p>
    <w:p w14:paraId="3CCD1C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17200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CA47C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E641C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9329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74007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单位员及相关人员与其他供应商有利害关系的，可以向采购单位或者采购代理机构书面提出回避申请，并说明理由。采购单位或者采购代理机构应当及时询问被申请回避人员，有利害关系的被申请回避人员应当回避。</w:t>
      </w:r>
    </w:p>
    <w:p w14:paraId="390AC6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9.2有下列情形之一的视为供应商相互串通响应，响应文件将被视为无效：</w:t>
      </w:r>
    </w:p>
    <w:p w14:paraId="616A53F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（1）不同供应商的响应文件由同一单位或者个人编制；或者不同供应商报名的IP地址一致的；</w:t>
      </w:r>
    </w:p>
    <w:p w14:paraId="3530026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（2）不同供应商委托同一单位或者个人办理响应事宜；</w:t>
      </w:r>
    </w:p>
    <w:p w14:paraId="1B23B07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（3）不同的供应商的响应文件载明的项目管理员为同一个人；</w:t>
      </w:r>
    </w:p>
    <w:p w14:paraId="6242D89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（4）不同供应商的电子或纸质响应文件异常一致或者响应报价呈规律性差异；</w:t>
      </w:r>
    </w:p>
    <w:p w14:paraId="456ED4E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（5）不同供应商的纸质响应文件相互混装；</w:t>
      </w:r>
    </w:p>
    <w:p w14:paraId="085B50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3634A2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（1）供应商直接或者间接从征集人或者采购代理机构处获得其他供应商的相关信息并修改其响应文件或者响应文件；</w:t>
      </w:r>
    </w:p>
    <w:p w14:paraId="114D75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（2）供应商按照采购单位或者采购代理机构的授意撤换、修改响应文件或者响应文件；</w:t>
      </w:r>
    </w:p>
    <w:p w14:paraId="22E1E9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7CC18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149BC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（5）供应商之间事先约定一致抬高或者压低响应报价，或者在征集项目中事先约定轮流以高价位或者低价位入围，或者事先约定由某一特定供应商入围，然后再参加响应；</w:t>
      </w:r>
    </w:p>
    <w:p w14:paraId="2B8469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（6）供应商之间商定部分供应商放弃参加政府采购活动或者放弃入围；</w:t>
      </w:r>
    </w:p>
    <w:p w14:paraId="397A5E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（7）供应商与征集人或者采购代理机构之间、供应商相互之间，为谋求特定供应商入围或者排斥其他供应商的其他串通行为。</w:t>
      </w:r>
    </w:p>
    <w:p w14:paraId="20A0E87F">
      <w:pPr>
        <w:snapToGrid w:val="0"/>
        <w:spacing w:line="360" w:lineRule="auto"/>
        <w:ind w:left="2" w:leftChars="1" w:firstLine="422" w:firstLineChars="200"/>
        <w:rPr>
          <w:rFonts w:ascii="宋体" w:hAnsi="宋体"/>
          <w:b/>
          <w:color w:val="auto"/>
          <w:szCs w:val="20"/>
          <w:highlight w:val="none"/>
        </w:rPr>
      </w:pPr>
    </w:p>
    <w:p w14:paraId="6EB0FE71">
      <w:pPr>
        <w:spacing w:line="400" w:lineRule="exact"/>
        <w:ind w:firstLine="643" w:firstLineChars="200"/>
        <w:jc w:val="center"/>
        <w:outlineLvl w:val="2"/>
        <w:rPr>
          <w:rFonts w:hint="eastAsia" w:ascii="Times New Roman" w:hAnsi="Times New Roman"/>
          <w:b/>
          <w:bCs/>
          <w:color w:val="auto"/>
          <w:sz w:val="32"/>
          <w:szCs w:val="32"/>
          <w:highlight w:val="none"/>
        </w:rPr>
      </w:pPr>
      <w:bookmarkStart w:id="38" w:name="_Toc944"/>
      <w:bookmarkStart w:id="39" w:name="_Toc254970534"/>
      <w:bookmarkStart w:id="40" w:name="_Toc254970675"/>
      <w:r>
        <w:rPr>
          <w:rFonts w:hint="eastAsia" w:ascii="Times New Roman" w:hAnsi="Times New Roman"/>
          <w:b/>
          <w:bCs/>
          <w:color w:val="auto"/>
          <w:sz w:val="32"/>
          <w:szCs w:val="32"/>
          <w:highlight w:val="none"/>
        </w:rPr>
        <w:t>二、第一阶段（入围阶段）</w:t>
      </w:r>
      <w:bookmarkEnd w:id="38"/>
    </w:p>
    <w:p w14:paraId="3B341C7E">
      <w:pPr>
        <w:spacing w:line="400" w:lineRule="exact"/>
        <w:ind w:firstLine="643" w:firstLineChars="200"/>
        <w:jc w:val="center"/>
        <w:outlineLvl w:val="2"/>
        <w:rPr>
          <w:rFonts w:hint="eastAsia" w:ascii="Times New Roman" w:hAnsi="Times New Roman"/>
          <w:b/>
          <w:bCs/>
          <w:color w:val="auto"/>
          <w:sz w:val="32"/>
          <w:szCs w:val="32"/>
          <w:highlight w:val="none"/>
        </w:rPr>
      </w:pPr>
      <w:bookmarkStart w:id="41" w:name="_Toc30907"/>
      <w:r>
        <w:rPr>
          <w:rFonts w:hint="eastAsia" w:ascii="Times New Roman" w:hAnsi="Times New Roman"/>
          <w:b/>
          <w:bCs/>
          <w:color w:val="auto"/>
          <w:sz w:val="32"/>
          <w:szCs w:val="32"/>
          <w:highlight w:val="none"/>
        </w:rPr>
        <w:t>（一）</w:t>
      </w:r>
      <w:bookmarkEnd w:id="39"/>
      <w:bookmarkEnd w:id="40"/>
      <w:r>
        <w:rPr>
          <w:rFonts w:hint="eastAsia" w:ascii="Times New Roman" w:hAnsi="Times New Roman"/>
          <w:b/>
          <w:bCs/>
          <w:color w:val="auto"/>
          <w:sz w:val="32"/>
          <w:szCs w:val="32"/>
          <w:highlight w:val="none"/>
        </w:rPr>
        <w:t>征集文件</w:t>
      </w:r>
      <w:bookmarkEnd w:id="41"/>
    </w:p>
    <w:p w14:paraId="19C88691">
      <w:pPr>
        <w:spacing w:line="360" w:lineRule="auto"/>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10.征集文件的组成</w:t>
      </w:r>
    </w:p>
    <w:p w14:paraId="6FE731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征集公告；</w:t>
      </w:r>
    </w:p>
    <w:p w14:paraId="5A9CE7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46CB1B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供应商须知；</w:t>
      </w:r>
    </w:p>
    <w:p w14:paraId="7E1C4B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第四章 </w:t>
      </w:r>
      <w:r>
        <w:rPr>
          <w:rFonts w:hint="eastAsia" w:ascii="宋体" w:hAnsi="宋体" w:cs="宋体"/>
          <w:color w:val="auto"/>
          <w:szCs w:val="21"/>
          <w:highlight w:val="none"/>
        </w:rPr>
        <w:t>评审方法和评审标准</w:t>
      </w:r>
      <w:r>
        <w:rPr>
          <w:rFonts w:hint="eastAsia" w:ascii="宋体" w:hAnsi="宋体"/>
          <w:color w:val="auto"/>
          <w:szCs w:val="21"/>
          <w:highlight w:val="none"/>
        </w:rPr>
        <w:t>；</w:t>
      </w:r>
    </w:p>
    <w:p w14:paraId="5446BE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拟签订的框架协议文本和采购合同文本；</w:t>
      </w:r>
    </w:p>
    <w:p w14:paraId="0193DF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响应文件格式；</w:t>
      </w:r>
    </w:p>
    <w:p w14:paraId="365EA7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76CA54EB">
      <w:pPr>
        <w:spacing w:line="360" w:lineRule="auto"/>
        <w:ind w:firstLine="420" w:firstLineChars="200"/>
        <w:rPr>
          <w:rFonts w:hint="eastAsia" w:ascii="宋体" w:hAnsi="宋体" w:cs="宋体"/>
          <w:color w:val="auto"/>
          <w:szCs w:val="21"/>
          <w:highlight w:val="none"/>
        </w:rPr>
      </w:pPr>
      <w:bookmarkStart w:id="42" w:name="_Hlk53134511"/>
      <w:r>
        <w:rPr>
          <w:rFonts w:hint="eastAsia" w:ascii="宋体" w:hAnsi="宋体" w:cs="宋体"/>
          <w:color w:val="auto"/>
          <w:szCs w:val="21"/>
          <w:highlight w:val="none"/>
        </w:rPr>
        <w:t>根据本章第</w:t>
      </w:r>
      <w:r>
        <w:rPr>
          <w:rFonts w:hint="eastAsia"/>
          <w:color w:val="auto"/>
          <w:highlight w:val="none"/>
        </w:rPr>
        <w:t>11.1</w:t>
      </w:r>
      <w:r>
        <w:rPr>
          <w:rFonts w:hint="eastAsia" w:ascii="宋体" w:hAnsi="宋体" w:cs="宋体"/>
          <w:color w:val="auto"/>
          <w:szCs w:val="21"/>
          <w:highlight w:val="none"/>
        </w:rPr>
        <w:t>项的规定对公开征集文件所做的澄清、修改，构成征集文件的组成部分。当公开征集文件与征集文件的澄清和修改就同一内容的表述不一致时，以最后澄清或修改公告为准。</w:t>
      </w:r>
    </w:p>
    <w:p w14:paraId="67406DF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11.征集文件的澄清、修改 、现场考察和答疑会</w:t>
      </w:r>
    </w:p>
    <w:p w14:paraId="56BF2F2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11.1征集人或者采购代理机构可以对已发出的征集文件进行必要的澄清或者修改。澄清或者修改应当在原公告发布媒体上发布澄清公告。澄清或者修改的内容为征集文件的组成部分。</w:t>
      </w:r>
      <w:r>
        <w:rPr>
          <w:rFonts w:hint="eastAsia" w:ascii="宋体" w:hAnsi="宋体" w:cs="宋体"/>
          <w:color w:val="auto"/>
          <w:szCs w:val="21"/>
          <w:highlight w:val="none"/>
        </w:rPr>
        <w:t>澄清或者修改的内容可能影响响应文件编制的，征集人或者采购代理机构应当在响应截止时间至少15日前，在“供应商须知前附表”规定的政府采购信息发布媒体上发布更正公告所有的潜在供应商；不足15日的，征集人或者采购代理机构应当顺延提交响应文件的截止时间。发出的澄清或者修改不影响响应文件编制的也应在截标前3日发出。</w:t>
      </w:r>
    </w:p>
    <w:p w14:paraId="055765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供应商应认真审阅本公开征集文件，如有疑问，或发现其中有误或有要求不合理的，应在供应商须知前附表规定的</w:t>
      </w:r>
      <w:r>
        <w:rPr>
          <w:rFonts w:hint="eastAsia" w:ascii="宋体" w:hAnsi="宋体" w:cs="宋体"/>
          <w:color w:val="auto"/>
          <w:kern w:val="0"/>
          <w:szCs w:val="21"/>
          <w:highlight w:val="none"/>
        </w:rPr>
        <w:t>响应截止时间</w:t>
      </w:r>
      <w:r>
        <w:rPr>
          <w:rFonts w:hint="eastAsia" w:ascii="宋体" w:hAnsi="宋体" w:cs="宋体"/>
          <w:color w:val="auto"/>
          <w:szCs w:val="21"/>
          <w:highlight w:val="none"/>
        </w:rPr>
        <w:t>前以书面形式要求征集人或采购代理机构对征集文件予以澄清；否则，由此产生的后果由供应商自行负责。</w:t>
      </w:r>
    </w:p>
    <w:p w14:paraId="794CD1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11.3征集人和采购代理机构可以视采购具体情况，变更响应截止时间和开标时间，将变更时间将在“供应商须知前附表”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szCs w:val="21"/>
          <w:highlight w:val="none"/>
        </w:rPr>
        <w:t>发布更正公告。</w:t>
      </w:r>
    </w:p>
    <w:p w14:paraId="167044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11.4征集人或者采购代理机构可以在征集文件提供期限截止后，组织已获取征集文件的潜在供应商现场考察或者召开开标前答疑会，具体详见“供应商须知前附表”。</w:t>
      </w:r>
    </w:p>
    <w:p w14:paraId="43309009">
      <w:pPr>
        <w:spacing w:line="360" w:lineRule="auto"/>
        <w:ind w:firstLine="420" w:firstLineChars="200"/>
        <w:rPr>
          <w:rFonts w:hint="eastAsia" w:ascii="宋体" w:hAnsi="宋体" w:cs="宋体"/>
          <w:color w:val="auto"/>
          <w:szCs w:val="21"/>
          <w:highlight w:val="none"/>
        </w:rPr>
      </w:pPr>
    </w:p>
    <w:p w14:paraId="00328CC5">
      <w:pPr>
        <w:pStyle w:val="4"/>
        <w:keepNext w:val="0"/>
        <w:keepLines w:val="0"/>
        <w:spacing w:line="400" w:lineRule="exact"/>
        <w:jc w:val="center"/>
        <w:rPr>
          <w:rFonts w:hint="eastAsia" w:ascii="宋体" w:hAnsi="宋体" w:cs="宋体"/>
          <w:color w:val="auto"/>
          <w:highlight w:val="none"/>
        </w:rPr>
      </w:pPr>
      <w:bookmarkStart w:id="43" w:name="_Toc20269"/>
      <w:bookmarkStart w:id="44" w:name="_Toc31462"/>
      <w:bookmarkStart w:id="45" w:name="_Toc80092997"/>
      <w:bookmarkStart w:id="46" w:name="_Toc27742"/>
      <w:r>
        <w:rPr>
          <w:rFonts w:hint="eastAsia" w:ascii="宋体" w:hAnsi="宋体" w:cs="宋体"/>
          <w:color w:val="auto"/>
          <w:highlight w:val="none"/>
        </w:rPr>
        <w:t>（二）响应文件的编制</w:t>
      </w:r>
      <w:bookmarkEnd w:id="43"/>
      <w:bookmarkEnd w:id="44"/>
      <w:bookmarkEnd w:id="45"/>
      <w:bookmarkEnd w:id="46"/>
    </w:p>
    <w:p w14:paraId="65B65AAB">
      <w:pPr>
        <w:spacing w:line="360" w:lineRule="auto"/>
        <w:ind w:firstLine="420" w:firstLineChars="200"/>
        <w:rPr>
          <w:rFonts w:ascii="Times New Roman" w:hAnsi="宋体"/>
          <w:color w:val="auto"/>
          <w:szCs w:val="24"/>
          <w:highlight w:val="none"/>
        </w:rPr>
      </w:pPr>
    </w:p>
    <w:bookmarkEnd w:id="42"/>
    <w:p w14:paraId="0961F618">
      <w:pPr>
        <w:spacing w:line="360" w:lineRule="auto"/>
        <w:ind w:firstLine="480" w:firstLineChars="200"/>
        <w:rPr>
          <w:rFonts w:hint="eastAsia" w:ascii="黑体" w:hAnsi="黑体" w:eastAsia="黑体"/>
          <w:color w:val="auto"/>
          <w:sz w:val="24"/>
          <w:szCs w:val="24"/>
          <w:highlight w:val="none"/>
        </w:rPr>
      </w:pPr>
      <w:bookmarkStart w:id="47" w:name="_Toc254970536"/>
      <w:bookmarkStart w:id="48" w:name="_Toc254970677"/>
      <w:r>
        <w:rPr>
          <w:rFonts w:hint="eastAsia" w:ascii="黑体" w:hAnsi="黑体" w:eastAsia="黑体"/>
          <w:color w:val="auto"/>
          <w:sz w:val="24"/>
          <w:szCs w:val="24"/>
          <w:highlight w:val="none"/>
        </w:rPr>
        <w:t>12.响应文件的编制原则</w:t>
      </w:r>
    </w:p>
    <w:p w14:paraId="1CF00D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12.1供应商必须按照征集文件的要求编制响应文件。响应文件必须对征集文件提出的要求和条件作出明确响应。</w:t>
      </w:r>
    </w:p>
    <w:p w14:paraId="11F769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12.2供应商应根据自身实际情况如实响应征集文件，</w:t>
      </w:r>
      <w:r>
        <w:rPr>
          <w:rFonts w:ascii="宋体" w:hAnsi="宋体" w:cs="宋体"/>
          <w:color w:val="auto"/>
          <w:szCs w:val="21"/>
          <w:highlight w:val="none"/>
        </w:rPr>
        <w:t>供应商须保证所提供的全部资料的真实性、完整性及有效性，以使其</w:t>
      </w:r>
      <w:r>
        <w:rPr>
          <w:rFonts w:hint="eastAsia" w:ascii="宋体" w:hAnsi="宋体" w:cs="宋体"/>
          <w:color w:val="auto"/>
          <w:szCs w:val="21"/>
          <w:highlight w:val="none"/>
        </w:rPr>
        <w:t>响应</w:t>
      </w:r>
      <w:r>
        <w:rPr>
          <w:rFonts w:ascii="宋体" w:hAnsi="宋体" w:cs="宋体"/>
          <w:color w:val="auto"/>
          <w:szCs w:val="21"/>
          <w:highlight w:val="none"/>
        </w:rPr>
        <w:t>对“征集文件”作出实质性响应</w:t>
      </w:r>
      <w:r>
        <w:rPr>
          <w:rFonts w:hint="eastAsia" w:ascii="宋体" w:hAnsi="宋体" w:cs="宋体"/>
          <w:color w:val="auto"/>
          <w:szCs w:val="21"/>
          <w:highlight w:val="none"/>
        </w:rPr>
        <w:t>。</w:t>
      </w:r>
    </w:p>
    <w:p w14:paraId="5D765364">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13.响应文件的组成</w:t>
      </w:r>
    </w:p>
    <w:p w14:paraId="75B06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13.1响应文件由报价文件、资格证明文件、商务文件、技术文件四部分组成。</w:t>
      </w:r>
    </w:p>
    <w:p w14:paraId="2CB490D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（1）资格证明文件：具体材料见“供应商须知前附表”。</w:t>
      </w:r>
    </w:p>
    <w:p w14:paraId="1B4D93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（2）商务文件：具体材料见“供应商须知前附表”。</w:t>
      </w:r>
    </w:p>
    <w:p w14:paraId="4B7F9AA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（3）技术文件：具体材料见“供应商须知前附表”。 </w:t>
      </w:r>
    </w:p>
    <w:p w14:paraId="0E5C26E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（4）报价文件： 具体材料见“供应商须知前附表”。</w:t>
      </w:r>
    </w:p>
    <w:p w14:paraId="3B7D0E9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13.2响应文件电子版：具体要求见本节19.响应文件编制。</w:t>
      </w:r>
    </w:p>
    <w:p w14:paraId="4B09FD03">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14.响应文件的语言及计量</w:t>
      </w:r>
    </w:p>
    <w:p w14:paraId="4B7FD27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47AEC3C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B22E75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14.2响应计量单位</w:t>
      </w:r>
    </w:p>
    <w:p w14:paraId="0C9FE55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征集文件已有明确规定的，使用征集文件规定的计量单位；征集文件没有规定的，应采用中华人民共和国法定计量单位，货币种类为人民币，否则视同未响应。</w:t>
      </w:r>
    </w:p>
    <w:p w14:paraId="5CD40772">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15.响应的风险</w:t>
      </w:r>
    </w:p>
    <w:p w14:paraId="50AFE118">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响应文件分为资格文件、商务文件、技术文件、报价文件四部分。</w:t>
      </w:r>
      <w:r>
        <w:rPr>
          <w:rFonts w:hint="eastAsia" w:ascii="宋体" w:hAnsi="宋体" w:cs="宋体"/>
          <w:color w:val="auto"/>
          <w:szCs w:val="21"/>
          <w:highlight w:val="none"/>
        </w:rPr>
        <w:t>各供应商在编制响应文件时请按照征集文件规定的格式进行，混乱的编排导致响应文件被误读或评审委员会查找不到有效文件是供应商的风险。▲</w:t>
      </w:r>
      <w:r>
        <w:rPr>
          <w:rFonts w:hint="eastAsia" w:ascii="宋体" w:hAnsi="宋体" w:cs="宋体"/>
          <w:b/>
          <w:bCs/>
          <w:color w:val="auto"/>
          <w:szCs w:val="21"/>
          <w:highlight w:val="none"/>
        </w:rPr>
        <w:t>响应文件未按规定的格式编制的、没有按照征集文件要求提供全部资料、没有对征集文件作出实质性响应，响应无效；</w:t>
      </w:r>
    </w:p>
    <w:p w14:paraId="0E5B2C11">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16.响应报价</w:t>
      </w:r>
    </w:p>
    <w:p w14:paraId="26E1310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w:t>
      </w:r>
      <w:r>
        <w:rPr>
          <w:rFonts w:hint="eastAsia"/>
          <w:color w:val="auto"/>
          <w:highlight w:val="none"/>
          <w:u w:val="none"/>
        </w:rPr>
        <w:t>响应报价要求，具体</w:t>
      </w:r>
      <w:r>
        <w:rPr>
          <w:color w:val="auto"/>
          <w:highlight w:val="none"/>
          <w:u w:val="none"/>
        </w:rPr>
        <w:t>详见供应商须知前附表</w:t>
      </w:r>
      <w:r>
        <w:rPr>
          <w:rFonts w:hint="eastAsia" w:ascii="宋体" w:hAnsi="宋体" w:cs="宋体"/>
          <w:bCs/>
          <w:color w:val="auto"/>
          <w:szCs w:val="21"/>
          <w:highlight w:val="none"/>
          <w:u w:val="none"/>
        </w:rPr>
        <w:t>。</w:t>
      </w:r>
    </w:p>
    <w:p w14:paraId="38975DD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16.2响应报价具体包括内容详见“供应商须知前附表”。</w:t>
      </w:r>
    </w:p>
    <w:p w14:paraId="1AD2D1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16.3供应商必须就所投每个分标的全部内容分别作完整唯一总价报价，不得存在漏项报价；供应商必须就所投分标的单项内容作唯一报价</w:t>
      </w:r>
      <w:r>
        <w:rPr>
          <w:rFonts w:hint="eastAsia" w:ascii="宋体" w:hAnsi="宋体" w:cs="宋体"/>
          <w:b/>
          <w:color w:val="auto"/>
          <w:szCs w:val="21"/>
          <w:highlight w:val="none"/>
        </w:rPr>
        <w:t>，附带有条件的报价将不予接受</w:t>
      </w:r>
      <w:r>
        <w:rPr>
          <w:rFonts w:hint="eastAsia" w:ascii="宋体" w:hAnsi="宋体" w:cs="宋体"/>
          <w:bCs/>
          <w:color w:val="auto"/>
          <w:szCs w:val="21"/>
          <w:highlight w:val="none"/>
        </w:rPr>
        <w:t>。</w:t>
      </w:r>
    </w:p>
    <w:p w14:paraId="16FDA78C">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17.响应有效期</w:t>
      </w:r>
    </w:p>
    <w:p w14:paraId="3443198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17.1响应有效期是指为保证征集人有足够的时间在开标后完成评审、定标、合同签订等工作而要求供应商提交的响应文件在一定时间内保持有效的期限。</w:t>
      </w:r>
    </w:p>
    <w:p w14:paraId="3F2C59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 响应有效期应按规定的期限作出承诺，具体详见“供应商须知前附表”。</w:t>
      </w:r>
    </w:p>
    <w:p w14:paraId="240AE60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17.3供应商的响应文件在响应有效期内均保持有效。</w:t>
      </w:r>
    </w:p>
    <w:p w14:paraId="1FAFF984">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18.响应保证金</w:t>
      </w:r>
    </w:p>
    <w:p w14:paraId="59CA63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本项目不收取响应保证金。</w:t>
      </w:r>
    </w:p>
    <w:p w14:paraId="3F6AFAAD">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19.响应文件的编制</w:t>
      </w:r>
    </w:p>
    <w:p w14:paraId="49DD17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特别注意</w:t>
      </w:r>
      <w:r>
        <w:rPr>
          <w:rFonts w:hint="eastAsia" w:ascii="宋体" w:hAnsi="宋体" w:cs="宋体"/>
          <w:b/>
          <w:bCs/>
          <w:color w:val="auto"/>
          <w:szCs w:val="21"/>
          <w:highlight w:val="none"/>
        </w:rPr>
        <w:t>响应报价</w:t>
      </w:r>
      <w:r>
        <w:rPr>
          <w:rFonts w:hint="eastAsia" w:ascii="宋体" w:hAnsi="宋体" w:cs="宋体"/>
          <w:bCs/>
          <w:color w:val="auto"/>
          <w:szCs w:val="21"/>
          <w:highlight w:val="none"/>
        </w:rPr>
        <w:t>不得出现在</w:t>
      </w:r>
      <w:r>
        <w:rPr>
          <w:rFonts w:hint="eastAsia" w:ascii="宋体" w:hAnsi="宋体" w:cs="宋体"/>
          <w:b/>
          <w:bCs/>
          <w:color w:val="auto"/>
          <w:szCs w:val="21"/>
          <w:highlight w:val="none"/>
        </w:rPr>
        <w:t>资格文件、技术文件、商务文件中</w:t>
      </w:r>
      <w:r>
        <w:rPr>
          <w:rFonts w:hint="eastAsia" w:ascii="宋体" w:hAnsi="宋体" w:cs="宋体"/>
          <w:bCs/>
          <w:color w:val="auto"/>
          <w:szCs w:val="21"/>
          <w:highlight w:val="none"/>
        </w:rPr>
        <w:t xml:space="preserve">。 </w:t>
      </w:r>
    </w:p>
    <w:p w14:paraId="7F10BA5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19.2响应文件按照征集文件第六章格式要求在规定位置进行签署、盖章。供应商的响应文件未按照征集文件要求签署、盖章的，</w:t>
      </w:r>
      <w:r>
        <w:rPr>
          <w:rFonts w:hint="eastAsia" w:ascii="宋体" w:hAnsi="宋体" w:cs="宋体"/>
          <w:b/>
          <w:bCs/>
          <w:color w:val="auto"/>
          <w:szCs w:val="21"/>
          <w:highlight w:val="none"/>
        </w:rPr>
        <w:t>其响应无效</w:t>
      </w:r>
      <w:r>
        <w:rPr>
          <w:rFonts w:hint="eastAsia" w:ascii="宋体" w:hAnsi="宋体" w:cs="宋体"/>
          <w:bCs/>
          <w:color w:val="auto"/>
          <w:szCs w:val="21"/>
          <w:highlight w:val="none"/>
        </w:rPr>
        <w:t>。骑缝盖公章不视为在规定位置盖章。</w:t>
      </w:r>
    </w:p>
    <w:p w14:paraId="306BE42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19.3为确保网上操作合法、有效和安全，供应商应当在响应截止时间前完成在“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”的身份认证，确保在电子响应过程中能够对相关数据电文进行加密和使用电子签名。</w:t>
      </w:r>
    </w:p>
    <w:p w14:paraId="1E517A4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19.4响应文件入围注的供应商名称应与主体资格证明（如营业执照、事业单位法人证书、执业许可证、自然人身份证等）及公章一致，</w:t>
      </w:r>
      <w:r>
        <w:rPr>
          <w:rFonts w:hint="eastAsia" w:ascii="宋体" w:hAnsi="宋体" w:cs="宋体"/>
          <w:color w:val="auto"/>
          <w:szCs w:val="21"/>
          <w:highlight w:val="none"/>
        </w:rPr>
        <w:t>否则作无效响应处理</w:t>
      </w:r>
      <w:r>
        <w:rPr>
          <w:rFonts w:hint="eastAsia" w:ascii="宋体" w:hAnsi="宋体" w:cs="宋体"/>
          <w:b/>
          <w:color w:val="auto"/>
          <w:szCs w:val="21"/>
          <w:highlight w:val="none"/>
        </w:rPr>
        <w:t>。</w:t>
      </w:r>
    </w:p>
    <w:p w14:paraId="7FA5F6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19.5响应文件应避免涂改、行间插字或者删除，</w:t>
      </w:r>
      <w:r>
        <w:rPr>
          <w:rFonts w:hint="eastAsia" w:ascii="宋体" w:hAnsi="宋体" w:cs="宋体"/>
          <w:b/>
          <w:color w:val="auto"/>
          <w:szCs w:val="21"/>
          <w:highlight w:val="none"/>
        </w:rPr>
        <w:t>否则其响应无效。</w:t>
      </w:r>
    </w:p>
    <w:p w14:paraId="0E20D8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19.6 对征集文件的实质性要求和条件作出响应是指供应商必须对征集文件</w:t>
      </w:r>
      <w:r>
        <w:rPr>
          <w:rFonts w:hint="eastAsia" w:ascii="Times New Roman" w:hAnsi="宋体"/>
          <w:color w:val="auto"/>
          <w:szCs w:val="24"/>
          <w:highlight w:val="none"/>
        </w:rPr>
        <w:t>中标注为</w:t>
      </w:r>
      <w:r>
        <w:rPr>
          <w:rFonts w:hint="eastAsia" w:ascii="宋体" w:hAnsi="宋体" w:cs="宋体"/>
          <w:color w:val="auto"/>
          <w:szCs w:val="21"/>
          <w:highlight w:val="none"/>
        </w:rPr>
        <w:t>实质性要求和条件的服务内容及要求、商务条款及其它内容</w:t>
      </w:r>
      <w:r>
        <w:rPr>
          <w:rFonts w:hint="eastAsia" w:ascii="宋体" w:hAnsi="宋体" w:cs="宋体"/>
          <w:b/>
          <w:color w:val="auto"/>
          <w:szCs w:val="21"/>
          <w:highlight w:val="none"/>
        </w:rPr>
        <w:t>作出满足或者优于原要求和条件的承诺</w:t>
      </w:r>
      <w:r>
        <w:rPr>
          <w:rFonts w:hint="eastAsia" w:ascii="宋体" w:hAnsi="宋体" w:cs="宋体"/>
          <w:color w:val="auto"/>
          <w:szCs w:val="21"/>
          <w:highlight w:val="none"/>
        </w:rPr>
        <w:t>。</w:t>
      </w:r>
    </w:p>
    <w:p w14:paraId="2F82B791">
      <w:pPr>
        <w:spacing w:line="360" w:lineRule="auto"/>
        <w:ind w:firstLine="422" w:firstLineChars="200"/>
        <w:rPr>
          <w:rFonts w:hint="eastAsia" w:ascii="宋体" w:hAnsi="宋体" w:cs="宋体"/>
          <w:b/>
          <w:color w:val="auto"/>
          <w:szCs w:val="21"/>
          <w:highlight w:val="none"/>
          <w:u w:val="none"/>
        </w:rPr>
      </w:pPr>
      <w:r>
        <w:rPr>
          <w:rFonts w:hint="eastAsia" w:ascii="宋体" w:hAnsi="宋体" w:cs="宋体"/>
          <w:b/>
          <w:color w:val="auto"/>
          <w:szCs w:val="21"/>
          <w:highlight w:val="none"/>
          <w:u w:val="none"/>
        </w:rPr>
        <w:t>19.7本项目为</w:t>
      </w:r>
      <w:r>
        <w:rPr>
          <w:rFonts w:hint="eastAsia" w:ascii="宋体" w:hAnsi="宋体" w:cs="宋体"/>
          <w:b/>
          <w:color w:val="auto"/>
          <w:szCs w:val="21"/>
          <w:highlight w:val="none"/>
          <w:u w:val="none"/>
          <w:lang w:val="en-US" w:eastAsia="zh-CN"/>
        </w:rPr>
        <w:t>防城港</w:t>
      </w:r>
      <w:r>
        <w:rPr>
          <w:rFonts w:hint="eastAsia" w:ascii="宋体" w:hAnsi="宋体" w:cs="宋体"/>
          <w:b/>
          <w:color w:val="auto"/>
          <w:szCs w:val="21"/>
          <w:highlight w:val="none"/>
          <w:u w:val="none"/>
        </w:rPr>
        <w:t>市全流程电子化项目，异常情况见“第二节 供应商须知正文”中“（三）开标：</w:t>
      </w:r>
      <w:r>
        <w:rPr>
          <w:rFonts w:hint="eastAsia"/>
          <w:color w:val="auto"/>
          <w:highlight w:val="none"/>
          <w:u w:val="none"/>
        </w:rPr>
        <w:t>24.2</w:t>
      </w:r>
      <w:r>
        <w:rPr>
          <w:rFonts w:hint="eastAsia" w:ascii="宋体" w:hAnsi="宋体" w:cs="宋体"/>
          <w:b/>
          <w:color w:val="auto"/>
          <w:szCs w:val="21"/>
          <w:highlight w:val="none"/>
          <w:u w:val="none"/>
        </w:rPr>
        <w:t>开标程序。</w:t>
      </w:r>
    </w:p>
    <w:p w14:paraId="5201AE1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none"/>
        </w:rPr>
        <w:t xml:space="preserve">19.8  </w:t>
      </w:r>
      <w:r>
        <w:rPr>
          <w:rFonts w:hint="eastAsia"/>
          <w:b/>
          <w:color w:val="auto"/>
          <w:highlight w:val="none"/>
          <w:u w:val="none"/>
        </w:rPr>
        <w:t>符合性</w:t>
      </w:r>
      <w:r>
        <w:rPr>
          <w:rFonts w:hint="eastAsia"/>
          <w:b/>
          <w:color w:val="auto"/>
          <w:highlight w:val="none"/>
        </w:rPr>
        <w:t>审查不通过而导致响应无效的情形，具体详见《第四章评标方法及评分标准》的“第二节 评审程序”的第3点内容“符合性审查不通过而导致响应无效的情形”。</w:t>
      </w:r>
    </w:p>
    <w:p w14:paraId="7D594617">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20.备份响应文件</w:t>
      </w:r>
    </w:p>
    <w:p w14:paraId="439DF1F7">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详见在“供应商须知前附表”。</w:t>
      </w:r>
    </w:p>
    <w:p w14:paraId="62B496F0">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21.响应文件的提交</w:t>
      </w:r>
    </w:p>
    <w:p w14:paraId="6A0D7B3F">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14:paraId="58E357E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21.2未在规定时间内提交或者未按照征集文件要求密封或者标记的电子响应文件，“</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将拒收。</w:t>
      </w:r>
    </w:p>
    <w:p w14:paraId="5413D2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21.3电子版响应文件提交方式见“征集公告”中“</w:t>
      </w:r>
      <w:r>
        <w:rPr>
          <w:rFonts w:hint="eastAsia"/>
          <w:b/>
          <w:color w:val="auto"/>
          <w:highlight w:val="none"/>
        </w:rPr>
        <w:t>四、提交响应文件截止时间、开标时间和地点</w:t>
      </w:r>
      <w:r>
        <w:rPr>
          <w:rFonts w:hint="eastAsia" w:ascii="宋体" w:hAnsi="宋体" w:cs="宋体"/>
          <w:color w:val="auto"/>
          <w:szCs w:val="21"/>
          <w:highlight w:val="none"/>
        </w:rPr>
        <w:t>”</w:t>
      </w:r>
      <w:r>
        <w:rPr>
          <w:rFonts w:hint="eastAsia" w:ascii="宋体" w:hAnsi="宋体" w:cs="宋体"/>
          <w:b/>
          <w:color w:val="auto"/>
          <w:szCs w:val="21"/>
          <w:highlight w:val="none"/>
        </w:rPr>
        <w:t xml:space="preserve"> 。</w:t>
      </w:r>
    </w:p>
    <w:p w14:paraId="42437C27">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22. 响应文件的补充、修改、撤回与退回</w:t>
      </w:r>
    </w:p>
    <w:p w14:paraId="7A5C52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将拒收。（补充、修改或者撤回方式见公告附件“电子响应文件制作与投送教程”）</w:t>
      </w:r>
    </w:p>
    <w:p w14:paraId="60CE365F">
      <w:pPr>
        <w:pStyle w:val="33"/>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收到响应文件，将妥善保存并即时向供应商发出确认回执通知。在响应截止时间前，除供应商补充、修改或者撤回响应文件外，任何单位和个人不得解密或提取响应文件。</w:t>
      </w:r>
    </w:p>
    <w:p w14:paraId="052786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22.3在响应截止时间止提交电子版响应文件的供应商不足3家时，电子版响应文件由代理机构在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操作退回，除此之外征集人和采购代理机构对已提交的响应文件概不退回。</w:t>
      </w:r>
    </w:p>
    <w:bookmarkEnd w:id="47"/>
    <w:bookmarkEnd w:id="48"/>
    <w:p w14:paraId="43C181BF">
      <w:pPr>
        <w:spacing w:line="400" w:lineRule="exact"/>
        <w:ind w:firstLine="643" w:firstLineChars="200"/>
        <w:jc w:val="center"/>
        <w:outlineLvl w:val="2"/>
        <w:rPr>
          <w:rFonts w:hint="eastAsia" w:ascii="Times New Roman" w:hAnsi="Times New Roman"/>
          <w:b/>
          <w:bCs/>
          <w:color w:val="auto"/>
          <w:sz w:val="32"/>
          <w:szCs w:val="32"/>
          <w:highlight w:val="none"/>
        </w:rPr>
      </w:pPr>
      <w:bookmarkStart w:id="49" w:name="_13.3商务文件:_具体材料见“投标人须知前附表”。"/>
      <w:bookmarkEnd w:id="49"/>
      <w:bookmarkStart w:id="50" w:name="_18.投标保证金"/>
      <w:bookmarkEnd w:id="50"/>
      <w:bookmarkStart w:id="51" w:name="_17.1投标有效期应按“投标人须知中的前附表”规定的期限。"/>
      <w:bookmarkEnd w:id="51"/>
      <w:bookmarkStart w:id="52" w:name="_19.2投标文件应按报价文件、资格证明文件、商务文件、技术文件分别编制"/>
      <w:bookmarkEnd w:id="52"/>
      <w:bookmarkStart w:id="53" w:name="_13.4技术文件：具体材料见“投标人须知前附表”。"/>
      <w:bookmarkEnd w:id="53"/>
      <w:bookmarkStart w:id="54" w:name="_13.1报价文件:_具体材料见“投标人须知前附表”。"/>
      <w:bookmarkEnd w:id="54"/>
      <w:bookmarkStart w:id="55" w:name="_13.5投标文件电子版：具体材料见“投标人须知前附表”。"/>
      <w:bookmarkEnd w:id="55"/>
      <w:bookmarkStart w:id="56" w:name="_21.1投标人必须在“投标人须知中的前附表”规定的投标文件接收时间和投"/>
      <w:bookmarkEnd w:id="56"/>
      <w:bookmarkStart w:id="57" w:name="_13.2资格证明文件：具体材料见“投标人须知前附表”。"/>
      <w:bookmarkEnd w:id="57"/>
      <w:bookmarkStart w:id="58" w:name="_16.2投标报价具体定义见投标人须知前附表。"/>
      <w:bookmarkEnd w:id="58"/>
      <w:bookmarkStart w:id="59" w:name="_Toc254970544"/>
      <w:bookmarkStart w:id="60" w:name="_Toc13547"/>
      <w:bookmarkStart w:id="61" w:name="_Toc254970685"/>
      <w:r>
        <w:rPr>
          <w:rFonts w:hint="eastAsia" w:ascii="Times New Roman" w:hAnsi="Times New Roman"/>
          <w:b/>
          <w:bCs/>
          <w:color w:val="auto"/>
          <w:sz w:val="32"/>
          <w:szCs w:val="32"/>
          <w:highlight w:val="none"/>
        </w:rPr>
        <w:t>（三）开</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标</w:t>
      </w:r>
      <w:bookmarkEnd w:id="59"/>
      <w:bookmarkEnd w:id="60"/>
      <w:bookmarkEnd w:id="61"/>
    </w:p>
    <w:p w14:paraId="2B98582E">
      <w:pPr>
        <w:spacing w:line="360" w:lineRule="auto"/>
        <w:ind w:firstLine="480" w:firstLineChars="200"/>
        <w:rPr>
          <w:rFonts w:hint="eastAsia" w:ascii="黑体" w:hAnsi="黑体" w:eastAsia="黑体"/>
          <w:color w:val="auto"/>
          <w:sz w:val="24"/>
          <w:szCs w:val="24"/>
          <w:highlight w:val="none"/>
        </w:rPr>
      </w:pPr>
      <w:bookmarkStart w:id="62" w:name="_23.开标时间和地点"/>
      <w:bookmarkEnd w:id="62"/>
      <w:r>
        <w:rPr>
          <w:rFonts w:hint="eastAsia" w:ascii="黑体" w:hAnsi="黑体" w:eastAsia="黑体"/>
          <w:color w:val="auto"/>
          <w:sz w:val="24"/>
          <w:szCs w:val="24"/>
          <w:highlight w:val="none"/>
        </w:rPr>
        <w:t>23.开标时间和地点</w:t>
      </w:r>
    </w:p>
    <w:p w14:paraId="0B49B1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23.1开标时间及地点详见“供应商须知前附表”</w:t>
      </w:r>
    </w:p>
    <w:p w14:paraId="22AC74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23.2如</w:t>
      </w:r>
      <w:r>
        <w:rPr>
          <w:rFonts w:hint="eastAsia" w:ascii="宋体" w:hAnsi="宋体" w:cs="宋体"/>
          <w:bCs/>
          <w:color w:val="auto"/>
          <w:szCs w:val="21"/>
          <w:highlight w:val="none"/>
        </w:rPr>
        <w:t>供应商成功解密响应文件，但未在“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”电子开标大厅参加开标的，视同认可开标过程和结果，</w:t>
      </w:r>
      <w:r>
        <w:rPr>
          <w:rFonts w:hint="eastAsia" w:ascii="宋体" w:hAnsi="宋体" w:cs="宋体"/>
          <w:color w:val="auto"/>
          <w:szCs w:val="21"/>
          <w:highlight w:val="none"/>
        </w:rPr>
        <w:t>由此产生的后果由供应商自行负责。 供应商不足3家的，不得开标。</w:t>
      </w:r>
    </w:p>
    <w:p w14:paraId="6AC9B183">
      <w:pPr>
        <w:pStyle w:val="1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24.开标程序</w:t>
      </w:r>
    </w:p>
    <w:p w14:paraId="6F913B98">
      <w:pPr>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22B39CFF">
      <w:pP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选取评审专家，如采购代理机构未按规定选取专家的，视为本次开评审无效，应当重新采购；</w:t>
      </w:r>
    </w:p>
    <w:p w14:paraId="0AF010F6">
      <w:pP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（2）采购代理机构将按照征集文件规定的时间通过“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725B0857">
      <w:pPr>
        <w:autoSpaceDE w:val="0"/>
        <w:autoSpaceDN w:val="0"/>
        <w:adjustRightInd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24.2开标程序：</w:t>
      </w:r>
    </w:p>
    <w:p w14:paraId="2166B129">
      <w:pPr>
        <w:pStyle w:val="15"/>
        <w:snapToGrid w:val="0"/>
        <w:spacing w:line="440" w:lineRule="exact"/>
        <w:ind w:firstLine="402" w:firstLineChars="200"/>
        <w:rPr>
          <w:rFonts w:hint="eastAsia" w:hAnsi="宋体" w:cs="宋体"/>
          <w:color w:val="auto"/>
          <w:szCs w:val="21"/>
          <w:highlight w:val="none"/>
        </w:rPr>
      </w:pPr>
      <w:r>
        <w:rPr>
          <w:rFonts w:hint="eastAsia" w:hAnsi="宋体" w:cs="宋体"/>
          <w:b/>
          <w:color w:val="auto"/>
          <w:szCs w:val="21"/>
          <w:highlight w:val="none"/>
        </w:rPr>
        <w:t>（1）解密电子响应文件。“</w:t>
      </w:r>
      <w:r>
        <w:rPr>
          <w:rFonts w:hint="eastAsia" w:hAnsi="宋体" w:cs="宋体"/>
          <w:color w:val="auto"/>
          <w:szCs w:val="21"/>
          <w:highlight w:val="none"/>
          <w:lang w:eastAsia="zh-CN"/>
        </w:rPr>
        <w:t>广西政府采购云平台”</w:t>
      </w:r>
      <w:r>
        <w:rPr>
          <w:rFonts w:hint="eastAsia" w:hAnsi="宋体" w:cs="宋体"/>
          <w:color w:val="auto"/>
          <w:szCs w:val="21"/>
          <w:highlight w:val="none"/>
        </w:rPr>
        <w:t>按开标时间自动提取所有响应文件。采购代理机构依托“</w:t>
      </w:r>
      <w:r>
        <w:rPr>
          <w:rFonts w:hint="eastAsia" w:hAnsi="宋体" w:cs="宋体"/>
          <w:color w:val="auto"/>
          <w:szCs w:val="21"/>
          <w:highlight w:val="none"/>
          <w:lang w:eastAsia="zh-CN"/>
        </w:rPr>
        <w:t>广西政府采购云平台”</w:t>
      </w:r>
      <w:r>
        <w:rPr>
          <w:rFonts w:hint="eastAsia" w:hAnsi="宋体" w:cs="宋体"/>
          <w:color w:val="auto"/>
          <w:szCs w:val="21"/>
          <w:highlight w:val="none"/>
        </w:rPr>
        <w:t>向各供应商发出电子加密响应文件【开始解密】通知，由供应商按征集文件规定的时间内自行进行响应文件解密。供应商的法定代表人或其委托代理人</w:t>
      </w:r>
      <w:r>
        <w:rPr>
          <w:rFonts w:hint="eastAsia" w:hAnsi="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广西政府采购云平台”</w:t>
      </w:r>
      <w:r>
        <w:rPr>
          <w:rFonts w:hint="eastAsia" w:hAnsi="宋体" w:cs="宋体"/>
          <w:b/>
          <w:color w:val="auto"/>
          <w:szCs w:val="21"/>
          <w:highlight w:val="none"/>
        </w:rPr>
        <w:t>电子开标大厅签到并对电子响应文件解密</w:t>
      </w:r>
      <w:r>
        <w:rPr>
          <w:rFonts w:hint="eastAsia" w:hAnsi="宋体" w:cs="宋体"/>
          <w:color w:val="auto"/>
          <w:szCs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color w:val="auto"/>
          <w:szCs w:val="21"/>
          <w:highlight w:val="none"/>
        </w:rPr>
        <w:t>均视为无效响应。</w:t>
      </w:r>
    </w:p>
    <w:p w14:paraId="17E33E4A">
      <w:pPr>
        <w:pStyle w:val="15"/>
        <w:snapToGrid w:val="0"/>
        <w:spacing w:line="440" w:lineRule="exact"/>
        <w:ind w:firstLine="400" w:firstLineChars="200"/>
        <w:rPr>
          <w:rFonts w:hint="eastAsia"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w:t>
      </w:r>
      <w:r>
        <w:rPr>
          <w:rFonts w:hint="eastAsia" w:hAnsi="宋体" w:cs="宋体"/>
          <w:b/>
          <w:bCs/>
          <w:color w:val="auto"/>
          <w:szCs w:val="21"/>
          <w:highlight w:val="none"/>
        </w:rPr>
        <w:t>详见本章</w:t>
      </w:r>
      <w:r>
        <w:rPr>
          <w:rFonts w:hint="eastAsia" w:hAnsi="宋体" w:cs="宋体"/>
          <w:b/>
          <w:color w:val="auto"/>
          <w:szCs w:val="21"/>
          <w:highlight w:val="none"/>
        </w:rPr>
        <w:t>29.3 电子交易活动的中止</w:t>
      </w:r>
      <w:r>
        <w:rPr>
          <w:rFonts w:hint="eastAsia" w:hAnsi="宋体" w:cs="宋体"/>
          <w:color w:val="auto"/>
          <w:szCs w:val="21"/>
          <w:highlight w:val="none"/>
        </w:rPr>
        <w:t>。）</w:t>
      </w:r>
    </w:p>
    <w:p w14:paraId="16CF3E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响应文件解密结束，各响应供应商报价均在“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远程不见面开标大厅展示；</w:t>
      </w:r>
    </w:p>
    <w:p w14:paraId="1A3BF2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通过邮件形式在远程不见面开标大厅发送各供应商签署电子《政府采购活动现场确认声明书》。</w:t>
      </w:r>
    </w:p>
    <w:p w14:paraId="2F3F484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1EF47F3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14:paraId="7DF670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（6）开标结束。</w:t>
      </w:r>
    </w:p>
    <w:p w14:paraId="713D5797">
      <w:pPr>
        <w:pStyle w:val="15"/>
        <w:snapToGrid w:val="0"/>
        <w:spacing w:line="440" w:lineRule="exact"/>
        <w:ind w:firstLine="402" w:firstLineChars="200"/>
        <w:rPr>
          <w:rFonts w:hint="eastAsia"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w:t>
      </w:r>
      <w:r>
        <w:rPr>
          <w:rFonts w:hint="eastAsia" w:hAnsi="宋体" w:cs="宋体"/>
          <w:color w:val="auto"/>
          <w:szCs w:val="21"/>
          <w:highlight w:val="none"/>
          <w:lang w:eastAsia="zh-CN"/>
        </w:rPr>
        <w:t>广西政府采购云平台”</w:t>
      </w:r>
      <w:r>
        <w:rPr>
          <w:rFonts w:hint="eastAsia" w:hAnsi="宋体" w:cs="宋体"/>
          <w:color w:val="auto"/>
          <w:szCs w:val="21"/>
          <w:highlight w:val="none"/>
        </w:rPr>
        <w:t>电子化开标或评审程序调整的，按调整后执行。</w:t>
      </w:r>
    </w:p>
    <w:p w14:paraId="0447DF42">
      <w:pPr>
        <w:pStyle w:val="15"/>
        <w:snapToGrid w:val="0"/>
        <w:spacing w:line="400" w:lineRule="exact"/>
        <w:ind w:left="679" w:leftChars="228" w:hanging="200" w:hangingChars="100"/>
        <w:rPr>
          <w:rFonts w:hint="eastAsia" w:hAnsi="宋体" w:cs="宋体"/>
          <w:color w:val="auto"/>
          <w:highlight w:val="none"/>
        </w:rPr>
      </w:pPr>
    </w:p>
    <w:p w14:paraId="581FDE94">
      <w:pPr>
        <w:snapToGrid w:val="0"/>
        <w:spacing w:line="400" w:lineRule="exact"/>
        <w:ind w:left="689" w:leftChars="228" w:hanging="210" w:hangingChars="100"/>
        <w:rPr>
          <w:rFonts w:hint="eastAsia" w:ascii="宋体" w:hAnsi="宋体"/>
          <w:color w:val="auto"/>
          <w:szCs w:val="20"/>
          <w:highlight w:val="none"/>
        </w:rPr>
      </w:pPr>
    </w:p>
    <w:p w14:paraId="0AC48965">
      <w:pPr>
        <w:spacing w:line="400" w:lineRule="exact"/>
        <w:ind w:firstLine="643" w:firstLineChars="200"/>
        <w:jc w:val="center"/>
        <w:outlineLvl w:val="2"/>
        <w:rPr>
          <w:rFonts w:hint="eastAsia" w:ascii="Times New Roman" w:hAnsi="Times New Roman"/>
          <w:b/>
          <w:bCs/>
          <w:color w:val="auto"/>
          <w:sz w:val="32"/>
          <w:szCs w:val="32"/>
          <w:highlight w:val="none"/>
        </w:rPr>
      </w:pPr>
      <w:bookmarkStart w:id="63" w:name="_Toc22525"/>
      <w:r>
        <w:rPr>
          <w:rFonts w:hint="eastAsia" w:ascii="Times New Roman" w:hAnsi="Times New Roman"/>
          <w:b/>
          <w:bCs/>
          <w:color w:val="auto"/>
          <w:sz w:val="32"/>
          <w:szCs w:val="32"/>
          <w:highlight w:val="none"/>
        </w:rPr>
        <w:t>（四）资格审查</w:t>
      </w:r>
      <w:bookmarkEnd w:id="63"/>
    </w:p>
    <w:p w14:paraId="3981D0D6">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25.资格审查</w:t>
      </w:r>
    </w:p>
    <w:p w14:paraId="5167A61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25.1</w:t>
      </w:r>
      <w:r>
        <w:rPr>
          <w:rFonts w:hint="eastAsia" w:ascii="宋体" w:hAnsi="宋体"/>
          <w:b/>
          <w:bCs/>
          <w:color w:val="auto"/>
          <w:szCs w:val="21"/>
          <w:highlight w:val="none"/>
        </w:rPr>
        <w:t>开标结束后，</w:t>
      </w:r>
      <w:r>
        <w:rPr>
          <w:rFonts w:hint="eastAsia"/>
          <w:b/>
          <w:color w:val="auto"/>
          <w:highlight w:val="none"/>
        </w:rPr>
        <w:t>资格评审小组</w:t>
      </w:r>
      <w:r>
        <w:rPr>
          <w:rFonts w:hint="eastAsia" w:ascii="宋体" w:hAnsi="宋体"/>
          <w:b/>
          <w:bCs/>
          <w:color w:val="auto"/>
          <w:szCs w:val="20"/>
          <w:highlight w:val="none"/>
        </w:rPr>
        <w:t>依法通过电子投标文件对供应商的资格进行线上审查。</w:t>
      </w:r>
    </w:p>
    <w:p w14:paraId="3165CFA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25.2</w:t>
      </w:r>
      <w:r>
        <w:rPr>
          <w:rFonts w:hint="eastAsia"/>
          <w:b/>
          <w:color w:val="auto"/>
          <w:highlight w:val="none"/>
        </w:rPr>
        <w:t>资格评审小组</w:t>
      </w:r>
      <w:r>
        <w:rPr>
          <w:rFonts w:hint="eastAsia" w:ascii="宋体" w:hAnsi="宋体" w:cs="宋体"/>
          <w:b/>
          <w:bCs/>
          <w:color w:val="auto"/>
          <w:szCs w:val="21"/>
          <w:highlight w:val="none"/>
        </w:rPr>
        <w:t>依据法律法规和征集文件的规定，对供应商的基本资格条件、特定资格条件进行审查。</w:t>
      </w:r>
    </w:p>
    <w:p w14:paraId="7ECDB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25.3资格审查标准为本“征集文件”中“供应商须知前附表”13.1点载明对供应商资格要求的条件。本项目资格审查采用合格制，凡符合征集文件规定的供应商资格要求的供应商均通过资格审查。</w:t>
      </w:r>
    </w:p>
    <w:p w14:paraId="64F2254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25.4供应商有下列情形之一的，资格审查不通过，作无效响应处理：</w:t>
      </w:r>
    </w:p>
    <w:p w14:paraId="13E53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（1）不具备征集文件中规定的资格要求的；（注：其中信用查询规则见“供应商须知前附表”，“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已与“信用中国”平台做接口，审查专家可直接在线查询）</w:t>
      </w:r>
    </w:p>
    <w:p w14:paraId="5A206A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132A17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641F8A2">
      <w:pPr>
        <w:pStyle w:val="12"/>
        <w:bidi w:val="0"/>
        <w:rPr>
          <w:rFonts w:hint="eastAsia"/>
          <w:color w:val="auto"/>
          <w:highlight w:val="none"/>
        </w:rPr>
      </w:pPr>
      <w:r>
        <w:rPr>
          <w:rFonts w:hint="eastAsia"/>
          <w:color w:val="auto"/>
          <w:highlight w:val="none"/>
        </w:rPr>
        <w:t>25.5资格审查的合格供应商不足3家的，不得评审。</w:t>
      </w:r>
    </w:p>
    <w:p w14:paraId="6AE7CBEE">
      <w:pPr>
        <w:spacing w:line="360" w:lineRule="auto"/>
        <w:ind w:firstLine="643" w:firstLineChars="200"/>
        <w:jc w:val="center"/>
        <w:outlineLvl w:val="2"/>
        <w:rPr>
          <w:rFonts w:hint="eastAsia" w:ascii="Times New Roman" w:hAnsi="Times New Roman"/>
          <w:b/>
          <w:bCs/>
          <w:color w:val="auto"/>
          <w:sz w:val="32"/>
          <w:szCs w:val="32"/>
          <w:highlight w:val="none"/>
        </w:rPr>
      </w:pPr>
      <w:bookmarkStart w:id="64" w:name="_25.3_投标人有下列情形之一的，资格审查不通过而导致其投标无效："/>
      <w:bookmarkEnd w:id="64"/>
      <w:bookmarkStart w:id="65" w:name="_Toc851"/>
      <w:r>
        <w:rPr>
          <w:rFonts w:hint="eastAsia" w:ascii="Times New Roman" w:hAnsi="Times New Roman"/>
          <w:b/>
          <w:bCs/>
          <w:color w:val="auto"/>
          <w:sz w:val="32"/>
          <w:szCs w:val="32"/>
          <w:highlight w:val="none"/>
        </w:rPr>
        <w:t>（五）评</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标</w:t>
      </w:r>
      <w:bookmarkEnd w:id="65"/>
    </w:p>
    <w:p w14:paraId="2AED3BB3">
      <w:pPr>
        <w:spacing w:line="360" w:lineRule="auto"/>
        <w:ind w:firstLine="420" w:firstLineChars="200"/>
        <w:rPr>
          <w:rFonts w:hint="eastAsia" w:ascii="黑体" w:hAnsi="黑体" w:eastAsia="黑体"/>
          <w:color w:val="auto"/>
          <w:szCs w:val="21"/>
          <w:highlight w:val="none"/>
        </w:rPr>
      </w:pPr>
      <w:bookmarkStart w:id="66" w:name="_26.组建评标委员会"/>
      <w:bookmarkEnd w:id="66"/>
    </w:p>
    <w:p w14:paraId="167A21EA">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26.组建评审委员会</w:t>
      </w:r>
    </w:p>
    <w:p w14:paraId="00C54A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评审委员会由征集人代表和评审专家组成，人数为</w:t>
      </w:r>
      <w:r>
        <w:rPr>
          <w:rFonts w:hint="eastAsia"/>
          <w:b/>
          <w:color w:val="auto"/>
          <w:highlight w:val="none"/>
        </w:rPr>
        <w:t>5人以上单数</w:t>
      </w:r>
      <w:r>
        <w:rPr>
          <w:rFonts w:hint="eastAsia" w:ascii="宋体" w:hAnsi="宋体" w:cs="宋体"/>
          <w:color w:val="auto"/>
          <w:szCs w:val="21"/>
          <w:highlight w:val="none"/>
        </w:rPr>
        <w:t>，其中评审专家不得少于成员总数的三分之二。</w:t>
      </w:r>
    </w:p>
    <w:p w14:paraId="17F3F955">
      <w:pPr>
        <w:spacing w:line="360" w:lineRule="auto"/>
        <w:ind w:firstLine="420" w:firstLineChars="200"/>
        <w:rPr>
          <w:rFonts w:hint="eastAsia"/>
          <w:b/>
          <w:color w:val="auto"/>
          <w:highlight w:val="none"/>
        </w:rPr>
      </w:pPr>
      <w:r>
        <w:rPr>
          <w:rFonts w:hint="eastAsia" w:ascii="宋体" w:hAnsi="宋体" w:cs="宋体"/>
          <w:color w:val="auto"/>
          <w:szCs w:val="21"/>
          <w:highlight w:val="none"/>
        </w:rPr>
        <w:t>参加过采购项目前期咨询论证的专家，不得参加该采购项目的评审活动。</w:t>
      </w:r>
      <w:r>
        <w:rPr>
          <w:b/>
          <w:color w:val="auto"/>
          <w:highlight w:val="none"/>
        </w:rPr>
        <w:t>评审专家发现本人与参加采购活动的供应商有利害关系的，应当主动提出回避。</w:t>
      </w:r>
    </w:p>
    <w:p w14:paraId="1E76BD12">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27.评审的依据</w:t>
      </w:r>
    </w:p>
    <w:p w14:paraId="598843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评审委员会以征集文件为依据对响应文件进行评审，“</w:t>
      </w:r>
      <w:r>
        <w:rPr>
          <w:rFonts w:hint="eastAsia" w:ascii="宋体" w:hAnsi="宋体" w:cs="宋体"/>
          <w:b/>
          <w:color w:val="auto"/>
          <w:szCs w:val="21"/>
          <w:highlight w:val="none"/>
        </w:rPr>
        <w:t>第四章 评审方法和评审标准</w:t>
      </w:r>
      <w:r>
        <w:rPr>
          <w:rFonts w:hint="eastAsia" w:ascii="宋体" w:hAnsi="宋体" w:cs="宋体"/>
          <w:color w:val="auto"/>
          <w:szCs w:val="21"/>
          <w:highlight w:val="none"/>
        </w:rPr>
        <w:t>”没有规定的方法、评审因素和标准，不作为评审依据。</w:t>
      </w:r>
    </w:p>
    <w:p w14:paraId="0706C0FA">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28.评审原则</w:t>
      </w:r>
    </w:p>
    <w:p w14:paraId="441410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14:paraId="178428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评委表决。在评审过程中出现法律法规和征集文件均没有明确规定的情形时，由评审委员会现场协商解决，协商不一致的，由全体评委投票表决，以得票率二分之一以上专家的意见为准并由采购代理机构作记录。</w:t>
      </w:r>
    </w:p>
    <w:p w14:paraId="1F660C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14:paraId="3C0F42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28.4评审过程的监控。本项目电子评审过程实行网上留痕、全程录音、录像监控，供应商在评审过程中所进行的试图影响评审结果的不公正活动，可能导致其响应按无效处理。</w:t>
      </w:r>
    </w:p>
    <w:p w14:paraId="34C1D892">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29.评审方法及评审标准</w:t>
      </w:r>
    </w:p>
    <w:p w14:paraId="08D023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29.1本项目的评审方法详见“供应商须知前附表”。</w:t>
      </w:r>
    </w:p>
    <w:p w14:paraId="6DF08F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 评审委员会按照</w:t>
      </w:r>
      <w:r>
        <w:rPr>
          <w:rFonts w:hint="eastAsia" w:ascii="宋体" w:hAnsi="宋体" w:cs="宋体"/>
          <w:b/>
          <w:color w:val="auto"/>
          <w:szCs w:val="21"/>
          <w:highlight w:val="none"/>
        </w:rPr>
        <w:t>“第四章 评审方法和评审标准”</w:t>
      </w:r>
      <w:r>
        <w:rPr>
          <w:rFonts w:hint="eastAsia" w:ascii="宋体" w:hAnsi="宋体" w:cs="宋体"/>
          <w:color w:val="auto"/>
          <w:szCs w:val="21"/>
          <w:highlight w:val="none"/>
        </w:rPr>
        <w:t>规定的方法、评审因素、标准和程序对响应文件进行评审。</w:t>
      </w:r>
    </w:p>
    <w:p w14:paraId="792DF7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 电子交易活动的中止。采购过程中出现以下情形，导致电子交易平台无法正常运行，或者无法保证电子交易的公平、公正和安全时，采购机构可中止电子交易活动：</w:t>
      </w:r>
    </w:p>
    <w:p w14:paraId="61FCEC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293DCD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BE18E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50D9F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6E3AB6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14:paraId="1F1E8C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5141CE5">
      <w:pPr>
        <w:pStyle w:val="15"/>
        <w:snapToGrid w:val="0"/>
        <w:spacing w:line="400" w:lineRule="exact"/>
        <w:ind w:firstLine="400" w:firstLineChars="200"/>
        <w:rPr>
          <w:rFonts w:hint="eastAsia" w:hAnsi="宋体" w:cs="宋体"/>
          <w:color w:val="auto"/>
          <w:highlight w:val="none"/>
        </w:rPr>
      </w:pPr>
    </w:p>
    <w:p w14:paraId="5ED7FA16">
      <w:pPr>
        <w:pStyle w:val="4"/>
        <w:keepNext w:val="0"/>
        <w:keepLines w:val="0"/>
        <w:spacing w:line="400" w:lineRule="exact"/>
        <w:jc w:val="center"/>
        <w:rPr>
          <w:rFonts w:hint="eastAsia" w:ascii="宋体" w:hAnsi="宋体" w:cs="宋体"/>
          <w:color w:val="auto"/>
          <w:highlight w:val="none"/>
        </w:rPr>
      </w:pPr>
      <w:bookmarkStart w:id="67" w:name="_Toc80093001"/>
      <w:bookmarkStart w:id="68" w:name="_Toc1634"/>
      <w:bookmarkStart w:id="69" w:name="_Toc27613"/>
      <w:bookmarkStart w:id="70" w:name="_Toc5159"/>
      <w:r>
        <w:rPr>
          <w:rFonts w:hint="eastAsia" w:ascii="宋体" w:hAnsi="宋体" w:cs="宋体"/>
          <w:color w:val="auto"/>
          <w:highlight w:val="none"/>
        </w:rPr>
        <w:t>（六）</w:t>
      </w:r>
      <w:bookmarkEnd w:id="67"/>
      <w:r>
        <w:rPr>
          <w:rFonts w:hint="eastAsia" w:ascii="宋体" w:hAnsi="宋体" w:cs="宋体"/>
          <w:color w:val="auto"/>
          <w:highlight w:val="none"/>
        </w:rPr>
        <w:t>入围和框架协议</w:t>
      </w:r>
      <w:bookmarkEnd w:id="68"/>
      <w:bookmarkEnd w:id="69"/>
      <w:bookmarkEnd w:id="70"/>
    </w:p>
    <w:p w14:paraId="69B9B373">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30.确定供应商</w:t>
      </w:r>
    </w:p>
    <w:p w14:paraId="0FA99B1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30.1本项目授权评审委员会直接按第四章“评审方法及评审标准”的规定确定入围供应商。</w:t>
      </w:r>
    </w:p>
    <w:p w14:paraId="5D0121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14:paraId="24E9B8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30.3入围供应商无正当理由拒签合同的，根据《中华人民共和国政府采购法》第七十七条第一款规定处理。</w:t>
      </w:r>
    </w:p>
    <w:p w14:paraId="08026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30.4根据《中华人民共和国民法典》第五百六十三条，因不可抗力致使不能实现合同目的的，当事人可以解除合同。</w:t>
      </w:r>
    </w:p>
    <w:p w14:paraId="7C2AF12E">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31.结果公告</w:t>
      </w:r>
    </w:p>
    <w:p w14:paraId="1A5788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31.1在入围供应商确定之日起2个工作日内，由采购代理机构</w:t>
      </w:r>
      <w:r>
        <w:rPr>
          <w:rFonts w:hint="eastAsia" w:ascii="宋体" w:hAnsi="宋体" w:cs="宋体"/>
          <w:b/>
          <w:color w:val="auto"/>
          <w:szCs w:val="21"/>
          <w:highlight w:val="none"/>
        </w:rPr>
        <w:t>在征集公告发布媒体上</w:t>
      </w:r>
      <w:r>
        <w:rPr>
          <w:rFonts w:hint="eastAsia" w:ascii="宋体" w:hAnsi="宋体" w:cs="宋体"/>
          <w:color w:val="auto"/>
          <w:szCs w:val="21"/>
          <w:highlight w:val="none"/>
        </w:rPr>
        <w:t>发布入围结果公告，入围结果公告期限为1个工作日，发布入围结果公告的同时向入围供应商发出入围通知书</w:t>
      </w:r>
      <w:r>
        <w:rPr>
          <w:rFonts w:hint="eastAsia" w:ascii="宋体" w:hAnsi="宋体" w:cs="宋体"/>
          <w:b/>
          <w:color w:val="auto"/>
          <w:szCs w:val="21"/>
          <w:highlight w:val="none"/>
        </w:rPr>
        <w:t>和入围协议</w:t>
      </w:r>
      <w:r>
        <w:rPr>
          <w:rFonts w:hint="eastAsia" w:ascii="宋体" w:hAnsi="宋体" w:cs="宋体"/>
          <w:color w:val="auto"/>
          <w:szCs w:val="21"/>
          <w:highlight w:val="none"/>
        </w:rPr>
        <w:t>。</w:t>
      </w:r>
      <w:r>
        <w:rPr>
          <w:rFonts w:hint="eastAsia" w:ascii="宋体" w:hAnsi="宋体" w:cs="宋体"/>
          <w:b/>
          <w:color w:val="auto"/>
          <w:szCs w:val="21"/>
          <w:highlight w:val="none"/>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cs="宋体"/>
          <w:color w:val="auto"/>
          <w:szCs w:val="21"/>
          <w:highlight w:val="none"/>
        </w:rPr>
        <w:t>。</w:t>
      </w:r>
    </w:p>
    <w:p w14:paraId="1DCD90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以上信息查询记录及相关证据与征集文件一并保存。</w:t>
      </w:r>
    </w:p>
    <w:p w14:paraId="7E7A42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征集人或者采购代理机构在公告入围结果时，同时公告其《中小企业声明函》，接受社会监督。</w:t>
      </w:r>
    </w:p>
    <w:p w14:paraId="1C2D8AE4">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32.发出入围通知书</w:t>
      </w:r>
    </w:p>
    <w:p w14:paraId="4AA7046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32.1在发布入围公告的同时，采购代理机构向供应商通过</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发出电子入围通知书和入围协议。</w:t>
      </w:r>
    </w:p>
    <w:p w14:paraId="2A11C952">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33.无义务解释未入围原因</w:t>
      </w:r>
    </w:p>
    <w:p w14:paraId="0D04641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采购代理机构无义务向未入围的供应商解释未入围原因和退还响应文件。</w:t>
      </w:r>
    </w:p>
    <w:p w14:paraId="3B10E194">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34.框架协议授予标准</w:t>
      </w:r>
    </w:p>
    <w:p w14:paraId="160510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框架协议</w:t>
      </w:r>
      <w:r>
        <w:rPr>
          <w:rFonts w:hint="eastAsia" w:ascii="宋体" w:hAnsi="宋体" w:cs="宋体"/>
          <w:color w:val="auto"/>
          <w:szCs w:val="21"/>
          <w:highlight w:val="none"/>
        </w:rPr>
        <w:t>将授予被确定实质上响应征集文件要求，具备履行</w:t>
      </w:r>
      <w:r>
        <w:rPr>
          <w:rFonts w:hint="eastAsia" w:ascii="宋体" w:hAnsi="宋体" w:cs="宋体"/>
          <w:color w:val="auto"/>
          <w:kern w:val="0"/>
          <w:szCs w:val="21"/>
          <w:highlight w:val="none"/>
        </w:rPr>
        <w:t>框架协议</w:t>
      </w:r>
      <w:r>
        <w:rPr>
          <w:rFonts w:hint="eastAsia" w:ascii="宋体" w:hAnsi="宋体" w:cs="宋体"/>
          <w:color w:val="auto"/>
          <w:szCs w:val="21"/>
          <w:highlight w:val="none"/>
        </w:rPr>
        <w:t>能力的供应商（征集文件另有约定多名供应商的除外）。</w:t>
      </w:r>
    </w:p>
    <w:p w14:paraId="497468AB">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35.履约保证金</w:t>
      </w:r>
    </w:p>
    <w:p w14:paraId="5EE509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2E9E5D39">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36.签订框架协议</w:t>
      </w:r>
    </w:p>
    <w:p w14:paraId="16F2D1BE">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36.1供应商领取电子入围通知书后，</w:t>
      </w:r>
      <w:r>
        <w:rPr>
          <w:rFonts w:hint="eastAsia" w:ascii="宋体" w:hAnsi="宋体" w:cs="宋体"/>
          <w:color w:val="auto"/>
          <w:kern w:val="0"/>
          <w:szCs w:val="21"/>
          <w:highlight w:val="none"/>
          <w:lang w:val="zh-CN"/>
        </w:rPr>
        <w:t>按规定的日期、时间、地点，由法定代表人或其授权代表与征集人代表签订框架协议。</w:t>
      </w:r>
      <w:r>
        <w:rPr>
          <w:rFonts w:ascii="宋体" w:hAnsi="宋体"/>
          <w:color w:val="auto"/>
          <w:szCs w:val="21"/>
          <w:highlight w:val="none"/>
        </w:rPr>
        <w:t>框架协议</w:t>
      </w:r>
      <w:r>
        <w:rPr>
          <w:rFonts w:hint="eastAsia" w:ascii="宋体" w:hAnsi="宋体"/>
          <w:color w:val="auto"/>
          <w:szCs w:val="21"/>
          <w:highlight w:val="none"/>
        </w:rPr>
        <w:t>由</w:t>
      </w:r>
      <w:r>
        <w:rPr>
          <w:rFonts w:ascii="宋体" w:hAnsi="宋体"/>
          <w:color w:val="auto"/>
          <w:szCs w:val="21"/>
          <w:highlight w:val="none"/>
        </w:rPr>
        <w:t>征集</w:t>
      </w:r>
      <w:r>
        <w:rPr>
          <w:rFonts w:hint="eastAsia" w:ascii="宋体" w:hAnsi="宋体"/>
          <w:color w:val="auto"/>
          <w:szCs w:val="21"/>
          <w:highlight w:val="none"/>
        </w:rPr>
        <w:t>人与入</w:t>
      </w:r>
      <w:r>
        <w:rPr>
          <w:rFonts w:ascii="宋体" w:hAnsi="宋体"/>
          <w:color w:val="auto"/>
          <w:szCs w:val="21"/>
          <w:highlight w:val="none"/>
        </w:rPr>
        <w:t>围供应商</w:t>
      </w:r>
      <w:r>
        <w:rPr>
          <w:rFonts w:hint="eastAsia"/>
          <w:b/>
          <w:color w:val="auto"/>
          <w:highlight w:val="none"/>
        </w:rPr>
        <w:t>签订</w:t>
      </w:r>
      <w:r>
        <w:rPr>
          <w:rFonts w:hint="eastAsia" w:ascii="宋体" w:hAnsi="宋体"/>
          <w:color w:val="auto"/>
          <w:szCs w:val="21"/>
          <w:highlight w:val="none"/>
        </w:rPr>
        <w:t>，征集人在框架协议签订后7个工作日内，将框架协议副本报本级财政部门备案。</w:t>
      </w:r>
      <w:r>
        <w:rPr>
          <w:rFonts w:ascii="宋体" w:hAnsi="宋体"/>
          <w:color w:val="auto"/>
          <w:szCs w:val="21"/>
          <w:highlight w:val="none"/>
        </w:rPr>
        <w:t>框架协议不得对征集文件确定的事项以及入围供应商的响应文件作实质性修改。入围供应商如无正当理由不及时签订框架协议的，以及无正当理由放弃封闭式框架协议入围资格或者退出封闭式</w:t>
      </w:r>
      <w:r>
        <w:rPr>
          <w:rFonts w:ascii="宋体" w:hAnsi="宋体" w:cs="宋体"/>
          <w:color w:val="auto"/>
          <w:szCs w:val="21"/>
          <w:highlight w:val="none"/>
        </w:rPr>
        <w:t>框架协议的，依照政府采购法等有关法律、行政法规追究法律责任。</w:t>
      </w:r>
    </w:p>
    <w:p w14:paraId="70B5CC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w:t>
      </w:r>
      <w:r>
        <w:rPr>
          <w:rFonts w:ascii="宋体" w:hAnsi="宋体" w:cs="宋体"/>
          <w:color w:val="auto"/>
          <w:szCs w:val="21"/>
          <w:highlight w:val="none"/>
        </w:rPr>
        <w:t>.2 征集文件、入围供应商的响应文件及评审过程中有关澄清、承诺文件均应作为框架协议的附件。</w:t>
      </w:r>
    </w:p>
    <w:p w14:paraId="05EAE6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36.3征集人或入围供应商不得单方面向框架协议另一方提出任何征集文件没有约定的条件或不合理的要求，作为签订框架协议的条件；也不得协商另行订立背离征集文件和合同实质性内容的协议。</w:t>
      </w:r>
    </w:p>
    <w:p w14:paraId="726814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36.4如签订框架协议并生效后，供应商无故拒绝或延期，除按照框架协议条款处理外，将承担相应的法律责任。</w:t>
      </w:r>
    </w:p>
    <w:p w14:paraId="2CFD9FAA">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37. 框架协议公告</w:t>
      </w:r>
    </w:p>
    <w:p w14:paraId="0473039C">
      <w:pPr>
        <w:spacing w:line="360" w:lineRule="auto"/>
        <w:ind w:firstLine="422" w:firstLineChars="200"/>
        <w:rPr>
          <w:rFonts w:hint="eastAsia"/>
          <w:b/>
          <w:color w:val="auto"/>
          <w:highlight w:val="none"/>
        </w:rPr>
      </w:pPr>
      <w:r>
        <w:rPr>
          <w:rFonts w:hint="eastAsia"/>
          <w:b/>
          <w:color w:val="auto"/>
          <w:highlight w:val="none"/>
        </w:rPr>
        <w:t>征集人或者受托采购代理机构应当自框架协议签订之日起2个工作日内，将框架协议在以下媒体上发布 “广西政府采购网”（http://zfcg.gxzf.gov.cn）上公告，但框架协议中涉及国家秘密、商业秘密的内容除外。</w:t>
      </w:r>
    </w:p>
    <w:p w14:paraId="37CB4F66">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38. 询问、质疑和投诉</w:t>
      </w:r>
    </w:p>
    <w:p w14:paraId="078726C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4074D2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38.1.1供应商对政府采购活动事项有疑问的，可以向征集人或采购代理机构项目负责人提出询问。</w:t>
      </w:r>
    </w:p>
    <w:p w14:paraId="5ACBBD9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38.1.2征集人或征集人委托的采购代理机构自受理询问之日起3个工作日内对供应商依法提出的询问作出答复，</w:t>
      </w:r>
      <w:r>
        <w:rPr>
          <w:rFonts w:hint="eastAsia" w:ascii="宋体" w:hAnsi="宋体" w:cs="宋体"/>
          <w:color w:val="auto"/>
          <w:szCs w:val="21"/>
          <w:highlight w:val="none"/>
        </w:rPr>
        <w:t>但答复内容不得涉及商业秘密</w:t>
      </w:r>
      <w:r>
        <w:rPr>
          <w:rFonts w:hint="eastAsia" w:ascii="宋体" w:hAnsi="宋体" w:cs="宋体"/>
          <w:bCs/>
          <w:color w:val="auto"/>
          <w:szCs w:val="21"/>
          <w:highlight w:val="none"/>
        </w:rPr>
        <w:t>。</w:t>
      </w:r>
    </w:p>
    <w:p w14:paraId="576E82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询问事项可能影响入围、成交结果的，征集人应当暂停签订框架协议，已经签订框架协议的，应当中止履行框架协议。</w:t>
      </w:r>
    </w:p>
    <w:p w14:paraId="2623700E">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50C912A1">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14:paraId="501748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（1）潜在供应商依法获取公开征集文件后，认为征集文件使自己的权益受到损害的，应当在公开征集文件公告期限届满之日起7个工作日内提出质疑。</w:t>
      </w:r>
      <w:r>
        <w:rPr>
          <w:rFonts w:hint="eastAsia" w:ascii="宋体" w:hAnsi="宋体" w:cs="宋体"/>
          <w:color w:val="auto"/>
          <w:szCs w:val="21"/>
          <w:highlight w:val="none"/>
        </w:rPr>
        <w:t>委托代理协议无特殊约定的，</w:t>
      </w:r>
      <w:r>
        <w:rPr>
          <w:rFonts w:hint="eastAsia" w:ascii="宋体" w:hAnsi="宋体" w:cs="宋体"/>
          <w:bCs/>
          <w:color w:val="auto"/>
          <w:szCs w:val="21"/>
          <w:highlight w:val="none"/>
        </w:rPr>
        <w:t>对公开征集文件中采购需求（含资格要求、采购预算和评分办法）的质疑由征集人受理并负责答复；对公开征集文件中的采购执行程序的质疑由采购代理机构受理并负责答复。</w:t>
      </w:r>
    </w:p>
    <w:p w14:paraId="22D16AB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14:paraId="0C8888C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（3）供应商认为入围或者成交结果使自己的权益受到损害的，应当在入围或者成交结果公告期限届满之日起7个工作日内提出质疑，由征集人受理并负责答复。</w:t>
      </w:r>
    </w:p>
    <w:p w14:paraId="1995A602">
      <w:pPr>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52A86E87">
      <w:pPr>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38.2.3</w:t>
      </w:r>
      <w:r>
        <w:rPr>
          <w:rFonts w:hint="eastAsia" w:ascii="宋体" w:hAnsi="宋体" w:cs="宋体"/>
          <w:bCs/>
          <w:color w:val="auto"/>
          <w:szCs w:val="21"/>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szCs w:val="21"/>
          <w:highlight w:val="none"/>
        </w:rPr>
        <w:t>。</w:t>
      </w:r>
    </w:p>
    <w:p w14:paraId="497534E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38.2.4 质疑供应商提起质疑应当符合下列条件：</w:t>
      </w:r>
    </w:p>
    <w:p w14:paraId="6BC1BC9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（1）质疑供应商是参与所质疑项目采购活动的供应商（潜在供应商已依法获取征集文件的，可以对该征集文件质疑）；</w:t>
      </w:r>
    </w:p>
    <w:p w14:paraId="023F402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（2）质疑函内容符合本章第38.2.5项的规定；</w:t>
      </w:r>
    </w:p>
    <w:p w14:paraId="43D8F80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（3）在质疑有效期限内提起质疑；</w:t>
      </w:r>
    </w:p>
    <w:p w14:paraId="64D2700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（4）属于所质疑的征集人或征集人委托的采购代理机构组织的采购活动；</w:t>
      </w:r>
    </w:p>
    <w:p w14:paraId="7151A6F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（5）同一质疑事项未经征集人或征集人委托的采购代理机构质疑处理； </w:t>
      </w:r>
    </w:p>
    <w:p w14:paraId="040EBC5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（6）供应商对同一采购程序环节的质疑应当在质疑有效期内一次性提出；</w:t>
      </w:r>
    </w:p>
    <w:p w14:paraId="5EC4F9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（7）供应商提交质疑应当提交必要的证明材料，证明材料应以合法手段取得；</w:t>
      </w:r>
    </w:p>
    <w:p w14:paraId="2064759C">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（8）财政部门规定的其他条件。</w:t>
      </w:r>
    </w:p>
    <w:p w14:paraId="1EC71956">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 38.2.5 </w:t>
      </w: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供应商提出质疑应当提交质疑函和必要的证明材料，针对同一采购程序环节的质疑必须在法定质疑期内一次性提出。质疑函应当包括下列内容（质疑函格式后附）：</w:t>
      </w:r>
    </w:p>
    <w:p w14:paraId="6E7BDCC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1119C2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78CE0D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0B5EC2F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（4）事实依据（列明权益受到损害的事实和理由）；</w:t>
      </w:r>
    </w:p>
    <w:p w14:paraId="5BAE7B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6D5558D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5E0359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（7）附件材料：网上报名成功页面；营业执照副本内页复印件（要求证件有效并清晰反映企业法人经营范围）；</w:t>
      </w:r>
      <w:r>
        <w:rPr>
          <w:rFonts w:hint="eastAsia" w:ascii="宋体" w:hAnsi="宋体"/>
          <w:bCs/>
          <w:color w:val="auto"/>
          <w:szCs w:val="21"/>
          <w:highlight w:val="none"/>
        </w:rPr>
        <w:t>投标截止之日前半年内供应商连续三个月</w:t>
      </w:r>
      <w:r>
        <w:rPr>
          <w:rFonts w:hint="eastAsia" w:ascii="宋体" w:hAnsi="宋体" w:cs="宋体"/>
          <w:bCs/>
          <w:color w:val="auto"/>
          <w:szCs w:val="21"/>
          <w:highlight w:val="none"/>
        </w:rPr>
        <w:t>依法缴纳税收证明材料（复印件，原件备查）；近期连续三个月在职职工依法缴纳社会保障资金证明材料（复印件，原件备查）。</w:t>
      </w:r>
    </w:p>
    <w:p w14:paraId="27B0776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0C9B678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002DF81">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8.2.7征集人、采购代理机构认为供应商质疑不成立，或者成立但未对入围结果构成影响的，继续开展采购活动；认为供应商质疑成立且影响或者可能影响入围结果的，按照下列情况处理：</w:t>
      </w:r>
    </w:p>
    <w:p w14:paraId="53CDA2D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（一）对征集文件提出的质疑，依法通过澄清或者修改可以继续开展采购活动的，澄清或者修改征集文件后继续开展采购活动；否则应当修改征集文件后重新开展采购活动。</w:t>
      </w:r>
    </w:p>
    <w:p w14:paraId="18DD3D2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（二）对采购过程、入围结果提出的质疑，合格供应商符合法定数量时，可以从合格的入围候选人中另行确定入围供应商的，应当依法另行确定入围供应商；否则应当重新开展采购活动。</w:t>
      </w:r>
    </w:p>
    <w:p w14:paraId="4538739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质疑答复导致入围结果改变的，征集人或者采购代理机构应当将有关情况书面报告本级财政部门。</w:t>
      </w:r>
    </w:p>
    <w:p w14:paraId="1659C06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38.3投诉</w:t>
      </w:r>
    </w:p>
    <w:p w14:paraId="2931FC91">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38.3</w:t>
      </w:r>
      <w:r>
        <w:rPr>
          <w:rFonts w:hint="eastAsia" w:ascii="宋体" w:hAnsi="宋体" w:cs="宋体"/>
          <w:bCs/>
          <w:color w:val="auto"/>
          <w:szCs w:val="21"/>
          <w:highlight w:val="none"/>
        </w:rPr>
        <w:t>.</w:t>
      </w:r>
      <w:r>
        <w:rPr>
          <w:rFonts w:hint="eastAsia" w:ascii="宋体" w:hAnsi="宋体" w:cs="宋体"/>
          <w:b/>
          <w:bCs/>
          <w:color w:val="auto"/>
          <w:szCs w:val="21"/>
          <w:highlight w:val="none"/>
        </w:rPr>
        <w:t xml:space="preserve">1 </w:t>
      </w:r>
      <w:r>
        <w:rPr>
          <w:rFonts w:hint="eastAsia" w:ascii="宋体" w:hAnsi="宋体" w:cs="宋体"/>
          <w:bCs/>
          <w:color w:val="auto"/>
          <w:szCs w:val="21"/>
          <w:highlight w:val="none"/>
        </w:rPr>
        <w:t xml:space="preserve"> 供应商认为征集文件、征集过程、入围和成交结果使自己的合法权益受到损害的，应当首先依法向征集人或征集人委托的</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提出质疑。对征集人、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的答复不满意，或者征集人、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未在规定期限内做出答复的，供应商可以在答复期满后15个工作日内向</w:t>
      </w:r>
      <w:r>
        <w:rPr>
          <w:rFonts w:hint="eastAsia" w:ascii="宋体" w:hAnsi="宋体" w:cs="宋体"/>
          <w:bCs/>
          <w:color w:val="auto"/>
          <w:szCs w:val="21"/>
          <w:highlight w:val="none"/>
          <w:lang w:eastAsia="zh-CN"/>
        </w:rPr>
        <w:t>东兴市本级</w:t>
      </w:r>
      <w:r>
        <w:rPr>
          <w:rFonts w:hint="eastAsia" w:ascii="宋体" w:hAnsi="宋体" w:cs="宋体"/>
          <w:bCs/>
          <w:color w:val="auto"/>
          <w:szCs w:val="21"/>
          <w:highlight w:val="none"/>
        </w:rPr>
        <w:t>政府采购监督管理部门提起投诉，投诉方式见“供应商须知前附表”。</w:t>
      </w:r>
    </w:p>
    <w:p w14:paraId="772D1F77">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38.3.2 </w:t>
      </w:r>
      <w:r>
        <w:rPr>
          <w:rFonts w:hint="eastAsia" w:ascii="宋体" w:hAnsi="宋体" w:cs="宋体"/>
          <w:color w:val="auto"/>
          <w:szCs w:val="21"/>
          <w:highlight w:val="none"/>
        </w:rPr>
        <w:t xml:space="preserve"> 投诉人投诉时，应当提交投诉书，并按照被投诉征集人、采购代理机构和与投诉事项有关的供应商数量提供投诉书的副本。投诉书应当包括下列主要内容（如材料中有外文资料应同时附上对应的中文译本）</w:t>
      </w:r>
      <w:r>
        <w:rPr>
          <w:rFonts w:hint="eastAsia" w:ascii="宋体" w:hAnsi="宋体" w:cs="宋体"/>
          <w:bCs/>
          <w:color w:val="auto"/>
          <w:szCs w:val="21"/>
          <w:highlight w:val="none"/>
        </w:rPr>
        <w:t>（投诉书格式后附）</w:t>
      </w:r>
      <w:r>
        <w:rPr>
          <w:rFonts w:hint="eastAsia" w:ascii="宋体" w:hAnsi="宋体" w:cs="宋体"/>
          <w:color w:val="auto"/>
          <w:szCs w:val="21"/>
          <w:highlight w:val="none"/>
        </w:rPr>
        <w:t>：</w:t>
      </w:r>
    </w:p>
    <w:p w14:paraId="696D16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（1）投诉人和被投诉人的名称、地址、邮编、联系人及联系电话等； </w:t>
      </w:r>
    </w:p>
    <w:p w14:paraId="47AA78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（2）质疑和质疑答复情况及相关证明材料； </w:t>
      </w:r>
    </w:p>
    <w:p w14:paraId="56EA75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（3）具体、明确的投诉事项和与投诉事项相关的投诉请求；</w:t>
      </w:r>
    </w:p>
    <w:p w14:paraId="3EF86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39B417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（5）法律依据；</w:t>
      </w:r>
    </w:p>
    <w:p w14:paraId="50C048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（6）提起投诉的日期。</w:t>
      </w:r>
    </w:p>
    <w:p w14:paraId="4F5774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（7）附件材料：营业执照副本内页复印件（要求证件有效并清晰反映企业法人经营范围；</w:t>
      </w:r>
      <w:r>
        <w:rPr>
          <w:rFonts w:hint="eastAsia" w:ascii="宋体" w:hAnsi="宋体"/>
          <w:color w:val="auto"/>
          <w:szCs w:val="21"/>
          <w:highlight w:val="none"/>
        </w:rPr>
        <w:t>投标截止之日前半年内供应商连续三个月</w:t>
      </w:r>
      <w:r>
        <w:rPr>
          <w:rFonts w:hint="eastAsia" w:ascii="宋体" w:hAnsi="宋体" w:cs="宋体"/>
          <w:color w:val="auto"/>
          <w:szCs w:val="21"/>
          <w:highlight w:val="none"/>
        </w:rPr>
        <w:t>依法缴纳税收和在职职工社会保障资金证明材料（复印件）。</w:t>
      </w:r>
      <w:r>
        <w:rPr>
          <w:rFonts w:hint="eastAsia" w:ascii="宋体" w:hAnsi="宋体" w:cs="宋体"/>
          <w:color w:val="auto"/>
          <w:szCs w:val="21"/>
          <w:highlight w:val="none"/>
        </w:rPr>
        <w:tab/>
      </w:r>
    </w:p>
    <w:p w14:paraId="0B03B140">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38.3.3  </w:t>
      </w:r>
      <w:r>
        <w:rPr>
          <w:rFonts w:hint="eastAsia" w:ascii="宋体" w:hAnsi="宋体" w:cs="宋体"/>
          <w:color w:val="auto"/>
          <w:szCs w:val="21"/>
          <w:highlight w:val="none"/>
        </w:rPr>
        <w:t>投诉人可以委托代理人办理投诉事务。</w:t>
      </w:r>
      <w:r>
        <w:rPr>
          <w:rFonts w:hint="eastAsia" w:ascii="宋体" w:hAnsi="宋体" w:cs="宋体"/>
          <w:bCs/>
          <w:color w:val="auto"/>
          <w:szCs w:val="21"/>
          <w:highlight w:val="none"/>
        </w:rPr>
        <w:t>委托代理人应熟悉相关业务情况。</w:t>
      </w:r>
      <w:r>
        <w:rPr>
          <w:rFonts w:hint="eastAsia" w:ascii="宋体" w:hAnsi="宋体" w:cs="宋体"/>
          <w:color w:val="auto"/>
          <w:szCs w:val="21"/>
          <w:highlight w:val="none"/>
        </w:rPr>
        <w:t>代理人办理投诉事务时，除提交投诉书外，还应当提交投诉人的授权委托书和委托代理人身份证明复印件。</w:t>
      </w:r>
    </w:p>
    <w:p w14:paraId="124DFB0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38.3.4</w:t>
      </w:r>
      <w:r>
        <w:rPr>
          <w:rFonts w:hint="eastAsia" w:ascii="宋体" w:hAnsi="宋体" w:cs="宋体"/>
          <w:color w:val="auto"/>
          <w:szCs w:val="21"/>
          <w:highlight w:val="none"/>
        </w:rPr>
        <w:t xml:space="preserve">  投诉人提起投诉应当符合下列条件：</w:t>
      </w:r>
    </w:p>
    <w:p w14:paraId="7C2BF3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（1）投诉人是参与所投诉政府采购活动的供应商；</w:t>
      </w:r>
    </w:p>
    <w:p w14:paraId="5C9E96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（2）提起投诉前已依法进行质疑；</w:t>
      </w:r>
    </w:p>
    <w:p w14:paraId="7EB321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（3）投诉书内容符合本章第38.3.2项的规定；</w:t>
      </w:r>
    </w:p>
    <w:p w14:paraId="0804F5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（4）在投诉有效期限内提起投诉；</w:t>
      </w:r>
    </w:p>
    <w:p w14:paraId="34AA79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（5）属于</w:t>
      </w:r>
      <w:r>
        <w:rPr>
          <w:rFonts w:hint="eastAsia" w:ascii="宋体" w:hAnsi="宋体" w:cs="宋体"/>
          <w:color w:val="auto"/>
          <w:szCs w:val="21"/>
          <w:highlight w:val="none"/>
          <w:lang w:eastAsia="zh-CN"/>
        </w:rPr>
        <w:t>东兴市本级</w:t>
      </w:r>
      <w:r>
        <w:rPr>
          <w:rFonts w:hint="eastAsia" w:ascii="宋体" w:hAnsi="宋体" w:cs="宋体"/>
          <w:color w:val="auto"/>
          <w:szCs w:val="21"/>
          <w:highlight w:val="none"/>
        </w:rPr>
        <w:t>政府采购监督管理部门管辖；</w:t>
      </w:r>
    </w:p>
    <w:p w14:paraId="0ABF9D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（6）同一投诉事项未经</w:t>
      </w:r>
      <w:r>
        <w:rPr>
          <w:rFonts w:hint="eastAsia" w:ascii="宋体" w:hAnsi="宋体" w:cs="宋体"/>
          <w:bCs/>
          <w:color w:val="auto"/>
          <w:szCs w:val="21"/>
          <w:highlight w:val="none"/>
          <w:lang w:eastAsia="zh-CN"/>
        </w:rPr>
        <w:t>东兴市本级</w:t>
      </w:r>
      <w:r>
        <w:rPr>
          <w:rFonts w:hint="eastAsia" w:ascii="宋体" w:hAnsi="宋体" w:cs="宋体"/>
          <w:bCs/>
          <w:color w:val="auto"/>
          <w:szCs w:val="21"/>
          <w:highlight w:val="none"/>
        </w:rPr>
        <w:t>政府采购监督管理部门</w:t>
      </w:r>
      <w:r>
        <w:rPr>
          <w:rFonts w:hint="eastAsia" w:ascii="宋体" w:hAnsi="宋体" w:cs="宋体"/>
          <w:color w:val="auto"/>
          <w:szCs w:val="21"/>
          <w:highlight w:val="none"/>
        </w:rPr>
        <w:t>投诉处理；</w:t>
      </w:r>
    </w:p>
    <w:p w14:paraId="798683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（7）国务院财政部门规定的其他条件。</w:t>
      </w:r>
    </w:p>
    <w:p w14:paraId="22C2D44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38.3.5</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东兴市本级</w:t>
      </w:r>
      <w:r>
        <w:rPr>
          <w:rFonts w:hint="eastAsia" w:ascii="宋体" w:hAnsi="宋体" w:cs="宋体"/>
          <w:color w:val="auto"/>
          <w:szCs w:val="21"/>
          <w:highlight w:val="none"/>
        </w:rPr>
        <w:t>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szCs w:val="21"/>
          <w:highlight w:val="none"/>
        </w:rPr>
        <w:t>发布。</w:t>
      </w:r>
    </w:p>
    <w:p w14:paraId="40660EC1">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38.3.6</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东兴市本级</w:t>
      </w:r>
      <w:r>
        <w:rPr>
          <w:rFonts w:hint="eastAsia" w:ascii="宋体" w:hAnsi="宋体" w:cs="宋体"/>
          <w:color w:val="auto"/>
          <w:szCs w:val="21"/>
          <w:highlight w:val="none"/>
        </w:rPr>
        <w:t>政府采购监督管理部门在处理投诉事项期间，可以视具体情况暂停采购活动。</w:t>
      </w:r>
    </w:p>
    <w:p w14:paraId="6C66A53B">
      <w:pPr>
        <w:snapToGrid w:val="0"/>
        <w:spacing w:line="360" w:lineRule="auto"/>
        <w:ind w:left="120" w:leftChars="57" w:firstLine="482" w:firstLineChars="150"/>
        <w:jc w:val="center"/>
        <w:outlineLvl w:val="2"/>
        <w:rPr>
          <w:rFonts w:hint="eastAsia" w:ascii="宋体" w:hAnsi="宋体" w:cs="宋体"/>
          <w:b/>
          <w:bCs/>
          <w:color w:val="auto"/>
          <w:sz w:val="32"/>
          <w:szCs w:val="32"/>
          <w:highlight w:val="none"/>
        </w:rPr>
      </w:pPr>
      <w:bookmarkStart w:id="71" w:name="_Toc14861"/>
      <w:bookmarkStart w:id="72" w:name="_Toc13746"/>
      <w:r>
        <w:rPr>
          <w:rFonts w:hint="eastAsia" w:ascii="宋体" w:hAnsi="宋体" w:cs="宋体"/>
          <w:b/>
          <w:bCs/>
          <w:color w:val="auto"/>
          <w:sz w:val="32"/>
          <w:szCs w:val="32"/>
          <w:highlight w:val="none"/>
        </w:rPr>
        <w:t>三、第二阶段（成交阶段）</w:t>
      </w:r>
      <w:bookmarkEnd w:id="71"/>
      <w:bookmarkEnd w:id="72"/>
    </w:p>
    <w:p w14:paraId="7A52B1DB">
      <w:pPr>
        <w:spacing w:line="360" w:lineRule="auto"/>
        <w:ind w:firstLine="643" w:firstLineChars="200"/>
        <w:jc w:val="center"/>
        <w:rPr>
          <w:rFonts w:hint="eastAsia" w:ascii="宋体" w:hAnsi="宋体" w:cs="宋体"/>
          <w:b/>
          <w:color w:val="auto"/>
          <w:highlight w:val="none"/>
        </w:rPr>
      </w:pPr>
      <w:r>
        <w:rPr>
          <w:rFonts w:hint="eastAsia" w:ascii="宋体" w:hAnsi="宋体" w:cs="宋体"/>
          <w:b/>
          <w:bCs/>
          <w:color w:val="auto"/>
          <w:sz w:val="32"/>
          <w:szCs w:val="32"/>
          <w:highlight w:val="none"/>
        </w:rPr>
        <w:t>（一）成交供应商</w:t>
      </w:r>
    </w:p>
    <w:p w14:paraId="5FE9DE0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39.成交供应商</w:t>
      </w:r>
    </w:p>
    <w:p w14:paraId="4C3AE4A4">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39.1</w:t>
      </w:r>
      <w:r>
        <w:rPr>
          <w:rFonts w:hint="eastAsia" w:ascii="宋体" w:hAnsi="宋体" w:cs="宋体"/>
          <w:color w:val="auto"/>
          <w:szCs w:val="21"/>
          <w:highlight w:val="none"/>
        </w:rPr>
        <w:t xml:space="preserve"> 确定成交供应商</w:t>
      </w:r>
      <w:r>
        <w:rPr>
          <w:rFonts w:hint="eastAsia" w:ascii="宋体" w:hAnsi="宋体" w:cs="宋体"/>
          <w:b/>
          <w:bCs/>
          <w:color w:val="auto"/>
          <w:szCs w:val="21"/>
          <w:highlight w:val="none"/>
          <w:lang w:eastAsia="zh-CN"/>
        </w:rPr>
        <w:t>（直接选定）</w:t>
      </w:r>
    </w:p>
    <w:p w14:paraId="0F236B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39.1.1 采购人按照征集文件或框架协议的规定从第一阶段入围供应商中直接选定成交供应商并签订采购合同。</w:t>
      </w:r>
    </w:p>
    <w:p w14:paraId="4A598B0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39.2成交结果公告</w:t>
      </w:r>
    </w:p>
    <w:p w14:paraId="64F5E04F">
      <w:pPr>
        <w:spacing w:line="360" w:lineRule="auto"/>
        <w:ind w:firstLine="420" w:firstLineChars="200"/>
        <w:rPr>
          <w:rFonts w:hint="eastAsia"/>
          <w:color w:val="auto"/>
          <w:highlight w:val="none"/>
        </w:rPr>
      </w:pPr>
      <w:r>
        <w:rPr>
          <w:rFonts w:hint="eastAsia" w:ascii="宋体" w:hAnsi="宋体" w:cs="宋体"/>
          <w:color w:val="auto"/>
          <w:szCs w:val="21"/>
          <w:highlight w:val="none"/>
        </w:rPr>
        <w:t>39.2.1</w:t>
      </w:r>
      <w:r>
        <w:rPr>
          <w:rFonts w:hint="eastAsia"/>
          <w:color w:val="auto"/>
          <w:highlight w:val="none"/>
        </w:rPr>
        <w:t>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14:paraId="3C365FB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39.3合同</w:t>
      </w:r>
    </w:p>
    <w:p w14:paraId="26830A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39.3.1合同授予标准</w:t>
      </w:r>
    </w:p>
    <w:p w14:paraId="28113CAF">
      <w:pPr>
        <w:spacing w:line="360" w:lineRule="auto"/>
        <w:ind w:firstLine="420" w:firstLineChars="200"/>
        <w:rPr>
          <w:rFonts w:hint="eastAsia"/>
          <w:color w:val="auto"/>
          <w:highlight w:val="none"/>
        </w:rPr>
      </w:pPr>
      <w:r>
        <w:rPr>
          <w:rFonts w:hint="eastAsia" w:ascii="宋体" w:hAnsi="宋体" w:cs="宋体"/>
          <w:color w:val="auto"/>
          <w:szCs w:val="21"/>
          <w:highlight w:val="none"/>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r>
        <w:rPr>
          <w:rFonts w:hint="eastAsia"/>
          <w:color w:val="auto"/>
          <w:highlight w:val="none"/>
        </w:rPr>
        <w:t>。</w:t>
      </w:r>
    </w:p>
    <w:p w14:paraId="6C3778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39.3.2签订合同</w:t>
      </w:r>
    </w:p>
    <w:p w14:paraId="2ADC72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采购单位与供应商签订的采购合同不能违背框架协议的实质性条款。</w:t>
      </w:r>
    </w:p>
    <w:p w14:paraId="7E0FB4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39.3.3履行合同</w:t>
      </w:r>
    </w:p>
    <w:p w14:paraId="3B60A5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与供应商签订采购合同后，合同双方应严格执行合同条款，履行规定的合同义务，保证合同顺利完成，双方均不得擅自变更、中止或终止采购合同。确需解除合同的，应按《中华人民共和国民法典》有关规定和合同约定执行。</w:t>
      </w:r>
    </w:p>
    <w:p w14:paraId="6F603BF5">
      <w:pPr>
        <w:snapToGrid w:val="0"/>
        <w:spacing w:line="360" w:lineRule="auto"/>
        <w:ind w:left="120" w:leftChars="57" w:firstLine="482" w:firstLineChars="1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（二）验收</w:t>
      </w:r>
    </w:p>
    <w:p w14:paraId="445AB9DB">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40.验收</w:t>
      </w:r>
    </w:p>
    <w:p w14:paraId="39FCB1B0">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40.1采购单位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4125E9">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40.2采购单位可以邀请参加本项目的其他供应商或者第三方机构参与验收。参与验收的供应商或者第三方机构的意见作为验收书的参考资料一并存档。</w:t>
      </w:r>
    </w:p>
    <w:p w14:paraId="7E0AC06D">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F35E4D">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40.4验收合格的项目，采购单位将根据采购合同的约定及时向供应商支付采购资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14:paraId="48326516">
      <w:pPr>
        <w:pStyle w:val="15"/>
        <w:snapToGrid w:val="0"/>
        <w:spacing w:line="400" w:lineRule="exact"/>
        <w:rPr>
          <w:rFonts w:hint="eastAsia" w:hAnsi="宋体" w:cs="宋体"/>
          <w:color w:val="auto"/>
          <w:highlight w:val="none"/>
        </w:rPr>
      </w:pPr>
    </w:p>
    <w:p w14:paraId="37C17349">
      <w:pPr>
        <w:pStyle w:val="4"/>
        <w:keepNext w:val="0"/>
        <w:keepLines w:val="0"/>
        <w:spacing w:line="360" w:lineRule="auto"/>
        <w:jc w:val="center"/>
        <w:rPr>
          <w:rFonts w:hint="eastAsia" w:ascii="宋体" w:hAnsi="宋体" w:cs="宋体"/>
          <w:color w:val="auto"/>
          <w:highlight w:val="none"/>
        </w:rPr>
      </w:pPr>
      <w:bookmarkStart w:id="73" w:name="_Toc80093002"/>
      <w:bookmarkStart w:id="74" w:name="_Toc8643"/>
      <w:bookmarkStart w:id="75" w:name="_Toc21546"/>
      <w:bookmarkStart w:id="76" w:name="_Toc24821"/>
      <w:r>
        <w:rPr>
          <w:rFonts w:hint="eastAsia" w:ascii="宋体" w:hAnsi="宋体" w:cs="宋体"/>
          <w:color w:val="auto"/>
          <w:highlight w:val="none"/>
        </w:rPr>
        <w:t>四、其他事项</w:t>
      </w:r>
      <w:bookmarkEnd w:id="73"/>
      <w:bookmarkEnd w:id="74"/>
      <w:bookmarkEnd w:id="75"/>
      <w:bookmarkEnd w:id="76"/>
    </w:p>
    <w:p w14:paraId="7AE791E5">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41.代理服务费</w:t>
      </w:r>
    </w:p>
    <w:p w14:paraId="31E888E3">
      <w:pPr>
        <w:spacing w:line="360" w:lineRule="auto"/>
        <w:ind w:firstLine="420" w:firstLineChars="200"/>
        <w:rPr>
          <w:rFonts w:ascii="宋体" w:hAnsi="宋体" w:cs="宋体"/>
          <w:b w:val="0"/>
          <w:bCs/>
          <w:color w:val="auto"/>
          <w:szCs w:val="21"/>
          <w:highlight w:val="none"/>
        </w:rPr>
      </w:pPr>
      <w:r>
        <w:rPr>
          <w:rFonts w:hint="eastAsia" w:ascii="宋体" w:hAnsi="宋体" w:cs="宋体"/>
          <w:b w:val="0"/>
          <w:bCs/>
          <w:color w:val="auto"/>
          <w:szCs w:val="21"/>
          <w:highlight w:val="none"/>
        </w:rPr>
        <w:t>代理服务收费标准及缴费账户详见“供应商须知前附表”，供应商为联合体的，可以由联合体中的一方或者多方共同交纳代理服务费。</w:t>
      </w:r>
    </w:p>
    <w:p w14:paraId="1B38CD67">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42. 需要补充的其他内容</w:t>
      </w:r>
    </w:p>
    <w:p w14:paraId="3E1C9D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42.1本征集文件解释规则详见“供应商须知前附表”。</w:t>
      </w:r>
    </w:p>
    <w:p w14:paraId="305F82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 其他事项详见“供应商须知前附表”。</w:t>
      </w:r>
    </w:p>
    <w:p w14:paraId="6E3AC2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民法典》订立劳动合同的从业人员，不对其中涉及的货物的制造商和工程承建商作出要求的，享受本文件规定的中小企业扶持政策。</w:t>
      </w:r>
    </w:p>
    <w:p w14:paraId="7AE788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401F70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31881723">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43</w:t>
      </w:r>
      <w:r>
        <w:rPr>
          <w:rFonts w:hint="eastAsia" w:ascii="宋体" w:hAnsi="宋体" w:cs="宋体"/>
          <w:b/>
          <w:color w:val="auto"/>
          <w:sz w:val="24"/>
          <w:szCs w:val="24"/>
          <w:highlight w:val="none"/>
        </w:rPr>
        <w:t>.用户反馈和评价机制</w:t>
      </w:r>
    </w:p>
    <w:p w14:paraId="2EE27B0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本项目将通过“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建立用户反馈和评价机制。</w:t>
      </w:r>
    </w:p>
    <w:p w14:paraId="6E1B2D58">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44</w:t>
      </w:r>
      <w:r>
        <w:rPr>
          <w:rFonts w:hint="eastAsia" w:ascii="宋体" w:hAnsi="宋体" w:cs="宋体"/>
          <w:b/>
          <w:color w:val="auto"/>
          <w:sz w:val="24"/>
          <w:szCs w:val="24"/>
          <w:highlight w:val="none"/>
        </w:rPr>
        <w:t>.入围供应商的清退和补充规则</w:t>
      </w:r>
    </w:p>
    <w:p w14:paraId="7FDBE3B6">
      <w:pPr>
        <w:spacing w:line="360" w:lineRule="auto"/>
        <w:ind w:firstLine="359" w:firstLineChars="171"/>
        <w:rPr>
          <w:rFonts w:hint="eastAsia"/>
          <w:color w:val="auto"/>
          <w:highlight w:val="none"/>
          <w:u w:val="none"/>
        </w:rPr>
      </w:pPr>
      <w:r>
        <w:rPr>
          <w:rFonts w:hint="eastAsia"/>
          <w:color w:val="auto"/>
          <w:highlight w:val="none"/>
          <w:u w:val="none"/>
          <w:lang w:val="en-US" w:eastAsia="zh-CN"/>
        </w:rPr>
        <w:t>44.</w:t>
      </w:r>
      <w:r>
        <w:rPr>
          <w:rFonts w:hint="eastAsia"/>
          <w:color w:val="auto"/>
          <w:highlight w:val="none"/>
          <w:u w:val="none"/>
        </w:rPr>
        <w:t>1入围供应商有下列情形之一，尚未签订框架协议的，取消其入围资格；已经签订框架协议的，解除与其签订的框架协议： </w:t>
      </w:r>
    </w:p>
    <w:p w14:paraId="0851BDCE">
      <w:pPr>
        <w:spacing w:line="360" w:lineRule="auto"/>
        <w:ind w:firstLine="359" w:firstLineChars="171"/>
        <w:rPr>
          <w:rFonts w:hint="eastAsia"/>
          <w:color w:val="auto"/>
          <w:highlight w:val="none"/>
          <w:u w:val="none"/>
        </w:rPr>
      </w:pPr>
      <w:r>
        <w:rPr>
          <w:rFonts w:hint="eastAsia"/>
          <w:color w:val="auto"/>
          <w:highlight w:val="none"/>
          <w:u w:val="none"/>
        </w:rPr>
        <w:t>（1）恶意串通谋取入围或者合同成交的； </w:t>
      </w:r>
    </w:p>
    <w:p w14:paraId="20B37D83">
      <w:pPr>
        <w:spacing w:line="360" w:lineRule="auto"/>
        <w:ind w:firstLine="359" w:firstLineChars="171"/>
        <w:rPr>
          <w:rFonts w:hint="eastAsia"/>
          <w:color w:val="auto"/>
          <w:highlight w:val="none"/>
          <w:u w:val="none"/>
        </w:rPr>
      </w:pPr>
      <w:r>
        <w:rPr>
          <w:rFonts w:hint="eastAsia"/>
          <w:color w:val="auto"/>
          <w:highlight w:val="none"/>
          <w:u w:val="none"/>
        </w:rPr>
        <w:t>（2）提供虚假材料谋取入围或者合同成交的； </w:t>
      </w:r>
    </w:p>
    <w:p w14:paraId="3C766E92">
      <w:pPr>
        <w:spacing w:line="360" w:lineRule="auto"/>
        <w:ind w:firstLine="359" w:firstLineChars="171"/>
        <w:rPr>
          <w:rFonts w:hint="eastAsia"/>
          <w:color w:val="auto"/>
          <w:highlight w:val="none"/>
          <w:u w:val="none"/>
        </w:rPr>
      </w:pPr>
      <w:r>
        <w:rPr>
          <w:rFonts w:hint="eastAsia"/>
          <w:color w:val="auto"/>
          <w:highlight w:val="none"/>
          <w:u w:val="none"/>
        </w:rPr>
        <w:t>（3）无正当理由拒不接受合同授予的； </w:t>
      </w:r>
    </w:p>
    <w:p w14:paraId="4EE3D3E4">
      <w:pPr>
        <w:spacing w:line="360" w:lineRule="auto"/>
        <w:ind w:firstLine="359" w:firstLineChars="171"/>
        <w:rPr>
          <w:rFonts w:hint="eastAsia"/>
          <w:color w:val="auto"/>
          <w:highlight w:val="none"/>
          <w:u w:val="none"/>
        </w:rPr>
      </w:pPr>
      <w:r>
        <w:rPr>
          <w:rFonts w:hint="eastAsia"/>
          <w:color w:val="auto"/>
          <w:highlight w:val="none"/>
          <w:u w:val="none"/>
        </w:rPr>
        <w:t>（4）不履行合同义务或者履行合同义务不符合约定，经采购人请求履行后仍不履行或者仍未按约定履行的； </w:t>
      </w:r>
    </w:p>
    <w:p w14:paraId="58799D9B">
      <w:pPr>
        <w:spacing w:line="360" w:lineRule="auto"/>
        <w:ind w:firstLine="359" w:firstLineChars="171"/>
        <w:rPr>
          <w:rFonts w:hint="eastAsia"/>
          <w:color w:val="auto"/>
          <w:highlight w:val="none"/>
          <w:u w:val="none"/>
        </w:rPr>
      </w:pPr>
      <w:r>
        <w:rPr>
          <w:rFonts w:hint="eastAsia"/>
          <w:color w:val="auto"/>
          <w:highlight w:val="none"/>
          <w:u w:val="none"/>
        </w:rPr>
        <w:t>（5）框架协议有效期内，因违法行为被禁止或限制参加政府采购活动的； </w:t>
      </w:r>
    </w:p>
    <w:p w14:paraId="70A78396">
      <w:pPr>
        <w:spacing w:line="360" w:lineRule="auto"/>
        <w:ind w:firstLine="359" w:firstLineChars="171"/>
        <w:rPr>
          <w:rFonts w:hint="eastAsia"/>
          <w:color w:val="auto"/>
          <w:highlight w:val="none"/>
          <w:u w:val="none"/>
        </w:rPr>
      </w:pPr>
      <w:r>
        <w:rPr>
          <w:rFonts w:hint="eastAsia"/>
          <w:color w:val="auto"/>
          <w:highlight w:val="none"/>
          <w:u w:val="none"/>
        </w:rPr>
        <w:t>（6）供应商违反职业道德，有违规违纪问题的；</w:t>
      </w:r>
    </w:p>
    <w:p w14:paraId="4B7292FA">
      <w:pPr>
        <w:spacing w:line="360" w:lineRule="auto"/>
        <w:ind w:firstLine="359" w:firstLineChars="171"/>
        <w:rPr>
          <w:rFonts w:hint="eastAsia"/>
          <w:color w:val="auto"/>
          <w:highlight w:val="none"/>
          <w:u w:val="none"/>
        </w:rPr>
      </w:pPr>
      <w:r>
        <w:rPr>
          <w:rFonts w:hint="eastAsia"/>
          <w:color w:val="auto"/>
          <w:highlight w:val="none"/>
          <w:u w:val="none"/>
        </w:rPr>
        <w:t>（7）框架协议约定的其他情形。 </w:t>
      </w:r>
    </w:p>
    <w:p w14:paraId="54E7CCE7">
      <w:pPr>
        <w:spacing w:line="360" w:lineRule="auto"/>
        <w:ind w:firstLine="359" w:firstLineChars="171"/>
        <w:rPr>
          <w:color w:val="auto"/>
          <w:highlight w:val="none"/>
          <w:u w:val="none"/>
        </w:rPr>
      </w:pPr>
      <w:r>
        <w:rPr>
          <w:rFonts w:hint="eastAsia"/>
          <w:color w:val="auto"/>
          <w:highlight w:val="none"/>
          <w:u w:val="none"/>
          <w:lang w:val="en-US" w:eastAsia="zh-CN"/>
        </w:rPr>
        <w:t>44.</w:t>
      </w:r>
      <w:r>
        <w:rPr>
          <w:rFonts w:hint="eastAsia"/>
          <w:color w:val="auto"/>
          <w:highlight w:val="none"/>
          <w:u w:val="none"/>
        </w:rPr>
        <w:t>2补充规则：除剩余入围供应商不足入围供应商总数70%且影响框架协议执行的情形外，框架协议有效期内，不再补充征集供应商。</w:t>
      </w:r>
    </w:p>
    <w:p w14:paraId="1896FBBB">
      <w:pPr>
        <w:spacing w:line="360" w:lineRule="auto"/>
        <w:ind w:firstLine="420" w:firstLineChars="200"/>
        <w:rPr>
          <w:rFonts w:hint="eastAsia" w:ascii="黑体" w:hAnsi="黑体" w:eastAsia="黑体"/>
          <w:color w:val="auto"/>
          <w:szCs w:val="21"/>
          <w:highlight w:val="none"/>
        </w:rPr>
      </w:pPr>
    </w:p>
    <w:p w14:paraId="688B716A">
      <w:pPr>
        <w:spacing w:line="360" w:lineRule="auto"/>
        <w:ind w:firstLine="420"/>
        <w:jc w:val="left"/>
        <w:rPr>
          <w:rFonts w:hint="eastAsia" w:ascii="Times New Roman" w:hAnsi="宋体"/>
          <w:color w:val="auto"/>
          <w:szCs w:val="24"/>
          <w:highlight w:val="none"/>
        </w:rPr>
      </w:pPr>
      <w:bookmarkStart w:id="77" w:name="_41.政府采购合同公告"/>
      <w:bookmarkEnd w:id="77"/>
      <w:bookmarkStart w:id="78" w:name="_42.代理服务费"/>
      <w:bookmarkEnd w:id="78"/>
      <w:bookmarkStart w:id="79" w:name="_9.2质疑、投诉应当采用书面形式，质疑函、投诉书均应明确阐述招标文件、"/>
      <w:bookmarkEnd w:id="79"/>
      <w:bookmarkStart w:id="80" w:name="_八、其他事项"/>
      <w:bookmarkEnd w:id="80"/>
      <w:bookmarkStart w:id="81" w:name="_40.1投标人接到中标通知书后，按须知前附表规定向采购人出示相关资格证"/>
      <w:bookmarkEnd w:id="81"/>
      <w:bookmarkStart w:id="82" w:name="_28.3评标方法。本项目将按须知前附表规定的评标办法进行评标，具体评标"/>
      <w:bookmarkEnd w:id="82"/>
      <w:bookmarkStart w:id="83" w:name="_39.1中标人须于签订合同前按本须知前附表规定的金额转账或电汇到指定账"/>
      <w:bookmarkEnd w:id="83"/>
      <w:r>
        <w:rPr>
          <w:rFonts w:ascii="Times New Roman" w:hAnsi="宋体"/>
          <w:color w:val="auto"/>
          <w:szCs w:val="24"/>
          <w:highlight w:val="none"/>
        </w:rPr>
        <w:br w:type="page"/>
      </w:r>
      <w:bookmarkStart w:id="84" w:name="_Toc532545043"/>
    </w:p>
    <w:p w14:paraId="2852D487">
      <w:pPr>
        <w:jc w:val="center"/>
        <w:outlineLvl w:val="0"/>
        <w:rPr>
          <w:rFonts w:ascii="Times New Roman" w:hAnsi="Times New Roman"/>
          <w:b/>
          <w:color w:val="auto"/>
          <w:sz w:val="36"/>
          <w:szCs w:val="20"/>
          <w:highlight w:val="none"/>
        </w:rPr>
      </w:pPr>
      <w:bookmarkStart w:id="85" w:name="_Toc30405"/>
      <w:r>
        <w:rPr>
          <w:rFonts w:hint="eastAsia" w:ascii="Times New Roman" w:hAnsi="Times New Roman"/>
          <w:b/>
          <w:color w:val="auto"/>
          <w:sz w:val="36"/>
          <w:szCs w:val="20"/>
          <w:highlight w:val="none"/>
        </w:rPr>
        <w:t>第四章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评标方法</w:t>
      </w:r>
      <w:bookmarkEnd w:id="84"/>
      <w:r>
        <w:rPr>
          <w:rFonts w:hint="eastAsia" w:ascii="Times New Roman" w:hAnsi="Times New Roman"/>
          <w:b/>
          <w:color w:val="auto"/>
          <w:sz w:val="36"/>
          <w:szCs w:val="20"/>
          <w:highlight w:val="none"/>
        </w:rPr>
        <w:t>及评分标准</w:t>
      </w:r>
      <w:bookmarkEnd w:id="85"/>
    </w:p>
    <w:p w14:paraId="4FC956C3">
      <w:pPr>
        <w:jc w:val="center"/>
        <w:outlineLvl w:val="1"/>
        <w:rPr>
          <w:rFonts w:hint="eastAsia" w:ascii="宋体" w:hAnsi="宋体" w:cs="宋体"/>
          <w:b/>
          <w:bCs/>
          <w:color w:val="auto"/>
          <w:sz w:val="32"/>
          <w:szCs w:val="32"/>
          <w:highlight w:val="none"/>
        </w:rPr>
      </w:pPr>
      <w:bookmarkStart w:id="86" w:name="_Toc2689"/>
      <w:bookmarkStart w:id="87" w:name="_Toc15831"/>
      <w:bookmarkStart w:id="88" w:name="_Toc25347"/>
      <w:bookmarkStart w:id="89" w:name="_Toc80093004"/>
      <w:r>
        <w:rPr>
          <w:rFonts w:hint="eastAsia" w:ascii="宋体" w:hAnsi="宋体" w:cs="宋体"/>
          <w:b/>
          <w:bCs/>
          <w:color w:val="auto"/>
          <w:sz w:val="32"/>
          <w:szCs w:val="32"/>
          <w:highlight w:val="none"/>
        </w:rPr>
        <w:t>第一节 评审方法</w:t>
      </w:r>
      <w:bookmarkEnd w:id="86"/>
      <w:bookmarkEnd w:id="87"/>
      <w:bookmarkEnd w:id="88"/>
      <w:bookmarkEnd w:id="89"/>
    </w:p>
    <w:p w14:paraId="34160C61">
      <w:pPr>
        <w:tabs>
          <w:tab w:val="left" w:pos="2472"/>
        </w:tabs>
        <w:spacing w:line="460" w:lineRule="exact"/>
        <w:ind w:firstLine="420" w:firstLineChars="200"/>
        <w:rPr>
          <w:rFonts w:ascii="宋体" w:hAnsi="宋体" w:cs="宋体"/>
          <w:color w:val="auto"/>
          <w:szCs w:val="21"/>
          <w:highlight w:val="none"/>
        </w:rPr>
      </w:pPr>
      <w:r>
        <w:rPr>
          <w:rFonts w:ascii="宋体" w:hAnsi="宋体" w:cs="宋体"/>
          <w:color w:val="auto"/>
          <w:szCs w:val="21"/>
          <w:highlight w:val="none"/>
        </w:rPr>
        <w:t>确定第一阶段入围供应商的评审方法</w:t>
      </w:r>
    </w:p>
    <w:p w14:paraId="3215560E">
      <w:pPr>
        <w:tabs>
          <w:tab w:val="left" w:pos="247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w:t>
      </w:r>
      <w:r>
        <w:rPr>
          <w:rFonts w:ascii="宋体" w:hAnsi="宋体" w:cs="宋体"/>
          <w:color w:val="auto"/>
          <w:szCs w:val="21"/>
          <w:highlight w:val="none"/>
        </w:rPr>
        <w:t>优先法</w:t>
      </w:r>
      <w:r>
        <w:rPr>
          <w:rFonts w:hint="eastAsia" w:ascii="宋体" w:hAnsi="宋体" w:cs="宋体"/>
          <w:color w:val="auto"/>
          <w:szCs w:val="21"/>
          <w:highlight w:val="none"/>
        </w:rPr>
        <w:t xml:space="preserve">  </w:t>
      </w:r>
      <w:r>
        <w:rPr>
          <w:rFonts w:ascii="宋体" w:hAnsi="宋体" w:cs="宋体"/>
          <w:color w:val="auto"/>
          <w:szCs w:val="21"/>
          <w:highlight w:val="none"/>
        </w:rPr>
        <w:t>评审小组按征集文件中规定的评审方法和标准，对符合性检查合格的响应文件进行商务和技术评比，对满足采购需求且响应报价不超过最高限制单价的货物、服务进行质量综合评分，按照质量评分从高到低排序，根据征集文件规定的淘汰率或者入围供应商数量上限，确定入围供应商。</w:t>
      </w:r>
    </w:p>
    <w:p w14:paraId="0A431A59">
      <w:pPr>
        <w:tabs>
          <w:tab w:val="left" w:pos="247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□价格</w:t>
      </w:r>
      <w:r>
        <w:rPr>
          <w:rFonts w:ascii="宋体" w:hAnsi="宋体" w:cs="宋体"/>
          <w:color w:val="auto"/>
          <w:szCs w:val="21"/>
          <w:highlight w:val="none"/>
        </w:rPr>
        <w:t>优先法</w:t>
      </w:r>
      <w:r>
        <w:rPr>
          <w:rFonts w:hint="eastAsia" w:ascii="宋体" w:hAnsi="宋体" w:cs="宋体"/>
          <w:color w:val="auto"/>
          <w:szCs w:val="21"/>
          <w:highlight w:val="none"/>
        </w:rPr>
        <w:t xml:space="preserve">  </w:t>
      </w:r>
      <w:r>
        <w:rPr>
          <w:rFonts w:ascii="宋体" w:hAnsi="宋体" w:cs="宋体"/>
          <w:color w:val="auto"/>
          <w:szCs w:val="21"/>
          <w:highlight w:val="none"/>
        </w:rPr>
        <w:t>评审小组按征集文件中规定的评审方法和标准，对符合性检查合格的响应文件</w:t>
      </w:r>
      <w:r>
        <w:rPr>
          <w:rFonts w:hint="eastAsia" w:ascii="宋体" w:hAnsi="宋体" w:cs="宋体"/>
          <w:color w:val="auto"/>
          <w:szCs w:val="21"/>
          <w:highlight w:val="none"/>
        </w:rPr>
        <w:t>，</w:t>
      </w:r>
      <w:r>
        <w:rPr>
          <w:rFonts w:ascii="宋体" w:hAnsi="宋体" w:cs="宋体"/>
          <w:color w:val="auto"/>
          <w:szCs w:val="21"/>
          <w:highlight w:val="none"/>
        </w:rPr>
        <w:t>对满足采购需求且响应报价不超过最高限制单价的货物、服务</w:t>
      </w:r>
      <w:r>
        <w:rPr>
          <w:rFonts w:hint="eastAsia" w:ascii="宋体" w:hAnsi="宋体" w:cs="宋体"/>
          <w:color w:val="auto"/>
          <w:szCs w:val="21"/>
          <w:highlight w:val="none"/>
        </w:rPr>
        <w:t>，</w:t>
      </w:r>
      <w:r>
        <w:rPr>
          <w:rFonts w:ascii="宋体" w:hAnsi="宋体" w:cs="宋体"/>
          <w:color w:val="auto"/>
          <w:szCs w:val="21"/>
          <w:highlight w:val="none"/>
        </w:rPr>
        <w:t>按照响应报价从低到高排序，根据征集文件规定的淘汰率或者入围供应商数量上限，确定入围供应商。</w:t>
      </w:r>
    </w:p>
    <w:p w14:paraId="7460613B">
      <w:pPr>
        <w:spacing w:line="360" w:lineRule="auto"/>
        <w:ind w:firstLine="420"/>
        <w:rPr>
          <w:rFonts w:hint="eastAsia"/>
          <w:color w:val="auto"/>
          <w:highlight w:val="none"/>
        </w:rPr>
      </w:pPr>
    </w:p>
    <w:p w14:paraId="6DE634D8">
      <w:pPr>
        <w:tabs>
          <w:tab w:val="left" w:pos="2472"/>
        </w:tabs>
        <w:spacing w:line="460" w:lineRule="exact"/>
        <w:jc w:val="center"/>
        <w:outlineLvl w:val="1"/>
        <w:rPr>
          <w:rFonts w:hint="eastAsia" w:ascii="宋体" w:hAnsi="宋体" w:cs="宋体"/>
          <w:b/>
          <w:bCs/>
          <w:color w:val="auto"/>
          <w:sz w:val="32"/>
          <w:szCs w:val="32"/>
          <w:highlight w:val="none"/>
        </w:rPr>
      </w:pPr>
      <w:bookmarkStart w:id="90" w:name="_Toc15990"/>
      <w:bookmarkStart w:id="91" w:name="_Toc12659"/>
      <w:bookmarkStart w:id="92" w:name="_Toc80093005"/>
      <w:bookmarkStart w:id="93" w:name="_Toc6615"/>
      <w:r>
        <w:rPr>
          <w:rFonts w:hint="eastAsia" w:ascii="宋体" w:hAnsi="宋体" w:cs="宋体"/>
          <w:b/>
          <w:bCs/>
          <w:color w:val="auto"/>
          <w:sz w:val="32"/>
          <w:szCs w:val="32"/>
          <w:highlight w:val="none"/>
        </w:rPr>
        <w:t>第二节 评审程序</w:t>
      </w:r>
      <w:bookmarkEnd w:id="90"/>
      <w:bookmarkEnd w:id="91"/>
      <w:bookmarkEnd w:id="92"/>
      <w:bookmarkEnd w:id="93"/>
    </w:p>
    <w:p w14:paraId="4200503F">
      <w:pPr>
        <w:pStyle w:val="12"/>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highlight w:val="none"/>
        </w:rPr>
      </w:pPr>
      <w:bookmarkStart w:id="94" w:name="_Toc21416"/>
      <w:bookmarkStart w:id="95" w:name="_Toc12200"/>
      <w:r>
        <w:rPr>
          <w:rFonts w:hint="eastAsia" w:ascii="宋体" w:hAnsi="宋体" w:eastAsia="宋体" w:cs="宋体"/>
          <w:b/>
          <w:bCs/>
          <w:color w:val="auto"/>
          <w:highlight w:val="none"/>
        </w:rPr>
        <w:t>1.资格审查</w:t>
      </w:r>
    </w:p>
    <w:p w14:paraId="141CE4B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b/>
          <w:bCs/>
          <w:color w:val="auto"/>
          <w:szCs w:val="21"/>
          <w:highlight w:val="none"/>
        </w:rPr>
        <w:t>开标结束后，</w:t>
      </w:r>
      <w:r>
        <w:rPr>
          <w:rFonts w:hint="eastAsia"/>
          <w:b/>
          <w:color w:val="auto"/>
          <w:highlight w:val="none"/>
        </w:rPr>
        <w:t>资格评审小组</w:t>
      </w:r>
      <w:r>
        <w:rPr>
          <w:rFonts w:hint="eastAsia" w:ascii="宋体" w:hAnsi="宋体"/>
          <w:b/>
          <w:bCs/>
          <w:color w:val="auto"/>
          <w:szCs w:val="20"/>
          <w:highlight w:val="none"/>
        </w:rPr>
        <w:t>依法通过电子投标文件对供应商的资格进行线上审查。</w:t>
      </w:r>
    </w:p>
    <w:p w14:paraId="62F2ED4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1.2</w:t>
      </w:r>
      <w:r>
        <w:rPr>
          <w:rFonts w:hint="eastAsia"/>
          <w:b/>
          <w:color w:val="auto"/>
          <w:highlight w:val="none"/>
        </w:rPr>
        <w:t>资格评审小组</w:t>
      </w:r>
      <w:r>
        <w:rPr>
          <w:rFonts w:hint="eastAsia" w:ascii="宋体" w:hAnsi="宋体" w:cs="宋体"/>
          <w:b/>
          <w:bCs/>
          <w:color w:val="auto"/>
          <w:szCs w:val="21"/>
          <w:highlight w:val="none"/>
        </w:rPr>
        <w:t>依据法律法规和征集文件的规定，对供应商的基本资格条件、特定资格条件进行审查。</w:t>
      </w:r>
    </w:p>
    <w:p w14:paraId="70A701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1.3资格审查标准为本“征集文件”中“供应商须知前附表”13.1点载明对供应商资格要求的条件。本项目资格审查采用合格制，凡符合征集文件规定的供应商资格要求的供应商均通过资格审查。</w:t>
      </w:r>
    </w:p>
    <w:p w14:paraId="5200E79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1.4供应商有下列情形之一的，资格审查不通过，作无效响应处理：</w:t>
      </w:r>
    </w:p>
    <w:p w14:paraId="5012B2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（1）不具备征集文件中规定的资格要求的；（注：其中信用查询规则见“供应商须知前附表”，“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已与“信用中国”平台做接口，审查专家可直接在线查询）</w:t>
      </w:r>
    </w:p>
    <w:p w14:paraId="7175D5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04D9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542817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
          <w:color w:val="auto"/>
          <w:szCs w:val="21"/>
          <w:highlight w:val="none"/>
        </w:rPr>
        <w:t>属于供应商须知正文第9.2条情形的；</w:t>
      </w:r>
    </w:p>
    <w:p w14:paraId="10763A36">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1.5资格审查的合格供应商不足3家的，不得评审。</w:t>
      </w:r>
    </w:p>
    <w:p w14:paraId="1BEE4C4F">
      <w:pPr>
        <w:pStyle w:val="12"/>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2.符合性审查</w:t>
      </w:r>
      <w:bookmarkEnd w:id="94"/>
      <w:bookmarkEnd w:id="95"/>
    </w:p>
    <w:p w14:paraId="39ED88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评审委员会应当对符合资格的供应商的响应文件进行响应报价、商务、技术等实质性内容符合性审查，以确定其是否满足征集文件的实质性要求。</w:t>
      </w:r>
    </w:p>
    <w:p w14:paraId="05308EF1">
      <w:pPr>
        <w:pStyle w:val="12"/>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highlight w:val="none"/>
        </w:rPr>
      </w:pPr>
      <w:bookmarkStart w:id="96" w:name="_Toc2998"/>
      <w:bookmarkStart w:id="97" w:name="_Toc6483"/>
      <w:r>
        <w:rPr>
          <w:rFonts w:hint="eastAsia" w:ascii="宋体" w:hAnsi="宋体" w:eastAsia="宋体" w:cs="宋体"/>
          <w:b/>
          <w:bCs/>
          <w:color w:val="auto"/>
          <w:highlight w:val="none"/>
        </w:rPr>
        <w:t>3.符合性审查不通过而导致响应无效的情形</w:t>
      </w:r>
      <w:bookmarkEnd w:id="96"/>
      <w:bookmarkEnd w:id="97"/>
    </w:p>
    <w:p w14:paraId="1ACB05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供应商的响应文件中存在对征集文件的任何实质性要求和条件的负偏离，将被视为响应无效。</w:t>
      </w:r>
    </w:p>
    <w:p w14:paraId="0F2F002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3.1在报价评审时，如发现下列情形之一的，将被视为响应无效：</w:t>
      </w:r>
    </w:p>
    <w:p w14:paraId="0E4677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（1）响应文件未提供“供应商须知前附表”第13.1条规定中“必须提供”的文件资料的;</w:t>
      </w:r>
    </w:p>
    <w:p w14:paraId="29839F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（2）未采用人民币报价或者未按照征集文件标明的币种报价的；</w:t>
      </w:r>
    </w:p>
    <w:p w14:paraId="2A567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（3）报价超出征集文件规定最高限价，或者超出采购预算金额（包括分项预算）的；</w:t>
      </w:r>
    </w:p>
    <w:p w14:paraId="74EBD1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14:paraId="2F75DD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w:t>
      </w:r>
    </w:p>
    <w:p w14:paraId="269F24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属于供应商须知正文第9.2条情形的；</w:t>
      </w:r>
    </w:p>
    <w:p w14:paraId="31467D6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3.2在商务评审时，如发现下列情形之一的，将被视为响应无效：</w:t>
      </w:r>
    </w:p>
    <w:p w14:paraId="6D12C2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（1）响应文件未按征集文件要求签署、盖章的；</w:t>
      </w:r>
    </w:p>
    <w:p w14:paraId="63E4D9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3AD22D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（3）响应文件未提供“供应商须知前附表”第13.1条规定中“必须提供”或者“委托时必须提供”的文件资料的;</w:t>
      </w:r>
    </w:p>
    <w:p w14:paraId="404401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（4）响应有效期、项目完成时间（交货时间、服务完成时间或者服务期等）、质保期、售后服务等征集文件入围“▲”的商务条款发生负偏离的；</w:t>
      </w:r>
    </w:p>
    <w:p w14:paraId="4B3A6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（5）商务条款评审允许负偏离的条款数超过“供应商须知前附表”规定项数的。</w:t>
      </w:r>
    </w:p>
    <w:p w14:paraId="46CD67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（6）响应文件的实质性内容未使用中文表述、使用计量单位不符合征集文件要求的；</w:t>
      </w:r>
    </w:p>
    <w:p w14:paraId="02C900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（7）响应文件中的文件资料因填写不齐全或者内容虚假或者出现其他情形而导致被评审委员会认定无效的；</w:t>
      </w:r>
    </w:p>
    <w:p w14:paraId="35A862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（8）响应文件含有征集人不能接受的附加条件的；</w:t>
      </w:r>
    </w:p>
    <w:p w14:paraId="4F3952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（9）未响应征集文件实质性要求的；</w:t>
      </w:r>
    </w:p>
    <w:p w14:paraId="694B6343">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（10）</w:t>
      </w:r>
      <w:r>
        <w:rPr>
          <w:rFonts w:hint="eastAsia" w:ascii="宋体" w:hAnsi="宋体" w:cs="宋体"/>
          <w:b/>
          <w:color w:val="auto"/>
          <w:szCs w:val="21"/>
          <w:highlight w:val="none"/>
        </w:rPr>
        <w:t>属于供应商须知正文第9.2条情形的；</w:t>
      </w:r>
    </w:p>
    <w:p w14:paraId="7007B3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（11）法律、法规和征集文件规定的其他无效情形。</w:t>
      </w:r>
    </w:p>
    <w:p w14:paraId="00542B9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3.3在技术评审时，如发现下列情形之一的，将被视为响应无效：</w:t>
      </w:r>
    </w:p>
    <w:p w14:paraId="678556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（1）不满足征集文件要求的服务内容、技术要求、安全、质量标准，或者与征集文件入围“▲”的技术需求发生负偏离的；</w:t>
      </w:r>
    </w:p>
    <w:p w14:paraId="186E35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（2）响应文件未提供“供应商须知前附表”第13.1条规定中“必须提供”的文件资料的;</w:t>
      </w:r>
    </w:p>
    <w:p w14:paraId="7CFECA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（3）虚假响应，或者出现其他情形而导致被评审委员会认定无效的；</w:t>
      </w:r>
    </w:p>
    <w:p w14:paraId="7D7358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（4）响应技术方案不明确，征集文件未允许但存在一个或者一个以上备选（替代）响应方案的。</w:t>
      </w:r>
    </w:p>
    <w:p w14:paraId="2CF74C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
          <w:color w:val="auto"/>
          <w:szCs w:val="21"/>
          <w:highlight w:val="none"/>
        </w:rPr>
        <w:t>属于供应商须知正文第9.2条情形的；</w:t>
      </w:r>
    </w:p>
    <w:p w14:paraId="54C903B6">
      <w:pPr>
        <w:pStyle w:val="12"/>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bookmarkStart w:id="98" w:name="_Toc6463"/>
      <w:bookmarkStart w:id="99" w:name="_Toc18122"/>
      <w:r>
        <w:rPr>
          <w:rFonts w:hint="eastAsia"/>
          <w:b/>
          <w:bCs/>
          <w:color w:val="auto"/>
          <w:highlight w:val="none"/>
        </w:rPr>
        <w:t>3.澄清补正、说明或者补正</w:t>
      </w:r>
      <w:bookmarkEnd w:id="98"/>
      <w:bookmarkEnd w:id="99"/>
    </w:p>
    <w:p w14:paraId="24C14F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对响应文件中含义不明确、同类问题表述不一致或者有明显文字和计算错误的内容，评审委员会应在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发布电子澄清函，要求供应商在规定时间内作出必要的澄清、说明或者补正。供应商在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14:paraId="053CE7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14:paraId="2AD53CD8">
      <w:pPr>
        <w:pStyle w:val="12"/>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highlight w:val="none"/>
        </w:rPr>
      </w:pPr>
      <w:bookmarkStart w:id="100" w:name="_Toc26183"/>
      <w:bookmarkStart w:id="101" w:name="_Toc17567"/>
      <w:r>
        <w:rPr>
          <w:rFonts w:hint="eastAsia" w:ascii="宋体" w:hAnsi="宋体" w:eastAsia="宋体" w:cs="宋体"/>
          <w:b/>
          <w:bCs/>
          <w:color w:val="auto"/>
          <w:highlight w:val="none"/>
        </w:rPr>
        <w:t>4.比较与评价</w:t>
      </w:r>
      <w:bookmarkEnd w:id="100"/>
      <w:bookmarkEnd w:id="101"/>
    </w:p>
    <w:p w14:paraId="4B1B69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（1）评审委员会按照征集文件中规定的评审方法和评审标准，对符合性审查合格的响应文件进行商务和技术评估，综合比较与评价。</w:t>
      </w:r>
    </w:p>
    <w:p w14:paraId="530602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（2）评审委员会独立对每个供应商的响应文件进行评价，并汇总每个供应商的得分。</w:t>
      </w:r>
    </w:p>
    <w:p w14:paraId="5B6B85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（3）各供应商的得分为所有评委的有效评分的算术平均数。</w:t>
      </w:r>
    </w:p>
    <w:p w14:paraId="068AC4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（4）评审委员会按照征集文件中的规定推荐入围候选人。</w:t>
      </w:r>
    </w:p>
    <w:p w14:paraId="41AD8E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14:paraId="58FCAD81">
      <w:pPr>
        <w:keepNext/>
        <w:keepLines/>
        <w:spacing w:line="360" w:lineRule="auto"/>
        <w:jc w:val="center"/>
        <w:outlineLvl w:val="1"/>
        <w:rPr>
          <w:rFonts w:hint="eastAsia" w:ascii="宋体" w:hAnsi="宋体" w:cs="宋体"/>
          <w:bCs/>
          <w:color w:val="auto"/>
          <w:sz w:val="30"/>
          <w:szCs w:val="30"/>
          <w:highlight w:val="none"/>
        </w:rPr>
      </w:pPr>
      <w:bookmarkStart w:id="102" w:name="_Toc80093006"/>
      <w:r>
        <w:rPr>
          <w:rFonts w:hint="eastAsia" w:ascii="宋体" w:hAnsi="宋体" w:cs="宋体"/>
          <w:bCs/>
          <w:color w:val="auto"/>
          <w:sz w:val="30"/>
          <w:szCs w:val="30"/>
          <w:highlight w:val="none"/>
        </w:rPr>
        <w:br w:type="page"/>
      </w:r>
      <w:bookmarkStart w:id="103" w:name="_Toc1760"/>
      <w:bookmarkStart w:id="104" w:name="_Toc10052"/>
      <w:bookmarkStart w:id="105" w:name="_Toc13540"/>
      <w:r>
        <w:rPr>
          <w:rFonts w:hint="eastAsia" w:ascii="宋体" w:hAnsi="宋体" w:cs="宋体"/>
          <w:b/>
          <w:bCs/>
          <w:color w:val="auto"/>
          <w:sz w:val="32"/>
          <w:szCs w:val="32"/>
          <w:highlight w:val="none"/>
        </w:rPr>
        <w:t>第三节 评分标准</w:t>
      </w:r>
      <w:bookmarkEnd w:id="102"/>
      <w:bookmarkEnd w:id="103"/>
      <w:bookmarkEnd w:id="104"/>
      <w:bookmarkEnd w:id="105"/>
    </w:p>
    <w:p w14:paraId="158901D3">
      <w:pPr>
        <w:spacing w:line="360" w:lineRule="auto"/>
        <w:jc w:val="center"/>
        <w:rPr>
          <w:rFonts w:hint="eastAsia" w:ascii="Times New Roman" w:hAnsi="Times New Roman"/>
          <w:b/>
          <w:color w:val="auto"/>
          <w:sz w:val="30"/>
          <w:szCs w:val="30"/>
          <w:highlight w:val="none"/>
        </w:rPr>
      </w:pPr>
      <w:bookmarkStart w:id="106" w:name="PO_TDCUS_ITEM_SM_TABLE_1"/>
      <w:bookmarkEnd w:id="106"/>
      <w:bookmarkStart w:id="107" w:name="_Toc80093007"/>
      <w:r>
        <w:rPr>
          <w:rFonts w:hint="eastAsia" w:ascii="宋体" w:hAnsi="宋体" w:cs="宋体"/>
          <w:b/>
          <w:bCs/>
          <w:color w:val="auto"/>
          <w:sz w:val="32"/>
          <w:szCs w:val="32"/>
          <w:highlight w:val="none"/>
        </w:rPr>
        <w:t>评分标准</w:t>
      </w:r>
    </w:p>
    <w:p w14:paraId="40639538">
      <w:pPr>
        <w:numPr>
          <w:ilvl w:val="0"/>
          <w:numId w:val="1"/>
        </w:numPr>
        <w:spacing w:line="360" w:lineRule="auto"/>
        <w:ind w:left="525" w:leftChars="0" w:firstLine="0" w:firstLineChars="0"/>
        <w:rPr>
          <w:rFonts w:hint="eastAsia" w:ascii="宋体" w:hAnsi="宋体" w:cs="宋体"/>
          <w:color w:val="auto"/>
          <w:szCs w:val="21"/>
          <w:highlight w:val="none"/>
        </w:rPr>
      </w:pPr>
      <w:r>
        <w:rPr>
          <w:rFonts w:hint="eastAsia" w:ascii="宋体" w:hAnsi="宋体" w:cs="宋体"/>
          <w:b/>
          <w:color w:val="auto"/>
          <w:szCs w:val="21"/>
          <w:highlight w:val="none"/>
        </w:rPr>
        <w:t>据质量优先法的评审原则，</w:t>
      </w:r>
      <w:r>
        <w:rPr>
          <w:rFonts w:hint="eastAsia"/>
          <w:b/>
          <w:color w:val="auto"/>
          <w:szCs w:val="21"/>
          <w:highlight w:val="none"/>
        </w:rPr>
        <w:t>本项目评分满分100分，其中</w:t>
      </w:r>
      <w:r>
        <w:rPr>
          <w:rFonts w:hint="eastAsia"/>
          <w:b/>
          <w:color w:val="auto"/>
          <w:szCs w:val="21"/>
          <w:highlight w:val="none"/>
          <w:lang w:eastAsia="zh-CN"/>
        </w:rPr>
        <w:t>价格</w:t>
      </w:r>
      <w:r>
        <w:rPr>
          <w:rFonts w:hint="eastAsia"/>
          <w:b/>
          <w:color w:val="auto"/>
          <w:szCs w:val="21"/>
          <w:highlight w:val="none"/>
        </w:rPr>
        <w:t>分</w:t>
      </w:r>
      <w:r>
        <w:rPr>
          <w:rFonts w:hint="eastAsia"/>
          <w:b/>
          <w:color w:val="auto"/>
          <w:szCs w:val="21"/>
          <w:highlight w:val="none"/>
          <w:lang w:val="en-US" w:eastAsia="zh-CN"/>
        </w:rPr>
        <w:t>20分，</w:t>
      </w:r>
      <w:r>
        <w:rPr>
          <w:rFonts w:hint="eastAsia"/>
          <w:b/>
          <w:color w:val="auto"/>
          <w:szCs w:val="21"/>
          <w:highlight w:val="none"/>
        </w:rPr>
        <w:t>技术分</w:t>
      </w:r>
      <w:r>
        <w:rPr>
          <w:rFonts w:hint="eastAsia"/>
          <w:b/>
          <w:color w:val="auto"/>
          <w:szCs w:val="21"/>
          <w:highlight w:val="none"/>
          <w:lang w:val="en-US" w:eastAsia="zh-CN"/>
        </w:rPr>
        <w:t>42</w:t>
      </w:r>
      <w:r>
        <w:rPr>
          <w:rFonts w:hint="eastAsia"/>
          <w:b/>
          <w:color w:val="auto"/>
          <w:szCs w:val="21"/>
          <w:highlight w:val="none"/>
        </w:rPr>
        <w:t>，商务</w:t>
      </w:r>
      <w:r>
        <w:rPr>
          <w:rFonts w:hint="eastAsia"/>
          <w:b/>
          <w:color w:val="auto"/>
          <w:szCs w:val="21"/>
          <w:highlight w:val="none"/>
          <w:lang w:val="en-US" w:eastAsia="zh-CN"/>
        </w:rPr>
        <w:t>38</w:t>
      </w:r>
      <w:r>
        <w:rPr>
          <w:rFonts w:hint="eastAsia"/>
          <w:b/>
          <w:color w:val="auto"/>
          <w:szCs w:val="21"/>
          <w:highlight w:val="none"/>
        </w:rPr>
        <w:t>分</w:t>
      </w:r>
      <w:r>
        <w:rPr>
          <w:rFonts w:hint="eastAsia" w:ascii="宋体" w:hAnsi="宋体" w:cs="宋体"/>
          <w:color w:val="auto"/>
          <w:szCs w:val="21"/>
          <w:highlight w:val="none"/>
        </w:rPr>
        <w:t>。评标委员会以征集文件为依据，</w:t>
      </w:r>
      <w:r>
        <w:rPr>
          <w:rFonts w:hint="eastAsia" w:ascii="宋体" w:hAnsi="宋体" w:eastAsia="宋体" w:cs="Calibri"/>
          <w:color w:val="auto"/>
          <w:szCs w:val="21"/>
          <w:highlight w:val="none"/>
        </w:rPr>
        <w:t>对投标人的投标报价、技术文件及商务文件等三部分内容按百分制打分</w:t>
      </w:r>
      <w:r>
        <w:rPr>
          <w:rFonts w:hint="eastAsia" w:ascii="宋体" w:hAnsi="宋体" w:cs="宋体"/>
          <w:color w:val="auto"/>
          <w:szCs w:val="21"/>
          <w:highlight w:val="none"/>
        </w:rPr>
        <w:t>打分</w:t>
      </w:r>
      <w:r>
        <w:rPr>
          <w:rFonts w:hint="eastAsia" w:ascii="宋体" w:hAnsi="宋体" w:cs="宋体"/>
          <w:bCs/>
          <w:color w:val="auto"/>
          <w:szCs w:val="21"/>
          <w:highlight w:val="none"/>
        </w:rPr>
        <w:t>。</w:t>
      </w:r>
      <w:r>
        <w:rPr>
          <w:rFonts w:hint="eastAsia" w:ascii="宋体" w:hAnsi="宋体" w:cs="宋体"/>
          <w:color w:val="auto"/>
          <w:szCs w:val="21"/>
          <w:highlight w:val="none"/>
        </w:rPr>
        <w:t>（评审时，对于带有主观因素的评分，由评委独立评审、打分。）</w:t>
      </w:r>
    </w:p>
    <w:p w14:paraId="679BDF12">
      <w:pPr>
        <w:spacing w:line="360" w:lineRule="auto"/>
        <w:ind w:firstLine="420"/>
        <w:rPr>
          <w:rFonts w:hint="eastAsia"/>
          <w:color w:val="auto"/>
          <w:highlight w:val="none"/>
        </w:rPr>
      </w:pPr>
      <w:r>
        <w:rPr>
          <w:rFonts w:hint="eastAsia" w:ascii="宋体" w:hAnsi="宋体"/>
          <w:color w:val="auto"/>
          <w:szCs w:val="21"/>
          <w:highlight w:val="none"/>
        </w:rPr>
        <w:t>（二）评分细则：（按四舍五入取至小数点后</w:t>
      </w:r>
      <w:r>
        <w:rPr>
          <w:rFonts w:hint="eastAsia" w:ascii="宋体" w:hAnsi="宋体"/>
          <w:color w:val="auto"/>
          <w:szCs w:val="21"/>
          <w:highlight w:val="none"/>
          <w:lang w:eastAsia="zh-CN"/>
        </w:rPr>
        <w:t>两</w:t>
      </w:r>
      <w:r>
        <w:rPr>
          <w:rFonts w:hint="eastAsia" w:ascii="宋体" w:hAnsi="宋体"/>
          <w:color w:val="auto"/>
          <w:szCs w:val="21"/>
          <w:highlight w:val="none"/>
        </w:rPr>
        <w:t>位）</w:t>
      </w:r>
    </w:p>
    <w:tbl>
      <w:tblPr>
        <w:tblStyle w:val="25"/>
        <w:tblW w:w="52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96"/>
        <w:gridCol w:w="7115"/>
        <w:gridCol w:w="1330"/>
      </w:tblGrid>
      <w:tr w14:paraId="5A84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724170A6">
            <w:pPr>
              <w:pStyle w:val="15"/>
              <w:spacing w:line="360" w:lineRule="auto"/>
              <w:rPr>
                <w:rFonts w:hint="eastAsia" w:hAnsi="宋体" w:cs="宋体"/>
                <w:color w:val="auto"/>
                <w:highlight w:val="none"/>
              </w:rPr>
            </w:pPr>
            <w:r>
              <w:rPr>
                <w:rFonts w:hint="eastAsia" w:hAnsi="宋体" w:cs="宋体"/>
                <w:color w:val="auto"/>
                <w:highlight w:val="none"/>
              </w:rPr>
              <w:t>序号</w:t>
            </w:r>
          </w:p>
        </w:tc>
        <w:tc>
          <w:tcPr>
            <w:tcW w:w="622" w:type="pct"/>
            <w:noWrap w:val="0"/>
            <w:vAlign w:val="center"/>
          </w:tcPr>
          <w:p w14:paraId="156219DA">
            <w:pPr>
              <w:pStyle w:val="15"/>
              <w:spacing w:line="360" w:lineRule="auto"/>
              <w:rPr>
                <w:rFonts w:hint="eastAsia" w:hAnsi="宋体" w:cs="宋体"/>
                <w:color w:val="auto"/>
                <w:highlight w:val="none"/>
              </w:rPr>
            </w:pPr>
            <w:r>
              <w:rPr>
                <w:rFonts w:hint="eastAsia" w:hAnsi="宋体" w:cs="宋体"/>
                <w:color w:val="auto"/>
                <w:highlight w:val="none"/>
              </w:rPr>
              <w:t>评分类型</w:t>
            </w:r>
          </w:p>
        </w:tc>
        <w:tc>
          <w:tcPr>
            <w:tcW w:w="3415" w:type="pct"/>
            <w:noWrap w:val="0"/>
            <w:vAlign w:val="center"/>
          </w:tcPr>
          <w:p w14:paraId="416B4455">
            <w:pPr>
              <w:pStyle w:val="15"/>
              <w:spacing w:line="360" w:lineRule="auto"/>
              <w:rPr>
                <w:rFonts w:hint="eastAsia" w:hAnsi="宋体" w:cs="宋体"/>
                <w:color w:val="auto"/>
                <w:highlight w:val="none"/>
              </w:rPr>
            </w:pPr>
            <w:r>
              <w:rPr>
                <w:rFonts w:hint="eastAsia" w:hAnsi="宋体" w:cs="宋体"/>
                <w:color w:val="auto"/>
                <w:highlight w:val="none"/>
              </w:rPr>
              <w:t>评分标准</w:t>
            </w:r>
          </w:p>
        </w:tc>
        <w:tc>
          <w:tcPr>
            <w:tcW w:w="638" w:type="pct"/>
            <w:noWrap w:val="0"/>
            <w:vAlign w:val="center"/>
          </w:tcPr>
          <w:p w14:paraId="38964C59">
            <w:pPr>
              <w:pStyle w:val="15"/>
              <w:spacing w:line="360" w:lineRule="auto"/>
              <w:jc w:val="center"/>
              <w:rPr>
                <w:rFonts w:hint="eastAsia" w:hAnsi="宋体" w:cs="宋体"/>
                <w:color w:val="auto"/>
                <w:highlight w:val="none"/>
              </w:rPr>
            </w:pPr>
            <w:r>
              <w:rPr>
                <w:rFonts w:hint="eastAsia" w:hAnsi="宋体" w:cs="宋体"/>
                <w:color w:val="auto"/>
                <w:highlight w:val="none"/>
              </w:rPr>
              <w:t>分值</w:t>
            </w:r>
          </w:p>
        </w:tc>
      </w:tr>
      <w:tr w14:paraId="636A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3052BED1">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2" w:type="pct"/>
            <w:noWrap w:val="0"/>
            <w:vAlign w:val="center"/>
          </w:tcPr>
          <w:p w14:paraId="1CEC96CF">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报价分</w:t>
            </w:r>
          </w:p>
        </w:tc>
        <w:tc>
          <w:tcPr>
            <w:tcW w:w="3415" w:type="pct"/>
            <w:noWrap w:val="0"/>
            <w:vAlign w:val="center"/>
          </w:tcPr>
          <w:p w14:paraId="7B07C49B">
            <w:pPr>
              <w:snapToGrid w:val="0"/>
              <w:spacing w:line="360" w:lineRule="auto"/>
              <w:ind w:firstLine="233" w:firstLineChars="111"/>
              <w:rPr>
                <w:rFonts w:hint="eastAsia" w:ascii="宋体" w:hAnsi="宋体" w:eastAsia="宋体" w:cs="Calibri"/>
                <w:color w:val="auto"/>
                <w:szCs w:val="21"/>
                <w:highlight w:val="none"/>
              </w:rPr>
            </w:pPr>
            <w:r>
              <w:rPr>
                <w:rFonts w:hint="eastAsia" w:ascii="宋体" w:hAnsi="宋体"/>
                <w:bCs/>
                <w:color w:val="auto"/>
                <w:szCs w:val="21"/>
                <w:highlight w:val="none"/>
              </w:rPr>
              <w:t>（1）</w:t>
            </w:r>
            <w:r>
              <w:rPr>
                <w:rFonts w:hint="eastAsia" w:ascii="宋体" w:hAnsi="宋体" w:eastAsia="宋体" w:cs="Calibri"/>
                <w:color w:val="auto"/>
                <w:szCs w:val="21"/>
                <w:highlight w:val="none"/>
              </w:rPr>
              <w:t>本项目为专门面向中小企业采购的项目，按照《政府采购促进中小企业发展管理办法》（财库〔2020〕46号）的规定，对供应商最后报价不再执行价格 评审优惠的扶持政策。</w:t>
            </w:r>
            <w:r>
              <w:rPr>
                <w:rFonts w:hint="eastAsia" w:ascii="宋体" w:hAnsi="宋体"/>
                <w:bCs/>
                <w:color w:val="auto"/>
                <w:szCs w:val="21"/>
                <w:highlight w:val="none"/>
              </w:rPr>
              <w:t>最终成交人的成交金额等于</w:t>
            </w:r>
            <w:r>
              <w:rPr>
                <w:rFonts w:hint="eastAsia"/>
                <w:color w:val="auto"/>
                <w:highlight w:val="none"/>
              </w:rPr>
              <w:t>最后报价</w:t>
            </w:r>
            <w:r>
              <w:rPr>
                <w:rFonts w:hint="eastAsia" w:ascii="宋体" w:hAnsi="宋体"/>
                <w:bCs/>
                <w:color w:val="auto"/>
                <w:szCs w:val="21"/>
                <w:highlight w:val="none"/>
              </w:rPr>
              <w:t>。</w:t>
            </w:r>
          </w:p>
          <w:p w14:paraId="2F24F8D5">
            <w:pPr>
              <w:snapToGrid w:val="0"/>
              <w:spacing w:line="360" w:lineRule="auto"/>
              <w:ind w:firstLine="233" w:firstLineChars="111"/>
              <w:rPr>
                <w:rFonts w:hint="eastAsia" w:ascii="宋体" w:hAnsi="宋体" w:eastAsia="宋体" w:cs="Calibri"/>
                <w:color w:val="auto"/>
                <w:szCs w:val="21"/>
                <w:highlight w:val="none"/>
              </w:rPr>
            </w:pPr>
            <w:r>
              <w:rPr>
                <w:rFonts w:hint="eastAsia" w:ascii="宋体" w:hAnsi="宋体" w:eastAsia="宋体" w:cs="Calibri"/>
                <w:color w:val="auto"/>
                <w:szCs w:val="21"/>
                <w:highlight w:val="none"/>
              </w:rPr>
              <w:t>（</w:t>
            </w:r>
            <w:r>
              <w:rPr>
                <w:rFonts w:hint="eastAsia" w:ascii="宋体" w:hAnsi="宋体" w:cs="Calibri"/>
                <w:color w:val="auto"/>
                <w:szCs w:val="21"/>
                <w:highlight w:val="none"/>
                <w:lang w:val="en-US" w:eastAsia="zh-CN"/>
              </w:rPr>
              <w:t>2</w:t>
            </w:r>
            <w:r>
              <w:rPr>
                <w:rFonts w:hint="eastAsia" w:ascii="宋体" w:hAnsi="宋体" w:eastAsia="宋体" w:cs="Calibri"/>
                <w:color w:val="auto"/>
                <w:szCs w:val="21"/>
                <w:highlight w:val="none"/>
              </w:rPr>
              <w:t>）满足</w:t>
            </w:r>
            <w:r>
              <w:rPr>
                <w:rFonts w:hint="eastAsia" w:ascii="宋体" w:hAnsi="宋体" w:cs="Calibri"/>
                <w:color w:val="auto"/>
                <w:szCs w:val="21"/>
                <w:highlight w:val="none"/>
                <w:lang w:eastAsia="zh-CN"/>
              </w:rPr>
              <w:t>征集文件</w:t>
            </w:r>
            <w:r>
              <w:rPr>
                <w:rFonts w:hint="eastAsia" w:ascii="宋体" w:hAnsi="宋体" w:eastAsia="宋体" w:cs="Calibri"/>
                <w:color w:val="auto"/>
                <w:szCs w:val="21"/>
                <w:highlight w:val="none"/>
              </w:rPr>
              <w:t>要求且评标报价最低的评标报价为评标基准价，其价格分为满分。</w:t>
            </w:r>
          </w:p>
          <w:p w14:paraId="7455200E">
            <w:pPr>
              <w:snapToGrid w:val="0"/>
              <w:spacing w:line="360" w:lineRule="auto"/>
              <w:ind w:firstLine="233" w:firstLineChars="111"/>
              <w:rPr>
                <w:rFonts w:hint="eastAsia" w:ascii="宋体" w:hAnsi="宋体" w:eastAsia="宋体" w:cs="宋体"/>
                <w:color w:val="auto"/>
                <w:sz w:val="21"/>
                <w:szCs w:val="21"/>
                <w:highlight w:val="none"/>
              </w:rPr>
            </w:pPr>
            <w:r>
              <w:rPr>
                <w:rFonts w:hint="eastAsia" w:ascii="宋体" w:hAnsi="宋体" w:cs="Calibri"/>
                <w:color w:val="auto"/>
                <w:szCs w:val="21"/>
                <w:highlight w:val="none"/>
                <w:lang w:eastAsia="zh-CN"/>
              </w:rPr>
              <w:t>（</w:t>
            </w:r>
            <w:r>
              <w:rPr>
                <w:rFonts w:hint="eastAsia" w:ascii="宋体" w:hAnsi="宋体" w:cs="Calibri"/>
                <w:color w:val="auto"/>
                <w:szCs w:val="21"/>
                <w:highlight w:val="none"/>
                <w:lang w:val="en-US" w:eastAsia="zh-CN"/>
              </w:rPr>
              <w:t>3</w:t>
            </w:r>
            <w:r>
              <w:rPr>
                <w:rFonts w:hint="eastAsia" w:ascii="宋体" w:hAnsi="宋体" w:cs="Calibri"/>
                <w:color w:val="auto"/>
                <w:szCs w:val="21"/>
                <w:highlight w:val="none"/>
                <w:lang w:eastAsia="zh-CN"/>
              </w:rPr>
              <w:t>）</w:t>
            </w:r>
            <w:r>
              <w:rPr>
                <w:rFonts w:hint="eastAsia" w:ascii="宋体" w:hAnsi="宋体" w:eastAsia="宋体" w:cs="Calibri"/>
                <w:color w:val="auto"/>
                <w:szCs w:val="21"/>
                <w:highlight w:val="none"/>
              </w:rPr>
              <w:t>价格分计算公式：</w:t>
            </w:r>
            <w:r>
              <w:rPr>
                <w:rFonts w:hint="eastAsia" w:ascii="宋体" w:hAnsi="宋体" w:eastAsia="宋体" w:cs="Calibri"/>
                <w:color w:val="auto"/>
                <w:spacing w:val="-4"/>
                <w:szCs w:val="21"/>
                <w:highlight w:val="none"/>
              </w:rPr>
              <w:t xml:space="preserve">          </w:t>
            </w:r>
            <w:r>
              <w:rPr>
                <w:rFonts w:hint="eastAsia" w:ascii="宋体" w:hAnsi="宋体" w:eastAsia="宋体" w:cs="Calibri"/>
                <w:color w:val="auto"/>
                <w:spacing w:val="-4"/>
                <w:szCs w:val="21"/>
                <w:highlight w:val="none"/>
                <w:lang w:val="en-US" w:eastAsia="zh-CN"/>
              </w:rPr>
              <w:t xml:space="preserve">   </w:t>
            </w:r>
          </w:p>
          <w:p w14:paraId="1E1880B7">
            <w:pPr>
              <w:pStyle w:val="15"/>
              <w:numPr>
                <w:ilvl w:val="0"/>
                <w:numId w:val="0"/>
              </w:numPr>
              <w:spacing w:line="420" w:lineRule="exact"/>
              <w:ind w:left="0" w:leftChars="0" w:firstLine="400" w:firstLineChars="0"/>
              <w:outlineLvl w:val="0"/>
              <w:rPr>
                <w:rFonts w:hAnsi="宋体" w:cs="Arial"/>
                <w:color w:val="auto"/>
                <w:highlight w:val="none"/>
              </w:rPr>
            </w:pPr>
            <w:bookmarkStart w:id="108" w:name="_Toc5568"/>
            <w:bookmarkStart w:id="109" w:name="_Toc255201814"/>
            <w:bookmarkStart w:id="110" w:name="_Toc252442804"/>
            <w:r>
              <w:rPr>
                <w:rFonts w:hint="eastAsia" w:ascii="宋体" w:hAnsi="宋体" w:eastAsia="宋体" w:cs="Arial"/>
                <w:color w:val="auto"/>
                <w:kern w:val="0"/>
                <w:sz w:val="20"/>
                <w:szCs w:val="20"/>
                <w:highlight w:val="none"/>
                <w:lang w:val="en-US" w:eastAsia="zh-CN" w:bidi="ar-SA"/>
              </w:rPr>
              <w:t>①</w:t>
            </w:r>
            <w:r>
              <w:rPr>
                <w:rFonts w:hint="eastAsia"/>
                <w:color w:val="auto"/>
                <w:highlight w:val="none"/>
              </w:rPr>
              <w:t>工时费优惠率</w:t>
            </w:r>
            <w:r>
              <w:rPr>
                <w:rFonts w:hint="eastAsia" w:hAnsi="宋体" w:cs="Arial"/>
                <w:color w:val="auto"/>
                <w:highlight w:val="none"/>
              </w:rPr>
              <w:t xml:space="preserve">分 </w:t>
            </w:r>
            <w:r>
              <w:rPr>
                <w:rFonts w:hint="eastAsia" w:ascii="宋体" w:hAnsi="宋体" w:eastAsia="宋体" w:cs="Calibri"/>
                <w:b/>
                <w:color w:val="auto"/>
                <w:szCs w:val="21"/>
                <w:highlight w:val="none"/>
              </w:rPr>
              <w:t>……………………………………………</w:t>
            </w:r>
            <w:r>
              <w:rPr>
                <w:rFonts w:hint="eastAsia" w:hAnsi="宋体" w:cs="Arial"/>
                <w:color w:val="auto"/>
                <w:highlight w:val="none"/>
              </w:rPr>
              <w:t xml:space="preserve">  </w:t>
            </w:r>
            <w:r>
              <w:rPr>
                <w:rFonts w:hint="eastAsia" w:hAnsi="宋体" w:cs="Arial"/>
                <w:color w:val="auto"/>
                <w:highlight w:val="none"/>
                <w:lang w:val="en-US" w:eastAsia="zh-CN"/>
              </w:rPr>
              <w:t>10</w:t>
            </w:r>
            <w:r>
              <w:rPr>
                <w:rFonts w:hint="eastAsia" w:hAnsi="宋体" w:cs="Arial"/>
                <w:color w:val="auto"/>
                <w:highlight w:val="none"/>
              </w:rPr>
              <w:t>分</w:t>
            </w:r>
            <w:bookmarkEnd w:id="108"/>
            <w:bookmarkEnd w:id="109"/>
            <w:bookmarkEnd w:id="110"/>
          </w:p>
          <w:p w14:paraId="053CA9A9">
            <w:pPr>
              <w:pStyle w:val="15"/>
              <w:ind w:firstLine="1000" w:firstLineChars="500"/>
              <w:outlineLvl w:val="0"/>
              <w:rPr>
                <w:rFonts w:hint="eastAsia" w:eastAsia="宋体"/>
                <w:color w:val="auto"/>
                <w:highlight w:val="none"/>
                <w:lang w:eastAsia="zh-CN"/>
              </w:rPr>
            </w:pPr>
            <w:bookmarkStart w:id="111" w:name="_Toc252442806"/>
            <w:bookmarkStart w:id="112" w:name="_Toc255201816"/>
            <w:bookmarkStart w:id="113" w:name="_Toc12760"/>
            <w:r>
              <w:rPr>
                <w:rFonts w:hint="eastAsia"/>
                <w:color w:val="auto"/>
                <w:highlight w:val="none"/>
              </w:rPr>
              <w:t xml:space="preserve">工时费优惠率得分=  </w:t>
            </w:r>
            <w:r>
              <w:rPr>
                <w:rFonts w:hint="eastAsia"/>
                <w:color w:val="auto"/>
                <w:highlight w:val="none"/>
              </w:rPr>
              <w:fldChar w:fldCharType="begin"/>
            </w:r>
            <w:r>
              <w:rPr>
                <w:rFonts w:hint="eastAsia"/>
                <w:color w:val="auto"/>
                <w:highlight w:val="none"/>
              </w:rPr>
              <w:instrText xml:space="preserve"> EQ \F(投标人工时费优惠率,投标人最高工时费优惠率)</w:instrText>
            </w:r>
            <w:r>
              <w:rPr>
                <w:rFonts w:hint="eastAsia"/>
                <w:color w:val="auto"/>
                <w:highlight w:val="none"/>
              </w:rPr>
              <w:fldChar w:fldCharType="end"/>
            </w:r>
            <w:r>
              <w:rPr>
                <w:rFonts w:hint="eastAsia"/>
                <w:color w:val="auto"/>
                <w:highlight w:val="none"/>
              </w:rPr>
              <w:t>×</w:t>
            </w:r>
            <w:bookmarkEnd w:id="111"/>
            <w:bookmarkEnd w:id="112"/>
            <w:r>
              <w:rPr>
                <w:rFonts w:hint="eastAsia"/>
                <w:color w:val="auto"/>
                <w:highlight w:val="none"/>
              </w:rPr>
              <w:t>1</w:t>
            </w:r>
            <w:r>
              <w:rPr>
                <w:rFonts w:hint="eastAsia"/>
                <w:color w:val="auto"/>
                <w:highlight w:val="none"/>
                <w:lang w:val="en-US" w:eastAsia="zh-CN"/>
              </w:rPr>
              <w:t>0</w:t>
            </w:r>
            <w:bookmarkEnd w:id="113"/>
          </w:p>
          <w:p w14:paraId="7BA2E127">
            <w:pPr>
              <w:pStyle w:val="15"/>
              <w:outlineLvl w:val="0"/>
              <w:rPr>
                <w:rFonts w:hAnsi="宋体" w:cs="Arial"/>
                <w:color w:val="auto"/>
                <w:highlight w:val="none"/>
              </w:rPr>
            </w:pPr>
          </w:p>
          <w:p w14:paraId="7F2916CB">
            <w:pPr>
              <w:pStyle w:val="15"/>
              <w:numPr>
                <w:ilvl w:val="0"/>
                <w:numId w:val="0"/>
              </w:numPr>
              <w:ind w:left="0" w:leftChars="0" w:firstLine="400" w:firstLineChars="0"/>
              <w:outlineLvl w:val="0"/>
              <w:rPr>
                <w:rFonts w:hAnsi="宋体" w:cs="Arial"/>
                <w:color w:val="auto"/>
                <w:highlight w:val="none"/>
              </w:rPr>
            </w:pPr>
            <w:bookmarkStart w:id="114" w:name="_Toc252442807"/>
            <w:bookmarkStart w:id="115" w:name="_Toc255201817"/>
            <w:bookmarkStart w:id="116" w:name="_Toc24790"/>
            <w:r>
              <w:rPr>
                <w:rFonts w:hint="eastAsia" w:ascii="宋体" w:hAnsi="宋体" w:eastAsia="宋体" w:cs="Arial"/>
                <w:color w:val="auto"/>
                <w:kern w:val="0"/>
                <w:sz w:val="20"/>
                <w:szCs w:val="20"/>
                <w:highlight w:val="none"/>
                <w:lang w:val="en-US" w:eastAsia="zh-CN" w:bidi="ar-SA"/>
              </w:rPr>
              <w:t>②</w:t>
            </w:r>
            <w:r>
              <w:rPr>
                <w:rFonts w:hint="eastAsia"/>
                <w:color w:val="auto"/>
                <w:highlight w:val="none"/>
              </w:rPr>
              <w:t>零配件优惠率</w:t>
            </w:r>
            <w:r>
              <w:rPr>
                <w:rFonts w:hint="eastAsia" w:hAnsi="宋体" w:cs="Arial"/>
                <w:color w:val="auto"/>
                <w:highlight w:val="none"/>
              </w:rPr>
              <w:t>分</w:t>
            </w:r>
            <w:r>
              <w:rPr>
                <w:rFonts w:hint="eastAsia" w:ascii="宋体" w:hAnsi="宋体" w:eastAsia="宋体" w:cs="Calibri"/>
                <w:b/>
                <w:color w:val="auto"/>
                <w:szCs w:val="21"/>
                <w:highlight w:val="none"/>
              </w:rPr>
              <w:t>……………………………………………</w:t>
            </w:r>
            <w:r>
              <w:rPr>
                <w:rFonts w:hint="eastAsia" w:hAnsi="宋体" w:cs="Arial"/>
                <w:color w:val="auto"/>
                <w:highlight w:val="none"/>
              </w:rPr>
              <w:t xml:space="preserve">  1</w:t>
            </w:r>
            <w:r>
              <w:rPr>
                <w:rFonts w:hint="eastAsia" w:hAnsi="宋体" w:cs="Arial"/>
                <w:color w:val="auto"/>
                <w:highlight w:val="none"/>
                <w:lang w:val="en-US" w:eastAsia="zh-CN"/>
              </w:rPr>
              <w:t>0</w:t>
            </w:r>
            <w:r>
              <w:rPr>
                <w:rFonts w:hint="eastAsia" w:hAnsi="宋体" w:cs="Arial"/>
                <w:color w:val="auto"/>
                <w:highlight w:val="none"/>
              </w:rPr>
              <w:t>分</w:t>
            </w:r>
            <w:bookmarkEnd w:id="114"/>
            <w:bookmarkEnd w:id="115"/>
            <w:bookmarkEnd w:id="116"/>
          </w:p>
          <w:p w14:paraId="215A40A6">
            <w:pPr>
              <w:pStyle w:val="15"/>
              <w:ind w:firstLine="1000" w:firstLineChars="500"/>
              <w:outlineLvl w:val="0"/>
              <w:rPr>
                <w:rFonts w:hint="eastAsia" w:eastAsia="宋体"/>
                <w:color w:val="auto"/>
                <w:highlight w:val="none"/>
                <w:lang w:eastAsia="zh-CN"/>
              </w:rPr>
            </w:pPr>
            <w:bookmarkStart w:id="117" w:name="_Toc255201819"/>
            <w:bookmarkStart w:id="118" w:name="_Toc252442809"/>
            <w:bookmarkStart w:id="119" w:name="_Toc29112"/>
            <w:r>
              <w:rPr>
                <w:rFonts w:hint="eastAsia"/>
                <w:color w:val="auto"/>
                <w:highlight w:val="none"/>
              </w:rPr>
              <w:t xml:space="preserve">零配件优惠率得分=  </w:t>
            </w:r>
            <w:r>
              <w:rPr>
                <w:rFonts w:hint="eastAsia"/>
                <w:color w:val="auto"/>
                <w:highlight w:val="none"/>
              </w:rPr>
              <w:fldChar w:fldCharType="begin"/>
            </w:r>
            <w:r>
              <w:rPr>
                <w:rFonts w:hint="eastAsia"/>
                <w:color w:val="auto"/>
                <w:highlight w:val="none"/>
              </w:rPr>
              <w:instrText xml:space="preserve"> EQ \F(投标人零配件优惠率,投标人最高零配件优惠率)</w:instrText>
            </w:r>
            <w:r>
              <w:rPr>
                <w:rFonts w:hint="eastAsia"/>
                <w:color w:val="auto"/>
                <w:highlight w:val="none"/>
              </w:rPr>
              <w:fldChar w:fldCharType="end"/>
            </w:r>
            <w:r>
              <w:rPr>
                <w:rFonts w:hint="eastAsia"/>
                <w:color w:val="auto"/>
                <w:highlight w:val="none"/>
              </w:rPr>
              <w:t>×</w:t>
            </w:r>
            <w:bookmarkEnd w:id="117"/>
            <w:bookmarkEnd w:id="118"/>
            <w:r>
              <w:rPr>
                <w:rFonts w:hint="eastAsia"/>
                <w:color w:val="auto"/>
                <w:highlight w:val="none"/>
              </w:rPr>
              <w:t>1</w:t>
            </w:r>
            <w:r>
              <w:rPr>
                <w:rFonts w:hint="eastAsia"/>
                <w:color w:val="auto"/>
                <w:highlight w:val="none"/>
                <w:lang w:val="en-US" w:eastAsia="zh-CN"/>
              </w:rPr>
              <w:t>0</w:t>
            </w:r>
            <w:bookmarkEnd w:id="119"/>
          </w:p>
          <w:p w14:paraId="465DBBC2">
            <w:pPr>
              <w:pStyle w:val="15"/>
              <w:numPr>
                <w:ilvl w:val="0"/>
                <w:numId w:val="0"/>
              </w:numPr>
              <w:ind w:left="0" w:leftChars="0" w:firstLine="400" w:firstLineChars="0"/>
              <w:outlineLvl w:val="0"/>
              <w:rPr>
                <w:rFonts w:hint="eastAsia" w:ascii="宋体" w:hAnsi="宋体" w:eastAsia="宋体" w:cs="宋体"/>
                <w:color w:val="auto"/>
                <w:sz w:val="21"/>
                <w:szCs w:val="21"/>
                <w:highlight w:val="none"/>
              </w:rPr>
            </w:pPr>
            <w:bookmarkStart w:id="120" w:name="_Toc11882"/>
            <w:r>
              <w:rPr>
                <w:rFonts w:hint="eastAsia" w:ascii="宋体" w:hAnsi="Courier New" w:eastAsia="宋体" w:cs="Times New Roman"/>
                <w:color w:val="auto"/>
                <w:kern w:val="0"/>
                <w:sz w:val="20"/>
                <w:szCs w:val="20"/>
                <w:highlight w:val="none"/>
                <w:lang w:val="en-US" w:eastAsia="zh-CN" w:bidi="ar-SA"/>
              </w:rPr>
              <w:t>③</w:t>
            </w:r>
            <w:r>
              <w:rPr>
                <w:rFonts w:hint="eastAsia"/>
                <w:color w:val="auto"/>
                <w:highlight w:val="none"/>
              </w:rPr>
              <w:t>价格分＝</w:t>
            </w:r>
            <w:r>
              <w:rPr>
                <w:rFonts w:hint="eastAsia"/>
                <w:color w:val="auto"/>
                <w:highlight w:val="none"/>
                <w:lang w:eastAsia="zh-CN"/>
              </w:rPr>
              <w:t>①</w:t>
            </w:r>
            <w:r>
              <w:rPr>
                <w:rFonts w:hint="eastAsia"/>
                <w:color w:val="auto"/>
                <w:highlight w:val="none"/>
              </w:rPr>
              <w:t>工时费优惠率分+</w:t>
            </w:r>
            <w:r>
              <w:rPr>
                <w:rFonts w:hint="eastAsia"/>
                <w:color w:val="auto"/>
                <w:highlight w:val="none"/>
                <w:lang w:eastAsia="zh-CN"/>
              </w:rPr>
              <w:t>②</w:t>
            </w:r>
            <w:r>
              <w:rPr>
                <w:rFonts w:hint="eastAsia"/>
                <w:color w:val="auto"/>
                <w:highlight w:val="none"/>
              </w:rPr>
              <w:t>零配件优惠率分</w:t>
            </w:r>
            <w:bookmarkEnd w:id="120"/>
          </w:p>
        </w:tc>
        <w:tc>
          <w:tcPr>
            <w:tcW w:w="638" w:type="pct"/>
            <w:noWrap w:val="0"/>
            <w:vAlign w:val="center"/>
          </w:tcPr>
          <w:p w14:paraId="4D65DA4B">
            <w:pPr>
              <w:pStyle w:val="1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14:paraId="716D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2F356C24">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622" w:type="pct"/>
            <w:noWrap w:val="0"/>
            <w:vAlign w:val="center"/>
          </w:tcPr>
          <w:p w14:paraId="21C56810">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3415" w:type="pct"/>
            <w:noWrap w:val="0"/>
            <w:vAlign w:val="center"/>
          </w:tcPr>
          <w:p w14:paraId="41D13797">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按服务需求一览表中关于响应报价的说明执行</w:t>
            </w:r>
          </w:p>
        </w:tc>
        <w:tc>
          <w:tcPr>
            <w:tcW w:w="638" w:type="pct"/>
            <w:noWrap w:val="0"/>
            <w:vAlign w:val="center"/>
          </w:tcPr>
          <w:p w14:paraId="495A9477">
            <w:pPr>
              <w:pStyle w:val="15"/>
              <w:spacing w:line="360" w:lineRule="auto"/>
              <w:jc w:val="center"/>
              <w:rPr>
                <w:rFonts w:hint="default" w:ascii="宋体" w:hAnsi="宋体" w:eastAsia="宋体" w:cs="宋体"/>
                <w:color w:val="auto"/>
                <w:sz w:val="21"/>
                <w:szCs w:val="21"/>
                <w:highlight w:val="none"/>
                <w:lang w:val="en-US" w:eastAsia="zh-CN"/>
              </w:rPr>
            </w:pPr>
          </w:p>
        </w:tc>
      </w:tr>
      <w:tr w14:paraId="6FC7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45487A27">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22" w:type="pct"/>
            <w:noWrap w:val="0"/>
            <w:vAlign w:val="center"/>
          </w:tcPr>
          <w:p w14:paraId="2A9FDE51">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p>
        </w:tc>
        <w:tc>
          <w:tcPr>
            <w:tcW w:w="3415" w:type="pct"/>
            <w:noWrap w:val="0"/>
            <w:vAlign w:val="center"/>
          </w:tcPr>
          <w:p w14:paraId="624BF1E0">
            <w:pPr>
              <w:pStyle w:val="1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分档部分不进一档的不得分</w:t>
            </w:r>
          </w:p>
        </w:tc>
        <w:tc>
          <w:tcPr>
            <w:tcW w:w="638" w:type="pct"/>
            <w:noWrap w:val="0"/>
            <w:vAlign w:val="center"/>
          </w:tcPr>
          <w:p w14:paraId="465C01C6">
            <w:pPr>
              <w:pStyle w:val="1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hAnsi="宋体" w:cs="宋体"/>
                <w:color w:val="auto"/>
                <w:sz w:val="21"/>
                <w:szCs w:val="21"/>
                <w:highlight w:val="none"/>
                <w:lang w:val="en-US" w:eastAsia="zh-CN"/>
              </w:rPr>
              <w:t>42</w:t>
            </w:r>
            <w:r>
              <w:rPr>
                <w:rFonts w:hint="eastAsia" w:ascii="宋体" w:hAnsi="宋体" w:eastAsia="宋体" w:cs="宋体"/>
                <w:color w:val="auto"/>
                <w:sz w:val="21"/>
                <w:szCs w:val="21"/>
                <w:highlight w:val="none"/>
              </w:rPr>
              <w:t>分</w:t>
            </w:r>
          </w:p>
        </w:tc>
      </w:tr>
      <w:tr w14:paraId="41F7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6C31E43E">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2.1 </w:t>
            </w:r>
          </w:p>
        </w:tc>
        <w:tc>
          <w:tcPr>
            <w:tcW w:w="622" w:type="pct"/>
            <w:noWrap w:val="0"/>
            <w:vAlign w:val="center"/>
          </w:tcPr>
          <w:p w14:paraId="710CA510">
            <w:pPr>
              <w:pStyle w:val="15"/>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w:t>
            </w:r>
          </w:p>
        </w:tc>
        <w:tc>
          <w:tcPr>
            <w:tcW w:w="3415" w:type="pct"/>
            <w:noWrap w:val="0"/>
            <w:vAlign w:val="center"/>
          </w:tcPr>
          <w:p w14:paraId="12E6456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一档（</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分）：有服务方案但未针对本次采购；</w:t>
            </w:r>
          </w:p>
          <w:p w14:paraId="1F278AC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二档（10 分）：供应商提供的服务保障措施不具体，汽车维修有基本的服务措施、汽车维修档案电脑管理承诺、提供的安全保护以及环境保护措施整体方案简单；</w:t>
            </w:r>
          </w:p>
          <w:p w14:paraId="4C471DF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三档(</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zh-CN"/>
              </w:rPr>
              <w:t>分)：供应商提供的服务保障措施较准确，基本能考虑用户单位的实际情况和实际需求，汽车维修优质服务措施、汽车维修档案管理承诺、 提供的安全保护以及环境保护措施整体方案良好；</w:t>
            </w:r>
          </w:p>
          <w:p w14:paraId="5D733622">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四档(</w:t>
            </w:r>
            <w:r>
              <w:rPr>
                <w:rFonts w:hint="eastAsia"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zh-CN"/>
              </w:rPr>
              <w:t>分)：供应商提供的服务保障措施较准确，能充分考虑用户单位的实际情况和用户实际需求，针对性强，汽车维修优质服务措施、汽车维修档案管理承诺、提供的安全保护以及环境保护措施整体方案表述清晰、全面、合理。</w:t>
            </w:r>
          </w:p>
        </w:tc>
        <w:tc>
          <w:tcPr>
            <w:tcW w:w="638" w:type="pct"/>
            <w:noWrap w:val="0"/>
            <w:vAlign w:val="center"/>
          </w:tcPr>
          <w:p w14:paraId="730757BD">
            <w:pPr>
              <w:pStyle w:val="15"/>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hAnsi="宋体" w:cs="宋体"/>
                <w:bCs/>
                <w:color w:val="auto"/>
                <w:sz w:val="21"/>
                <w:szCs w:val="21"/>
                <w:highlight w:val="none"/>
                <w:lang w:val="en-US" w:eastAsia="zh-CN"/>
              </w:rPr>
              <w:t>20</w:t>
            </w:r>
          </w:p>
        </w:tc>
      </w:tr>
      <w:tr w14:paraId="6DD0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017D204F">
            <w:pPr>
              <w:pStyle w:val="1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hAnsi="宋体" w:eastAsia="宋体" w:cs="宋体"/>
                <w:bCs/>
                <w:color w:val="auto"/>
                <w:sz w:val="21"/>
                <w:szCs w:val="21"/>
                <w:highlight w:val="none"/>
                <w:lang w:val="en-US" w:eastAsia="zh-CN"/>
              </w:rPr>
              <w:t>2</w:t>
            </w:r>
          </w:p>
        </w:tc>
        <w:tc>
          <w:tcPr>
            <w:tcW w:w="622" w:type="pct"/>
            <w:noWrap w:val="0"/>
            <w:vAlign w:val="center"/>
          </w:tcPr>
          <w:p w14:paraId="782029FF">
            <w:pPr>
              <w:pStyle w:val="1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维修质量控制体系</w:t>
            </w:r>
          </w:p>
        </w:tc>
        <w:tc>
          <w:tcPr>
            <w:tcW w:w="3415" w:type="pct"/>
            <w:noWrap w:val="0"/>
            <w:vAlign w:val="center"/>
          </w:tcPr>
          <w:p w14:paraId="57F35002">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以供应商的《公务车辆维修和保养服务采购承诺书》为评分依据，主要从质量保证期长短、质量控制手段、质量管理制度建设等方面进行评比：</w:t>
            </w:r>
          </w:p>
          <w:p w14:paraId="759920D1">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一档（</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分）：按征集文件要求结合自身实际情况填写《公务车辆维修和保养服务采购承诺书》的</w:t>
            </w:r>
            <w:r>
              <w:rPr>
                <w:rFonts w:hint="eastAsia" w:hAnsi="宋体" w:eastAsia="宋体" w:cs="宋体"/>
                <w:color w:val="auto"/>
                <w:sz w:val="21"/>
                <w:szCs w:val="21"/>
                <w:highlight w:val="none"/>
                <w:lang w:val="en-US" w:eastAsia="zh-CN"/>
              </w:rPr>
              <w:t>；</w:t>
            </w:r>
          </w:p>
          <w:p w14:paraId="02F10BDD">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二档</w:t>
            </w:r>
            <w:r>
              <w:rPr>
                <w:rFonts w:hint="eastAsia" w:hAnsi="宋体" w:cs="宋体"/>
                <w:color w:val="auto"/>
                <w:sz w:val="21"/>
                <w:szCs w:val="21"/>
                <w:highlight w:val="none"/>
                <w:lang w:val="en-US" w:eastAsia="zh-CN"/>
              </w:rPr>
              <w:t>( 7</w:t>
            </w:r>
            <w:r>
              <w:rPr>
                <w:rFonts w:hint="eastAsia" w:ascii="宋体" w:hAnsi="宋体" w:eastAsia="宋体" w:cs="宋体"/>
                <w:color w:val="auto"/>
                <w:sz w:val="21"/>
                <w:szCs w:val="21"/>
                <w:highlight w:val="none"/>
              </w:rPr>
              <w:t xml:space="preserve"> 分）：按征集文件要求结合自身实际情况填写《公务车辆维修和保养服务采购承诺书》，并提供相应运作说明，运作说明符合供应商自身实际情况，且与承诺书相互对应的</w:t>
            </w:r>
            <w:r>
              <w:rPr>
                <w:rFonts w:hint="eastAsia" w:hAnsi="宋体" w:eastAsia="宋体" w:cs="宋体"/>
                <w:color w:val="auto"/>
                <w:sz w:val="21"/>
                <w:szCs w:val="21"/>
                <w:highlight w:val="none"/>
                <w:lang w:val="en-US" w:eastAsia="zh-CN"/>
              </w:rPr>
              <w:t>；</w:t>
            </w:r>
          </w:p>
          <w:p w14:paraId="5B0E3479">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w:t>
            </w:r>
            <w:r>
              <w:rPr>
                <w:rFonts w:hint="eastAsia" w:hAnsi="宋体" w:cs="宋体"/>
                <w:color w:val="auto"/>
                <w:sz w:val="21"/>
                <w:szCs w:val="21"/>
                <w:highlight w:val="none"/>
                <w:lang w:val="en-US" w:eastAsia="zh-CN"/>
              </w:rPr>
              <w:t>0</w:t>
            </w:r>
            <w:r>
              <w:rPr>
                <w:rFonts w:hint="eastAsia" w:ascii="宋体" w:hAnsi="宋体" w:eastAsia="宋体" w:cs="宋体"/>
                <w:color w:val="auto"/>
                <w:sz w:val="21"/>
                <w:szCs w:val="21"/>
                <w:highlight w:val="none"/>
              </w:rPr>
              <w:t>分）：按征集文件要求结合自身实际情况填写《公务车辆维修和保养服务采购承诺书》，并提供相应运作说明，运作说明符合供应商自身实际情况，与承诺书相互对应且实际运作方案条理清晰的。</w:t>
            </w:r>
          </w:p>
        </w:tc>
        <w:tc>
          <w:tcPr>
            <w:tcW w:w="638" w:type="pct"/>
            <w:noWrap w:val="0"/>
            <w:vAlign w:val="center"/>
          </w:tcPr>
          <w:p w14:paraId="1F275849">
            <w:pPr>
              <w:pStyle w:val="15"/>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w:t>
            </w:r>
            <w:r>
              <w:rPr>
                <w:rFonts w:hint="eastAsia" w:hAnsi="宋体" w:cs="宋体"/>
                <w:bCs/>
                <w:color w:val="auto"/>
                <w:sz w:val="21"/>
                <w:szCs w:val="21"/>
                <w:highlight w:val="none"/>
                <w:lang w:val="en-US" w:eastAsia="zh-CN"/>
              </w:rPr>
              <w:t>0</w:t>
            </w:r>
          </w:p>
        </w:tc>
      </w:tr>
      <w:tr w14:paraId="1C47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6DE24243">
            <w:pPr>
              <w:pStyle w:val="1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hAnsi="宋体" w:eastAsia="宋体" w:cs="宋体"/>
                <w:bCs/>
                <w:color w:val="auto"/>
                <w:sz w:val="21"/>
                <w:szCs w:val="21"/>
                <w:highlight w:val="none"/>
                <w:lang w:val="en-US" w:eastAsia="zh-CN"/>
              </w:rPr>
              <w:t>3</w:t>
            </w:r>
          </w:p>
        </w:tc>
        <w:tc>
          <w:tcPr>
            <w:tcW w:w="622" w:type="pct"/>
            <w:noWrap w:val="0"/>
            <w:vAlign w:val="center"/>
          </w:tcPr>
          <w:p w14:paraId="549AAF44">
            <w:pPr>
              <w:pStyle w:val="15"/>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管理制度</w:t>
            </w:r>
          </w:p>
        </w:tc>
        <w:tc>
          <w:tcPr>
            <w:tcW w:w="3415" w:type="pct"/>
            <w:noWrap w:val="0"/>
            <w:vAlign w:val="center"/>
          </w:tcPr>
          <w:p w14:paraId="410CE5EC">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对供应商的企业管理制度建设进行评分：</w:t>
            </w:r>
          </w:p>
          <w:p w14:paraId="0D015B3B">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一档（4 分）：提供了供应商安全生产制度、管理制度及技术人员配备方案，基本满足采购需求；</w:t>
            </w:r>
          </w:p>
          <w:p w14:paraId="64CB7F8C">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二档（8 分）：提供了供应商安全生产制度、管理制度及技术人员配备方案，并且供应商企业管理制度严密，人员配置科学合理；</w:t>
            </w:r>
          </w:p>
          <w:p w14:paraId="7D0D79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eastAsia="zh-CN"/>
              </w:rPr>
            </w:pPr>
            <w:r>
              <w:rPr>
                <w:rFonts w:hint="eastAsia" w:ascii="宋体" w:hAnsi="宋体" w:eastAsia="宋体" w:cs="宋体"/>
                <w:color w:val="auto"/>
                <w:sz w:val="21"/>
                <w:szCs w:val="21"/>
                <w:highlight w:val="none"/>
              </w:rPr>
              <w:t>三档（12 分）：提供了供应商企业管理制度及技术人员配备方案，并且供应商企业管理制度严密、周全，人员配置科学合理，同时提供团队成员资历经验等相关材料</w:t>
            </w:r>
            <w:r>
              <w:rPr>
                <w:rFonts w:hint="eastAsia" w:ascii="宋体" w:hAnsi="宋体" w:eastAsia="宋体" w:cs="宋体"/>
                <w:color w:val="auto"/>
                <w:sz w:val="21"/>
                <w:szCs w:val="21"/>
                <w:highlight w:val="none"/>
                <w:lang w:eastAsia="zh-CN"/>
              </w:rPr>
              <w:t>。</w:t>
            </w:r>
          </w:p>
        </w:tc>
        <w:tc>
          <w:tcPr>
            <w:tcW w:w="638" w:type="pct"/>
            <w:noWrap w:val="0"/>
            <w:vAlign w:val="center"/>
          </w:tcPr>
          <w:p w14:paraId="160D1F4C">
            <w:pPr>
              <w:pStyle w:val="15"/>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w:t>
            </w:r>
            <w:r>
              <w:rPr>
                <w:rFonts w:hint="eastAsia" w:hAnsi="宋体" w:eastAsia="宋体" w:cs="宋体"/>
                <w:bCs/>
                <w:color w:val="auto"/>
                <w:sz w:val="21"/>
                <w:szCs w:val="21"/>
                <w:highlight w:val="none"/>
                <w:lang w:val="en-US" w:eastAsia="zh-CN"/>
              </w:rPr>
              <w:t>2</w:t>
            </w:r>
          </w:p>
        </w:tc>
      </w:tr>
      <w:tr w14:paraId="55EB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5BD9CA4F">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22" w:type="pct"/>
            <w:noWrap w:val="0"/>
            <w:vAlign w:val="center"/>
          </w:tcPr>
          <w:p w14:paraId="51C6E842">
            <w:pPr>
              <w:pStyle w:val="1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w:t>
            </w:r>
          </w:p>
        </w:tc>
        <w:tc>
          <w:tcPr>
            <w:tcW w:w="3415" w:type="pct"/>
            <w:noWrap w:val="0"/>
            <w:vAlign w:val="center"/>
          </w:tcPr>
          <w:p w14:paraId="7C2B0C54">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分档部分不进一档的不得分</w:t>
            </w:r>
          </w:p>
        </w:tc>
        <w:tc>
          <w:tcPr>
            <w:tcW w:w="638" w:type="pct"/>
            <w:noWrap w:val="0"/>
            <w:vAlign w:val="center"/>
          </w:tcPr>
          <w:p w14:paraId="44E3D077">
            <w:pPr>
              <w:pStyle w:val="1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hAnsi="宋体" w:cs="宋体"/>
                <w:color w:val="auto"/>
                <w:sz w:val="21"/>
                <w:szCs w:val="21"/>
                <w:highlight w:val="none"/>
                <w:lang w:val="en-US" w:eastAsia="zh-CN"/>
              </w:rPr>
              <w:t>38</w:t>
            </w:r>
            <w:r>
              <w:rPr>
                <w:rFonts w:hint="eastAsia" w:ascii="宋体" w:hAnsi="宋体" w:eastAsia="宋体" w:cs="宋体"/>
                <w:color w:val="auto"/>
                <w:sz w:val="21"/>
                <w:szCs w:val="21"/>
                <w:highlight w:val="none"/>
              </w:rPr>
              <w:t>分</w:t>
            </w:r>
          </w:p>
        </w:tc>
      </w:tr>
      <w:tr w14:paraId="57A5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3495D639">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622" w:type="pct"/>
            <w:noWrap w:val="0"/>
            <w:vAlign w:val="center"/>
          </w:tcPr>
          <w:p w14:paraId="06681FD5">
            <w:pPr>
              <w:pStyle w:val="1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经营场地</w:t>
            </w:r>
          </w:p>
        </w:tc>
        <w:tc>
          <w:tcPr>
            <w:tcW w:w="3415" w:type="pct"/>
            <w:noWrap w:val="0"/>
            <w:vAlign w:val="center"/>
          </w:tcPr>
          <w:p w14:paraId="392A99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厂房面积由评审委员会根据供应商提供的经营场所示意图【必须按本评分标准的要求清晰标识出经营场所中的厂房面积面积，如因供应商未进行标识或标识不清导致其少得分或不得分的后果由供应商自行承担】，土地使用证明（自有）或有效的租赁合同（属租用的需提供房产证或土地使用证明复印件；租赁合同有效期为两年及以上）为准，按此标准打分，其中厂房地址应与营业执照地址保持一致。</w:t>
            </w:r>
          </w:p>
          <w:p w14:paraId="291B37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1）供应商厂房面积在 300 ㎡以下以下的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 4 分；</w:t>
            </w:r>
          </w:p>
          <w:p w14:paraId="67A079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2）供应商厂房面积在 300 ㎡(含)～400 ㎡的，得 6 分；</w:t>
            </w:r>
          </w:p>
          <w:p w14:paraId="76524A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3）供应商厂房面积在 400(含)～500 ㎡的，得 8 分；</w:t>
            </w:r>
          </w:p>
          <w:p w14:paraId="26B372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4）供应商厂房面积在 500 ㎡(含)以上的，得 10 分。</w:t>
            </w:r>
          </w:p>
        </w:tc>
        <w:tc>
          <w:tcPr>
            <w:tcW w:w="638" w:type="pct"/>
            <w:noWrap w:val="0"/>
            <w:vAlign w:val="center"/>
          </w:tcPr>
          <w:p w14:paraId="76F032E2">
            <w:pPr>
              <w:pStyle w:val="15"/>
              <w:spacing w:line="360" w:lineRule="auto"/>
              <w:jc w:val="center"/>
              <w:rPr>
                <w:rFonts w:hint="default"/>
                <w:color w:val="auto"/>
                <w:highlight w:val="none"/>
                <w:lang w:val="en-US" w:eastAsia="zh-CN"/>
              </w:rPr>
            </w:pPr>
            <w:r>
              <w:rPr>
                <w:rFonts w:hint="eastAsia"/>
                <w:color w:val="auto"/>
                <w:highlight w:val="none"/>
              </w:rPr>
              <w:t>0</w:t>
            </w:r>
            <w:r>
              <w:rPr>
                <w:rFonts w:hint="eastAsia" w:ascii="宋体" w:hAnsi="宋体" w:eastAsia="宋体" w:cs="宋体"/>
                <w:bCs/>
                <w:color w:val="auto"/>
                <w:sz w:val="21"/>
                <w:szCs w:val="21"/>
                <w:highlight w:val="none"/>
              </w:rPr>
              <w:t>～</w:t>
            </w:r>
            <w:r>
              <w:rPr>
                <w:rFonts w:hint="eastAsia"/>
                <w:color w:val="auto"/>
                <w:highlight w:val="none"/>
                <w:lang w:val="en-US" w:eastAsia="zh-CN"/>
              </w:rPr>
              <w:t>10</w:t>
            </w:r>
          </w:p>
          <w:p w14:paraId="7CDC634A">
            <w:pPr>
              <w:jc w:val="center"/>
              <w:rPr>
                <w:rFonts w:hint="default"/>
                <w:color w:val="auto"/>
                <w:highlight w:val="none"/>
                <w:lang w:val="en-US" w:eastAsia="zh-CN"/>
              </w:rPr>
            </w:pPr>
            <w:r>
              <w:rPr>
                <w:rFonts w:hint="eastAsia" w:hAnsi="宋体" w:eastAsia="宋体" w:cs="宋体"/>
                <w:color w:val="auto"/>
                <w:sz w:val="21"/>
                <w:szCs w:val="21"/>
                <w:highlight w:val="none"/>
                <w:lang w:val="en-US" w:eastAsia="zh-CN"/>
              </w:rPr>
              <w:t>客观分</w:t>
            </w:r>
          </w:p>
        </w:tc>
      </w:tr>
      <w:tr w14:paraId="7FE3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3F0F03F1">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622" w:type="pct"/>
            <w:noWrap w:val="0"/>
            <w:vAlign w:val="center"/>
          </w:tcPr>
          <w:p w14:paraId="6CD3652A">
            <w:pPr>
              <w:pStyle w:val="1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技术工人</w:t>
            </w:r>
          </w:p>
          <w:p w14:paraId="26DF7089">
            <w:pPr>
              <w:pStyle w:val="1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w:t>
            </w:r>
          </w:p>
        </w:tc>
        <w:tc>
          <w:tcPr>
            <w:tcW w:w="3415" w:type="pct"/>
            <w:noWrap w:val="0"/>
            <w:vAlign w:val="center"/>
          </w:tcPr>
          <w:p w14:paraId="01C2AB75">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配备汽修技术人员达到 </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人（含</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人）的，得 3 分，满足以上条件的还有更多的汽修技术人员的供应商，每多一人得 1 分，满分 6 分；</w:t>
            </w:r>
          </w:p>
          <w:p w14:paraId="5601DD4F">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有技术工程师（包括助理工程师）的每有一个加1分，满分</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E51BA22">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注：以上</w:t>
            </w:r>
            <w:r>
              <w:rPr>
                <w:rFonts w:hint="eastAsia" w:ascii="宋体" w:hAnsi="宋体" w:eastAsia="宋体" w:cs="宋体"/>
                <w:color w:val="auto"/>
                <w:sz w:val="21"/>
                <w:szCs w:val="21"/>
                <w:highlight w:val="none"/>
              </w:rPr>
              <w:t>技术人员必须是在聘员工</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须</w:t>
            </w:r>
            <w:r>
              <w:rPr>
                <w:rFonts w:hint="eastAsia" w:ascii="宋体" w:hAnsi="宋体" w:eastAsia="宋体" w:cs="宋体"/>
                <w:color w:val="auto"/>
                <w:sz w:val="21"/>
                <w:szCs w:val="21"/>
                <w:highlight w:val="none"/>
              </w:rPr>
              <w:t>提供证书复印件及在响应文件中提供响应文件递交截止时间前半年内</w:t>
            </w:r>
            <w:r>
              <w:rPr>
                <w:rFonts w:hint="eastAsia" w:hAnsi="宋体" w:cs="宋体"/>
                <w:b w:val="0"/>
                <w:bCs/>
                <w:color w:val="auto"/>
                <w:kern w:val="2"/>
                <w:szCs w:val="21"/>
                <w:highlight w:val="none"/>
                <w:lang w:val="en-US" w:eastAsia="zh-CN"/>
              </w:rPr>
              <w:t>任意</w:t>
            </w:r>
            <w:r>
              <w:rPr>
                <w:rFonts w:hint="eastAsia" w:ascii="宋体" w:hAnsi="宋体" w:cs="宋体"/>
                <w:b w:val="0"/>
                <w:bCs/>
                <w:color w:val="auto"/>
                <w:kern w:val="2"/>
                <w:szCs w:val="21"/>
                <w:highlight w:val="none"/>
                <w:lang w:val="en-US" w:eastAsia="zh-CN"/>
              </w:rPr>
              <w:t>一个月</w:t>
            </w:r>
            <w:r>
              <w:rPr>
                <w:rFonts w:hint="eastAsia" w:ascii="宋体" w:hAnsi="宋体" w:cs="宋体"/>
                <w:b w:val="0"/>
                <w:bCs/>
                <w:color w:val="auto"/>
                <w:kern w:val="2"/>
                <w:szCs w:val="21"/>
                <w:highlight w:val="none"/>
                <w:lang w:eastAsia="zh-CN"/>
              </w:rPr>
              <w:t>社保证明</w:t>
            </w:r>
            <w:r>
              <w:rPr>
                <w:rFonts w:hint="eastAsia" w:ascii="宋体" w:hAnsi="宋体"/>
                <w:b w:val="0"/>
                <w:bCs/>
                <w:color w:val="auto"/>
                <w:kern w:val="0"/>
                <w:szCs w:val="21"/>
                <w:highlight w:val="none"/>
              </w:rPr>
              <w:t>或劳动合同证明材料</w:t>
            </w:r>
            <w:r>
              <w:rPr>
                <w:rFonts w:hint="eastAsia" w:hAnsi="宋体"/>
                <w:b w:val="0"/>
                <w:bCs/>
                <w:color w:val="auto"/>
                <w:kern w:val="0"/>
                <w:szCs w:val="21"/>
                <w:highlight w:val="none"/>
                <w:lang w:eastAsia="zh-CN"/>
              </w:rPr>
              <w:t>，</w:t>
            </w:r>
            <w:r>
              <w:rPr>
                <w:rFonts w:hint="eastAsia" w:hAnsi="宋体"/>
                <w:b w:val="0"/>
                <w:bCs/>
                <w:color w:val="auto"/>
                <w:kern w:val="0"/>
                <w:szCs w:val="21"/>
                <w:highlight w:val="none"/>
                <w:lang w:val="en-US" w:eastAsia="zh-CN"/>
              </w:rPr>
              <w:t>否则不得分</w:t>
            </w:r>
            <w:r>
              <w:rPr>
                <w:rFonts w:hint="eastAsia" w:ascii="宋体" w:hAnsi="宋体" w:eastAsia="宋体" w:cs="宋体"/>
                <w:color w:val="auto"/>
                <w:sz w:val="21"/>
                <w:szCs w:val="21"/>
                <w:highlight w:val="none"/>
              </w:rPr>
              <w:t>。</w:t>
            </w:r>
          </w:p>
        </w:tc>
        <w:tc>
          <w:tcPr>
            <w:tcW w:w="638" w:type="pct"/>
            <w:noWrap w:val="0"/>
            <w:vAlign w:val="center"/>
          </w:tcPr>
          <w:p w14:paraId="6A6C4070">
            <w:pPr>
              <w:pStyle w:val="15"/>
              <w:spacing w:line="360" w:lineRule="auto"/>
              <w:jc w:val="center"/>
              <w:rPr>
                <w:rFonts w:hint="eastAsia"/>
                <w:color w:val="auto"/>
                <w:highlight w:val="none"/>
                <w:lang w:val="en-US" w:eastAsia="zh-CN"/>
              </w:rPr>
            </w:pPr>
            <w:r>
              <w:rPr>
                <w:rFonts w:hint="eastAsia"/>
                <w:color w:val="auto"/>
                <w:highlight w:val="none"/>
              </w:rPr>
              <w:t>0</w:t>
            </w:r>
            <w:r>
              <w:rPr>
                <w:rFonts w:hint="eastAsia" w:ascii="宋体" w:hAnsi="宋体" w:eastAsia="宋体" w:cs="宋体"/>
                <w:bCs/>
                <w:color w:val="auto"/>
                <w:sz w:val="21"/>
                <w:szCs w:val="21"/>
                <w:highlight w:val="none"/>
              </w:rPr>
              <w:t>～</w:t>
            </w:r>
            <w:r>
              <w:rPr>
                <w:rFonts w:hint="eastAsia"/>
                <w:color w:val="auto"/>
                <w:highlight w:val="none"/>
                <w:lang w:val="en-US" w:eastAsia="zh-CN"/>
              </w:rPr>
              <w:t>8</w:t>
            </w:r>
          </w:p>
          <w:p w14:paraId="0B120626">
            <w:pPr>
              <w:jc w:val="center"/>
              <w:rPr>
                <w:rFonts w:hint="default"/>
                <w:color w:val="auto"/>
                <w:highlight w:val="none"/>
                <w:lang w:val="en-US" w:eastAsia="zh-CN"/>
              </w:rPr>
            </w:pPr>
            <w:r>
              <w:rPr>
                <w:rFonts w:hint="eastAsia" w:hAnsi="宋体" w:eastAsia="宋体" w:cs="宋体"/>
                <w:color w:val="auto"/>
                <w:sz w:val="21"/>
                <w:szCs w:val="21"/>
                <w:highlight w:val="none"/>
                <w:lang w:val="en-US" w:eastAsia="zh-CN"/>
              </w:rPr>
              <w:t>客观分</w:t>
            </w:r>
          </w:p>
        </w:tc>
      </w:tr>
      <w:tr w14:paraId="06DC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52349F5D">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hAnsi="宋体" w:eastAsia="宋体" w:cs="宋体"/>
                <w:color w:val="auto"/>
                <w:sz w:val="21"/>
                <w:szCs w:val="21"/>
                <w:highlight w:val="none"/>
                <w:lang w:val="en-US" w:eastAsia="zh-CN"/>
              </w:rPr>
              <w:t>3</w:t>
            </w:r>
          </w:p>
        </w:tc>
        <w:tc>
          <w:tcPr>
            <w:tcW w:w="622" w:type="pct"/>
            <w:noWrap w:val="0"/>
            <w:vAlign w:val="center"/>
          </w:tcPr>
          <w:p w14:paraId="1990143C">
            <w:pPr>
              <w:pStyle w:val="15"/>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2"/>
                <w:kern w:val="0"/>
                <w:sz w:val="21"/>
                <w:szCs w:val="21"/>
                <w:highlight w:val="none"/>
                <w:lang w:val="zh-CN"/>
              </w:rPr>
              <w:t>投标人生产设备分</w:t>
            </w:r>
          </w:p>
        </w:tc>
        <w:tc>
          <w:tcPr>
            <w:tcW w:w="3415" w:type="pct"/>
            <w:noWrap w:val="0"/>
            <w:vAlign w:val="center"/>
          </w:tcPr>
          <w:p w14:paraId="0B5B93CF">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一档</w:t>
            </w:r>
            <w:r>
              <w:rPr>
                <w:rFonts w:hint="eastAsia" w:ascii="宋体" w:hAnsi="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根据行业相关安全及操作规范要求，供应商拟投入生产设备基本满足提供本次采购维修范围生产需要的、工艺流程简单等综合考虑整体一般的（根据供应商提供的“主要维修检测设备一览表”信息及提供一览表中对应的现场实物图片为依据进行评定）；</w:t>
            </w:r>
          </w:p>
          <w:p w14:paraId="64AA1CE3">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二档（</w:t>
            </w: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zh-CN" w:eastAsia="zh-CN" w:bidi="ar-SA"/>
              </w:rPr>
              <w:t>分）：根据行业相关安全及操作规范要求，供应商拟投入生产设备完全满足提供本次采购维修范围生产需要，且设备条件较先进的、工艺流程较好等综合考虑整体良好的（根据供应商提供的“主要维修检测设备一览表”信息及提供一览表中对应的现场实物图片为依据进行评定）；</w:t>
            </w:r>
          </w:p>
          <w:p w14:paraId="593B5D31">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三档（</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分）：根据行业相关安全及操作规范要求，供应商拟投入生产设备完全满足提供本次采购维修范围生产需要，且设备条件先进的，工艺流程技术优良，有自有施救车等综合考虑优秀的（根据供应商提供的“主要维修检测设备一览表”信息及提供一览表中对应的现场实物图片为依据进行评定）</w:t>
            </w:r>
          </w:p>
        </w:tc>
        <w:tc>
          <w:tcPr>
            <w:tcW w:w="638" w:type="pct"/>
            <w:noWrap w:val="0"/>
            <w:vAlign w:val="center"/>
          </w:tcPr>
          <w:p w14:paraId="11525885">
            <w:pPr>
              <w:pStyle w:val="15"/>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0～</w:t>
            </w:r>
            <w:r>
              <w:rPr>
                <w:rFonts w:hint="eastAsia" w:hAnsi="宋体" w:cs="宋体"/>
                <w:bCs/>
                <w:color w:val="auto"/>
                <w:sz w:val="21"/>
                <w:szCs w:val="21"/>
                <w:highlight w:val="none"/>
                <w:lang w:val="en-US" w:eastAsia="zh-CN"/>
              </w:rPr>
              <w:t>10</w:t>
            </w:r>
          </w:p>
        </w:tc>
      </w:tr>
      <w:tr w14:paraId="2F56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0"/>
            <w:vAlign w:val="center"/>
          </w:tcPr>
          <w:p w14:paraId="719DA9C1">
            <w:pPr>
              <w:pStyle w:val="1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hAnsi="宋体" w:eastAsia="宋体" w:cs="宋体"/>
                <w:color w:val="auto"/>
                <w:sz w:val="21"/>
                <w:szCs w:val="21"/>
                <w:highlight w:val="none"/>
                <w:lang w:val="en-US" w:eastAsia="zh-CN"/>
              </w:rPr>
              <w:t>5</w:t>
            </w:r>
          </w:p>
        </w:tc>
        <w:tc>
          <w:tcPr>
            <w:tcW w:w="622" w:type="pct"/>
            <w:noWrap w:val="0"/>
            <w:vAlign w:val="center"/>
          </w:tcPr>
          <w:p w14:paraId="6365526D">
            <w:pPr>
              <w:pStyle w:val="15"/>
              <w:spacing w:line="36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业绩</w:t>
            </w:r>
          </w:p>
        </w:tc>
        <w:tc>
          <w:tcPr>
            <w:tcW w:w="3415" w:type="pct"/>
            <w:noWrap w:val="0"/>
            <w:vAlign w:val="center"/>
          </w:tcPr>
          <w:p w14:paraId="7CA887D5">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hAnsi="宋体" w:cs="宋体"/>
                <w:color w:val="auto"/>
                <w:sz w:val="21"/>
                <w:szCs w:val="21"/>
                <w:highlight w:val="none"/>
                <w:lang w:val="en-US" w:eastAsia="zh-CN"/>
              </w:rPr>
              <w:t>2022</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eastAsia="zh-CN"/>
              </w:rPr>
              <w:t>（含）</w:t>
            </w:r>
            <w:r>
              <w:rPr>
                <w:rFonts w:hint="eastAsia" w:ascii="宋体" w:hAnsi="宋体" w:eastAsia="宋体" w:cs="宋体"/>
                <w:color w:val="auto"/>
                <w:sz w:val="21"/>
                <w:szCs w:val="21"/>
                <w:highlight w:val="none"/>
              </w:rPr>
              <w:t>以来获得同类服务业绩（提供中标通知书或合同复印件）每项得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38" w:type="pct"/>
            <w:noWrap w:val="0"/>
            <w:vAlign w:val="center"/>
          </w:tcPr>
          <w:p w14:paraId="49D9D03E">
            <w:pPr>
              <w:pStyle w:val="15"/>
              <w:spacing w:line="360" w:lineRule="auto"/>
              <w:jc w:val="center"/>
              <w:rPr>
                <w:rFonts w:hint="default"/>
                <w:color w:val="auto"/>
                <w:highlight w:val="none"/>
                <w:lang w:val="en-US" w:eastAsia="zh-CN"/>
              </w:rPr>
            </w:pPr>
            <w:r>
              <w:rPr>
                <w:rFonts w:hint="eastAsia"/>
                <w:color w:val="auto"/>
                <w:highlight w:val="none"/>
              </w:rPr>
              <w:t>0</w:t>
            </w:r>
            <w:r>
              <w:rPr>
                <w:rFonts w:hint="eastAsia" w:ascii="宋体" w:hAnsi="宋体" w:eastAsia="宋体" w:cs="宋体"/>
                <w:bCs/>
                <w:color w:val="auto"/>
                <w:sz w:val="21"/>
                <w:szCs w:val="21"/>
                <w:highlight w:val="none"/>
              </w:rPr>
              <w:t>～</w:t>
            </w:r>
            <w:r>
              <w:rPr>
                <w:rFonts w:hint="eastAsia"/>
                <w:color w:val="auto"/>
                <w:highlight w:val="none"/>
                <w:lang w:val="en-US" w:eastAsia="zh-CN"/>
              </w:rPr>
              <w:t>10</w:t>
            </w:r>
          </w:p>
          <w:p w14:paraId="174B4927">
            <w:pPr>
              <w:jc w:val="center"/>
              <w:rPr>
                <w:rFonts w:hint="default" w:eastAsia="宋体"/>
                <w:color w:val="auto"/>
                <w:highlight w:val="none"/>
                <w:lang w:val="en-US" w:eastAsia="zh-CN"/>
              </w:rPr>
            </w:pPr>
            <w:r>
              <w:rPr>
                <w:rFonts w:hint="eastAsia"/>
                <w:color w:val="auto"/>
                <w:highlight w:val="none"/>
                <w:lang w:val="en-US" w:eastAsia="zh-CN"/>
              </w:rPr>
              <w:t>客观分</w:t>
            </w:r>
          </w:p>
        </w:tc>
      </w:tr>
    </w:tbl>
    <w:p w14:paraId="3370027C">
      <w:pPr>
        <w:keepNext/>
        <w:keepLines/>
        <w:pageBreakBefore/>
        <w:spacing w:before="260" w:after="260" w:line="413" w:lineRule="auto"/>
        <w:jc w:val="center"/>
        <w:outlineLvl w:val="1"/>
        <w:rPr>
          <w:rFonts w:hint="eastAsia" w:ascii="宋体" w:hAnsi="宋体" w:cs="宋体"/>
          <w:bCs/>
          <w:color w:val="auto"/>
          <w:sz w:val="30"/>
          <w:szCs w:val="30"/>
          <w:highlight w:val="none"/>
        </w:rPr>
      </w:pPr>
      <w:bookmarkStart w:id="121" w:name="_Toc3967"/>
      <w:bookmarkStart w:id="122" w:name="_Toc24402"/>
      <w:bookmarkStart w:id="123" w:name="_Toc24183"/>
      <w:r>
        <w:rPr>
          <w:rFonts w:hint="eastAsia" w:ascii="宋体" w:hAnsi="宋体" w:cs="宋体"/>
          <w:bCs/>
          <w:color w:val="auto"/>
          <w:sz w:val="30"/>
          <w:szCs w:val="30"/>
          <w:highlight w:val="none"/>
        </w:rPr>
        <w:t>第四节 入围候选人推荐原则</w:t>
      </w:r>
      <w:bookmarkEnd w:id="107"/>
      <w:bookmarkEnd w:id="121"/>
      <w:bookmarkEnd w:id="122"/>
      <w:bookmarkEnd w:id="123"/>
    </w:p>
    <w:p w14:paraId="1B7FBD49">
      <w:pPr>
        <w:numPr>
          <w:ilvl w:val="0"/>
          <w:numId w:val="2"/>
        </w:numPr>
        <w:spacing w:line="360" w:lineRule="auto"/>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质量优先法</w:t>
      </w:r>
    </w:p>
    <w:p w14:paraId="228B11A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Courier New"/>
          <w:color w:val="auto"/>
          <w:szCs w:val="20"/>
          <w:highlight w:val="none"/>
        </w:rPr>
        <w:t>确定第一阶段</w:t>
      </w:r>
      <w:r>
        <w:rPr>
          <w:rFonts w:hint="eastAsia" w:ascii="宋体" w:hAnsi="宋体" w:cs="宋体"/>
          <w:color w:val="auto"/>
          <w:szCs w:val="21"/>
          <w:highlight w:val="none"/>
        </w:rPr>
        <w:t>入围标准：通过资格性审查和符合性审查的供应商数量多于或等于三家的，均须对通过符合性审查的供应商进行评分和排序。评委根据总得分从高分到低分进行排名，按排名先后顺序确定入围供应商，如出现总得分相等时，</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工时费</w:t>
      </w:r>
      <w:r>
        <w:rPr>
          <w:rFonts w:hint="eastAsia" w:ascii="宋体" w:hAnsi="宋体" w:eastAsia="宋体" w:cs="宋体"/>
          <w:color w:val="auto"/>
          <w:sz w:val="21"/>
          <w:szCs w:val="21"/>
          <w:highlight w:val="none"/>
        </w:rPr>
        <w:t>优惠率由高到低顺序排列；得分相同且</w:t>
      </w:r>
      <w:r>
        <w:rPr>
          <w:rFonts w:hint="eastAsia" w:ascii="宋体" w:hAnsi="宋体" w:eastAsia="宋体" w:cs="宋体"/>
          <w:color w:val="auto"/>
          <w:sz w:val="21"/>
          <w:szCs w:val="21"/>
          <w:highlight w:val="none"/>
          <w:lang w:eastAsia="zh-CN"/>
        </w:rPr>
        <w:t>工时费</w:t>
      </w:r>
      <w:r>
        <w:rPr>
          <w:rFonts w:hint="eastAsia" w:ascii="宋体" w:hAnsi="宋体" w:eastAsia="宋体" w:cs="宋体"/>
          <w:color w:val="auto"/>
          <w:sz w:val="21"/>
          <w:szCs w:val="21"/>
          <w:highlight w:val="none"/>
        </w:rPr>
        <w:t>优惠率相同的，</w:t>
      </w:r>
      <w:r>
        <w:rPr>
          <w:rFonts w:hint="eastAsia" w:ascii="宋体" w:hAnsi="宋体" w:eastAsia="宋体" w:cs="宋体"/>
          <w:color w:val="auto"/>
          <w:sz w:val="21"/>
          <w:szCs w:val="21"/>
          <w:highlight w:val="none"/>
          <w:lang w:eastAsia="zh-CN"/>
        </w:rPr>
        <w:t>以零配件</w:t>
      </w:r>
      <w:r>
        <w:rPr>
          <w:rFonts w:hint="eastAsia" w:ascii="宋体" w:hAnsi="宋体" w:eastAsia="宋体" w:cs="宋体"/>
          <w:color w:val="auto"/>
          <w:sz w:val="21"/>
          <w:szCs w:val="21"/>
          <w:highlight w:val="none"/>
          <w:lang w:val="en-US" w:eastAsia="zh-CN"/>
        </w:rPr>
        <w:t>优惠率</w:t>
      </w:r>
      <w:r>
        <w:rPr>
          <w:rFonts w:hint="eastAsia" w:ascii="宋体" w:hAnsi="宋体" w:eastAsia="宋体" w:cs="宋体"/>
          <w:color w:val="auto"/>
          <w:sz w:val="21"/>
          <w:szCs w:val="21"/>
          <w:highlight w:val="none"/>
        </w:rPr>
        <w:t>由</w:t>
      </w:r>
      <w:r>
        <w:rPr>
          <w:rFonts w:hint="eastAsia" w:hAnsi="宋体" w:cs="宋体"/>
          <w:color w:val="auto"/>
          <w:sz w:val="21"/>
          <w:szCs w:val="21"/>
          <w:highlight w:val="none"/>
          <w:lang w:val="en-US" w:eastAsia="zh-CN"/>
        </w:rPr>
        <w:t>低</w:t>
      </w:r>
      <w:r>
        <w:rPr>
          <w:rFonts w:hint="eastAsia" w:ascii="宋体" w:hAnsi="宋体" w:eastAsia="宋体" w:cs="宋体"/>
          <w:color w:val="auto"/>
          <w:sz w:val="21"/>
          <w:szCs w:val="21"/>
          <w:highlight w:val="none"/>
        </w:rPr>
        <w:t>到</w:t>
      </w:r>
      <w:r>
        <w:rPr>
          <w:rFonts w:hint="eastAsia" w:hAnsi="宋体" w:cs="宋体"/>
          <w:color w:val="auto"/>
          <w:sz w:val="21"/>
          <w:szCs w:val="21"/>
          <w:highlight w:val="none"/>
          <w:lang w:val="en-US" w:eastAsia="zh-CN"/>
        </w:rPr>
        <w:t>高</w:t>
      </w:r>
      <w:r>
        <w:rPr>
          <w:rFonts w:hint="eastAsia" w:ascii="宋体" w:hAnsi="宋体" w:eastAsia="宋体" w:cs="宋体"/>
          <w:color w:val="auto"/>
          <w:sz w:val="21"/>
          <w:szCs w:val="21"/>
          <w:highlight w:val="none"/>
        </w:rPr>
        <w:t>顺序排列；得分相同且</w:t>
      </w:r>
      <w:r>
        <w:rPr>
          <w:rFonts w:hint="eastAsia" w:ascii="宋体" w:hAnsi="宋体" w:eastAsia="宋体" w:cs="宋体"/>
          <w:color w:val="auto"/>
          <w:sz w:val="21"/>
          <w:szCs w:val="21"/>
          <w:highlight w:val="none"/>
          <w:lang w:eastAsia="zh-CN"/>
        </w:rPr>
        <w:t>工时费和零配件</w:t>
      </w:r>
      <w:r>
        <w:rPr>
          <w:rFonts w:hint="eastAsia" w:ascii="宋体" w:hAnsi="宋体" w:eastAsia="宋体" w:cs="宋体"/>
          <w:color w:val="auto"/>
          <w:sz w:val="21"/>
          <w:szCs w:val="21"/>
          <w:highlight w:val="none"/>
          <w:lang w:val="en-US" w:eastAsia="zh-CN"/>
        </w:rPr>
        <w:t>优惠</w:t>
      </w:r>
      <w:r>
        <w:rPr>
          <w:rFonts w:hint="eastAsia" w:ascii="宋体" w:hAnsi="宋体" w:eastAsia="宋体" w:cs="宋体"/>
          <w:color w:val="auto"/>
          <w:sz w:val="21"/>
          <w:szCs w:val="21"/>
          <w:highlight w:val="none"/>
          <w:lang w:eastAsia="zh-CN"/>
        </w:rPr>
        <w:t>率均</w:t>
      </w:r>
      <w:r>
        <w:rPr>
          <w:rFonts w:hint="eastAsia" w:ascii="宋体" w:hAnsi="宋体" w:eastAsia="宋体" w:cs="宋体"/>
          <w:color w:val="auto"/>
          <w:sz w:val="21"/>
          <w:szCs w:val="21"/>
          <w:highlight w:val="none"/>
        </w:rPr>
        <w:t>相同的，按技术分从高到低顺序排列）并推荐中标候选供应商</w:t>
      </w:r>
      <w:r>
        <w:rPr>
          <w:rFonts w:hint="eastAsia" w:ascii="宋体" w:hAnsi="宋体" w:cs="宋体"/>
          <w:color w:val="auto"/>
          <w:szCs w:val="21"/>
          <w:highlight w:val="none"/>
        </w:rPr>
        <w:t>。</w:t>
      </w:r>
      <w:r>
        <w:rPr>
          <w:rFonts w:ascii="宋体" w:hAnsi="Courier New"/>
          <w:color w:val="auto"/>
          <w:szCs w:val="20"/>
          <w:highlight w:val="none"/>
        </w:rPr>
        <w:t>根据征集文件规定</w:t>
      </w:r>
      <w:r>
        <w:rPr>
          <w:rFonts w:hint="eastAsia" w:ascii="宋体" w:hAnsi="Courier New"/>
          <w:color w:val="auto"/>
          <w:szCs w:val="20"/>
          <w:highlight w:val="none"/>
        </w:rPr>
        <w:t>的淘汰率20%计算，且至少淘汰一家供应商</w:t>
      </w:r>
      <w:r>
        <w:rPr>
          <w:rFonts w:hint="eastAsia" w:ascii="宋体" w:hAnsi="Courier New"/>
          <w:color w:val="auto"/>
          <w:szCs w:val="20"/>
          <w:highlight w:val="none"/>
          <w:lang w:eastAsia="zh-CN"/>
        </w:rPr>
        <w:t>，</w:t>
      </w:r>
      <w:r>
        <w:rPr>
          <w:rFonts w:hint="eastAsia" w:ascii="宋体" w:hAnsi="宋体" w:eastAsia="宋体" w:cs="宋体"/>
          <w:color w:val="auto"/>
          <w:sz w:val="21"/>
          <w:szCs w:val="21"/>
          <w:highlight w:val="none"/>
          <w:lang w:eastAsia="zh-CN"/>
        </w:rPr>
        <w:t>入围供应商最大数量：</w:t>
      </w:r>
      <w:r>
        <w:rPr>
          <w:rFonts w:hint="eastAsia" w:ascii="宋体" w:hAnsi="宋体" w:eastAsia="宋体" w:cs="宋体"/>
          <w:color w:val="auto"/>
          <w:sz w:val="21"/>
          <w:szCs w:val="21"/>
          <w:highlight w:val="none"/>
          <w:lang w:val="en-US" w:eastAsia="zh-CN"/>
        </w:rPr>
        <w:t>6家。</w:t>
      </w:r>
    </w:p>
    <w:p w14:paraId="66EFFF0A">
      <w:pPr>
        <w:pStyle w:val="12"/>
        <w:keepNext w:val="0"/>
        <w:keepLines w:val="0"/>
        <w:pageBreakBefore w:val="0"/>
        <w:kinsoku/>
        <w:wordWrap/>
        <w:overflowPunct/>
        <w:topLinePunct w:val="0"/>
        <w:autoSpaceDE/>
        <w:autoSpaceDN/>
        <w:bidi w:val="0"/>
        <w:spacing w:before="118" w:line="400" w:lineRule="exact"/>
        <w:ind w:right="544"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确定入围供应商步骤</w:t>
      </w:r>
      <w:r>
        <w:rPr>
          <w:rFonts w:hint="eastAsia" w:ascii="宋体" w:hAnsi="宋体" w:eastAsia="宋体" w:cs="宋体"/>
          <w:color w:val="auto"/>
          <w:sz w:val="21"/>
          <w:szCs w:val="21"/>
          <w:highlight w:val="none"/>
          <w:lang w:eastAsia="zh-CN"/>
        </w:rPr>
        <w:t>：</w:t>
      </w:r>
      <w:r>
        <w:rPr>
          <w:color w:val="auto"/>
          <w:spacing w:val="-8"/>
          <w:highlight w:val="none"/>
        </w:rPr>
        <w:t>合格供应商是指对满足采购需求、响应报价不超过最高限制单价且资格审查合格的供应商，假设数</w:t>
      </w:r>
      <w:r>
        <w:rPr>
          <w:color w:val="auto"/>
          <w:spacing w:val="-24"/>
          <w:highlight w:val="none"/>
        </w:rPr>
        <w:t xml:space="preserve">量为 </w:t>
      </w:r>
      <w:r>
        <w:rPr>
          <w:rFonts w:ascii="Times New Roman" w:eastAsia="Times New Roman"/>
          <w:color w:val="auto"/>
          <w:highlight w:val="none"/>
        </w:rPr>
        <w:t>Y</w:t>
      </w:r>
      <w:r>
        <w:rPr>
          <w:color w:val="auto"/>
          <w:highlight w:val="none"/>
        </w:rPr>
        <w:t>。</w:t>
      </w:r>
    </w:p>
    <w:p w14:paraId="321341E5">
      <w:pPr>
        <w:pStyle w:val="38"/>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default"/>
          <w:color w:val="auto"/>
          <w:highlight w:val="none"/>
          <w:lang w:val="en-US" w:eastAsia="zh-CN"/>
        </w:rPr>
      </w:pPr>
      <w:r>
        <w:rPr>
          <w:rFonts w:hint="eastAsia"/>
          <w:color w:val="auto"/>
          <w:highlight w:val="none"/>
          <w:lang w:val="en-US" w:eastAsia="zh-CN"/>
        </w:rPr>
        <w:t>1.</w:t>
      </w:r>
      <w:r>
        <w:rPr>
          <w:color w:val="auto"/>
          <w:spacing w:val="-3"/>
          <w:sz w:val="21"/>
          <w:highlight w:val="none"/>
        </w:rPr>
        <w:t>计算最低淘汰供应商及初步入围供应商数量</w:t>
      </w:r>
    </w:p>
    <w:p w14:paraId="5A09D44A">
      <w:pPr>
        <w:pStyle w:val="12"/>
        <w:keepNext w:val="0"/>
        <w:keepLines w:val="0"/>
        <w:pageBreakBefore w:val="0"/>
        <w:kinsoku/>
        <w:wordWrap/>
        <w:overflowPunct/>
        <w:topLinePunct w:val="0"/>
        <w:autoSpaceDE/>
        <w:autoSpaceDN/>
        <w:bidi w:val="0"/>
        <w:spacing w:before="170" w:line="400" w:lineRule="exact"/>
        <w:ind w:right="546" w:firstLine="408" w:firstLineChars="200"/>
        <w:textAlignment w:val="auto"/>
        <w:rPr>
          <w:color w:val="auto"/>
          <w:highlight w:val="none"/>
        </w:rPr>
      </w:pPr>
      <w:r>
        <w:rPr>
          <w:color w:val="auto"/>
          <w:spacing w:val="-3"/>
          <w:highlight w:val="none"/>
        </w:rPr>
        <w:t>（</w:t>
      </w:r>
      <w:r>
        <w:rPr>
          <w:rFonts w:ascii="Times New Roman" w:hAnsi="Times New Roman" w:eastAsia="Times New Roman"/>
          <w:color w:val="auto"/>
          <w:spacing w:val="-3"/>
          <w:highlight w:val="none"/>
        </w:rPr>
        <w:t>1</w:t>
      </w:r>
      <w:r>
        <w:rPr>
          <w:color w:val="auto"/>
          <w:spacing w:val="-3"/>
          <w:highlight w:val="none"/>
        </w:rPr>
        <w:t>）</w:t>
      </w:r>
      <w:r>
        <w:rPr>
          <w:color w:val="auto"/>
          <w:spacing w:val="-8"/>
          <w:highlight w:val="none"/>
        </w:rPr>
        <w:t xml:space="preserve">最低淘汰供应商数量 </w:t>
      </w:r>
      <w:r>
        <w:rPr>
          <w:rFonts w:ascii="Times New Roman" w:hAnsi="Times New Roman" w:eastAsia="Times New Roman"/>
          <w:color w:val="auto"/>
          <w:highlight w:val="none"/>
        </w:rPr>
        <w:t xml:space="preserve">Z =Y </w:t>
      </w:r>
      <w:r>
        <w:rPr>
          <w:color w:val="auto"/>
          <w:spacing w:val="-1"/>
          <w:highlight w:val="none"/>
        </w:rPr>
        <w:t>× 淘汰率</w:t>
      </w:r>
      <w:r>
        <w:rPr>
          <w:color w:val="auto"/>
          <w:highlight w:val="none"/>
        </w:rPr>
        <w:t>（</w:t>
      </w:r>
      <w:r>
        <w:rPr>
          <w:rFonts w:ascii="Times New Roman" w:hAnsi="Times New Roman" w:eastAsia="Times New Roman"/>
          <w:color w:val="auto"/>
          <w:highlight w:val="none"/>
        </w:rPr>
        <w:t xml:space="preserve">Z </w:t>
      </w:r>
      <w:r>
        <w:rPr>
          <w:color w:val="auto"/>
          <w:spacing w:val="-5"/>
          <w:highlight w:val="none"/>
        </w:rPr>
        <w:t>应保证为整数，计算结果有小数时向上取整，如计</w:t>
      </w:r>
      <w:r>
        <w:rPr>
          <w:color w:val="auto"/>
          <w:spacing w:val="-16"/>
          <w:highlight w:val="none"/>
        </w:rPr>
        <w:t xml:space="preserve">算值为 </w:t>
      </w:r>
      <w:r>
        <w:rPr>
          <w:rFonts w:ascii="Times New Roman" w:hAnsi="Times New Roman" w:eastAsia="Times New Roman"/>
          <w:color w:val="auto"/>
          <w:highlight w:val="none"/>
        </w:rPr>
        <w:t xml:space="preserve">2.1 </w:t>
      </w:r>
      <w:r>
        <w:rPr>
          <w:color w:val="auto"/>
          <w:spacing w:val="-19"/>
          <w:highlight w:val="none"/>
        </w:rPr>
        <w:t xml:space="preserve">时取 </w:t>
      </w:r>
      <w:r>
        <w:rPr>
          <w:rFonts w:ascii="Times New Roman" w:hAnsi="Times New Roman" w:eastAsia="Times New Roman"/>
          <w:color w:val="auto"/>
          <w:highlight w:val="none"/>
        </w:rPr>
        <w:t>Z=3</w:t>
      </w:r>
      <w:r>
        <w:rPr>
          <w:color w:val="auto"/>
          <w:highlight w:val="none"/>
        </w:rPr>
        <w:t>）</w:t>
      </w:r>
    </w:p>
    <w:p w14:paraId="2E91153C">
      <w:pPr>
        <w:pStyle w:val="12"/>
        <w:keepNext w:val="0"/>
        <w:keepLines w:val="0"/>
        <w:pageBreakBefore w:val="0"/>
        <w:kinsoku/>
        <w:wordWrap/>
        <w:overflowPunct/>
        <w:topLinePunct w:val="0"/>
        <w:autoSpaceDE/>
        <w:autoSpaceDN/>
        <w:bidi w:val="0"/>
        <w:spacing w:before="121" w:line="400" w:lineRule="exact"/>
        <w:ind w:firstLine="420" w:firstLineChars="200"/>
        <w:textAlignment w:val="auto"/>
        <w:rPr>
          <w:rFonts w:ascii="Times New Roman" w:hAnsi="Times New Roman" w:eastAsia="Times New Roman"/>
          <w:color w:val="auto"/>
          <w:highlight w:val="none"/>
        </w:rPr>
      </w:pPr>
      <w:r>
        <w:rPr>
          <w:color w:val="auto"/>
          <w:highlight w:val="none"/>
        </w:rPr>
        <w:t>（</w:t>
      </w:r>
      <w:r>
        <w:rPr>
          <w:rFonts w:ascii="Times New Roman" w:hAnsi="Times New Roman" w:eastAsia="Times New Roman"/>
          <w:color w:val="auto"/>
          <w:highlight w:val="none"/>
        </w:rPr>
        <w:t>2</w:t>
      </w:r>
      <w:r>
        <w:rPr>
          <w:color w:val="auto"/>
          <w:highlight w:val="none"/>
        </w:rPr>
        <w:t xml:space="preserve">）初步入围供应商数量 </w:t>
      </w:r>
      <w:r>
        <w:rPr>
          <w:rFonts w:ascii="Times New Roman" w:hAnsi="Times New Roman" w:eastAsia="Times New Roman"/>
          <w:color w:val="auto"/>
          <w:highlight w:val="none"/>
        </w:rPr>
        <w:t>X=Y – Z</w:t>
      </w:r>
    </w:p>
    <w:p w14:paraId="40E7AD04">
      <w:pPr>
        <w:pStyle w:val="38"/>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color w:val="auto"/>
          <w:highlight w:val="none"/>
        </w:rPr>
      </w:pPr>
      <w:r>
        <w:rPr>
          <w:rFonts w:hint="eastAsia"/>
          <w:color w:val="auto"/>
          <w:highlight w:val="none"/>
          <w:lang w:val="en-US" w:eastAsia="zh-CN"/>
        </w:rPr>
        <w:t>2.</w:t>
      </w:r>
      <w:r>
        <w:rPr>
          <w:color w:val="auto"/>
          <w:spacing w:val="-3"/>
          <w:sz w:val="21"/>
          <w:highlight w:val="none"/>
        </w:rPr>
        <w:t>对合格供应商进行评审及首次排序，首次排序即按照质量评分从高到低排序，相同分数的并</w:t>
      </w:r>
      <w:r>
        <w:rPr>
          <w:color w:val="auto"/>
          <w:spacing w:val="-6"/>
          <w:sz w:val="21"/>
          <w:highlight w:val="none"/>
        </w:rPr>
        <w:t xml:space="preserve">列排序。然后将供应商按首次排序从末位开始淘汰 </w:t>
      </w:r>
      <w:r>
        <w:rPr>
          <w:rFonts w:ascii="Times New Roman" w:eastAsia="Times New Roman"/>
          <w:color w:val="auto"/>
          <w:sz w:val="21"/>
          <w:highlight w:val="none"/>
        </w:rPr>
        <w:t>Z</w:t>
      </w:r>
      <w:r>
        <w:rPr>
          <w:rFonts w:ascii="Times New Roman" w:eastAsia="Times New Roman"/>
          <w:color w:val="auto"/>
          <w:spacing w:val="0"/>
          <w:sz w:val="21"/>
          <w:highlight w:val="none"/>
        </w:rPr>
        <w:t xml:space="preserve"> </w:t>
      </w:r>
      <w:r>
        <w:rPr>
          <w:color w:val="auto"/>
          <w:spacing w:val="-3"/>
          <w:sz w:val="21"/>
          <w:highlight w:val="none"/>
        </w:rPr>
        <w:t>家，并列的供应商一并淘汰。</w:t>
      </w:r>
    </w:p>
    <w:p w14:paraId="05373AA8">
      <w:pPr>
        <w:pStyle w:val="38"/>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w:t>
      </w:r>
      <w:r>
        <w:rPr>
          <w:color w:val="auto"/>
          <w:spacing w:val="-3"/>
          <w:sz w:val="21"/>
          <w:highlight w:val="none"/>
        </w:rPr>
        <w:t>淘汰供应商</w:t>
      </w:r>
    </w:p>
    <w:p w14:paraId="5F256979">
      <w:pPr>
        <w:pStyle w:val="12"/>
        <w:keepNext w:val="0"/>
        <w:keepLines w:val="0"/>
        <w:pageBreakBefore w:val="0"/>
        <w:kinsoku/>
        <w:wordWrap/>
        <w:overflowPunct/>
        <w:topLinePunct w:val="0"/>
        <w:autoSpaceDE/>
        <w:autoSpaceDN/>
        <w:bidi w:val="0"/>
        <w:spacing w:before="170" w:line="400" w:lineRule="exact"/>
        <w:ind w:firstLine="420" w:firstLineChars="200"/>
        <w:textAlignment w:val="auto"/>
        <w:rPr>
          <w:color w:val="auto"/>
          <w:highlight w:val="none"/>
        </w:rPr>
      </w:pPr>
      <w:r>
        <w:rPr>
          <w:color w:val="auto"/>
          <w:highlight w:val="none"/>
        </w:rPr>
        <w:t xml:space="preserve">将 </w:t>
      </w:r>
      <w:r>
        <w:rPr>
          <w:rFonts w:ascii="Times New Roman" w:eastAsia="Times New Roman"/>
          <w:color w:val="auto"/>
          <w:highlight w:val="none"/>
        </w:rPr>
        <w:t xml:space="preserve">X </w:t>
      </w:r>
      <w:r>
        <w:rPr>
          <w:color w:val="auto"/>
          <w:highlight w:val="none"/>
        </w:rPr>
        <w:t>与入围供应商最大数量对比，按下列不同情况淘汰供应商：</w:t>
      </w:r>
    </w:p>
    <w:p w14:paraId="2AC86BC6">
      <w:pPr>
        <w:pStyle w:val="12"/>
        <w:keepNext w:val="0"/>
        <w:keepLines w:val="0"/>
        <w:pageBreakBefore w:val="0"/>
        <w:kinsoku/>
        <w:wordWrap/>
        <w:overflowPunct/>
        <w:topLinePunct w:val="0"/>
        <w:autoSpaceDE/>
        <w:autoSpaceDN/>
        <w:bidi w:val="0"/>
        <w:spacing w:before="170" w:line="400" w:lineRule="exact"/>
        <w:ind w:firstLine="420" w:firstLineChars="200"/>
        <w:textAlignment w:val="auto"/>
        <w:rPr>
          <w:color w:val="auto"/>
          <w:highlight w:val="none"/>
        </w:rPr>
      </w:pPr>
      <w:r>
        <w:rPr>
          <w:color w:val="auto"/>
          <w:highlight w:val="none"/>
        </w:rPr>
        <w:t>（</w:t>
      </w:r>
      <w:r>
        <w:rPr>
          <w:rFonts w:ascii="Times New Roman" w:eastAsia="Times New Roman"/>
          <w:color w:val="auto"/>
          <w:highlight w:val="none"/>
        </w:rPr>
        <w:t>1</w:t>
      </w:r>
      <w:r>
        <w:rPr>
          <w:color w:val="auto"/>
          <w:highlight w:val="none"/>
        </w:rPr>
        <w:t>）</w:t>
      </w:r>
      <w:r>
        <w:rPr>
          <w:rFonts w:ascii="Times New Roman" w:eastAsia="Times New Roman"/>
          <w:color w:val="auto"/>
          <w:highlight w:val="none"/>
        </w:rPr>
        <w:t>X</w:t>
      </w:r>
      <w:r>
        <w:rPr>
          <w:color w:val="auto"/>
          <w:highlight w:val="none"/>
        </w:rPr>
        <w:t>＝</w:t>
      </w:r>
      <w:r>
        <w:rPr>
          <w:rFonts w:hint="eastAsia" w:ascii="Times New Roman"/>
          <w:color w:val="auto"/>
          <w:highlight w:val="none"/>
          <w:lang w:val="en-US" w:eastAsia="zh-CN"/>
        </w:rPr>
        <w:t>6</w:t>
      </w:r>
      <w:r>
        <w:rPr>
          <w:color w:val="auto"/>
          <w:highlight w:val="none"/>
        </w:rPr>
        <w:t>时，</w:t>
      </w:r>
      <w:r>
        <w:rPr>
          <w:rFonts w:ascii="Times New Roman" w:eastAsia="Times New Roman"/>
          <w:color w:val="auto"/>
          <w:highlight w:val="none"/>
        </w:rPr>
        <w:t xml:space="preserve">X </w:t>
      </w:r>
      <w:r>
        <w:rPr>
          <w:color w:val="auto"/>
          <w:highlight w:val="none"/>
        </w:rPr>
        <w:t>即为最终入围供应商数量。</w:t>
      </w:r>
    </w:p>
    <w:p w14:paraId="66B6C1CB">
      <w:pPr>
        <w:pStyle w:val="12"/>
        <w:keepNext w:val="0"/>
        <w:keepLines w:val="0"/>
        <w:pageBreakBefore w:val="0"/>
        <w:kinsoku/>
        <w:wordWrap/>
        <w:overflowPunct/>
        <w:topLinePunct w:val="0"/>
        <w:autoSpaceDE/>
        <w:autoSpaceDN/>
        <w:bidi w:val="0"/>
        <w:spacing w:before="173" w:line="400" w:lineRule="exact"/>
        <w:ind w:right="544" w:firstLine="420" w:firstLineChars="200"/>
        <w:textAlignment w:val="auto"/>
        <w:rPr>
          <w:color w:val="auto"/>
          <w:highlight w:val="none"/>
        </w:rPr>
      </w:pPr>
      <w:r>
        <w:rPr>
          <w:color w:val="auto"/>
          <w:highlight w:val="none"/>
        </w:rPr>
        <w:t>（</w:t>
      </w:r>
      <w:r>
        <w:rPr>
          <w:rFonts w:ascii="Times New Roman" w:eastAsia="Times New Roman"/>
          <w:color w:val="auto"/>
          <w:highlight w:val="none"/>
        </w:rPr>
        <w:t>2</w:t>
      </w:r>
      <w:r>
        <w:rPr>
          <w:color w:val="auto"/>
          <w:highlight w:val="none"/>
        </w:rPr>
        <w:t xml:space="preserve">）当 </w:t>
      </w:r>
      <w:r>
        <w:rPr>
          <w:rFonts w:ascii="Times New Roman" w:eastAsia="Times New Roman"/>
          <w:color w:val="auto"/>
          <w:highlight w:val="none"/>
        </w:rPr>
        <w:t>X</w:t>
      </w:r>
      <w:r>
        <w:rPr>
          <w:color w:val="auto"/>
          <w:highlight w:val="none"/>
        </w:rPr>
        <w:t>＞</w:t>
      </w:r>
      <w:r>
        <w:rPr>
          <w:rFonts w:hint="eastAsia" w:ascii="Times New Roman"/>
          <w:color w:val="auto"/>
          <w:highlight w:val="none"/>
          <w:lang w:val="en-US" w:eastAsia="zh-CN"/>
        </w:rPr>
        <w:t>6</w:t>
      </w:r>
      <w:r>
        <w:rPr>
          <w:color w:val="auto"/>
          <w:spacing w:val="-3"/>
          <w:highlight w:val="none"/>
        </w:rPr>
        <w:t>时，应按首次排序将剩余供应商从末位开始继续淘汰，直至最终入围供应商数量等</w:t>
      </w:r>
      <w:r>
        <w:rPr>
          <w:color w:val="auto"/>
          <w:spacing w:val="-28"/>
          <w:highlight w:val="none"/>
        </w:rPr>
        <w:t xml:space="preserve">于 </w:t>
      </w:r>
      <w:r>
        <w:rPr>
          <w:rFonts w:hint="eastAsia" w:ascii="Times New Roman"/>
          <w:color w:val="auto"/>
          <w:highlight w:val="none"/>
          <w:lang w:val="en-US" w:eastAsia="zh-CN"/>
        </w:rPr>
        <w:t>6</w:t>
      </w:r>
      <w:r>
        <w:rPr>
          <w:color w:val="auto"/>
          <w:spacing w:val="-3"/>
          <w:highlight w:val="none"/>
        </w:rPr>
        <w:t>；在此过程中并列的供应商应一并淘汰。</w:t>
      </w:r>
    </w:p>
    <w:p w14:paraId="3DC94FB8">
      <w:pPr>
        <w:pStyle w:val="12"/>
        <w:keepNext w:val="0"/>
        <w:keepLines w:val="0"/>
        <w:pageBreakBefore w:val="0"/>
        <w:kinsoku/>
        <w:wordWrap/>
        <w:overflowPunct/>
        <w:topLinePunct w:val="0"/>
        <w:autoSpaceDE/>
        <w:autoSpaceDN/>
        <w:bidi w:val="0"/>
        <w:spacing w:before="118" w:line="400" w:lineRule="exact"/>
        <w:ind w:right="544" w:firstLine="404" w:firstLineChars="200"/>
        <w:jc w:val="both"/>
        <w:textAlignment w:val="auto"/>
        <w:rPr>
          <w:color w:val="auto"/>
          <w:highlight w:val="none"/>
        </w:rPr>
      </w:pPr>
      <w:r>
        <w:rPr>
          <w:color w:val="auto"/>
          <w:spacing w:val="-4"/>
          <w:highlight w:val="none"/>
        </w:rPr>
        <w:t xml:space="preserve">如果淘汰某排序并列供应商后 </w:t>
      </w:r>
      <w:r>
        <w:rPr>
          <w:rFonts w:ascii="Times New Roman" w:hAnsi="Times New Roman" w:eastAsia="Times New Roman"/>
          <w:color w:val="auto"/>
          <w:highlight w:val="none"/>
        </w:rPr>
        <w:t>2</w:t>
      </w:r>
      <w:r>
        <w:rPr>
          <w:color w:val="auto"/>
          <w:highlight w:val="none"/>
        </w:rPr>
        <w:t>≤</w:t>
      </w:r>
      <w:r>
        <w:rPr>
          <w:rFonts w:ascii="Times New Roman" w:hAnsi="Times New Roman" w:eastAsia="Times New Roman"/>
          <w:color w:val="auto"/>
          <w:highlight w:val="none"/>
        </w:rPr>
        <w:t>X</w:t>
      </w:r>
      <w:r>
        <w:rPr>
          <w:color w:val="auto"/>
          <w:highlight w:val="none"/>
        </w:rPr>
        <w:t>＜</w:t>
      </w:r>
      <w:r>
        <w:rPr>
          <w:rFonts w:hint="eastAsia"/>
          <w:color w:val="auto"/>
          <w:highlight w:val="none"/>
          <w:lang w:val="en-US" w:eastAsia="zh-CN"/>
        </w:rPr>
        <w:t>6</w:t>
      </w:r>
      <w:r>
        <w:rPr>
          <w:color w:val="auto"/>
          <w:spacing w:val="-3"/>
          <w:highlight w:val="none"/>
        </w:rPr>
        <w:t>，应将该排序并列供应商进行二次排序，并按二次排序从</w:t>
      </w:r>
      <w:r>
        <w:rPr>
          <w:color w:val="auto"/>
          <w:spacing w:val="-6"/>
          <w:highlight w:val="none"/>
        </w:rPr>
        <w:t>末位开始淘汰，直至最终入围供应商数量等于</w:t>
      </w:r>
      <w:r>
        <w:rPr>
          <w:rFonts w:hint="eastAsia"/>
          <w:color w:val="auto"/>
          <w:spacing w:val="-6"/>
          <w:highlight w:val="none"/>
          <w:lang w:val="en-US" w:eastAsia="zh-CN"/>
        </w:rPr>
        <w:t>6</w:t>
      </w:r>
      <w:r>
        <w:rPr>
          <w:color w:val="auto"/>
          <w:spacing w:val="-4"/>
          <w:highlight w:val="none"/>
        </w:rPr>
        <w:t>；在此过程中如果出现供应商二次排序并列的情况，并</w:t>
      </w:r>
      <w:r>
        <w:rPr>
          <w:color w:val="auto"/>
          <w:spacing w:val="-3"/>
          <w:highlight w:val="none"/>
        </w:rPr>
        <w:t>列的供应商应一并淘汰。</w:t>
      </w:r>
    </w:p>
    <w:p w14:paraId="47183EDD">
      <w:pPr>
        <w:pStyle w:val="12"/>
        <w:keepNext w:val="0"/>
        <w:keepLines w:val="0"/>
        <w:pageBreakBefore w:val="0"/>
        <w:kinsoku/>
        <w:wordWrap/>
        <w:overflowPunct/>
        <w:topLinePunct w:val="0"/>
        <w:autoSpaceDE/>
        <w:autoSpaceDN/>
        <w:bidi w:val="0"/>
        <w:spacing w:before="120" w:line="400" w:lineRule="exact"/>
        <w:ind w:right="544" w:firstLine="404" w:firstLineChars="200"/>
        <w:jc w:val="both"/>
        <w:textAlignment w:val="auto"/>
        <w:rPr>
          <w:color w:val="auto"/>
          <w:highlight w:val="none"/>
        </w:rPr>
      </w:pPr>
      <w:r>
        <w:rPr>
          <w:color w:val="auto"/>
          <w:spacing w:val="-4"/>
          <w:highlight w:val="none"/>
        </w:rPr>
        <w:t xml:space="preserve">在上述二次排序淘汰过程中，如果淘汰某排序并列供应商后 </w:t>
      </w:r>
      <w:r>
        <w:rPr>
          <w:rFonts w:ascii="Times New Roman" w:hAnsi="Times New Roman" w:eastAsia="Times New Roman"/>
          <w:color w:val="auto"/>
          <w:highlight w:val="none"/>
        </w:rPr>
        <w:t>2</w:t>
      </w:r>
      <w:r>
        <w:rPr>
          <w:color w:val="auto"/>
          <w:highlight w:val="none"/>
        </w:rPr>
        <w:t>≤</w:t>
      </w:r>
      <w:r>
        <w:rPr>
          <w:rFonts w:ascii="Times New Roman" w:hAnsi="Times New Roman" w:eastAsia="Times New Roman"/>
          <w:color w:val="auto"/>
          <w:highlight w:val="none"/>
        </w:rPr>
        <w:t>X</w:t>
      </w:r>
      <w:r>
        <w:rPr>
          <w:color w:val="auto"/>
          <w:highlight w:val="none"/>
        </w:rPr>
        <w:t>＜</w:t>
      </w:r>
      <w:r>
        <w:rPr>
          <w:rFonts w:hint="eastAsia"/>
          <w:color w:val="auto"/>
          <w:highlight w:val="none"/>
          <w:lang w:val="en-US" w:eastAsia="zh-CN"/>
        </w:rPr>
        <w:t>6</w:t>
      </w:r>
      <w:r>
        <w:rPr>
          <w:color w:val="auto"/>
          <w:spacing w:val="-3"/>
          <w:highlight w:val="none"/>
        </w:rPr>
        <w:t>，应将该排序并列供应商进</w:t>
      </w:r>
      <w:r>
        <w:rPr>
          <w:color w:val="auto"/>
          <w:spacing w:val="-7"/>
          <w:highlight w:val="none"/>
        </w:rPr>
        <w:t>行三次排序，并按三次排序从末位开始淘汰，直至最终入围供应商数量等于</w:t>
      </w:r>
      <w:r>
        <w:rPr>
          <w:rFonts w:hint="eastAsia"/>
          <w:color w:val="auto"/>
          <w:spacing w:val="-7"/>
          <w:highlight w:val="none"/>
          <w:lang w:val="en-US" w:eastAsia="zh-CN"/>
        </w:rPr>
        <w:t>6</w:t>
      </w:r>
      <w:r>
        <w:rPr>
          <w:color w:val="auto"/>
          <w:spacing w:val="-6"/>
          <w:highlight w:val="none"/>
        </w:rPr>
        <w:t>。以此类推，直至最终入</w:t>
      </w:r>
      <w:r>
        <w:rPr>
          <w:color w:val="auto"/>
          <w:spacing w:val="-10"/>
          <w:highlight w:val="none"/>
        </w:rPr>
        <w:t xml:space="preserve">围供应商数量等于 </w:t>
      </w:r>
      <w:r>
        <w:rPr>
          <w:rFonts w:hint="eastAsia" w:ascii="Times New Roman" w:hAnsi="Times New Roman"/>
          <w:color w:val="auto"/>
          <w:spacing w:val="-3"/>
          <w:highlight w:val="none"/>
          <w:lang w:val="en-US" w:eastAsia="zh-CN"/>
        </w:rPr>
        <w:t>6</w:t>
      </w:r>
      <w:r>
        <w:rPr>
          <w:color w:val="auto"/>
          <w:highlight w:val="none"/>
        </w:rPr>
        <w:t>。</w:t>
      </w:r>
    </w:p>
    <w:p w14:paraId="40F4C221">
      <w:pPr>
        <w:pStyle w:val="12"/>
        <w:keepNext w:val="0"/>
        <w:keepLines w:val="0"/>
        <w:pageBreakBefore w:val="0"/>
        <w:kinsoku/>
        <w:wordWrap/>
        <w:overflowPunct/>
        <w:topLinePunct w:val="0"/>
        <w:autoSpaceDE/>
        <w:autoSpaceDN/>
        <w:bidi w:val="0"/>
        <w:spacing w:before="119" w:line="400" w:lineRule="exact"/>
        <w:ind w:firstLine="420" w:firstLineChars="200"/>
        <w:textAlignment w:val="auto"/>
        <w:rPr>
          <w:rFonts w:hint="default"/>
          <w:color w:val="auto"/>
          <w:highlight w:val="none"/>
          <w:lang w:val="en-US" w:eastAsia="zh-CN"/>
        </w:rPr>
      </w:pPr>
      <w:r>
        <w:rPr>
          <w:color w:val="auto"/>
          <w:highlight w:val="none"/>
        </w:rPr>
        <w:t>（</w:t>
      </w:r>
      <w:r>
        <w:rPr>
          <w:rFonts w:ascii="Times New Roman" w:eastAsia="Times New Roman"/>
          <w:color w:val="auto"/>
          <w:highlight w:val="none"/>
        </w:rPr>
        <w:t>3</w:t>
      </w:r>
      <w:r>
        <w:rPr>
          <w:color w:val="auto"/>
          <w:highlight w:val="none"/>
        </w:rPr>
        <w:t xml:space="preserve">）当 </w:t>
      </w:r>
      <w:r>
        <w:rPr>
          <w:rFonts w:ascii="Times New Roman" w:eastAsia="Times New Roman"/>
          <w:color w:val="auto"/>
          <w:highlight w:val="none"/>
        </w:rPr>
        <w:t>X</w:t>
      </w:r>
      <w:r>
        <w:rPr>
          <w:color w:val="auto"/>
          <w:highlight w:val="none"/>
        </w:rPr>
        <w:t>＜</w:t>
      </w:r>
      <w:r>
        <w:rPr>
          <w:rFonts w:ascii="Times New Roman" w:eastAsia="Times New Roman"/>
          <w:color w:val="auto"/>
          <w:highlight w:val="none"/>
        </w:rPr>
        <w:t xml:space="preserve">2 </w:t>
      </w:r>
      <w:r>
        <w:rPr>
          <w:color w:val="auto"/>
          <w:highlight w:val="none"/>
        </w:rPr>
        <w:t>时，本次框架协议采购失败，应重新开展征集活动。</w:t>
      </w:r>
    </w:p>
    <w:p w14:paraId="36ACEA30">
      <w:pPr>
        <w:spacing w:line="360" w:lineRule="auto"/>
        <w:ind w:firstLine="420" w:firstLineChars="200"/>
        <w:rPr>
          <w:rFonts w:hint="eastAsia" w:ascii="宋体" w:hAnsi="宋体" w:eastAsia="宋体" w:cs="宋体"/>
          <w:color w:val="auto"/>
          <w:sz w:val="21"/>
          <w:szCs w:val="21"/>
          <w:highlight w:val="none"/>
          <w:lang w:val="en-US" w:eastAsia="zh-CN"/>
        </w:rPr>
      </w:pPr>
    </w:p>
    <w:p w14:paraId="10633B5A">
      <w:pPr>
        <w:keepNext/>
        <w:keepLines/>
        <w:spacing w:line="360" w:lineRule="auto"/>
        <w:ind w:firstLine="600" w:firstLineChars="200"/>
        <w:jc w:val="center"/>
        <w:outlineLvl w:val="1"/>
        <w:rPr>
          <w:rFonts w:hint="eastAsia" w:ascii="宋体" w:hAnsi="宋体" w:cs="宋体"/>
          <w:bCs/>
          <w:color w:val="auto"/>
          <w:sz w:val="30"/>
          <w:szCs w:val="30"/>
          <w:highlight w:val="none"/>
        </w:rPr>
      </w:pPr>
      <w:bookmarkStart w:id="124" w:name="_Toc80093008"/>
      <w:bookmarkStart w:id="125" w:name="_Toc13096"/>
      <w:bookmarkStart w:id="126" w:name="_Toc14133"/>
      <w:bookmarkStart w:id="127" w:name="_Toc32440"/>
      <w:r>
        <w:rPr>
          <w:rFonts w:hint="eastAsia" w:ascii="宋体" w:hAnsi="宋体" w:cs="宋体"/>
          <w:bCs/>
          <w:color w:val="auto"/>
          <w:sz w:val="30"/>
          <w:szCs w:val="30"/>
          <w:highlight w:val="none"/>
        </w:rPr>
        <w:t>第五节 评审报告</w:t>
      </w:r>
      <w:bookmarkEnd w:id="124"/>
      <w:bookmarkEnd w:id="125"/>
      <w:bookmarkEnd w:id="126"/>
      <w:bookmarkEnd w:id="127"/>
    </w:p>
    <w:p w14:paraId="440AB95A">
      <w:pPr>
        <w:pStyle w:val="12"/>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bookmarkStart w:id="128" w:name="_Toc16167"/>
      <w:r>
        <w:rPr>
          <w:rFonts w:hint="eastAsia"/>
          <w:b/>
          <w:bCs/>
          <w:color w:val="auto"/>
          <w:highlight w:val="none"/>
        </w:rPr>
        <w:t>（一）评审报告与推荐入围候选人</w:t>
      </w:r>
      <w:bookmarkEnd w:id="128"/>
    </w:p>
    <w:p w14:paraId="187E2AC5">
      <w:pPr>
        <w:tabs>
          <w:tab w:val="left" w:pos="247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评审委员会根据原始评审记录和评审结果编写评审报告，并通过电子交易平台向征集人、采购代理机构提交。</w:t>
      </w:r>
    </w:p>
    <w:p w14:paraId="532A22BC">
      <w:pPr>
        <w:pStyle w:val="12"/>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bookmarkStart w:id="129" w:name="_Toc21023"/>
      <w:r>
        <w:rPr>
          <w:rFonts w:hint="eastAsia"/>
          <w:b/>
          <w:bCs/>
          <w:color w:val="auto"/>
          <w:highlight w:val="none"/>
        </w:rPr>
        <w:t>（二）评审争议事项处理</w:t>
      </w:r>
      <w:bookmarkEnd w:id="129"/>
    </w:p>
    <w:p w14:paraId="5CD30240">
      <w:pPr>
        <w:tabs>
          <w:tab w:val="left" w:pos="247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评审委员会成员对需要共同认定的事项存在争议的，应当按照少数服从多数的原则作出结论。持不同意见的评审委员会成员应当在评审报告上签署不同意见及理由，否则视为同意评审报告。</w:t>
      </w:r>
    </w:p>
    <w:p w14:paraId="49D37EC8">
      <w:pPr>
        <w:autoSpaceDE w:val="0"/>
        <w:autoSpaceDN w:val="0"/>
        <w:adjustRightInd w:val="0"/>
        <w:spacing w:line="440" w:lineRule="exact"/>
        <w:ind w:firstLine="420" w:firstLineChars="200"/>
        <w:rPr>
          <w:rFonts w:hint="eastAsia" w:ascii="宋体" w:hAnsi="宋体"/>
          <w:color w:val="auto"/>
          <w:szCs w:val="21"/>
          <w:highlight w:val="none"/>
        </w:rPr>
      </w:pPr>
    </w:p>
    <w:p w14:paraId="35D44741">
      <w:pPr>
        <w:spacing w:line="360" w:lineRule="auto"/>
        <w:ind w:firstLine="420"/>
        <w:rPr>
          <w:rFonts w:hint="eastAsia" w:ascii="宋体" w:hAnsi="宋体"/>
          <w:bCs/>
          <w:color w:val="auto"/>
          <w:szCs w:val="20"/>
          <w:highlight w:val="none"/>
        </w:rPr>
      </w:pPr>
      <w:bookmarkStart w:id="130" w:name="PO_TDCUS_ITEM_SM_TITLE_1_0"/>
    </w:p>
    <w:p w14:paraId="15376030">
      <w:pPr>
        <w:spacing w:line="360" w:lineRule="auto"/>
        <w:ind w:firstLine="420"/>
        <w:rPr>
          <w:rFonts w:hint="eastAsia" w:ascii="宋体" w:hAnsi="宋体"/>
          <w:bCs/>
          <w:color w:val="auto"/>
          <w:szCs w:val="20"/>
          <w:highlight w:val="none"/>
        </w:rPr>
      </w:pPr>
    </w:p>
    <w:bookmarkEnd w:id="130"/>
    <w:p w14:paraId="6C2F2DF9">
      <w:pPr>
        <w:tabs>
          <w:tab w:val="left" w:pos="2472"/>
        </w:tabs>
        <w:spacing w:line="460" w:lineRule="exact"/>
        <w:jc w:val="center"/>
        <w:rPr>
          <w:rFonts w:hint="eastAsia" w:ascii="Times New Roman" w:hAnsi="Times New Roman"/>
          <w:b/>
          <w:color w:val="auto"/>
          <w:sz w:val="36"/>
          <w:szCs w:val="20"/>
          <w:highlight w:val="none"/>
        </w:rPr>
      </w:pPr>
    </w:p>
    <w:p w14:paraId="3C068B4A">
      <w:pPr>
        <w:tabs>
          <w:tab w:val="left" w:pos="2472"/>
        </w:tabs>
        <w:spacing w:line="460" w:lineRule="exact"/>
        <w:jc w:val="center"/>
        <w:rPr>
          <w:rFonts w:ascii="Times New Roman" w:hAnsi="Times New Roman"/>
          <w:b/>
          <w:color w:val="auto"/>
          <w:sz w:val="36"/>
          <w:szCs w:val="20"/>
          <w:highlight w:val="none"/>
        </w:rPr>
      </w:pPr>
    </w:p>
    <w:p w14:paraId="12FB1EEC">
      <w:pPr>
        <w:tabs>
          <w:tab w:val="left" w:pos="2472"/>
        </w:tabs>
        <w:spacing w:line="460" w:lineRule="exact"/>
        <w:jc w:val="center"/>
        <w:rPr>
          <w:rFonts w:ascii="Times New Roman" w:hAnsi="Times New Roman"/>
          <w:b/>
          <w:color w:val="auto"/>
          <w:sz w:val="36"/>
          <w:szCs w:val="20"/>
          <w:highlight w:val="none"/>
        </w:rPr>
      </w:pPr>
    </w:p>
    <w:p w14:paraId="4F13083C">
      <w:pPr>
        <w:tabs>
          <w:tab w:val="left" w:pos="2472"/>
        </w:tabs>
        <w:spacing w:line="460" w:lineRule="exact"/>
        <w:jc w:val="center"/>
        <w:rPr>
          <w:rFonts w:ascii="Times New Roman" w:hAnsi="Times New Roman"/>
          <w:b/>
          <w:color w:val="auto"/>
          <w:sz w:val="36"/>
          <w:szCs w:val="20"/>
          <w:highlight w:val="none"/>
        </w:rPr>
      </w:pPr>
    </w:p>
    <w:p w14:paraId="302D4D28">
      <w:pPr>
        <w:tabs>
          <w:tab w:val="left" w:pos="2472"/>
        </w:tabs>
        <w:spacing w:line="460" w:lineRule="exact"/>
        <w:jc w:val="center"/>
        <w:rPr>
          <w:rFonts w:ascii="Times New Roman" w:hAnsi="Times New Roman"/>
          <w:b/>
          <w:color w:val="auto"/>
          <w:sz w:val="36"/>
          <w:szCs w:val="20"/>
          <w:highlight w:val="none"/>
        </w:rPr>
      </w:pPr>
    </w:p>
    <w:p w14:paraId="28CE798B">
      <w:pPr>
        <w:tabs>
          <w:tab w:val="left" w:pos="2472"/>
        </w:tabs>
        <w:spacing w:line="460" w:lineRule="exact"/>
        <w:jc w:val="center"/>
        <w:rPr>
          <w:rFonts w:ascii="Times New Roman" w:hAnsi="Times New Roman"/>
          <w:b/>
          <w:color w:val="auto"/>
          <w:sz w:val="36"/>
          <w:szCs w:val="20"/>
          <w:highlight w:val="none"/>
        </w:rPr>
      </w:pPr>
    </w:p>
    <w:p w14:paraId="3182E262">
      <w:pPr>
        <w:tabs>
          <w:tab w:val="left" w:pos="2472"/>
        </w:tabs>
        <w:spacing w:line="460" w:lineRule="exact"/>
        <w:jc w:val="center"/>
        <w:rPr>
          <w:rFonts w:ascii="Times New Roman" w:hAnsi="Times New Roman"/>
          <w:b/>
          <w:color w:val="auto"/>
          <w:sz w:val="36"/>
          <w:szCs w:val="20"/>
          <w:highlight w:val="none"/>
        </w:rPr>
      </w:pPr>
    </w:p>
    <w:p w14:paraId="36976F5A">
      <w:pPr>
        <w:tabs>
          <w:tab w:val="left" w:pos="2472"/>
        </w:tabs>
        <w:spacing w:line="460" w:lineRule="exact"/>
        <w:jc w:val="center"/>
        <w:rPr>
          <w:rFonts w:ascii="Times New Roman" w:hAnsi="Times New Roman"/>
          <w:b/>
          <w:color w:val="auto"/>
          <w:sz w:val="36"/>
          <w:szCs w:val="20"/>
          <w:highlight w:val="none"/>
        </w:rPr>
      </w:pPr>
    </w:p>
    <w:p w14:paraId="7D8C7D11">
      <w:pPr>
        <w:tabs>
          <w:tab w:val="left" w:pos="2472"/>
        </w:tabs>
        <w:spacing w:line="460" w:lineRule="exact"/>
        <w:jc w:val="center"/>
        <w:rPr>
          <w:rFonts w:ascii="Times New Roman" w:hAnsi="Times New Roman"/>
          <w:b/>
          <w:color w:val="auto"/>
          <w:sz w:val="36"/>
          <w:szCs w:val="20"/>
          <w:highlight w:val="none"/>
        </w:rPr>
      </w:pPr>
    </w:p>
    <w:p w14:paraId="27E2C292">
      <w:pPr>
        <w:tabs>
          <w:tab w:val="left" w:pos="2472"/>
        </w:tabs>
        <w:spacing w:line="460" w:lineRule="exact"/>
        <w:jc w:val="center"/>
        <w:rPr>
          <w:rFonts w:ascii="Times New Roman" w:hAnsi="Times New Roman"/>
          <w:b/>
          <w:color w:val="auto"/>
          <w:sz w:val="36"/>
          <w:szCs w:val="20"/>
          <w:highlight w:val="none"/>
        </w:rPr>
      </w:pPr>
    </w:p>
    <w:p w14:paraId="16BF8C68">
      <w:pPr>
        <w:tabs>
          <w:tab w:val="left" w:pos="2472"/>
        </w:tabs>
        <w:spacing w:line="460" w:lineRule="exact"/>
        <w:jc w:val="center"/>
        <w:rPr>
          <w:rFonts w:ascii="Times New Roman" w:hAnsi="Times New Roman"/>
          <w:b/>
          <w:color w:val="auto"/>
          <w:sz w:val="36"/>
          <w:szCs w:val="20"/>
          <w:highlight w:val="none"/>
        </w:rPr>
      </w:pPr>
    </w:p>
    <w:p w14:paraId="3A33451F">
      <w:pPr>
        <w:tabs>
          <w:tab w:val="left" w:pos="2472"/>
        </w:tabs>
        <w:spacing w:line="460" w:lineRule="exact"/>
        <w:jc w:val="center"/>
        <w:rPr>
          <w:rFonts w:ascii="Times New Roman" w:hAnsi="Times New Roman"/>
          <w:b/>
          <w:color w:val="auto"/>
          <w:sz w:val="36"/>
          <w:szCs w:val="20"/>
          <w:highlight w:val="none"/>
        </w:rPr>
      </w:pPr>
    </w:p>
    <w:p w14:paraId="6E43FDE2">
      <w:pPr>
        <w:tabs>
          <w:tab w:val="left" w:pos="2472"/>
        </w:tabs>
        <w:spacing w:line="460" w:lineRule="exact"/>
        <w:jc w:val="center"/>
        <w:rPr>
          <w:rFonts w:ascii="Times New Roman" w:hAnsi="Times New Roman"/>
          <w:b/>
          <w:color w:val="auto"/>
          <w:sz w:val="36"/>
          <w:szCs w:val="20"/>
          <w:highlight w:val="none"/>
        </w:rPr>
      </w:pPr>
    </w:p>
    <w:p w14:paraId="31E7646D">
      <w:pPr>
        <w:tabs>
          <w:tab w:val="left" w:pos="2472"/>
        </w:tabs>
        <w:spacing w:line="460" w:lineRule="exact"/>
        <w:jc w:val="center"/>
        <w:rPr>
          <w:rFonts w:ascii="Times New Roman" w:hAnsi="Times New Roman"/>
          <w:b/>
          <w:color w:val="auto"/>
          <w:sz w:val="36"/>
          <w:szCs w:val="20"/>
          <w:highlight w:val="none"/>
        </w:rPr>
      </w:pPr>
    </w:p>
    <w:p w14:paraId="08EE2627">
      <w:pPr>
        <w:tabs>
          <w:tab w:val="left" w:pos="2472"/>
        </w:tabs>
        <w:spacing w:line="460" w:lineRule="exact"/>
        <w:jc w:val="center"/>
        <w:rPr>
          <w:rFonts w:ascii="Times New Roman" w:hAnsi="Times New Roman"/>
          <w:b/>
          <w:color w:val="auto"/>
          <w:sz w:val="36"/>
          <w:szCs w:val="20"/>
          <w:highlight w:val="none"/>
        </w:rPr>
      </w:pPr>
    </w:p>
    <w:p w14:paraId="07C99DDE">
      <w:pPr>
        <w:tabs>
          <w:tab w:val="left" w:pos="2472"/>
        </w:tabs>
        <w:spacing w:line="460" w:lineRule="exact"/>
        <w:jc w:val="center"/>
        <w:rPr>
          <w:rFonts w:ascii="Times New Roman" w:hAnsi="Times New Roman"/>
          <w:b/>
          <w:color w:val="auto"/>
          <w:sz w:val="36"/>
          <w:szCs w:val="20"/>
          <w:highlight w:val="none"/>
        </w:rPr>
      </w:pPr>
    </w:p>
    <w:p w14:paraId="12F67099">
      <w:pPr>
        <w:tabs>
          <w:tab w:val="left" w:pos="2472"/>
        </w:tabs>
        <w:spacing w:line="460" w:lineRule="exact"/>
        <w:jc w:val="center"/>
        <w:rPr>
          <w:rFonts w:ascii="Times New Roman" w:hAnsi="Times New Roman"/>
          <w:b/>
          <w:color w:val="auto"/>
          <w:sz w:val="36"/>
          <w:szCs w:val="20"/>
          <w:highlight w:val="none"/>
        </w:rPr>
      </w:pPr>
    </w:p>
    <w:p w14:paraId="433D8BBA">
      <w:pPr>
        <w:tabs>
          <w:tab w:val="left" w:pos="2472"/>
        </w:tabs>
        <w:spacing w:line="460" w:lineRule="exact"/>
        <w:jc w:val="center"/>
        <w:rPr>
          <w:rFonts w:ascii="Times New Roman" w:hAnsi="Times New Roman"/>
          <w:b/>
          <w:color w:val="auto"/>
          <w:sz w:val="36"/>
          <w:szCs w:val="20"/>
          <w:highlight w:val="none"/>
        </w:rPr>
      </w:pPr>
    </w:p>
    <w:p w14:paraId="4AD1B0C9">
      <w:pPr>
        <w:tabs>
          <w:tab w:val="left" w:pos="2472"/>
        </w:tabs>
        <w:spacing w:line="460" w:lineRule="exact"/>
        <w:jc w:val="center"/>
        <w:rPr>
          <w:rFonts w:ascii="Times New Roman" w:hAnsi="Times New Roman"/>
          <w:b/>
          <w:color w:val="auto"/>
          <w:sz w:val="36"/>
          <w:szCs w:val="20"/>
          <w:highlight w:val="none"/>
        </w:rPr>
      </w:pPr>
    </w:p>
    <w:p w14:paraId="71AD8C0A">
      <w:pPr>
        <w:tabs>
          <w:tab w:val="left" w:pos="2472"/>
        </w:tabs>
        <w:spacing w:line="460" w:lineRule="exact"/>
        <w:jc w:val="center"/>
        <w:rPr>
          <w:rFonts w:ascii="Times New Roman" w:hAnsi="Times New Roman"/>
          <w:b/>
          <w:color w:val="auto"/>
          <w:sz w:val="36"/>
          <w:szCs w:val="20"/>
          <w:highlight w:val="none"/>
        </w:rPr>
      </w:pPr>
    </w:p>
    <w:p w14:paraId="180A1C59">
      <w:pPr>
        <w:tabs>
          <w:tab w:val="left" w:pos="2472"/>
        </w:tabs>
        <w:spacing w:line="460" w:lineRule="exact"/>
        <w:jc w:val="center"/>
        <w:rPr>
          <w:rFonts w:ascii="Times New Roman" w:hAnsi="Times New Roman"/>
          <w:b/>
          <w:color w:val="auto"/>
          <w:sz w:val="36"/>
          <w:szCs w:val="20"/>
          <w:highlight w:val="none"/>
        </w:rPr>
      </w:pPr>
    </w:p>
    <w:p w14:paraId="13D56E09">
      <w:pPr>
        <w:tabs>
          <w:tab w:val="left" w:pos="2472"/>
        </w:tabs>
        <w:spacing w:line="460" w:lineRule="exact"/>
        <w:jc w:val="center"/>
        <w:rPr>
          <w:rFonts w:ascii="Times New Roman" w:hAnsi="Times New Roman"/>
          <w:b/>
          <w:color w:val="auto"/>
          <w:sz w:val="36"/>
          <w:szCs w:val="20"/>
          <w:highlight w:val="none"/>
        </w:rPr>
      </w:pPr>
    </w:p>
    <w:p w14:paraId="3FEB1BC5">
      <w:pPr>
        <w:tabs>
          <w:tab w:val="left" w:pos="2472"/>
        </w:tabs>
        <w:spacing w:line="460" w:lineRule="exact"/>
        <w:jc w:val="center"/>
        <w:outlineLvl w:val="0"/>
        <w:rPr>
          <w:rFonts w:ascii="Times New Roman" w:hAnsi="Times New Roman"/>
          <w:b/>
          <w:color w:val="auto"/>
          <w:sz w:val="36"/>
          <w:szCs w:val="20"/>
          <w:highlight w:val="none"/>
        </w:rPr>
        <w:sectPr>
          <w:pgSz w:w="11906" w:h="16838"/>
          <w:pgMar w:top="1134" w:right="1134" w:bottom="1134" w:left="1134" w:header="720" w:footer="720" w:gutter="0"/>
          <w:pgNumType w:fmt="decimal"/>
          <w:cols w:space="720" w:num="1"/>
          <w:docGrid w:type="lines" w:linePitch="331" w:charSpace="0"/>
        </w:sectPr>
      </w:pPr>
      <w:bookmarkStart w:id="131" w:name="_Toc28134"/>
      <w:r>
        <w:rPr>
          <w:rFonts w:hint="eastAsia" w:ascii="Times New Roman" w:hAnsi="Times New Roman"/>
          <w:b/>
          <w:color w:val="auto"/>
          <w:sz w:val="36"/>
          <w:szCs w:val="20"/>
          <w:highlight w:val="none"/>
        </w:rPr>
        <w:t xml:space="preserve">第五章  </w:t>
      </w:r>
      <w:r>
        <w:rPr>
          <w:rFonts w:hint="eastAsia" w:hAnsi="宋体" w:cs="宋体"/>
          <w:b/>
          <w:color w:val="auto"/>
          <w:sz w:val="36"/>
          <w:highlight w:val="none"/>
        </w:rPr>
        <w:t>拟签订的框架协议文本和采购合同文本</w:t>
      </w:r>
      <w:bookmarkEnd w:id="131"/>
    </w:p>
    <w:p w14:paraId="03BF8582">
      <w:pPr>
        <w:spacing w:line="440" w:lineRule="exact"/>
        <w:jc w:val="both"/>
        <w:rPr>
          <w:rFonts w:hint="eastAsia" w:eastAsia="宋体"/>
          <w:b/>
          <w:bCs/>
          <w:color w:val="auto"/>
          <w:sz w:val="36"/>
          <w:szCs w:val="36"/>
          <w:highlight w:val="none"/>
          <w:lang w:eastAsia="zh-CN"/>
        </w:rPr>
      </w:pPr>
      <w:r>
        <w:rPr>
          <w:rFonts w:hint="eastAsia"/>
          <w:b/>
          <w:bCs/>
          <w:color w:val="auto"/>
          <w:sz w:val="36"/>
          <w:szCs w:val="36"/>
          <w:highlight w:val="none"/>
          <w:lang w:eastAsia="zh-CN"/>
        </w:rPr>
        <w:t>2025-2027年度东兴市车辆维修和保养服务框架协议采购</w:t>
      </w:r>
    </w:p>
    <w:p w14:paraId="26CEB493">
      <w:pPr>
        <w:spacing w:line="440" w:lineRule="exact"/>
        <w:ind w:right="-153" w:rightChars="-73"/>
        <w:jc w:val="center"/>
        <w:rPr>
          <w:rFonts w:ascii="宋体" w:hAnsi="宋体"/>
          <w:b/>
          <w:color w:val="auto"/>
          <w:sz w:val="32"/>
          <w:highlight w:val="none"/>
        </w:rPr>
      </w:pPr>
      <w:r>
        <w:rPr>
          <w:rFonts w:hint="eastAsia" w:ascii="宋体" w:hAnsi="宋体"/>
          <w:b/>
          <w:color w:val="auto"/>
          <w:sz w:val="32"/>
          <w:highlight w:val="none"/>
          <w:lang w:eastAsia="zh-CN"/>
        </w:rPr>
        <w:t>框架协议</w:t>
      </w:r>
      <w:r>
        <w:rPr>
          <w:rFonts w:hint="eastAsia" w:ascii="宋体" w:hAnsi="宋体"/>
          <w:b/>
          <w:color w:val="auto"/>
          <w:sz w:val="32"/>
          <w:highlight w:val="none"/>
        </w:rPr>
        <w:t>（格式）</w:t>
      </w:r>
    </w:p>
    <w:p w14:paraId="21711932">
      <w:pPr>
        <w:spacing w:line="440" w:lineRule="exact"/>
        <w:ind w:firstLine="720" w:firstLineChars="200"/>
        <w:jc w:val="left"/>
        <w:rPr>
          <w:color w:val="auto"/>
          <w:sz w:val="36"/>
          <w:szCs w:val="36"/>
          <w:highlight w:val="none"/>
        </w:rPr>
      </w:pPr>
    </w:p>
    <w:p w14:paraId="0315143B">
      <w:pPr>
        <w:pBdr>
          <w:top w:val="none" w:color="auto" w:sz="0" w:space="1"/>
          <w:left w:val="none" w:color="auto" w:sz="0" w:space="4"/>
          <w:bottom w:val="none" w:color="auto" w:sz="0" w:space="1"/>
          <w:right w:val="none" w:color="auto" w:sz="0" w:space="4"/>
        </w:pBdr>
        <w:spacing w:line="400" w:lineRule="exact"/>
        <w:rPr>
          <w:rFonts w:hAnsi="宋体" w:cs="宋体"/>
          <w:b w:val="0"/>
          <w:bCs w:val="0"/>
          <w:color w:val="auto"/>
          <w:szCs w:val="21"/>
          <w:highlight w:val="none"/>
        </w:rPr>
      </w:pPr>
      <w:r>
        <w:rPr>
          <w:rFonts w:hint="eastAsia" w:hAnsi="宋体" w:cs="宋体"/>
          <w:b w:val="0"/>
          <w:bCs w:val="0"/>
          <w:color w:val="auto"/>
          <w:szCs w:val="21"/>
          <w:highlight w:val="none"/>
        </w:rPr>
        <w:t>项目名称：</w:t>
      </w:r>
      <w:r>
        <w:rPr>
          <w:rFonts w:hint="eastAsia" w:ascii="宋体" w:hAnsi="宋体" w:cs="宋体"/>
          <w:b w:val="0"/>
          <w:bCs w:val="0"/>
          <w:color w:val="auto"/>
          <w:sz w:val="21"/>
          <w:szCs w:val="21"/>
          <w:highlight w:val="none"/>
          <w:u w:val="single"/>
        </w:rPr>
        <w:t xml:space="preserve">                                                               </w:t>
      </w:r>
      <w:r>
        <w:rPr>
          <w:rFonts w:hint="eastAsia" w:hAnsi="宋体" w:cs="宋体"/>
          <w:b w:val="0"/>
          <w:bCs w:val="0"/>
          <w:color w:val="auto"/>
          <w:szCs w:val="21"/>
          <w:highlight w:val="none"/>
        </w:rPr>
        <w:t xml:space="preserve">  </w:t>
      </w:r>
    </w:p>
    <w:p w14:paraId="02F7E5A5">
      <w:pPr>
        <w:pBdr>
          <w:top w:val="none" w:color="auto" w:sz="0" w:space="1"/>
          <w:left w:val="none" w:color="auto" w:sz="0" w:space="4"/>
          <w:bottom w:val="none" w:color="auto" w:sz="0" w:space="1"/>
          <w:right w:val="none" w:color="auto" w:sz="0" w:space="4"/>
        </w:pBdr>
        <w:spacing w:line="400" w:lineRule="exact"/>
        <w:rPr>
          <w:rFonts w:hint="eastAsia" w:hAnsi="宋体" w:eastAsia="宋体" w:cs="宋体"/>
          <w:b w:val="0"/>
          <w:bCs w:val="0"/>
          <w:color w:val="auto"/>
          <w:szCs w:val="21"/>
          <w:highlight w:val="none"/>
          <w:lang w:eastAsia="zh-CN"/>
        </w:rPr>
      </w:pPr>
      <w:r>
        <w:rPr>
          <w:rFonts w:hint="eastAsia" w:hAnsi="宋体" w:cs="宋体"/>
          <w:b w:val="0"/>
          <w:bCs w:val="0"/>
          <w:color w:val="auto"/>
          <w:szCs w:val="21"/>
          <w:highlight w:val="none"/>
        </w:rPr>
        <w:t>项目编号：</w:t>
      </w:r>
      <w:r>
        <w:rPr>
          <w:rFonts w:hint="eastAsia" w:ascii="宋体" w:hAnsi="宋体" w:cs="宋体"/>
          <w:b w:val="0"/>
          <w:bCs w:val="0"/>
          <w:color w:val="auto"/>
          <w:sz w:val="21"/>
          <w:szCs w:val="21"/>
          <w:highlight w:val="none"/>
          <w:u w:val="single"/>
        </w:rPr>
        <w:t xml:space="preserve">                                                               </w:t>
      </w:r>
    </w:p>
    <w:p w14:paraId="53F9DEF5">
      <w:pPr>
        <w:pStyle w:val="12"/>
        <w:pBdr>
          <w:top w:val="none" w:color="auto" w:sz="0" w:space="1"/>
          <w:left w:val="none" w:color="auto" w:sz="0" w:space="4"/>
          <w:bottom w:val="none" w:color="auto" w:sz="0" w:space="1"/>
          <w:right w:val="none" w:color="auto" w:sz="0" w:space="4"/>
        </w:pBdr>
        <w:spacing w:line="400" w:lineRule="exact"/>
        <w:rPr>
          <w:rFonts w:ascii="宋体" w:hAnsi="宋体" w:cs="宋体"/>
          <w:b w:val="0"/>
          <w:bCs w:val="0"/>
          <w:color w:val="auto"/>
          <w:sz w:val="21"/>
          <w:szCs w:val="21"/>
          <w:highlight w:val="none"/>
          <w:u w:val="single"/>
        </w:rPr>
      </w:pPr>
      <w:r>
        <w:rPr>
          <w:rFonts w:hint="eastAsia" w:ascii="宋体" w:hAnsi="宋体" w:cs="宋体"/>
          <w:b w:val="0"/>
          <w:bCs w:val="0"/>
          <w:color w:val="auto"/>
          <w:sz w:val="21"/>
          <w:szCs w:val="21"/>
          <w:highlight w:val="none"/>
        </w:rPr>
        <w:t>征集人（甲方）：</w:t>
      </w:r>
      <w:r>
        <w:rPr>
          <w:rFonts w:hint="eastAsia" w:ascii="宋体" w:hAnsi="宋体" w:cs="宋体"/>
          <w:b w:val="0"/>
          <w:bCs w:val="0"/>
          <w:color w:val="auto"/>
          <w:sz w:val="21"/>
          <w:szCs w:val="21"/>
          <w:highlight w:val="none"/>
          <w:u w:val="single"/>
        </w:rPr>
        <w:t xml:space="preserve">                                                               </w:t>
      </w:r>
    </w:p>
    <w:p w14:paraId="3C7469A7">
      <w:pPr>
        <w:pStyle w:val="12"/>
        <w:pBdr>
          <w:top w:val="none" w:color="auto" w:sz="0" w:space="1"/>
          <w:left w:val="none" w:color="auto" w:sz="0" w:space="4"/>
          <w:bottom w:val="none" w:color="auto" w:sz="0" w:space="1"/>
          <w:right w:val="none" w:color="auto" w:sz="0" w:space="4"/>
        </w:pBdr>
        <w:spacing w:line="400" w:lineRule="exact"/>
        <w:rPr>
          <w:rFonts w:ascii="宋体" w:hAnsi="宋体" w:cs="宋体"/>
          <w:b w:val="0"/>
          <w:bCs w:val="0"/>
          <w:color w:val="auto"/>
          <w:sz w:val="21"/>
          <w:szCs w:val="21"/>
          <w:highlight w:val="none"/>
          <w:u w:val="single"/>
        </w:rPr>
      </w:pPr>
      <w:r>
        <w:rPr>
          <w:rFonts w:hint="eastAsia" w:ascii="宋体" w:hAnsi="宋体" w:cs="宋体"/>
          <w:b w:val="0"/>
          <w:bCs w:val="0"/>
          <w:color w:val="auto"/>
          <w:sz w:val="21"/>
          <w:szCs w:val="21"/>
          <w:highlight w:val="none"/>
        </w:rPr>
        <w:t>地    址：</w:t>
      </w:r>
      <w:r>
        <w:rPr>
          <w:rFonts w:hint="eastAsia" w:ascii="宋体" w:hAnsi="宋体" w:cs="宋体"/>
          <w:b w:val="0"/>
          <w:bCs w:val="0"/>
          <w:color w:val="auto"/>
          <w:sz w:val="21"/>
          <w:szCs w:val="21"/>
          <w:highlight w:val="none"/>
          <w:u w:val="single"/>
        </w:rPr>
        <w:t xml:space="preserve">                                                                     </w:t>
      </w:r>
    </w:p>
    <w:p w14:paraId="4C7603FE">
      <w:pPr>
        <w:pStyle w:val="12"/>
        <w:pBdr>
          <w:top w:val="none" w:color="auto" w:sz="0" w:space="1"/>
          <w:left w:val="none" w:color="auto" w:sz="0" w:space="4"/>
          <w:bottom w:val="none" w:color="auto" w:sz="0" w:space="1"/>
          <w:right w:val="none" w:color="auto" w:sz="0" w:space="4"/>
        </w:pBd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联系方式： </w:t>
      </w:r>
      <w:r>
        <w:rPr>
          <w:rFonts w:hint="eastAsia" w:ascii="宋体" w:hAnsi="宋体" w:cs="宋体"/>
          <w:b w:val="0"/>
          <w:bCs w:val="0"/>
          <w:color w:val="auto"/>
          <w:sz w:val="21"/>
          <w:szCs w:val="21"/>
          <w:highlight w:val="none"/>
          <w:u w:val="single"/>
        </w:rPr>
        <w:t xml:space="preserve">                                                                    </w:t>
      </w:r>
    </w:p>
    <w:p w14:paraId="219F4087">
      <w:pPr>
        <w:pBdr>
          <w:top w:val="none" w:color="auto" w:sz="0" w:space="1"/>
          <w:left w:val="none" w:color="auto" w:sz="0" w:space="4"/>
          <w:bottom w:val="none" w:color="auto" w:sz="0" w:space="1"/>
          <w:right w:val="none" w:color="auto" w:sz="0" w:space="4"/>
        </w:pBdr>
        <w:spacing w:line="400" w:lineRule="exact"/>
        <w:rPr>
          <w:rFonts w:hAnsi="宋体" w:cs="宋体"/>
          <w:b w:val="0"/>
          <w:bCs w:val="0"/>
          <w:color w:val="auto"/>
          <w:szCs w:val="21"/>
          <w:highlight w:val="none"/>
          <w:u w:val="single"/>
        </w:rPr>
      </w:pPr>
      <w:r>
        <w:rPr>
          <w:rFonts w:hint="eastAsia" w:hAnsi="宋体" w:cs="宋体"/>
          <w:b w:val="0"/>
          <w:bCs w:val="0"/>
          <w:color w:val="auto"/>
          <w:szCs w:val="21"/>
          <w:highlight w:val="none"/>
        </w:rPr>
        <w:t>入围供应商（乙方）：</w:t>
      </w:r>
      <w:r>
        <w:rPr>
          <w:rFonts w:hint="eastAsia" w:hAnsi="宋体" w:cs="宋体"/>
          <w:b w:val="0"/>
          <w:bCs w:val="0"/>
          <w:color w:val="auto"/>
          <w:szCs w:val="21"/>
          <w:highlight w:val="none"/>
          <w:u w:val="single"/>
        </w:rPr>
        <w:t xml:space="preserve">                                                            </w:t>
      </w:r>
    </w:p>
    <w:p w14:paraId="68E73A1D">
      <w:pPr>
        <w:pBdr>
          <w:top w:val="none" w:color="auto" w:sz="0" w:space="1"/>
          <w:left w:val="none" w:color="auto" w:sz="0" w:space="4"/>
          <w:bottom w:val="none" w:color="auto" w:sz="0" w:space="1"/>
          <w:right w:val="none" w:color="auto" w:sz="0" w:space="4"/>
        </w:pBdr>
        <w:spacing w:line="400" w:lineRule="exact"/>
        <w:rPr>
          <w:rFonts w:hAnsi="宋体" w:cs="宋体"/>
          <w:b w:val="0"/>
          <w:bCs w:val="0"/>
          <w:color w:val="auto"/>
          <w:szCs w:val="21"/>
          <w:highlight w:val="none"/>
          <w:u w:val="single"/>
        </w:rPr>
      </w:pPr>
      <w:r>
        <w:rPr>
          <w:rFonts w:hint="eastAsia" w:hAnsi="宋体" w:cs="宋体"/>
          <w:b w:val="0"/>
          <w:bCs w:val="0"/>
          <w:color w:val="auto"/>
          <w:szCs w:val="21"/>
          <w:highlight w:val="none"/>
        </w:rPr>
        <w:t>地    址：</w:t>
      </w:r>
      <w:r>
        <w:rPr>
          <w:rFonts w:hint="eastAsia" w:hAnsi="宋体" w:cs="宋体"/>
          <w:b w:val="0"/>
          <w:bCs w:val="0"/>
          <w:color w:val="auto"/>
          <w:szCs w:val="21"/>
          <w:highlight w:val="none"/>
          <w:u w:val="single"/>
        </w:rPr>
        <w:t xml:space="preserve">                                                                     </w:t>
      </w:r>
    </w:p>
    <w:p w14:paraId="41F4E2F1">
      <w:pPr>
        <w:pBdr>
          <w:top w:val="none" w:color="auto" w:sz="0" w:space="1"/>
          <w:left w:val="none" w:color="auto" w:sz="0" w:space="4"/>
          <w:bottom w:val="none" w:color="auto" w:sz="0" w:space="1"/>
          <w:right w:val="none" w:color="auto" w:sz="0" w:space="4"/>
        </w:pBdr>
        <w:spacing w:line="400" w:lineRule="exact"/>
        <w:rPr>
          <w:rFonts w:hAnsi="宋体" w:cs="宋体"/>
          <w:b w:val="0"/>
          <w:bCs w:val="0"/>
          <w:color w:val="auto"/>
          <w:szCs w:val="21"/>
          <w:highlight w:val="none"/>
          <w:u w:val="single"/>
        </w:rPr>
      </w:pPr>
      <w:r>
        <w:rPr>
          <w:rFonts w:hint="eastAsia" w:hAnsi="宋体" w:cs="宋体"/>
          <w:b w:val="0"/>
          <w:bCs w:val="0"/>
          <w:color w:val="auto"/>
          <w:szCs w:val="21"/>
          <w:highlight w:val="none"/>
        </w:rPr>
        <w:t>联系方式：</w:t>
      </w:r>
      <w:r>
        <w:rPr>
          <w:rFonts w:hint="eastAsia" w:hAnsi="宋体" w:cs="宋体"/>
          <w:b w:val="0"/>
          <w:bCs w:val="0"/>
          <w:color w:val="auto"/>
          <w:szCs w:val="21"/>
          <w:highlight w:val="none"/>
          <w:u w:val="single"/>
        </w:rPr>
        <w:t xml:space="preserve">                                                                     </w:t>
      </w:r>
    </w:p>
    <w:p w14:paraId="44117AFD">
      <w:pPr>
        <w:pStyle w:val="15"/>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根据《中华人民共和国政府采购法》、《中华人民共和国民法典》、《政府采购框架协议采购方式管理暂行办法》等法律、法规规定，按照征集文件规定条款和入围供应商响应文件承诺，</w:t>
      </w:r>
      <w:r>
        <w:rPr>
          <w:rFonts w:hint="eastAsia" w:ascii="Calibri" w:hAnsi="Calibri" w:cs="Times New Roman"/>
          <w:b w:val="0"/>
          <w:bCs w:val="0"/>
          <w:color w:val="auto"/>
          <w:szCs w:val="22"/>
          <w:highlight w:val="none"/>
          <w:lang w:eastAsia="zh-CN"/>
        </w:rPr>
        <w:t>2025-2027年度东兴市车辆维修和保养服务框架协议采购</w:t>
      </w:r>
      <w:r>
        <w:rPr>
          <w:rFonts w:hint="eastAsia" w:ascii="Calibri" w:hAnsi="Calibri" w:eastAsia="宋体" w:cs="Times New Roman"/>
          <w:b w:val="0"/>
          <w:bCs w:val="0"/>
          <w:color w:val="auto"/>
          <w:szCs w:val="22"/>
          <w:highlight w:val="none"/>
        </w:rPr>
        <w:t>之相关事宜，</w:t>
      </w:r>
      <w:r>
        <w:rPr>
          <w:rFonts w:hint="eastAsia" w:ascii="Calibri" w:hAnsi="Calibri" w:eastAsia="宋体" w:cs="Times New Roman"/>
          <w:color w:val="auto"/>
          <w:szCs w:val="22"/>
          <w:highlight w:val="none"/>
        </w:rPr>
        <w:t>达成以下协议，并承诺共同遵守。</w:t>
      </w:r>
    </w:p>
    <w:p w14:paraId="673E126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一、框架协议内容</w:t>
      </w:r>
    </w:p>
    <w:p w14:paraId="3BB397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经框架协议采购，乙方成为2025-2027年度</w:t>
      </w:r>
      <w:r>
        <w:rPr>
          <w:rFonts w:hint="eastAsia"/>
          <w:color w:val="auto"/>
          <w:highlight w:val="none"/>
          <w:lang w:eastAsia="zh-CN"/>
        </w:rPr>
        <w:t>东兴市本级</w:t>
      </w:r>
      <w:r>
        <w:rPr>
          <w:rFonts w:hint="eastAsia"/>
          <w:color w:val="auto"/>
          <w:highlight w:val="none"/>
        </w:rPr>
        <w:t>预算单位公务车辆维修和保养服务入围供应商。乙方必须服从甲方的管理和监督，在</w:t>
      </w:r>
      <w:r>
        <w:rPr>
          <w:rFonts w:hint="eastAsia"/>
          <w:color w:val="auto"/>
          <w:highlight w:val="none"/>
          <w:lang w:eastAsia="zh-CN"/>
        </w:rPr>
        <w:t>东兴市本级</w:t>
      </w:r>
      <w:r>
        <w:rPr>
          <w:rFonts w:hint="eastAsia"/>
          <w:color w:val="auto"/>
          <w:highlight w:val="none"/>
        </w:rPr>
        <w:t>各预算单位（即采购人）要求其开展</w:t>
      </w:r>
      <w:r>
        <w:rPr>
          <w:rFonts w:hint="eastAsia"/>
          <w:color w:val="auto"/>
          <w:highlight w:val="none"/>
          <w:u w:val="none"/>
        </w:rPr>
        <w:t>2025-2027年度</w:t>
      </w:r>
      <w:r>
        <w:rPr>
          <w:rFonts w:hint="eastAsia"/>
          <w:color w:val="auto"/>
          <w:highlight w:val="none"/>
          <w:u w:val="none"/>
          <w:lang w:eastAsia="zh-CN"/>
        </w:rPr>
        <w:t>东兴市本级</w:t>
      </w:r>
      <w:r>
        <w:rPr>
          <w:rFonts w:hint="eastAsia"/>
          <w:color w:val="auto"/>
          <w:highlight w:val="none"/>
          <w:u w:val="none"/>
        </w:rPr>
        <w:t>预算单位公务车辆维修和保养服务时</w:t>
      </w:r>
      <w:r>
        <w:rPr>
          <w:rFonts w:hint="eastAsia"/>
          <w:color w:val="auto"/>
          <w:highlight w:val="none"/>
        </w:rPr>
        <w:t>，与采购人签订采购合同，并服从采购人的安排，按时、保质、保量地完成车辆维修和保养服务工作。</w:t>
      </w:r>
    </w:p>
    <w:p w14:paraId="0CD73A0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二、框架协议有效期</w:t>
      </w:r>
    </w:p>
    <w:p w14:paraId="69E43F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自合同签订之日起两年。</w:t>
      </w:r>
    </w:p>
    <w:p w14:paraId="543DA9C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三、送修手续及相关事项</w:t>
      </w:r>
    </w:p>
    <w:p w14:paraId="4ADFCE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lang w:val="en-US" w:eastAsia="zh-CN"/>
        </w:rPr>
        <w:t>1</w:t>
      </w:r>
      <w:r>
        <w:rPr>
          <w:rFonts w:hint="eastAsia"/>
          <w:color w:val="auto"/>
          <w:highlight w:val="none"/>
        </w:rPr>
        <w:t>.对送修车辆乙方应以修复为主，能不更换的零部件尽量不予更换，确实不能修复或修复不经济的零部件，在征得送修单位同意的情况下，方可进行更换。</w:t>
      </w:r>
    </w:p>
    <w:p w14:paraId="7AC045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lang w:val="en-US" w:eastAsia="zh-CN"/>
        </w:rPr>
        <w:t>2</w:t>
      </w:r>
      <w:r>
        <w:rPr>
          <w:rFonts w:hint="eastAsia"/>
          <w:color w:val="auto"/>
          <w:highlight w:val="none"/>
        </w:rPr>
        <w:t>.乙方在维修过程中，若出现增减维修项目或超出送修范围的，须报送修单位确认。</w:t>
      </w:r>
    </w:p>
    <w:p w14:paraId="6FB7B24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四、维修费用</w:t>
      </w:r>
    </w:p>
    <w:p w14:paraId="70FF08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1.维修费用由维修工时费和零配件材料价格组成。乙方响应文件承诺的零配件优惠率</w:t>
      </w:r>
      <w:r>
        <w:rPr>
          <w:rFonts w:hint="eastAsia"/>
          <w:color w:val="auto"/>
          <w:highlight w:val="none"/>
          <w:u w:val="single"/>
        </w:rPr>
        <w:t xml:space="preserve">    </w:t>
      </w:r>
      <w:r>
        <w:rPr>
          <w:rFonts w:hint="eastAsia"/>
          <w:color w:val="auto"/>
          <w:highlight w:val="none"/>
        </w:rPr>
        <w:t>%，工时费优惠率</w:t>
      </w:r>
      <w:r>
        <w:rPr>
          <w:rFonts w:hint="eastAsia"/>
          <w:color w:val="auto"/>
          <w:highlight w:val="none"/>
          <w:u w:val="single"/>
        </w:rPr>
        <w:t xml:space="preserve">     </w:t>
      </w:r>
      <w:r>
        <w:rPr>
          <w:rFonts w:hint="eastAsia"/>
          <w:color w:val="auto"/>
          <w:highlight w:val="none"/>
        </w:rPr>
        <w:t>%。维修保养费计算方式：维修零配件材料价格＝门市零配件材料标价×（1－零配件材料价格优惠率），维修工时费＝门市工时标价×（1－维修工时优惠率）。</w:t>
      </w:r>
    </w:p>
    <w:p w14:paraId="14E11D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2.参照国家、行业或者地方的机动车维修标准和规范或机动车生产企业提供的维修手册进行维修，维修工时费按乙方响应文件承诺的维修工时费执行，乙方响应文件中没有承诺的维修工时费，可由送修单位与乙方参照</w:t>
      </w:r>
      <w:r>
        <w:rPr>
          <w:rFonts w:hint="eastAsia"/>
          <w:color w:val="auto"/>
          <w:highlight w:val="none"/>
          <w:lang w:eastAsia="zh-CN"/>
        </w:rPr>
        <w:t>东兴市本级</w:t>
      </w:r>
      <w:r>
        <w:rPr>
          <w:rFonts w:hint="eastAsia"/>
          <w:color w:val="auto"/>
          <w:highlight w:val="none"/>
        </w:rPr>
        <w:t>同类维修市场价格商定，并按响应文件承诺的维修工时费优惠率进行结算。</w:t>
      </w:r>
    </w:p>
    <w:p w14:paraId="495927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3.零配件价格按乙方响应文件承诺的价格执行，并按响应文件承诺的零配件优惠率进行结算。</w:t>
      </w:r>
    </w:p>
    <w:p w14:paraId="375E3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4.以上费用均含税金。</w:t>
      </w:r>
    </w:p>
    <w:p w14:paraId="065D70F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五、竣工车辆交接手续</w:t>
      </w:r>
    </w:p>
    <w:p w14:paraId="21C699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1.乙方在对竣工车辆进行准确而全面的检验合格后，应主动通知送修单位前来办理交接手续，进行二级维护和大修的车辆须出具一份维修出厂合格证。</w:t>
      </w:r>
    </w:p>
    <w:p w14:paraId="02738C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2.送修单位应在接到乙方通知后与乙方及时办理交接手续。送修单位应仔细检查竣工车辆，如果维修结果符合送修要求、维修费用计算合理，送修单位应在“结算单”上签字认可；如果维修结果不符合送修要求，或维修费用计算不合理，或发现使用不符合要求的维修材料，送修单位应以书面形式向乙方提出存在的问题，如乙方不能给予令人信服的答复，送修单位可报请法定检验机构进行检查。</w:t>
      </w:r>
    </w:p>
    <w:p w14:paraId="4C6829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3.乙方应将修车更换下来的旧件退还送修单位，并在“结算单”上认真填写车辆维修的具体部位和消耗的材料、部件及计价情况，注明优惠事宜，以利于核查。</w:t>
      </w:r>
    </w:p>
    <w:p w14:paraId="57B2DB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4.送修单位、乙方在进行竣工车辆交接时，乙方应将送修单、“结算单”各一联，大修、二级维护还需出具出厂合格证一同交给送修单位。</w:t>
      </w:r>
    </w:p>
    <w:p w14:paraId="74C3698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六、结算方式</w:t>
      </w:r>
    </w:p>
    <w:p w14:paraId="61BD1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cs="宋体"/>
          <w:color w:val="auto"/>
          <w:szCs w:val="21"/>
          <w:highlight w:val="none"/>
        </w:rPr>
        <w:t>本框架协议</w:t>
      </w:r>
      <w:r>
        <w:rPr>
          <w:rFonts w:hint="eastAsia" w:ascii="宋体" w:hAnsi="宋体" w:cs="宋体"/>
          <w:color w:val="auto"/>
          <w:szCs w:val="21"/>
          <w:highlight w:val="none"/>
          <w:lang w:eastAsia="zh-CN"/>
        </w:rPr>
        <w:t>公务</w:t>
      </w:r>
      <w:r>
        <w:rPr>
          <w:rFonts w:hint="eastAsia" w:ascii="宋体" w:hAnsi="宋体" w:cs="宋体"/>
          <w:color w:val="auto"/>
          <w:szCs w:val="21"/>
          <w:highlight w:val="none"/>
        </w:rPr>
        <w:t>车辆维修和保养服务费具体付款方式由采购人与成交供应商在采购合同中约定</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rPr>
        <w:t>采用非现金方式</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结算。</w:t>
      </w:r>
    </w:p>
    <w:p w14:paraId="5859EA3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七、质量保证</w:t>
      </w:r>
    </w:p>
    <w:p w14:paraId="0F2E7C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1．乙方提供维修服务时，应按《机动车维修管理规定》中有关规定及标准执行。</w:t>
      </w:r>
    </w:p>
    <w:p w14:paraId="711583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2．机动车维修竣工质量检验合格后，乙方的维修质量检验人员应当签发《机动车维修竣工出厂合格证》；未签发机动车维修竣工出厂合格证的机动车，不得交付使用，送修单位可以拒绝付款或接车。</w:t>
      </w:r>
    </w:p>
    <w:p w14:paraId="3BFE4A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3．乙方将维修竣工质量检验合格的机动车交给送修单位时，必须将维修材料的产品合格证和更换下的配件交给送修单位。</w:t>
      </w:r>
    </w:p>
    <w:p w14:paraId="70EB6E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 xml:space="preserve"> 4．机动车维修质量保证期，从维修竣工出厂之日起计算。在送修单位、乙方约定的质量保证里程或时间内，因维修质量造成的机械事故和经济损失，由乙方全部负责。</w:t>
      </w:r>
    </w:p>
    <w:p w14:paraId="49599C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5．乙方应保证维修所用材料是全新原厂生产的合格正品，并完全符合合同规定的质量和性能的要求</w:t>
      </w:r>
      <w:r>
        <w:rPr>
          <w:rFonts w:hint="eastAsia"/>
          <w:color w:val="auto"/>
          <w:highlight w:val="none"/>
          <w:lang w:eastAsia="zh-CN"/>
        </w:rPr>
        <w:t>（</w:t>
      </w:r>
      <w:r>
        <w:rPr>
          <w:rFonts w:hint="eastAsia"/>
          <w:color w:val="auto"/>
          <w:highlight w:val="none"/>
        </w:rPr>
        <w:t>特殊情况经送修方确认同意，乙方可使用副厂配件进行维修，但要明码标价</w:t>
      </w:r>
      <w:r>
        <w:rPr>
          <w:rFonts w:hint="eastAsia"/>
          <w:color w:val="auto"/>
          <w:highlight w:val="none"/>
          <w:lang w:eastAsia="zh-CN"/>
        </w:rPr>
        <w:t>）</w:t>
      </w:r>
      <w:r>
        <w:rPr>
          <w:rFonts w:hint="eastAsia"/>
          <w:color w:val="auto"/>
          <w:highlight w:val="none"/>
        </w:rPr>
        <w:t>。乙方应保证使用的维修材料在正确安装、正常使用和保养条件下，在其使用寿命期内应具有满意的性能。维修竣工车辆移交给预算单位后，在质量保证期内，乙方应对由于维修技术、工艺或维修材料的缺陷以及其他由于乙方的原因而发生的任何不足或故障负责，费用由乙方负担。根据法定检验机构的检验结果或者在质量保证里程或时间内，如果证明维修是有缺陷的，包括潜在的缺陷或使用不符合要求的维修材料等，预算单位送修单位有权以书面形式向乙方提出本保证下的索赔。</w:t>
      </w:r>
    </w:p>
    <w:p w14:paraId="06CBDF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lang w:val="en-US" w:eastAsia="zh-CN"/>
        </w:rPr>
        <w:t>6</w:t>
      </w:r>
      <w:r>
        <w:rPr>
          <w:rFonts w:hint="eastAsia"/>
          <w:color w:val="auto"/>
          <w:highlight w:val="none"/>
        </w:rPr>
        <w:t>.入围供应商要建立送修单位的公务车辆维修情况记录档案，预算单位每年进行检查，有弄虚作假的、偷工减料、以次充好的等不符合规定的情况将要求整改或不予审定结算。</w:t>
      </w:r>
    </w:p>
    <w:p w14:paraId="398151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color w:val="auto"/>
          <w:highlight w:val="none"/>
        </w:rPr>
      </w:pPr>
      <w:r>
        <w:rPr>
          <w:rFonts w:hint="eastAsia"/>
          <w:b/>
          <w:color w:val="auto"/>
          <w:highlight w:val="none"/>
        </w:rPr>
        <w:t>八、确定第二阶段成交供应商的方式</w:t>
      </w:r>
    </w:p>
    <w:p w14:paraId="19B2B7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确定第二阶段成交供应商的方式为直接选定。由采购人依据项目实际情况、供应商服务质量、价格及服务便利性、用户评价等因素，从第一阶段入围供应商中直接选定。</w:t>
      </w:r>
    </w:p>
    <w:p w14:paraId="7EF8C96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九、采购人的权利和义务</w:t>
      </w:r>
    </w:p>
    <w:p w14:paraId="3F63D9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1.送修汽车必须填写送修单，检修的车辆必须是送修单内所列的车辆及检修内容，办好进厂维修车辆的随车证件、附件的交托手续。</w:t>
      </w:r>
    </w:p>
    <w:p w14:paraId="00EF87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2.必须按时接收已维修竣工车辆。对已维修竣工车辆，如发现不合格，预算单位有权要求乙方无偿返工，直至符合要求为止；如发现所修的车辆的维修项目与送修单项目不符，预算单位有权拒付维修费用，并有权向有关部门投诉乙方违约行为。</w:t>
      </w:r>
    </w:p>
    <w:p w14:paraId="06DE50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3.对乙方在维修中更换的零配旧件，预算单位有权保留作出鉴定的依据。</w:t>
      </w:r>
    </w:p>
    <w:p w14:paraId="154CB3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4.按合同规定或双方签订的期限及时与乙方结算车辆维修费用。</w:t>
      </w:r>
    </w:p>
    <w:p w14:paraId="5FC6B7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5.确因乙方原因对预算单位送修车辆未能进行维修，预算单位凭乙方开具的证明先向本级政府采购监督管理部门反馈，经备案后，方可将车辆送到特约维修站维修。</w:t>
      </w:r>
    </w:p>
    <w:p w14:paraId="7B248A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6.不得向乙方提出除修车以外的服务要求。</w:t>
      </w:r>
    </w:p>
    <w:p w14:paraId="17FBFA1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十、乙方的权利和义务</w:t>
      </w:r>
    </w:p>
    <w:p w14:paraId="5F23DE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1</w:t>
      </w:r>
      <w:r>
        <w:rPr>
          <w:rFonts w:hint="eastAsia"/>
          <w:color w:val="auto"/>
          <w:highlight w:val="none"/>
        </w:rPr>
        <w:t>.有权要求预算单位按合同规定及双方商定的期限内结清车辆维修费用。</w:t>
      </w:r>
    </w:p>
    <w:p w14:paraId="41EDF9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2</w:t>
      </w:r>
      <w:r>
        <w:rPr>
          <w:rFonts w:hint="eastAsia"/>
          <w:color w:val="auto"/>
          <w:highlight w:val="none"/>
        </w:rPr>
        <w:t>.优先为预算单位的送修车辆提供维修服务。</w:t>
      </w:r>
    </w:p>
    <w:p w14:paraId="7AA5DD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3</w:t>
      </w:r>
      <w:r>
        <w:rPr>
          <w:rFonts w:hint="eastAsia"/>
          <w:color w:val="auto"/>
          <w:highlight w:val="none"/>
        </w:rPr>
        <w:t>.乙方未经预算单位和</w:t>
      </w:r>
      <w:r>
        <w:rPr>
          <w:rFonts w:hint="eastAsia"/>
          <w:color w:val="auto"/>
          <w:highlight w:val="none"/>
          <w:lang w:eastAsia="zh-CN"/>
        </w:rPr>
        <w:t>城区</w:t>
      </w:r>
      <w:r>
        <w:rPr>
          <w:rFonts w:hint="eastAsia"/>
          <w:color w:val="auto"/>
          <w:highlight w:val="none"/>
        </w:rPr>
        <w:t>政府采购监督管理部门同意，不得将送修车辆转厂维修。</w:t>
      </w:r>
    </w:p>
    <w:p w14:paraId="0E375B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4</w:t>
      </w:r>
      <w:r>
        <w:rPr>
          <w:rFonts w:hint="eastAsia"/>
          <w:color w:val="auto"/>
          <w:highlight w:val="none"/>
        </w:rPr>
        <w:t>.必须按送修单上的要求按时完成维修工作，做好进厂维修车的随车证件、附件的核收、保管，做好维修前检测、维修中质检、竣工后的检验，保证所用配件符合质量标准及车方的要求，不得以换代修、以次充好、以旧换新或随意更换汽车配件，不得随意提高工时费和材料费，保证送修车辆的安全。</w:t>
      </w:r>
    </w:p>
    <w:p w14:paraId="4E14FA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5</w:t>
      </w:r>
      <w:r>
        <w:rPr>
          <w:rFonts w:hint="eastAsia"/>
          <w:color w:val="auto"/>
          <w:highlight w:val="none"/>
        </w:rPr>
        <w:t>.按协议承诺优惠价收取工时、材料价格。</w:t>
      </w:r>
    </w:p>
    <w:p w14:paraId="03A2A8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6</w:t>
      </w:r>
      <w:r>
        <w:rPr>
          <w:rFonts w:hint="eastAsia"/>
          <w:color w:val="auto"/>
          <w:highlight w:val="none"/>
        </w:rPr>
        <w:t>.乙方负责指导预算单位车辆的一般保养维护。</w:t>
      </w:r>
    </w:p>
    <w:p w14:paraId="10264F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7</w:t>
      </w:r>
      <w:r>
        <w:rPr>
          <w:rFonts w:hint="eastAsia"/>
          <w:color w:val="auto"/>
          <w:highlight w:val="none"/>
        </w:rPr>
        <w:t>.乙方在对预算单位车辆维修过程中因技术等原因未能进行维修保养的，乙方应实事求是开具证明给预算单位。</w:t>
      </w:r>
    </w:p>
    <w:p w14:paraId="4EB69BD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十一、入围供应商的清退和补充规则</w:t>
      </w:r>
    </w:p>
    <w:p w14:paraId="2FB0DF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1.乙方有下列情形之一，尚未签订框架协议的，取消其入围资格；已经签订框架协议的，解除与其签订的框架协议： </w:t>
      </w:r>
    </w:p>
    <w:p w14:paraId="5A7AB3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（1）恶意串通谋取入围或者合同成交的； </w:t>
      </w:r>
    </w:p>
    <w:p w14:paraId="4A0757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（2）提供虚假材料谋取入围或者合同成交的； </w:t>
      </w:r>
    </w:p>
    <w:p w14:paraId="49E9E5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（3）无正当理由拒不接受合同授予的； </w:t>
      </w:r>
    </w:p>
    <w:p w14:paraId="33A552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（4）不履行合同义务或者履行合同义务不符合约定，经采购人请求履行后仍不履行或者仍未按约定履行的； </w:t>
      </w:r>
    </w:p>
    <w:p w14:paraId="75840D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（5）框架协议有效期内，因违法行为被禁止或限制参加政府采购活动的； </w:t>
      </w:r>
    </w:p>
    <w:p w14:paraId="4013C9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（6）供应商违反职业道德，有违规违纪问题的；</w:t>
      </w:r>
    </w:p>
    <w:p w14:paraId="1D7522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（7）框架协议约定的其他情形。 </w:t>
      </w:r>
    </w:p>
    <w:p w14:paraId="71198B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2.补充规则：除剩余入围供应商不足入围供应商总数70%且影响框架协议执行的情形外，框架协议有效期内，</w:t>
      </w:r>
      <w:r>
        <w:rPr>
          <w:rFonts w:hint="eastAsia"/>
          <w:color w:val="auto"/>
          <w:highlight w:val="none"/>
          <w:lang w:eastAsia="zh-CN"/>
        </w:rPr>
        <w:t>征集人</w:t>
      </w:r>
      <w:r>
        <w:rPr>
          <w:rFonts w:hint="eastAsia"/>
          <w:color w:val="auto"/>
          <w:highlight w:val="none"/>
        </w:rPr>
        <w:t>不再补充征集供应商。</w:t>
      </w:r>
    </w:p>
    <w:p w14:paraId="46580F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cs="宋体"/>
          <w:color w:val="auto"/>
          <w:szCs w:val="21"/>
          <w:highlight w:val="none"/>
        </w:rPr>
        <w:t>征集人补充征集供应商的，补充征集规则应当在框架协议中约定，补充征集的条件、程序、评审方法和淘汰比例应当与初次征集相同。补充征集应当遵守原框架协议的有效期。补充征集期间，原框架协议继续履行。</w:t>
      </w:r>
    </w:p>
    <w:p w14:paraId="1F31521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十二、违约责任</w:t>
      </w:r>
    </w:p>
    <w:p w14:paraId="682B63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1、乙方有下列行为之一的，甲方有权解除与其签订的封闭式框架协议，并报</w:t>
      </w:r>
      <w:r>
        <w:rPr>
          <w:rFonts w:hint="eastAsia"/>
          <w:color w:val="auto"/>
          <w:highlight w:val="none"/>
          <w:lang w:eastAsia="zh-CN"/>
        </w:rPr>
        <w:t>东兴市财政局</w:t>
      </w:r>
      <w:r>
        <w:rPr>
          <w:rFonts w:hint="eastAsia"/>
          <w:color w:val="auto"/>
          <w:highlight w:val="none"/>
        </w:rPr>
        <w:t>列入不良行为记录名单：</w:t>
      </w:r>
    </w:p>
    <w:p w14:paraId="5D2D5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甲乙双方必须以合同为准则，诚信守法、自觉履行合同规定、按合同所规定的条例办事。</w:t>
      </w:r>
    </w:p>
    <w:p w14:paraId="156E2F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乙方不按规定的期限完成维修工作，乙方应按每日该汽车维修费 5%的违约金支付给预算单位。该费用可从预算单位应支付给乙方的维修费中扣减。</w:t>
      </w:r>
    </w:p>
    <w:p w14:paraId="392F87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预算单位送修汽车在乙方维修期间因维修质量问题造成损失或出现丢失或损毁，乙方应承担赔偿责任。</w:t>
      </w:r>
    </w:p>
    <w:p w14:paraId="778507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）擅自提高维修或保养服务的价格或未按规定给予优惠的；</w:t>
      </w:r>
    </w:p>
    <w:p w14:paraId="78D6E2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）向采购人提供的维修或保养服务，明显高于市场同期同类服务价格的；</w:t>
      </w:r>
    </w:p>
    <w:p w14:paraId="2D6ECB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）达不到合同规定的质量标准，以次充好的；</w:t>
      </w:r>
    </w:p>
    <w:p w14:paraId="41A3FC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）因供应商的原因交付车辆维修或保养服务不合格返工两次以上的；</w:t>
      </w:r>
    </w:p>
    <w:p w14:paraId="0C1B69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）出现重大责任事故的；</w:t>
      </w:r>
    </w:p>
    <w:p w14:paraId="311CBB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）拒绝接受监督、检查的；</w:t>
      </w:r>
    </w:p>
    <w:p w14:paraId="358409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）不如实反映情况，提供虚假材料的；</w:t>
      </w:r>
    </w:p>
    <w:p w14:paraId="5369A5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11</w:t>
      </w:r>
      <w:r>
        <w:rPr>
          <w:rFonts w:hint="eastAsia"/>
          <w:color w:val="auto"/>
          <w:highlight w:val="none"/>
        </w:rPr>
        <w:t>）</w:t>
      </w:r>
      <w:r>
        <w:rPr>
          <w:rFonts w:hint="eastAsia"/>
          <w:color w:val="auto"/>
          <w:highlight w:val="none"/>
          <w:lang w:eastAsia="zh-CN"/>
        </w:rPr>
        <w:t>框架协议</w:t>
      </w:r>
      <w:r>
        <w:rPr>
          <w:rFonts w:hint="eastAsia"/>
          <w:color w:val="auto"/>
          <w:highlight w:val="none"/>
        </w:rPr>
        <w:t>有效期内，被行业行政主管部门取消经营资格的；</w:t>
      </w:r>
    </w:p>
    <w:p w14:paraId="51837C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12</w:t>
      </w:r>
      <w:r>
        <w:rPr>
          <w:rFonts w:hint="eastAsia"/>
          <w:color w:val="auto"/>
          <w:highlight w:val="none"/>
        </w:rPr>
        <w:t>）其他违反法律、法规和采购合同的行为。</w:t>
      </w:r>
    </w:p>
    <w:p w14:paraId="424B45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2、被取消入围资格或者被解除封闭式框架协议的供应商不得参加同一封闭式框架协议补充征集，或者重新申请加入同一开放式框架协议。</w:t>
      </w:r>
    </w:p>
    <w:p w14:paraId="4DA4A4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3</w:t>
      </w:r>
      <w:r>
        <w:rPr>
          <w:rFonts w:hint="eastAsia"/>
          <w:color w:val="auto"/>
          <w:highlight w:val="none"/>
        </w:rPr>
        <w:t>、对违反国家法律、法规，情节特别严重的供应商，</w:t>
      </w:r>
      <w:r>
        <w:rPr>
          <w:rFonts w:hint="eastAsia"/>
          <w:color w:val="auto"/>
          <w:highlight w:val="none"/>
          <w:lang w:eastAsia="zh-CN"/>
        </w:rPr>
        <w:t>东兴市财政局</w:t>
      </w:r>
      <w:r>
        <w:rPr>
          <w:rFonts w:hint="eastAsia"/>
          <w:color w:val="auto"/>
          <w:highlight w:val="none"/>
        </w:rPr>
        <w:t>还将提请有关部门追究其法律责任。</w:t>
      </w:r>
    </w:p>
    <w:p w14:paraId="2A710CC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十三、协议的终止</w:t>
      </w:r>
    </w:p>
    <w:p w14:paraId="6376E0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1.任何一方如因发生不可抗拒事件而丧失履行合同能力，本协议可自行终止。</w:t>
      </w:r>
    </w:p>
    <w:p w14:paraId="4EF1B2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2</w:t>
      </w:r>
      <w:r>
        <w:rPr>
          <w:rFonts w:hint="eastAsia"/>
          <w:color w:val="auto"/>
          <w:highlight w:val="none"/>
        </w:rPr>
        <w:t>.预算单位对乙方的有效投诉记录累积一年内 3 次以上的（含 3 次）。</w:t>
      </w:r>
    </w:p>
    <w:p w14:paraId="242F00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3</w:t>
      </w:r>
      <w:r>
        <w:rPr>
          <w:rFonts w:hint="eastAsia"/>
          <w:color w:val="auto"/>
          <w:highlight w:val="none"/>
        </w:rPr>
        <w:t>.未经预算单位同意，乙方将送修汽车交由他厂维修。</w:t>
      </w:r>
    </w:p>
    <w:p w14:paraId="341902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4</w:t>
      </w:r>
      <w:r>
        <w:rPr>
          <w:rFonts w:hint="eastAsia"/>
          <w:color w:val="auto"/>
          <w:highlight w:val="none"/>
        </w:rPr>
        <w:t>.未经预算单位同意，乙方擅自使用非原厂配件或以旧件换取预算单位送修汽车零件。</w:t>
      </w:r>
    </w:p>
    <w:p w14:paraId="68A95E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5</w:t>
      </w:r>
      <w:r>
        <w:rPr>
          <w:rFonts w:hint="eastAsia"/>
          <w:color w:val="auto"/>
          <w:highlight w:val="none"/>
        </w:rPr>
        <w:t>.因乙方维修质量问题，导致预算单位汽车出现事故造成重大损失的。</w:t>
      </w:r>
    </w:p>
    <w:p w14:paraId="09CF6D2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十四、投诉与仲裁</w:t>
      </w:r>
    </w:p>
    <w:p w14:paraId="221EF1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为了保障双方的权益，本协议建立投诉监管制度。</w:t>
      </w:r>
    </w:p>
    <w:p w14:paraId="4822CA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1.预算单位可就乙方的维修质量或服务问题向主管部门投诉。</w:t>
      </w:r>
    </w:p>
    <w:p w14:paraId="49C0F4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2.乙方可就预算单位所提出的除维修服务以外的要求向主管部门投诉。</w:t>
      </w:r>
    </w:p>
    <w:p w14:paraId="77191D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3.如双方在履行合同时发生纠纷，应尽量协商解决：协商不成，可向监管部门投诉，可到仲裁部门申请仲裁或向人民法院起诉。</w:t>
      </w:r>
    </w:p>
    <w:p w14:paraId="2498368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color w:val="auto"/>
          <w:highlight w:val="none"/>
        </w:rPr>
      </w:pPr>
      <w:r>
        <w:rPr>
          <w:rFonts w:hint="eastAsia"/>
          <w:b/>
          <w:color w:val="auto"/>
          <w:highlight w:val="none"/>
        </w:rPr>
        <w:t>十五、框架协议生效及其它</w:t>
      </w:r>
    </w:p>
    <w:p w14:paraId="642079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1.框架协议经双方法定代表人或授权委托代理人签字并加盖单位公章后生效。</w:t>
      </w:r>
    </w:p>
    <w:p w14:paraId="65EE3C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2.框架协议执行中，如需修改或补充框架协议内容，由双方协商另签署书面修改或补充协议作为主框架协议不可分割的一部分。</w:t>
      </w:r>
    </w:p>
    <w:p w14:paraId="4A86CB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253531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4.本框架协议未尽事宜，遵照《中华人民共和国民法典》有关条文执行。</w:t>
      </w:r>
    </w:p>
    <w:p w14:paraId="4B1FB5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rPr>
      </w:pPr>
      <w:r>
        <w:rPr>
          <w:rFonts w:hint="eastAsia"/>
          <w:color w:val="auto"/>
          <w:highlight w:val="none"/>
        </w:rPr>
        <w:t>5.本框架协议一式</w:t>
      </w:r>
      <w:r>
        <w:rPr>
          <w:rFonts w:hint="eastAsia"/>
          <w:color w:val="auto"/>
          <w:highlight w:val="none"/>
          <w:lang w:eastAsia="zh-CN"/>
        </w:rPr>
        <w:t>三</w:t>
      </w:r>
      <w:r>
        <w:rPr>
          <w:rFonts w:hint="eastAsia"/>
          <w:color w:val="auto"/>
          <w:highlight w:val="none"/>
        </w:rPr>
        <w:t>份，具有同等法律效力，甲乙双方各执一份</w:t>
      </w:r>
      <w:r>
        <w:rPr>
          <w:rFonts w:hint="eastAsia"/>
          <w:color w:val="auto"/>
          <w:highlight w:val="none"/>
          <w:lang w:eastAsia="zh-CN"/>
        </w:rPr>
        <w:t>，东兴市本级</w:t>
      </w:r>
      <w:r>
        <w:rPr>
          <w:rFonts w:hint="eastAsia"/>
          <w:color w:val="auto"/>
          <w:highlight w:val="none"/>
        </w:rPr>
        <w:t>政府采购监督管理部门一份。</w:t>
      </w:r>
    </w:p>
    <w:p w14:paraId="31BA0DFF">
      <w:pPr>
        <w:spacing w:line="400" w:lineRule="exact"/>
        <w:ind w:firstLine="420" w:firstLineChars="200"/>
        <w:jc w:val="left"/>
        <w:rPr>
          <w:color w:val="auto"/>
          <w:highlight w:val="none"/>
        </w:rPr>
      </w:pPr>
    </w:p>
    <w:p w14:paraId="5A2E2984">
      <w:pPr>
        <w:spacing w:line="400" w:lineRule="exact"/>
        <w:ind w:firstLine="420" w:firstLineChars="200"/>
        <w:jc w:val="left"/>
        <w:rPr>
          <w:color w:val="auto"/>
          <w:highlight w:val="none"/>
        </w:rPr>
      </w:pPr>
      <w:r>
        <w:rPr>
          <w:rFonts w:hint="eastAsia"/>
          <w:color w:val="auto"/>
          <w:highlight w:val="none"/>
        </w:rPr>
        <w:t>甲方：                                  乙方：</w:t>
      </w:r>
    </w:p>
    <w:p w14:paraId="7D4349B9">
      <w:pPr>
        <w:spacing w:line="400" w:lineRule="exact"/>
        <w:ind w:firstLine="420" w:firstLineChars="200"/>
        <w:jc w:val="left"/>
        <w:rPr>
          <w:color w:val="auto"/>
          <w:highlight w:val="none"/>
        </w:rPr>
      </w:pPr>
      <w:r>
        <w:rPr>
          <w:rFonts w:hint="eastAsia"/>
          <w:color w:val="auto"/>
          <w:highlight w:val="none"/>
        </w:rPr>
        <w:t>法定代表人（或负责人）                  法定代表人（或负责人）：</w:t>
      </w:r>
    </w:p>
    <w:p w14:paraId="030D25D7">
      <w:pPr>
        <w:spacing w:line="400" w:lineRule="exact"/>
        <w:ind w:firstLine="420" w:firstLineChars="200"/>
        <w:jc w:val="left"/>
        <w:rPr>
          <w:color w:val="auto"/>
          <w:highlight w:val="none"/>
        </w:rPr>
      </w:pPr>
      <w:r>
        <w:rPr>
          <w:rFonts w:hint="eastAsia"/>
          <w:color w:val="auto"/>
          <w:highlight w:val="none"/>
        </w:rPr>
        <w:t>或委托代理人：                          或委托代理人：</w:t>
      </w:r>
    </w:p>
    <w:p w14:paraId="41A99F04">
      <w:pPr>
        <w:spacing w:line="400" w:lineRule="exact"/>
        <w:ind w:firstLine="420" w:firstLineChars="200"/>
        <w:jc w:val="left"/>
        <w:rPr>
          <w:color w:val="auto"/>
          <w:highlight w:val="none"/>
        </w:rPr>
      </w:pPr>
      <w:r>
        <w:rPr>
          <w:rFonts w:hint="eastAsia"/>
          <w:color w:val="auto"/>
          <w:highlight w:val="none"/>
        </w:rPr>
        <w:t>电话：                                  电话：</w:t>
      </w:r>
    </w:p>
    <w:p w14:paraId="53049553">
      <w:pPr>
        <w:spacing w:line="400" w:lineRule="exact"/>
        <w:ind w:firstLine="420" w:firstLineChars="200"/>
        <w:jc w:val="left"/>
        <w:rPr>
          <w:color w:val="auto"/>
          <w:highlight w:val="none"/>
        </w:rPr>
      </w:pPr>
    </w:p>
    <w:p w14:paraId="0DFC087C">
      <w:pPr>
        <w:spacing w:line="400" w:lineRule="exact"/>
        <w:ind w:firstLine="420" w:firstLineChars="200"/>
        <w:jc w:val="left"/>
        <w:rPr>
          <w:color w:val="auto"/>
          <w:highlight w:val="none"/>
        </w:rPr>
      </w:pPr>
      <w:r>
        <w:rPr>
          <w:rFonts w:hint="eastAsia"/>
          <w:color w:val="auto"/>
          <w:highlight w:val="none"/>
        </w:rPr>
        <w:t>协议签订日期：          年    月    日</w:t>
      </w:r>
    </w:p>
    <w:p w14:paraId="1E87B89D">
      <w:pPr>
        <w:spacing w:line="400" w:lineRule="exact"/>
        <w:ind w:firstLine="420" w:firstLineChars="200"/>
        <w:jc w:val="left"/>
        <w:rPr>
          <w:color w:val="auto"/>
          <w:highlight w:val="none"/>
        </w:rPr>
      </w:pPr>
    </w:p>
    <w:p w14:paraId="7A15BB6A">
      <w:pPr>
        <w:spacing w:line="400" w:lineRule="exact"/>
        <w:jc w:val="center"/>
        <w:rPr>
          <w:rFonts w:hint="eastAsia" w:ascii="仿宋_GB2312" w:hAnsi="仿宋_GB2312" w:eastAsia="宋体" w:cs="仿宋_GB2312"/>
          <w:b/>
          <w:bCs/>
          <w:color w:val="auto"/>
          <w:sz w:val="32"/>
          <w:szCs w:val="32"/>
          <w:highlight w:val="none"/>
          <w:lang w:eastAsia="zh-CN"/>
        </w:rPr>
      </w:pPr>
      <w:r>
        <w:rPr>
          <w:rFonts w:hint="eastAsia" w:ascii="宋体" w:hAnsi="宋体" w:cs="宋体"/>
          <w:b/>
          <w:bCs/>
          <w:color w:val="auto"/>
          <w:sz w:val="52"/>
          <w:highlight w:val="none"/>
        </w:rPr>
        <w:br w:type="page"/>
      </w:r>
      <w:r>
        <w:rPr>
          <w:rFonts w:hint="eastAsia" w:ascii="仿宋_GB2312" w:hAnsi="仿宋_GB2312" w:eastAsia="仿宋_GB2312" w:cs="仿宋_GB2312"/>
          <w:b/>
          <w:bCs/>
          <w:color w:val="auto"/>
          <w:sz w:val="32"/>
          <w:szCs w:val="32"/>
          <w:highlight w:val="none"/>
          <w:lang w:eastAsia="zh-CN"/>
        </w:rPr>
        <w:t>2025-2027年度东兴市车辆维修和保养服务框架协议采购</w:t>
      </w:r>
    </w:p>
    <w:p w14:paraId="006715F6">
      <w:pPr>
        <w:spacing w:line="400" w:lineRule="exact"/>
        <w:jc w:val="center"/>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合同（格式）</w:t>
      </w:r>
    </w:p>
    <w:p w14:paraId="4C64DBB5">
      <w:pPr>
        <w:spacing w:line="400" w:lineRule="exact"/>
        <w:rPr>
          <w:rFonts w:hint="eastAsia" w:ascii="宋体" w:hAnsi="宋体" w:cs="宋体"/>
          <w:color w:val="auto"/>
          <w:szCs w:val="21"/>
          <w:highlight w:val="none"/>
        </w:rPr>
      </w:pPr>
    </w:p>
    <w:p w14:paraId="05E8A418">
      <w:pPr>
        <w:keepNext w:val="0"/>
        <w:keepLines w:val="0"/>
        <w:pageBreakBefore w:val="0"/>
        <w:kinsoku/>
        <w:wordWrap/>
        <w:overflowPunct/>
        <w:topLinePunct w:val="0"/>
        <w:autoSpaceDE/>
        <w:autoSpaceDN/>
        <w:bidi w:val="0"/>
        <w:spacing w:line="360" w:lineRule="auto"/>
        <w:ind w:left="0"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合同编号：</w:t>
      </w:r>
      <w:r>
        <w:rPr>
          <w:rFonts w:hint="eastAsia" w:ascii="宋体" w:hAnsi="宋体" w:cs="宋体"/>
          <w:color w:val="auto"/>
          <w:szCs w:val="21"/>
          <w:highlight w:val="none"/>
          <w:u w:val="single"/>
          <w:lang w:val="en-US" w:eastAsia="zh-CN"/>
        </w:rPr>
        <w:t xml:space="preserve">                                                 </w:t>
      </w:r>
    </w:p>
    <w:p w14:paraId="7CE59A8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35EB49D6">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u w:val="single"/>
          <w:lang w:val="en-US" w:eastAsia="zh-CN"/>
        </w:rPr>
        <w:t xml:space="preserve">                                                 </w:t>
      </w:r>
    </w:p>
    <w:p w14:paraId="255527DE">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（服务对象、采购人）</w:t>
      </w:r>
    </w:p>
    <w:p w14:paraId="510E9D82">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（入围供应商）</w:t>
      </w:r>
    </w:p>
    <w:p w14:paraId="23C1170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根据《中华人民共和国政府采购法》《中华人民共和国政府采购法实施条例》《中华人民共和国民法典》等法律、法规规定，按照招、响应文件规定条款和入围供应商承诺、甲乙双方签订本采购合同。</w:t>
      </w:r>
    </w:p>
    <w:p w14:paraId="1147A6A7">
      <w:pPr>
        <w:keepNext w:val="0"/>
        <w:keepLines w:val="0"/>
        <w:pageBreakBefore w:val="0"/>
        <w:widowControl w:val="0"/>
        <w:numPr>
          <w:ilvl w:val="0"/>
          <w:numId w:val="3"/>
        </w:numPr>
        <w:kinsoku/>
        <w:wordWrap/>
        <w:overflowPunct/>
        <w:topLinePunct w:val="0"/>
        <w:autoSpaceDE/>
        <w:autoSpaceDN/>
        <w:bidi w:val="0"/>
        <w:spacing w:line="360" w:lineRule="auto"/>
        <w:ind w:left="0"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合同标的及合同金额</w:t>
      </w:r>
    </w:p>
    <w:p w14:paraId="4962694A">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根据《入围通知书》的入围内容，合同金额如下：</w:t>
      </w:r>
    </w:p>
    <w:tbl>
      <w:tblPr>
        <w:tblStyle w:val="25"/>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2129"/>
        <w:gridCol w:w="3789"/>
      </w:tblGrid>
      <w:tr w14:paraId="7A18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3895" w:type="dxa"/>
            <w:tcBorders>
              <w:top w:val="single" w:color="auto" w:sz="4" w:space="0"/>
              <w:left w:val="single" w:color="auto" w:sz="4" w:space="0"/>
              <w:bottom w:val="single" w:color="auto" w:sz="4" w:space="0"/>
              <w:right w:val="single" w:color="auto" w:sz="4" w:space="0"/>
            </w:tcBorders>
            <w:noWrap w:val="0"/>
            <w:vAlign w:val="center"/>
          </w:tcPr>
          <w:p w14:paraId="051C43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912C88B">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报价内容</w:t>
            </w:r>
          </w:p>
        </w:tc>
        <w:tc>
          <w:tcPr>
            <w:tcW w:w="3789" w:type="dxa"/>
            <w:tcBorders>
              <w:top w:val="single" w:color="auto" w:sz="4" w:space="0"/>
              <w:left w:val="single" w:color="auto" w:sz="4" w:space="0"/>
              <w:bottom w:val="single" w:color="auto" w:sz="4" w:space="0"/>
              <w:right w:val="single" w:color="auto" w:sz="4" w:space="0"/>
            </w:tcBorders>
            <w:noWrap w:val="0"/>
            <w:vAlign w:val="center"/>
          </w:tcPr>
          <w:p w14:paraId="3B9DF6A8">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响应报价（优惠率）</w:t>
            </w:r>
          </w:p>
        </w:tc>
      </w:tr>
      <w:tr w14:paraId="5B46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3895" w:type="dxa"/>
            <w:vMerge w:val="restart"/>
            <w:tcBorders>
              <w:top w:val="single" w:color="auto" w:sz="4" w:space="0"/>
              <w:left w:val="single" w:color="auto" w:sz="4" w:space="0"/>
              <w:right w:val="single" w:color="auto" w:sz="4" w:space="0"/>
            </w:tcBorders>
            <w:noWrap w:val="0"/>
            <w:vAlign w:val="center"/>
          </w:tcPr>
          <w:p w14:paraId="633D75F9">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2025-2027年度东兴市车辆维修和保养服务框架协议采购</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6CFE59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零配件价格</w:t>
            </w:r>
          </w:p>
        </w:tc>
        <w:tc>
          <w:tcPr>
            <w:tcW w:w="3789" w:type="dxa"/>
            <w:tcBorders>
              <w:top w:val="single" w:color="auto" w:sz="4" w:space="0"/>
              <w:left w:val="single" w:color="auto" w:sz="4" w:space="0"/>
              <w:bottom w:val="single" w:color="auto" w:sz="4" w:space="0"/>
              <w:right w:val="single" w:color="auto" w:sz="4" w:space="0"/>
            </w:tcBorders>
            <w:noWrap w:val="0"/>
            <w:vAlign w:val="center"/>
          </w:tcPr>
          <w:p w14:paraId="3E6BB45D">
            <w:pPr>
              <w:jc w:val="center"/>
              <w:rPr>
                <w:rFonts w:hint="eastAsia" w:ascii="宋体" w:hAnsi="宋体" w:eastAsia="宋体" w:cs="宋体"/>
                <w:color w:val="auto"/>
                <w:szCs w:val="21"/>
                <w:highlight w:val="none"/>
              </w:rPr>
            </w:pPr>
          </w:p>
        </w:tc>
      </w:tr>
      <w:tr w14:paraId="0491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3895" w:type="dxa"/>
            <w:vMerge w:val="continue"/>
            <w:tcBorders>
              <w:left w:val="single" w:color="auto" w:sz="4" w:space="0"/>
              <w:bottom w:val="single" w:color="auto" w:sz="4" w:space="0"/>
              <w:right w:val="single" w:color="auto" w:sz="4" w:space="0"/>
            </w:tcBorders>
            <w:noWrap w:val="0"/>
            <w:vAlign w:val="center"/>
          </w:tcPr>
          <w:p w14:paraId="556E941F">
            <w:pPr>
              <w:jc w:val="center"/>
              <w:rPr>
                <w:rFonts w:hint="eastAsia" w:ascii="宋体" w:hAnsi="宋体" w:eastAsia="宋体" w:cs="宋体"/>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A3360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工时费</w:t>
            </w:r>
          </w:p>
        </w:tc>
        <w:tc>
          <w:tcPr>
            <w:tcW w:w="3789" w:type="dxa"/>
            <w:tcBorders>
              <w:top w:val="single" w:color="auto" w:sz="4" w:space="0"/>
              <w:left w:val="single" w:color="auto" w:sz="4" w:space="0"/>
              <w:bottom w:val="single" w:color="auto" w:sz="4" w:space="0"/>
              <w:right w:val="single" w:color="auto" w:sz="4" w:space="0"/>
            </w:tcBorders>
            <w:noWrap w:val="0"/>
            <w:vAlign w:val="center"/>
          </w:tcPr>
          <w:p w14:paraId="1284C743">
            <w:pPr>
              <w:jc w:val="center"/>
              <w:rPr>
                <w:rFonts w:hint="eastAsia" w:ascii="宋体" w:hAnsi="宋体" w:eastAsia="宋体" w:cs="宋体"/>
                <w:color w:val="auto"/>
                <w:szCs w:val="21"/>
                <w:highlight w:val="none"/>
              </w:rPr>
            </w:pPr>
          </w:p>
        </w:tc>
      </w:tr>
    </w:tbl>
    <w:p w14:paraId="04176645">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p>
    <w:p w14:paraId="1E991DAE">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服务保证</w:t>
      </w:r>
    </w:p>
    <w:p w14:paraId="7E0F52A9">
      <w:pPr>
        <w:keepNext w:val="0"/>
        <w:keepLines w:val="0"/>
        <w:pageBreakBefore w:val="0"/>
        <w:kinsoku/>
        <w:wordWrap/>
        <w:overflowPunct/>
        <w:topLinePunct w:val="0"/>
        <w:autoSpaceDE/>
        <w:autoSpaceDN/>
        <w:bidi w:val="0"/>
        <w:snapToGrid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入围人应按征集文件、响应文件和承诺规定的服务内容向采购人提供相应服务。</w:t>
      </w:r>
    </w:p>
    <w:p w14:paraId="5B7BFEC5">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服务期限</w:t>
      </w:r>
    </w:p>
    <w:p w14:paraId="0384099A">
      <w:pPr>
        <w:keepNext w:val="0"/>
        <w:keepLines w:val="0"/>
        <w:pageBreakBefore w:val="0"/>
        <w:kinsoku/>
        <w:wordWrap/>
        <w:overflowPunct/>
        <w:topLinePunct w:val="0"/>
        <w:autoSpaceDE/>
        <w:autoSpaceDN/>
        <w:bidi w:val="0"/>
        <w:spacing w:line="360" w:lineRule="auto"/>
        <w:ind w:left="0"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服务期限:</w:t>
      </w:r>
      <w:r>
        <w:rPr>
          <w:rFonts w:hint="eastAsia" w:ascii="宋体" w:hAnsi="宋体" w:cs="宋体"/>
          <w:color w:val="auto"/>
          <w:szCs w:val="21"/>
          <w:highlight w:val="none"/>
          <w:u w:val="single"/>
          <w:lang w:val="en-US" w:eastAsia="zh-CN"/>
        </w:rPr>
        <w:t xml:space="preserve">                                        </w:t>
      </w:r>
    </w:p>
    <w:p w14:paraId="71C6ED96">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交付</w:t>
      </w:r>
    </w:p>
    <w:p w14:paraId="63F9139E">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1.服务开始时间：</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服务对象指定地点</w:t>
      </w:r>
      <w:r>
        <w:rPr>
          <w:rFonts w:hint="eastAsia" w:ascii="宋体" w:hAnsi="宋体" w:eastAsia="宋体" w:cs="宋体"/>
          <w:color w:val="auto"/>
          <w:szCs w:val="21"/>
          <w:highlight w:val="none"/>
        </w:rPr>
        <w:t>。</w:t>
      </w:r>
    </w:p>
    <w:p w14:paraId="6E00DB96">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2.乙方提供不符合招响应文件和本合同规定的服务，甲方有权拒绝接受。</w:t>
      </w:r>
    </w:p>
    <w:p w14:paraId="6FBC5092">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税费</w:t>
      </w:r>
    </w:p>
    <w:p w14:paraId="3D28BCDB">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w:t>
      </w:r>
    </w:p>
    <w:p w14:paraId="188D3B41">
      <w:pPr>
        <w:keepNext w:val="0"/>
        <w:keepLines w:val="0"/>
        <w:pageBreakBefore w:val="0"/>
        <w:widowControl w:val="0"/>
        <w:numPr>
          <w:ilvl w:val="0"/>
          <w:numId w:val="4"/>
        </w:numPr>
        <w:kinsoku/>
        <w:wordWrap/>
        <w:overflowPunct/>
        <w:topLinePunct w:val="0"/>
        <w:autoSpaceDE/>
        <w:autoSpaceDN/>
        <w:bidi w:val="0"/>
        <w:spacing w:line="360" w:lineRule="auto"/>
        <w:ind w:left="0"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支付方式、时间和条件</w:t>
      </w:r>
    </w:p>
    <w:p w14:paraId="04E17798">
      <w:pPr>
        <w:keepNext w:val="0"/>
        <w:keepLines w:val="0"/>
        <w:pageBreakBefore w:val="0"/>
        <w:kinsoku/>
        <w:wordWrap/>
        <w:overflowPunct/>
        <w:topLinePunct w:val="0"/>
        <w:autoSpaceDE/>
        <w:autoSpaceDN/>
        <w:bidi w:val="0"/>
        <w:adjustRightInd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1、采购资金的支付按照现行</w:t>
      </w:r>
      <w:r>
        <w:rPr>
          <w:rFonts w:hint="eastAsia" w:ascii="宋体" w:hAnsi="宋体" w:cs="宋体"/>
          <w:color w:val="auto"/>
          <w:szCs w:val="21"/>
          <w:highlight w:val="none"/>
          <w:lang w:eastAsia="zh-CN"/>
        </w:rPr>
        <w:t>东兴市本级</w:t>
      </w:r>
      <w:r>
        <w:rPr>
          <w:rFonts w:hint="eastAsia" w:ascii="宋体" w:hAnsi="宋体" w:eastAsia="宋体" w:cs="宋体"/>
          <w:color w:val="auto"/>
          <w:szCs w:val="21"/>
          <w:highlight w:val="none"/>
        </w:rPr>
        <w:t>有关国库集中支付管理规定执行。服务对象与成交供应商签订书面采购合同时，应在合同中明确约定货款结算与支付频率。对单项车辆维修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养，服务对象可与供应商约定采用一次性支付或分次支付，分次支付的应写明具体支付方式；服务对象与供应商签订的是本次框架协议车辆维修和保养服务期限内的一揽子合同的，可约定采用月度、季度或半年度等货款结算与支付频率。</w:t>
      </w:r>
    </w:p>
    <w:p w14:paraId="71F856E4">
      <w:pPr>
        <w:keepNext w:val="0"/>
        <w:keepLines w:val="0"/>
        <w:pageBreakBefore w:val="0"/>
        <w:kinsoku/>
        <w:wordWrap/>
        <w:overflowPunct/>
        <w:topLinePunct w:val="0"/>
        <w:autoSpaceDE/>
        <w:autoSpaceDN/>
        <w:bidi w:val="0"/>
        <w:adjustRightInd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2、服务对象在车辆维修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保养经采购人验收合格后，按照采购合同约定的支付时间，由服务对象按财政授权支付程序将款项支付给供应商。</w:t>
      </w:r>
    </w:p>
    <w:p w14:paraId="1549179E">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违约责任</w:t>
      </w:r>
    </w:p>
    <w:p w14:paraId="16AB6B97">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1.乙方所提供的服务质量不合格的，应及时更换，更换不及时的按逾期处罚，乙方应向甲方支付合同金额</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违约金并赔偿甲方经济损失。</w:t>
      </w:r>
    </w:p>
    <w:p w14:paraId="3F6DCF95">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2.乙方提供的服务如果侵犯了第三方合法权益而引发的任何纠纷或诉讼，均由乙方负责交涉并承担全部责任。</w:t>
      </w:r>
    </w:p>
    <w:p w14:paraId="5368430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3.乙方无故延期服务交付的，每天向对方偿付违约合同金额</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违约金，但违约金累计不得超过合同金额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20</w:t>
      </w:r>
      <w:r>
        <w:rPr>
          <w:rFonts w:hint="eastAsia" w:ascii="宋体" w:hAnsi="宋体" w:eastAsia="宋体" w:cs="宋体"/>
          <w:color w:val="auto"/>
          <w:szCs w:val="21"/>
          <w:highlight w:val="none"/>
        </w:rPr>
        <w:t>天对方（甲方）有权解除合同，违约方承担因此给对方造成经济损失；甲方不能按期付款的，每天向乙方偿付延合同金额</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滞纳金，但滞纳金累计不得超过合同金额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w:t>
      </w:r>
    </w:p>
    <w:p w14:paraId="70099DE8">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4.乙方未按本合同和响应文件中规定的服务承诺提供服务的，乙方应按本合同金额</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向甲方支付违约金。</w:t>
      </w:r>
    </w:p>
    <w:p w14:paraId="277EA64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5.其他违约行为按照合同金额</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收取违约金并赔偿守约方经济损失。</w:t>
      </w:r>
    </w:p>
    <w:p w14:paraId="78C8839D">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不可抗力事件处理</w:t>
      </w:r>
    </w:p>
    <w:p w14:paraId="55ABB272">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1.在合同有效期内，乙方因不可抗力事件导致不能履行合同，则合同履行期可延长，其延长期与不可抗力影响期相同。</w:t>
      </w:r>
    </w:p>
    <w:p w14:paraId="4173EDD9">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457C5589">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37B947A3">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合同争议解决</w:t>
      </w:r>
    </w:p>
    <w:p w14:paraId="7A5C5EC8">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1、因服务问题发生争议的，应邀请国家认可的相关机构进行鉴定。服务符合要求的，鉴定费由采购人承担；服务不符合要求的，鉴定费由入围人承担。</w:t>
      </w:r>
    </w:p>
    <w:p w14:paraId="5188E7B5">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选择采购人所在地有管辖权的人民法院为诉讼管辖法院，因诉讼产生的律师服务费和实现债权的费用由败诉方承担。</w:t>
      </w:r>
    </w:p>
    <w:p w14:paraId="463EB00B">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25105E6B">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合同生效及其它</w:t>
      </w:r>
    </w:p>
    <w:p w14:paraId="12B0967F">
      <w:pPr>
        <w:keepNext w:val="0"/>
        <w:keepLines w:val="0"/>
        <w:pageBreakBefore w:val="0"/>
        <w:numPr>
          <w:ilvl w:val="0"/>
          <w:numId w:val="5"/>
        </w:numPr>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合同经甲乙双方法定代表人、负责人</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自然人或相应的授权代表签字并加盖甲方、采购人、供应商公章后生效。</w:t>
      </w:r>
    </w:p>
    <w:p w14:paraId="0F7AB085">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2.合同执行中涉及采购资金和采购内容修改或补充的，需经本级</w:t>
      </w:r>
      <w:r>
        <w:rPr>
          <w:rFonts w:hint="eastAsia" w:ascii="宋体" w:hAnsi="宋体" w:eastAsia="宋体" w:cs="宋体"/>
          <w:color w:val="auto"/>
          <w:szCs w:val="21"/>
          <w:highlight w:val="none"/>
          <w:lang w:eastAsia="zh-CN"/>
        </w:rPr>
        <w:t>财</w:t>
      </w:r>
      <w:r>
        <w:rPr>
          <w:rFonts w:hint="eastAsia" w:ascii="宋体" w:hAnsi="宋体" w:eastAsia="宋体" w:cs="宋体"/>
          <w:color w:val="auto"/>
          <w:szCs w:val="21"/>
          <w:highlight w:val="none"/>
        </w:rPr>
        <w:t>政部门审批，并签订书面补充协议报本级财政部门备案，方可作为主合同不可分割的一部分，未经本级财政部门审批的，仍按照本级财政部门审批前的履行。</w:t>
      </w:r>
    </w:p>
    <w:p w14:paraId="4F18AFA6">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7188DE26">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合同的变更、终止与转让</w:t>
      </w:r>
    </w:p>
    <w:p w14:paraId="6A55F2B2">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08814087">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2.乙方不得擅自转让(无进口资格的供应商委托进口货物除外)其应履行的合同义务。</w:t>
      </w:r>
    </w:p>
    <w:p w14:paraId="32D6B95C">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第十二条  签订本合同依据</w:t>
      </w:r>
    </w:p>
    <w:p w14:paraId="1452B10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1.征集文件；</w:t>
      </w:r>
    </w:p>
    <w:p w14:paraId="090164E2">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2.乙方提供的响应文件；</w:t>
      </w:r>
    </w:p>
    <w:p w14:paraId="1067838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3.服务承诺书；</w:t>
      </w:r>
    </w:p>
    <w:p w14:paraId="2A21F99D">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4.入围通知书。</w:t>
      </w:r>
    </w:p>
    <w:p w14:paraId="3764E02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一式四份，具有同等法律效力。政府采购合同双方自签订之日起一个工作日内，采购人将合同原件一份交采购代理机构，并于合同签订之日起七个工作日内将一份合同原件送本级财政部门备案。</w:t>
      </w:r>
    </w:p>
    <w:p w14:paraId="1BFF7286">
      <w:pPr>
        <w:pStyle w:val="12"/>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p>
    <w:p w14:paraId="29758499">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甲方（公章）：</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乙方（公章，自然人除外）：</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5875AF8E">
      <w:pPr>
        <w:keepNext w:val="0"/>
        <w:keepLines w:val="0"/>
        <w:pageBreakBefore w:val="0"/>
        <w:kinsoku/>
        <w:wordWrap/>
        <w:overflowPunct/>
        <w:topLinePunct w:val="0"/>
        <w:autoSpaceDE/>
        <w:autoSpaceDN/>
        <w:bidi w:val="0"/>
        <w:spacing w:line="360" w:lineRule="auto"/>
        <w:ind w:left="4620" w:leftChars="200" w:hanging="4200" w:hangingChars="20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法定代表人（负责人、自然人）签字（属自然人的应在签名处加盖大拇指指印）：</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0F439B83">
      <w:pPr>
        <w:keepNext w:val="0"/>
        <w:keepLines w:val="0"/>
        <w:pageBreakBefore w:val="0"/>
        <w:tabs>
          <w:tab w:val="left" w:pos="4680"/>
        </w:tabs>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委托代理人：</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6210FAEB">
      <w:pPr>
        <w:keepNext w:val="0"/>
        <w:keepLines w:val="0"/>
        <w:pageBreakBefore w:val="0"/>
        <w:tabs>
          <w:tab w:val="left" w:pos="5040"/>
        </w:tabs>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电  话：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电   话：</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02D8FFDC">
      <w:pPr>
        <w:keepNext w:val="0"/>
        <w:keepLines w:val="0"/>
        <w:pageBreakBefore w:val="0"/>
        <w:tabs>
          <w:tab w:val="left" w:pos="5040"/>
        </w:tabs>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开户名称：</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531E1FB8">
      <w:pPr>
        <w:keepNext w:val="0"/>
        <w:keepLines w:val="0"/>
        <w:pageBreakBefore w:val="0"/>
        <w:tabs>
          <w:tab w:val="left" w:pos="5040"/>
        </w:tabs>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开户银行：</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4960B268">
      <w:pPr>
        <w:keepNext w:val="0"/>
        <w:keepLines w:val="0"/>
        <w:pageBreakBefore w:val="0"/>
        <w:tabs>
          <w:tab w:val="left" w:pos="5040"/>
        </w:tabs>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银行账号：</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47325936">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32"/>
          <w:highlight w:val="none"/>
          <w:lang w:eastAsia="zh-CN"/>
        </w:rPr>
        <w:sectPr>
          <w:pgSz w:w="11900" w:h="16820"/>
          <w:pgMar w:top="1576" w:right="1236" w:bottom="1304" w:left="1589" w:header="720" w:footer="720" w:gutter="0"/>
          <w:cols w:space="720" w:num="1"/>
          <w:docGrid w:linePitch="1" w:charSpace="0"/>
        </w:sect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    期：</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4BE4F8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Cs w:val="21"/>
          <w:highlight w:val="none"/>
        </w:rPr>
      </w:pPr>
    </w:p>
    <w:p w14:paraId="7385D535">
      <w:pPr>
        <w:rPr>
          <w:color w:val="auto"/>
          <w:highlight w:val="none"/>
        </w:rPr>
      </w:pPr>
    </w:p>
    <w:p w14:paraId="54821533">
      <w:pPr>
        <w:pStyle w:val="15"/>
        <w:spacing w:line="360" w:lineRule="auto"/>
        <w:rPr>
          <w:color w:val="auto"/>
          <w:highlight w:val="none"/>
        </w:rPr>
      </w:pPr>
    </w:p>
    <w:p w14:paraId="4CCD3C0D">
      <w:pPr>
        <w:tabs>
          <w:tab w:val="left" w:pos="2472"/>
        </w:tabs>
        <w:spacing w:line="460" w:lineRule="exact"/>
        <w:jc w:val="center"/>
        <w:rPr>
          <w:rFonts w:hint="eastAsia" w:ascii="Times New Roman" w:hAnsi="Times New Roman"/>
          <w:b/>
          <w:color w:val="auto"/>
          <w:sz w:val="36"/>
          <w:szCs w:val="20"/>
          <w:highlight w:val="none"/>
        </w:rPr>
      </w:pPr>
    </w:p>
    <w:p w14:paraId="7DE53810">
      <w:pPr>
        <w:tabs>
          <w:tab w:val="left" w:pos="2472"/>
        </w:tabs>
        <w:spacing w:line="460" w:lineRule="exact"/>
        <w:jc w:val="center"/>
        <w:rPr>
          <w:rFonts w:ascii="Times New Roman" w:hAnsi="Times New Roman"/>
          <w:b/>
          <w:color w:val="auto"/>
          <w:sz w:val="36"/>
          <w:szCs w:val="20"/>
          <w:highlight w:val="none"/>
        </w:rPr>
      </w:pPr>
    </w:p>
    <w:p w14:paraId="4EC244AC">
      <w:pPr>
        <w:tabs>
          <w:tab w:val="left" w:pos="2472"/>
        </w:tabs>
        <w:spacing w:line="460" w:lineRule="exact"/>
        <w:jc w:val="center"/>
        <w:rPr>
          <w:rFonts w:ascii="Times New Roman" w:hAnsi="Times New Roman"/>
          <w:b/>
          <w:color w:val="auto"/>
          <w:sz w:val="36"/>
          <w:szCs w:val="20"/>
          <w:highlight w:val="none"/>
        </w:rPr>
      </w:pPr>
    </w:p>
    <w:p w14:paraId="4843AF9C">
      <w:pPr>
        <w:tabs>
          <w:tab w:val="left" w:pos="2472"/>
        </w:tabs>
        <w:spacing w:line="460" w:lineRule="exact"/>
        <w:jc w:val="center"/>
        <w:rPr>
          <w:rFonts w:ascii="Times New Roman" w:hAnsi="Times New Roman"/>
          <w:b/>
          <w:color w:val="auto"/>
          <w:sz w:val="36"/>
          <w:szCs w:val="20"/>
          <w:highlight w:val="none"/>
        </w:rPr>
      </w:pPr>
    </w:p>
    <w:p w14:paraId="14D25923">
      <w:pPr>
        <w:tabs>
          <w:tab w:val="left" w:pos="2472"/>
        </w:tabs>
        <w:spacing w:line="460" w:lineRule="exact"/>
        <w:jc w:val="center"/>
        <w:rPr>
          <w:rFonts w:ascii="Times New Roman" w:hAnsi="Times New Roman"/>
          <w:b/>
          <w:color w:val="auto"/>
          <w:sz w:val="36"/>
          <w:szCs w:val="20"/>
          <w:highlight w:val="none"/>
        </w:rPr>
      </w:pPr>
    </w:p>
    <w:p w14:paraId="38EE5321">
      <w:pPr>
        <w:tabs>
          <w:tab w:val="left" w:pos="2472"/>
        </w:tabs>
        <w:spacing w:line="460" w:lineRule="exact"/>
        <w:jc w:val="center"/>
        <w:rPr>
          <w:rFonts w:ascii="Times New Roman" w:hAnsi="Times New Roman"/>
          <w:b/>
          <w:color w:val="auto"/>
          <w:sz w:val="36"/>
          <w:szCs w:val="20"/>
          <w:highlight w:val="none"/>
        </w:rPr>
      </w:pPr>
    </w:p>
    <w:p w14:paraId="43838A91">
      <w:pPr>
        <w:tabs>
          <w:tab w:val="left" w:pos="2472"/>
        </w:tabs>
        <w:spacing w:line="460" w:lineRule="exact"/>
        <w:jc w:val="center"/>
        <w:rPr>
          <w:rFonts w:ascii="Times New Roman" w:hAnsi="Times New Roman"/>
          <w:b/>
          <w:color w:val="auto"/>
          <w:sz w:val="36"/>
          <w:szCs w:val="20"/>
          <w:highlight w:val="none"/>
        </w:rPr>
      </w:pPr>
    </w:p>
    <w:p w14:paraId="2D54E512">
      <w:pPr>
        <w:tabs>
          <w:tab w:val="left" w:pos="2472"/>
        </w:tabs>
        <w:spacing w:line="460" w:lineRule="exact"/>
        <w:jc w:val="center"/>
        <w:rPr>
          <w:rFonts w:ascii="Times New Roman" w:hAnsi="Times New Roman"/>
          <w:b/>
          <w:color w:val="auto"/>
          <w:sz w:val="36"/>
          <w:szCs w:val="20"/>
          <w:highlight w:val="none"/>
        </w:rPr>
      </w:pPr>
    </w:p>
    <w:p w14:paraId="55415BB4">
      <w:pPr>
        <w:tabs>
          <w:tab w:val="left" w:pos="2472"/>
        </w:tabs>
        <w:spacing w:line="460" w:lineRule="exact"/>
        <w:jc w:val="center"/>
        <w:rPr>
          <w:rFonts w:ascii="Times New Roman" w:hAnsi="Times New Roman"/>
          <w:b/>
          <w:color w:val="auto"/>
          <w:sz w:val="36"/>
          <w:szCs w:val="20"/>
          <w:highlight w:val="none"/>
        </w:rPr>
      </w:pPr>
    </w:p>
    <w:p w14:paraId="6A93DF5E">
      <w:pPr>
        <w:tabs>
          <w:tab w:val="left" w:pos="2472"/>
        </w:tabs>
        <w:spacing w:line="460" w:lineRule="exact"/>
        <w:jc w:val="center"/>
        <w:outlineLvl w:val="0"/>
        <w:rPr>
          <w:rFonts w:ascii="Times New Roman" w:hAnsi="Times New Roman"/>
          <w:b/>
          <w:color w:val="auto"/>
          <w:sz w:val="36"/>
          <w:szCs w:val="20"/>
          <w:highlight w:val="none"/>
        </w:rPr>
      </w:pPr>
      <w:bookmarkStart w:id="132" w:name="_Toc21575"/>
      <w:r>
        <w:rPr>
          <w:rFonts w:hint="eastAsia" w:ascii="Times New Roman" w:hAnsi="Times New Roman"/>
          <w:b/>
          <w:color w:val="auto"/>
          <w:sz w:val="36"/>
          <w:szCs w:val="20"/>
          <w:highlight w:val="none"/>
        </w:rPr>
        <w:t>第六章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响应文件格式</w:t>
      </w:r>
      <w:bookmarkEnd w:id="132"/>
    </w:p>
    <w:p w14:paraId="48ED247B">
      <w:pPr>
        <w:widowControl/>
        <w:spacing w:beforeAutospacing="1" w:line="360" w:lineRule="auto"/>
        <w:jc w:val="left"/>
        <w:rPr>
          <w:rFonts w:ascii="宋体" w:hAnsi="宋体"/>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1926201D">
      <w:pPr>
        <w:ind w:firstLine="551" w:firstLineChars="196"/>
        <w:jc w:val="center"/>
        <w:outlineLvl w:val="1"/>
        <w:rPr>
          <w:rFonts w:ascii="宋体" w:hAnsi="宋体"/>
          <w:b/>
          <w:bCs/>
          <w:color w:val="auto"/>
          <w:sz w:val="28"/>
          <w:szCs w:val="28"/>
          <w:highlight w:val="none"/>
        </w:rPr>
      </w:pPr>
      <w:bookmarkStart w:id="133" w:name="_Toc1528"/>
      <w:r>
        <w:rPr>
          <w:rFonts w:hint="eastAsia" w:ascii="宋体" w:hAnsi="宋体"/>
          <w:b/>
          <w:bCs/>
          <w:color w:val="auto"/>
          <w:sz w:val="28"/>
          <w:szCs w:val="28"/>
          <w:highlight w:val="none"/>
        </w:rPr>
        <w:t>第一节 响应文件外层包装封面</w:t>
      </w:r>
      <w:bookmarkEnd w:id="133"/>
    </w:p>
    <w:p w14:paraId="7AF4BEF2">
      <w:pPr>
        <w:spacing w:before="120" w:beforeLines="50" w:after="120" w:afterLines="50"/>
        <w:jc w:val="center"/>
        <w:rPr>
          <w:rFonts w:hint="eastAsia" w:ascii="宋体" w:hAnsi="宋体" w:cs="宋体"/>
          <w:color w:val="auto"/>
          <w:spacing w:val="20"/>
          <w:sz w:val="44"/>
          <w:szCs w:val="44"/>
          <w:highlight w:val="none"/>
        </w:rPr>
      </w:pPr>
    </w:p>
    <w:p w14:paraId="5E9C5975">
      <w:pPr>
        <w:spacing w:before="120" w:beforeLines="50" w:after="120" w:afterLines="50"/>
        <w:jc w:val="center"/>
        <w:rPr>
          <w:rFonts w:hint="eastAsia" w:ascii="宋体" w:hAnsi="宋体" w:cs="宋体"/>
          <w:color w:val="auto"/>
          <w:spacing w:val="20"/>
          <w:sz w:val="44"/>
          <w:szCs w:val="44"/>
          <w:highlight w:val="none"/>
        </w:rPr>
      </w:pPr>
    </w:p>
    <w:p w14:paraId="229AC821">
      <w:pPr>
        <w:spacing w:before="120" w:beforeLines="50" w:after="120" w:afterLines="50"/>
        <w:jc w:val="center"/>
        <w:rPr>
          <w:rFonts w:hint="eastAsia" w:ascii="宋体" w:hAnsi="宋体" w:cs="宋体"/>
          <w:color w:val="auto"/>
          <w:spacing w:val="20"/>
          <w:sz w:val="44"/>
          <w:szCs w:val="44"/>
          <w:highlight w:val="none"/>
        </w:rPr>
      </w:pPr>
    </w:p>
    <w:p w14:paraId="0F1C77A1">
      <w:pPr>
        <w:spacing w:before="120" w:beforeLines="50" w:after="120" w:afterLines="50"/>
        <w:jc w:val="center"/>
        <w:rPr>
          <w:rFonts w:hint="eastAsia" w:ascii="宋体" w:hAnsi="宋体" w:cs="宋体"/>
          <w:color w:val="auto"/>
          <w:spacing w:val="20"/>
          <w:sz w:val="44"/>
          <w:szCs w:val="44"/>
          <w:highlight w:val="none"/>
        </w:rPr>
      </w:pPr>
    </w:p>
    <w:p w14:paraId="47A135AD">
      <w:pPr>
        <w:spacing w:before="120" w:beforeLines="50" w:after="120" w:afterLines="50"/>
        <w:jc w:val="center"/>
        <w:rPr>
          <w:rFonts w:hint="eastAsia" w:ascii="宋体" w:hAnsi="宋体" w:eastAsia="宋体" w:cs="宋体"/>
          <w:color w:val="auto"/>
          <w:spacing w:val="20"/>
          <w:sz w:val="44"/>
          <w:szCs w:val="44"/>
          <w:highlight w:val="none"/>
          <w:lang w:eastAsia="zh-CN"/>
        </w:rPr>
      </w:pPr>
      <w:r>
        <w:rPr>
          <w:rFonts w:hint="eastAsia"/>
          <w:color w:val="auto"/>
          <w:sz w:val="44"/>
          <w:szCs w:val="44"/>
          <w:highlight w:val="none"/>
          <w:u w:val="single"/>
          <w:lang w:eastAsia="zh-CN"/>
        </w:rPr>
        <w:t>项目名称</w:t>
      </w:r>
    </w:p>
    <w:p w14:paraId="42207371">
      <w:pPr>
        <w:spacing w:before="120" w:beforeLines="50" w:after="120" w:afterLines="50"/>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响应文件</w:t>
      </w:r>
    </w:p>
    <w:p w14:paraId="5E443DF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（电子投标文件）</w:t>
      </w:r>
    </w:p>
    <w:tbl>
      <w:tblPr>
        <w:tblStyle w:val="25"/>
        <w:tblW w:w="0" w:type="auto"/>
        <w:jc w:val="center"/>
        <w:tblLayout w:type="fixed"/>
        <w:tblCellMar>
          <w:top w:w="0" w:type="dxa"/>
          <w:left w:w="108" w:type="dxa"/>
          <w:bottom w:w="0" w:type="dxa"/>
          <w:right w:w="108" w:type="dxa"/>
        </w:tblCellMar>
      </w:tblPr>
      <w:tblGrid>
        <w:gridCol w:w="1601"/>
        <w:gridCol w:w="6172"/>
      </w:tblGrid>
      <w:tr w14:paraId="7D1E3348">
        <w:tblPrEx>
          <w:tblCellMar>
            <w:top w:w="0" w:type="dxa"/>
            <w:left w:w="108" w:type="dxa"/>
            <w:bottom w:w="0" w:type="dxa"/>
            <w:right w:w="108" w:type="dxa"/>
          </w:tblCellMar>
        </w:tblPrEx>
        <w:trPr>
          <w:jc w:val="center"/>
        </w:trPr>
        <w:tc>
          <w:tcPr>
            <w:tcW w:w="1601" w:type="dxa"/>
            <w:noWrap w:val="0"/>
            <w:vAlign w:val="bottom"/>
          </w:tcPr>
          <w:p w14:paraId="12F9396F">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172" w:type="dxa"/>
            <w:tcBorders>
              <w:top w:val="nil"/>
              <w:left w:val="nil"/>
              <w:bottom w:val="single" w:color="000000" w:sz="4" w:space="0"/>
              <w:right w:val="nil"/>
            </w:tcBorders>
            <w:noWrap w:val="0"/>
            <w:vAlign w:val="bottom"/>
          </w:tcPr>
          <w:p w14:paraId="0AE67233">
            <w:pPr>
              <w:jc w:val="left"/>
              <w:rPr>
                <w:rFonts w:hint="eastAsia" w:ascii="宋体" w:hAnsi="宋体" w:cs="宋体"/>
                <w:color w:val="auto"/>
                <w:sz w:val="24"/>
                <w:szCs w:val="24"/>
                <w:highlight w:val="none"/>
              </w:rPr>
            </w:pPr>
          </w:p>
        </w:tc>
      </w:tr>
      <w:tr w14:paraId="5BF387AB">
        <w:tblPrEx>
          <w:tblCellMar>
            <w:top w:w="0" w:type="dxa"/>
            <w:left w:w="108" w:type="dxa"/>
            <w:bottom w:w="0" w:type="dxa"/>
            <w:right w:w="108" w:type="dxa"/>
          </w:tblCellMar>
        </w:tblPrEx>
        <w:trPr>
          <w:jc w:val="center"/>
        </w:trPr>
        <w:tc>
          <w:tcPr>
            <w:tcW w:w="1601" w:type="dxa"/>
            <w:noWrap w:val="0"/>
            <w:vAlign w:val="bottom"/>
          </w:tcPr>
          <w:p w14:paraId="25C072CA">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7AD59431">
            <w:pPr>
              <w:jc w:val="left"/>
              <w:rPr>
                <w:rFonts w:hint="eastAsia" w:ascii="宋体" w:hAnsi="宋体" w:cs="宋体"/>
                <w:color w:val="auto"/>
                <w:sz w:val="24"/>
                <w:szCs w:val="24"/>
                <w:highlight w:val="none"/>
              </w:rPr>
            </w:pPr>
          </w:p>
        </w:tc>
      </w:tr>
      <w:tr w14:paraId="071E783F">
        <w:tblPrEx>
          <w:tblCellMar>
            <w:top w:w="0" w:type="dxa"/>
            <w:left w:w="108" w:type="dxa"/>
            <w:bottom w:w="0" w:type="dxa"/>
            <w:right w:w="108" w:type="dxa"/>
          </w:tblCellMar>
        </w:tblPrEx>
        <w:trPr>
          <w:jc w:val="center"/>
        </w:trPr>
        <w:tc>
          <w:tcPr>
            <w:tcW w:w="1601" w:type="dxa"/>
            <w:noWrap w:val="0"/>
            <w:vAlign w:val="bottom"/>
          </w:tcPr>
          <w:p w14:paraId="6852EB17">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5FECE6AA">
            <w:pPr>
              <w:jc w:val="left"/>
              <w:rPr>
                <w:rFonts w:hint="eastAsia" w:ascii="宋体" w:hAnsi="宋体" w:cs="宋体"/>
                <w:color w:val="auto"/>
                <w:sz w:val="24"/>
                <w:szCs w:val="24"/>
                <w:highlight w:val="none"/>
              </w:rPr>
            </w:pPr>
          </w:p>
        </w:tc>
      </w:tr>
      <w:tr w14:paraId="59D469E9">
        <w:tblPrEx>
          <w:tblCellMar>
            <w:top w:w="0" w:type="dxa"/>
            <w:left w:w="108" w:type="dxa"/>
            <w:bottom w:w="0" w:type="dxa"/>
            <w:right w:w="108" w:type="dxa"/>
          </w:tblCellMar>
        </w:tblPrEx>
        <w:trPr>
          <w:jc w:val="center"/>
        </w:trPr>
        <w:tc>
          <w:tcPr>
            <w:tcW w:w="1601" w:type="dxa"/>
            <w:noWrap w:val="0"/>
            <w:vAlign w:val="bottom"/>
          </w:tcPr>
          <w:p w14:paraId="0E77399C">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172" w:type="dxa"/>
            <w:tcBorders>
              <w:top w:val="single" w:color="000000" w:sz="4" w:space="0"/>
              <w:left w:val="nil"/>
              <w:bottom w:val="single" w:color="000000" w:sz="4" w:space="0"/>
              <w:right w:val="nil"/>
            </w:tcBorders>
            <w:noWrap w:val="0"/>
            <w:vAlign w:val="bottom"/>
          </w:tcPr>
          <w:p w14:paraId="2898EAA8">
            <w:pPr>
              <w:jc w:val="left"/>
              <w:rPr>
                <w:rFonts w:hint="eastAsia" w:ascii="宋体" w:hAnsi="宋体" w:cs="宋体"/>
                <w:color w:val="auto"/>
                <w:sz w:val="24"/>
                <w:szCs w:val="24"/>
                <w:highlight w:val="none"/>
              </w:rPr>
            </w:pPr>
          </w:p>
        </w:tc>
      </w:tr>
      <w:tr w14:paraId="03C2BD72">
        <w:tblPrEx>
          <w:tblCellMar>
            <w:top w:w="0" w:type="dxa"/>
            <w:left w:w="108" w:type="dxa"/>
            <w:bottom w:w="0" w:type="dxa"/>
            <w:right w:w="108" w:type="dxa"/>
          </w:tblCellMar>
        </w:tblPrEx>
        <w:trPr>
          <w:jc w:val="center"/>
        </w:trPr>
        <w:tc>
          <w:tcPr>
            <w:tcW w:w="1601" w:type="dxa"/>
            <w:noWrap w:val="0"/>
            <w:vAlign w:val="bottom"/>
          </w:tcPr>
          <w:p w14:paraId="7967038B">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01501D34">
            <w:pPr>
              <w:jc w:val="left"/>
              <w:rPr>
                <w:rFonts w:hint="eastAsia" w:ascii="宋体" w:hAnsi="宋体" w:cs="宋体"/>
                <w:color w:val="auto"/>
                <w:sz w:val="24"/>
                <w:szCs w:val="24"/>
                <w:highlight w:val="none"/>
              </w:rPr>
            </w:pPr>
          </w:p>
        </w:tc>
      </w:tr>
    </w:tbl>
    <w:p w14:paraId="76B55182">
      <w:pPr>
        <w:ind w:firstLine="4200" w:firstLineChars="1750"/>
        <w:rPr>
          <w:rFonts w:hint="eastAsia" w:ascii="宋体" w:hAnsi="宋体" w:cs="宋体"/>
          <w:color w:val="auto"/>
          <w:sz w:val="24"/>
          <w:szCs w:val="24"/>
          <w:highlight w:val="none"/>
        </w:rPr>
      </w:pPr>
    </w:p>
    <w:p w14:paraId="070212E8">
      <w:pPr>
        <w:ind w:firstLine="4200" w:firstLineChars="1750"/>
        <w:rPr>
          <w:rFonts w:hint="eastAsia" w:ascii="宋体" w:hAnsi="宋体" w:cs="宋体"/>
          <w:color w:val="auto"/>
          <w:sz w:val="24"/>
          <w:szCs w:val="24"/>
          <w:highlight w:val="none"/>
        </w:rPr>
      </w:pPr>
    </w:p>
    <w:p w14:paraId="00A4211B">
      <w:pPr>
        <w:ind w:firstLine="4200" w:firstLineChars="1750"/>
        <w:rPr>
          <w:rFonts w:hint="eastAsia" w:ascii="宋体" w:hAnsi="宋体" w:cs="宋体"/>
          <w:color w:val="auto"/>
          <w:sz w:val="24"/>
          <w:szCs w:val="24"/>
          <w:highlight w:val="none"/>
        </w:rPr>
      </w:pPr>
    </w:p>
    <w:p w14:paraId="51FE9D57">
      <w:pPr>
        <w:ind w:firstLine="5880" w:firstLineChars="2450"/>
        <w:rPr>
          <w:rFonts w:hint="eastAsia" w:ascii="宋体" w:hAnsi="宋体" w:cs="宋体"/>
          <w:color w:val="auto"/>
          <w:sz w:val="24"/>
          <w:szCs w:val="24"/>
          <w:highlight w:val="none"/>
        </w:rPr>
      </w:pPr>
      <w:r>
        <w:rPr>
          <w:rFonts w:hint="eastAsia" w:ascii="宋体" w:hAnsi="宋体" w:cs="宋体"/>
          <w:color w:val="auto"/>
          <w:sz w:val="24"/>
          <w:szCs w:val="24"/>
          <w:highlight w:val="none"/>
        </w:rPr>
        <w:t>投标截止时间前不得解密</w:t>
      </w:r>
    </w:p>
    <w:p w14:paraId="20B12CA5">
      <w:pPr>
        <w:ind w:firstLine="6480" w:firstLineChars="27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12D9456E">
      <w:pPr>
        <w:widowControl/>
        <w:jc w:val="left"/>
        <w:rPr>
          <w:rFonts w:ascii="宋体" w:hAnsi="宋体" w:cs="宋体"/>
          <w:color w:val="auto"/>
          <w:sz w:val="24"/>
          <w:szCs w:val="24"/>
          <w:highlight w:val="none"/>
        </w:rPr>
        <w:sectPr>
          <w:pgSz w:w="11907" w:h="16840"/>
          <w:pgMar w:top="1531" w:right="1418" w:bottom="1361" w:left="1418" w:header="720" w:footer="720" w:gutter="0"/>
          <w:pgNumType w:fmt="decimal"/>
          <w:cols w:space="720" w:num="1"/>
        </w:sectPr>
      </w:pPr>
    </w:p>
    <w:p w14:paraId="1E845E87">
      <w:pPr>
        <w:jc w:val="center"/>
        <w:outlineLvl w:val="1"/>
        <w:rPr>
          <w:rFonts w:hint="eastAsia" w:ascii="宋体" w:hAnsi="宋体"/>
          <w:b/>
          <w:bCs/>
          <w:color w:val="auto"/>
          <w:sz w:val="28"/>
          <w:szCs w:val="28"/>
          <w:highlight w:val="none"/>
        </w:rPr>
      </w:pPr>
      <w:bookmarkStart w:id="134" w:name="_Toc30163"/>
      <w:r>
        <w:rPr>
          <w:rFonts w:hint="eastAsia" w:ascii="宋体" w:hAnsi="宋体"/>
          <w:b/>
          <w:bCs/>
          <w:color w:val="auto"/>
          <w:sz w:val="28"/>
          <w:szCs w:val="28"/>
          <w:highlight w:val="none"/>
        </w:rPr>
        <w:t>第二节 资格证明文件格式</w:t>
      </w:r>
      <w:bookmarkEnd w:id="134"/>
    </w:p>
    <w:p w14:paraId="6400F87D">
      <w:pPr>
        <w:spacing w:line="360" w:lineRule="auto"/>
        <w:ind w:firstLine="420"/>
        <w:rPr>
          <w:rFonts w:hint="eastAsia" w:ascii="宋体" w:hAnsi="宋体"/>
          <w:color w:val="auto"/>
          <w:sz w:val="30"/>
          <w:szCs w:val="20"/>
          <w:highlight w:val="none"/>
        </w:rPr>
      </w:pPr>
    </w:p>
    <w:p w14:paraId="62B6EE09">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电子投标文件</w:t>
      </w:r>
    </w:p>
    <w:p w14:paraId="4FF10E45">
      <w:pPr>
        <w:snapToGrid w:val="0"/>
        <w:spacing w:before="165" w:beforeLines="50" w:after="50"/>
        <w:rPr>
          <w:rFonts w:hint="eastAsia" w:ascii="宋体" w:hAnsi="宋体"/>
          <w:color w:val="auto"/>
          <w:sz w:val="24"/>
          <w:szCs w:val="20"/>
          <w:highlight w:val="none"/>
        </w:rPr>
      </w:pPr>
    </w:p>
    <w:p w14:paraId="2ACB3272">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71AAED2E">
      <w:pPr>
        <w:snapToGrid w:val="0"/>
        <w:spacing w:before="165" w:beforeLines="50" w:after="50"/>
        <w:rPr>
          <w:rFonts w:hint="eastAsia" w:ascii="宋体" w:hAnsi="宋体"/>
          <w:bCs/>
          <w:color w:val="auto"/>
          <w:sz w:val="24"/>
          <w:szCs w:val="20"/>
          <w:highlight w:val="none"/>
        </w:rPr>
      </w:pPr>
    </w:p>
    <w:p w14:paraId="03072F2D">
      <w:pPr>
        <w:snapToGrid w:val="0"/>
        <w:spacing w:before="165" w:beforeLines="50" w:after="50"/>
        <w:rPr>
          <w:rFonts w:hint="eastAsia" w:ascii="宋体" w:hAnsi="宋体"/>
          <w:bCs/>
          <w:color w:val="auto"/>
          <w:sz w:val="24"/>
          <w:szCs w:val="20"/>
          <w:highlight w:val="none"/>
        </w:rPr>
      </w:pPr>
    </w:p>
    <w:p w14:paraId="629A6B8E">
      <w:pPr>
        <w:snapToGrid w:val="0"/>
        <w:spacing w:before="165" w:beforeLines="50" w:after="50"/>
        <w:rPr>
          <w:rFonts w:hint="eastAsia" w:ascii="宋体" w:hAnsi="宋体"/>
          <w:bCs/>
          <w:color w:val="auto"/>
          <w:sz w:val="24"/>
          <w:szCs w:val="20"/>
          <w:highlight w:val="none"/>
        </w:rPr>
      </w:pPr>
    </w:p>
    <w:p w14:paraId="38DD5B4F">
      <w:pPr>
        <w:snapToGrid w:val="0"/>
        <w:spacing w:before="165" w:beforeLines="50" w:after="50"/>
        <w:rPr>
          <w:rFonts w:hint="eastAsia" w:ascii="宋体" w:hAnsi="宋体"/>
          <w:bCs/>
          <w:color w:val="auto"/>
          <w:sz w:val="24"/>
          <w:szCs w:val="20"/>
          <w:highlight w:val="none"/>
        </w:rPr>
      </w:pPr>
    </w:p>
    <w:p w14:paraId="47A5348E">
      <w:pPr>
        <w:snapToGrid w:val="0"/>
        <w:spacing w:before="165" w:beforeLines="50" w:after="50"/>
        <w:rPr>
          <w:rFonts w:hint="eastAsia" w:ascii="宋体" w:hAnsi="宋体"/>
          <w:bCs/>
          <w:color w:val="auto"/>
          <w:sz w:val="24"/>
          <w:szCs w:val="20"/>
          <w:highlight w:val="none"/>
        </w:rPr>
      </w:pPr>
    </w:p>
    <w:p w14:paraId="3E411350">
      <w:pPr>
        <w:snapToGrid w:val="0"/>
        <w:spacing w:before="165" w:beforeLines="50" w:after="50"/>
        <w:rPr>
          <w:rFonts w:hint="eastAsia" w:ascii="宋体" w:hAnsi="宋体"/>
          <w:bCs/>
          <w:color w:val="auto"/>
          <w:sz w:val="24"/>
          <w:szCs w:val="20"/>
          <w:highlight w:val="none"/>
        </w:rPr>
      </w:pPr>
    </w:p>
    <w:p w14:paraId="29A941C1">
      <w:pPr>
        <w:snapToGrid w:val="0"/>
        <w:spacing w:before="165" w:beforeLines="50" w:after="50"/>
        <w:rPr>
          <w:rFonts w:hint="eastAsia" w:ascii="宋体" w:hAnsi="宋体"/>
          <w:bCs/>
          <w:color w:val="auto"/>
          <w:sz w:val="24"/>
          <w:szCs w:val="20"/>
          <w:highlight w:val="none"/>
        </w:rPr>
      </w:pPr>
    </w:p>
    <w:p w14:paraId="29249577">
      <w:pPr>
        <w:snapToGrid w:val="0"/>
        <w:spacing w:before="165" w:beforeLines="50" w:after="50"/>
        <w:ind w:firstLine="540" w:firstLineChars="225"/>
        <w:rPr>
          <w:rFonts w:hint="default" w:ascii="宋体" w:hAnsi="宋体" w:eastAsia="宋体"/>
          <w:bCs/>
          <w:color w:val="auto"/>
          <w:sz w:val="24"/>
          <w:szCs w:val="24"/>
          <w:highlight w:val="none"/>
          <w:u w:val="single"/>
          <w:lang w:val="en-US"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u w:val="single"/>
          <w:lang w:val="en-US" w:eastAsia="zh-CN"/>
        </w:rPr>
        <w:t xml:space="preserve">                                                    </w:t>
      </w:r>
    </w:p>
    <w:p w14:paraId="29A5DDAD">
      <w:pPr>
        <w:snapToGrid w:val="0"/>
        <w:spacing w:before="165" w:beforeLines="50" w:after="50"/>
        <w:ind w:firstLine="540" w:firstLineChars="225"/>
        <w:rPr>
          <w:rFonts w:hint="eastAsia" w:ascii="宋体" w:hAnsi="宋体"/>
          <w:bCs/>
          <w:color w:val="auto"/>
          <w:sz w:val="24"/>
          <w:szCs w:val="20"/>
          <w:highlight w:val="none"/>
        </w:rPr>
      </w:pPr>
    </w:p>
    <w:p w14:paraId="35E337E3">
      <w:pPr>
        <w:snapToGrid w:val="0"/>
        <w:spacing w:before="165" w:beforeLines="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1596EA65">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szCs w:val="24"/>
          <w:highlight w:val="none"/>
        </w:rPr>
        <w:t xml:space="preserve"> </w:t>
      </w:r>
    </w:p>
    <w:p w14:paraId="7873970C">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6BE76EE1">
      <w:pPr>
        <w:snapToGrid w:val="0"/>
        <w:spacing w:before="50" w:after="50"/>
        <w:ind w:firstLine="540" w:firstLineChars="225"/>
        <w:rPr>
          <w:rFonts w:hint="eastAsia" w:ascii="宋体" w:hAnsi="宋体"/>
          <w:bCs/>
          <w:color w:val="auto"/>
          <w:sz w:val="24"/>
          <w:szCs w:val="24"/>
          <w:highlight w:val="none"/>
        </w:rPr>
      </w:pPr>
    </w:p>
    <w:p w14:paraId="603647F4">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162B456D">
      <w:pPr>
        <w:snapToGrid w:val="0"/>
        <w:spacing w:before="50" w:after="50"/>
        <w:ind w:firstLine="540" w:firstLineChars="225"/>
        <w:rPr>
          <w:rFonts w:hint="eastAsia" w:ascii="宋体" w:hAnsi="宋体"/>
          <w:bCs/>
          <w:color w:val="auto"/>
          <w:sz w:val="24"/>
          <w:szCs w:val="24"/>
          <w:highlight w:val="none"/>
        </w:rPr>
      </w:pPr>
    </w:p>
    <w:p w14:paraId="222ECA1F">
      <w:pPr>
        <w:snapToGrid w:val="0"/>
        <w:spacing w:before="50" w:after="50"/>
        <w:ind w:firstLine="960" w:firstLineChars="400"/>
        <w:rPr>
          <w:rFonts w:hint="eastAsia" w:ascii="宋体" w:hAnsi="宋体"/>
          <w:bCs/>
          <w:color w:val="auto"/>
          <w:sz w:val="24"/>
          <w:szCs w:val="24"/>
          <w:highlight w:val="none"/>
        </w:rPr>
      </w:pPr>
    </w:p>
    <w:p w14:paraId="7EAE316C">
      <w:pPr>
        <w:snapToGrid w:val="0"/>
        <w:spacing w:before="165" w:beforeLines="50" w:after="50"/>
        <w:ind w:firstLine="645"/>
        <w:jc w:val="center"/>
        <w:rPr>
          <w:rFonts w:hint="eastAsia" w:ascii="宋体" w:hAnsi="宋体"/>
          <w:color w:val="auto"/>
          <w:sz w:val="24"/>
          <w:szCs w:val="24"/>
          <w:highlight w:val="none"/>
        </w:rPr>
      </w:pPr>
      <w:r>
        <w:rPr>
          <w:rFonts w:hint="eastAsia" w:ascii="宋体" w:hAnsi="宋体"/>
          <w:color w:val="auto"/>
          <w:sz w:val="24"/>
          <w:szCs w:val="24"/>
          <w:highlight w:val="none"/>
        </w:rPr>
        <w:t>年  月  日</w:t>
      </w:r>
    </w:p>
    <w:p w14:paraId="5E0581F4">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6465D356">
      <w:pPr>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kern w:val="0"/>
          <w:sz w:val="30"/>
          <w:szCs w:val="30"/>
          <w:highlight w:val="none"/>
        </w:rPr>
        <w:t>资格证明文件目录</w:t>
      </w:r>
    </w:p>
    <w:p w14:paraId="7907BB2A">
      <w:pPr>
        <w:snapToGrid w:val="0"/>
        <w:spacing w:line="360" w:lineRule="auto"/>
        <w:rPr>
          <w:rFonts w:hint="eastAsia" w:ascii="仿宋_GB2312" w:hAnsi="仿宋" w:eastAsia="仿宋_GB2312" w:cs="仿宋_GB2312"/>
          <w:color w:val="auto"/>
          <w:kern w:val="0"/>
          <w:sz w:val="24"/>
          <w:szCs w:val="24"/>
          <w:highlight w:val="none"/>
        </w:rPr>
      </w:pPr>
    </w:p>
    <w:p w14:paraId="2A74A1EA">
      <w:pPr>
        <w:spacing w:line="360" w:lineRule="auto"/>
        <w:ind w:firstLine="1205" w:firstLineChars="500"/>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根据磋商文件规定及供应商提供的材料自行编写目录（部分格式后附）。</w:t>
      </w:r>
    </w:p>
    <w:p w14:paraId="6C5039F3">
      <w:pPr>
        <w:snapToGrid w:val="0"/>
        <w:spacing w:line="360" w:lineRule="auto"/>
        <w:ind w:right="480"/>
        <w:jc w:val="both"/>
        <w:rPr>
          <w:rFonts w:hint="eastAsia" w:ascii="宋体" w:hAnsi="宋体"/>
          <w:color w:val="auto"/>
          <w:szCs w:val="21"/>
          <w:highlight w:val="none"/>
        </w:rPr>
      </w:pPr>
      <w:r>
        <w:rPr>
          <w:rFonts w:hint="eastAsia" w:ascii="宋体" w:hAnsi="宋体"/>
          <w:color w:val="auto"/>
          <w:szCs w:val="21"/>
          <w:highlight w:val="none"/>
        </w:rPr>
        <w:t xml:space="preserve"> </w:t>
      </w:r>
    </w:p>
    <w:p w14:paraId="01ED063E">
      <w:pPr>
        <w:spacing w:line="320" w:lineRule="exact"/>
        <w:jc w:val="center"/>
        <w:rPr>
          <w:rFonts w:hint="eastAsia" w:ascii="宋体" w:hAnsi="宋体"/>
          <w:color w:val="auto"/>
          <w:szCs w:val="21"/>
          <w:highlight w:val="none"/>
        </w:rPr>
      </w:pPr>
    </w:p>
    <w:p w14:paraId="6F44810B">
      <w:pPr>
        <w:spacing w:line="320" w:lineRule="exact"/>
        <w:jc w:val="center"/>
        <w:rPr>
          <w:rFonts w:hint="eastAsia" w:ascii="宋体" w:hAnsi="宋体"/>
          <w:color w:val="auto"/>
          <w:szCs w:val="21"/>
          <w:highlight w:val="none"/>
        </w:rPr>
      </w:pPr>
    </w:p>
    <w:p w14:paraId="3E7EC423">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2425A5C3">
      <w:pPr>
        <w:spacing w:line="320" w:lineRule="exact"/>
        <w:jc w:val="center"/>
        <w:rPr>
          <w:rFonts w:hint="eastAsia" w:ascii="宋体" w:hAnsi="宋体"/>
          <w:b/>
          <w:color w:val="auto"/>
          <w:sz w:val="32"/>
          <w:szCs w:val="32"/>
          <w:highlight w:val="none"/>
        </w:rPr>
      </w:pPr>
    </w:p>
    <w:p w14:paraId="25C5A4D0">
      <w:pPr>
        <w:spacing w:line="320" w:lineRule="exact"/>
        <w:jc w:val="center"/>
        <w:rPr>
          <w:rFonts w:hint="eastAsia" w:ascii="宋体" w:hAnsi="宋体"/>
          <w:b/>
          <w:color w:val="auto"/>
          <w:sz w:val="32"/>
          <w:szCs w:val="32"/>
          <w:highlight w:val="none"/>
        </w:rPr>
      </w:pPr>
    </w:p>
    <w:p w14:paraId="1B721384">
      <w:pPr>
        <w:spacing w:line="320" w:lineRule="exact"/>
        <w:jc w:val="center"/>
        <w:rPr>
          <w:rFonts w:hint="eastAsia" w:ascii="宋体" w:hAnsi="宋体"/>
          <w:b/>
          <w:color w:val="auto"/>
          <w:sz w:val="32"/>
          <w:szCs w:val="32"/>
          <w:highlight w:val="none"/>
        </w:rPr>
      </w:pPr>
    </w:p>
    <w:p w14:paraId="6E65D171">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防城港市政府采购供应商信用承诺函（格式）</w:t>
      </w:r>
    </w:p>
    <w:p w14:paraId="66D7DE17">
      <w:pPr>
        <w:spacing w:line="320" w:lineRule="exact"/>
        <w:jc w:val="left"/>
        <w:rPr>
          <w:rFonts w:hint="eastAsia" w:ascii="宋体" w:hAnsi="宋体"/>
          <w:color w:val="auto"/>
          <w:szCs w:val="21"/>
          <w:highlight w:val="none"/>
        </w:rPr>
      </w:pPr>
    </w:p>
    <w:p w14:paraId="0D8A94D1">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ACB1714">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7A0004B">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3B671729">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33CB09F2">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458EDCA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215CFAE0">
      <w:pPr>
        <w:spacing w:line="360" w:lineRule="auto"/>
        <w:jc w:val="left"/>
        <w:rPr>
          <w:rFonts w:hint="eastAsia" w:ascii="宋体" w:hAnsi="宋体"/>
          <w:color w:val="auto"/>
          <w:sz w:val="24"/>
          <w:highlight w:val="none"/>
        </w:rPr>
      </w:pPr>
    </w:p>
    <w:p w14:paraId="44C03DE7">
      <w:pPr>
        <w:spacing w:line="360" w:lineRule="auto"/>
        <w:jc w:val="left"/>
        <w:rPr>
          <w:rFonts w:hint="eastAsia" w:ascii="宋体" w:hAnsi="宋体"/>
          <w:color w:val="auto"/>
          <w:sz w:val="24"/>
          <w:highlight w:val="none"/>
        </w:rPr>
      </w:pPr>
    </w:p>
    <w:p w14:paraId="11CF05FF">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4DCBBCE0">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6E5262CF">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518BA9A8">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1EAF5DBD">
      <w:pPr>
        <w:spacing w:line="360" w:lineRule="auto"/>
        <w:jc w:val="left"/>
        <w:rPr>
          <w:rFonts w:hint="eastAsia" w:ascii="宋体" w:hAnsi="宋体"/>
          <w:color w:val="auto"/>
          <w:sz w:val="24"/>
          <w:highlight w:val="none"/>
        </w:rPr>
      </w:pPr>
    </w:p>
    <w:p w14:paraId="58E724E8">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6CD88485">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400DC5D3">
      <w:pPr>
        <w:spacing w:line="320" w:lineRule="exact"/>
        <w:jc w:val="left"/>
        <w:rPr>
          <w:rFonts w:ascii="宋体" w:hAnsi="宋体"/>
          <w:color w:val="auto"/>
          <w:szCs w:val="21"/>
          <w:highlight w:val="none"/>
        </w:rPr>
      </w:pPr>
    </w:p>
    <w:p w14:paraId="752091E5">
      <w:pPr>
        <w:rPr>
          <w:color w:val="auto"/>
          <w:highlight w:val="none"/>
        </w:rPr>
      </w:pPr>
      <w:r>
        <w:rPr>
          <w:color w:val="auto"/>
          <w:highlight w:val="none"/>
        </w:rPr>
        <w:br w:type="page"/>
      </w:r>
    </w:p>
    <w:p w14:paraId="5908A6AE">
      <w:pPr>
        <w:pStyle w:val="10"/>
        <w:rPr>
          <w:color w:val="auto"/>
          <w:highlight w:val="none"/>
        </w:rPr>
      </w:pPr>
    </w:p>
    <w:p w14:paraId="3DA185DF">
      <w:pPr>
        <w:rPr>
          <w:rFonts w:hint="eastAsia" w:ascii="仿宋_GB2312" w:hAnsi="仿宋" w:eastAsia="仿宋_GB2312" w:cs="仿宋_GB2312"/>
          <w:b/>
          <w:color w:val="auto"/>
          <w:kern w:val="0"/>
          <w:sz w:val="30"/>
          <w:szCs w:val="30"/>
          <w:highlight w:val="none"/>
        </w:rPr>
      </w:pPr>
    </w:p>
    <w:p w14:paraId="2F32490E">
      <w:pPr>
        <w:snapToGrid w:val="0"/>
        <w:spacing w:before="50" w:after="165" w:afterLines="50" w:line="360" w:lineRule="auto"/>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kern w:val="0"/>
          <w:sz w:val="30"/>
          <w:szCs w:val="30"/>
          <w:highlight w:val="none"/>
        </w:rPr>
        <w:t>四、供应商直接控股股东信息表</w:t>
      </w:r>
    </w:p>
    <w:tbl>
      <w:tblPr>
        <w:tblStyle w:val="2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2E0E1F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7EEC6">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90A766">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B8796">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58B19C">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AC9A37">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7BCC12E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6BE3D8">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3B5F26">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FF92D1">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CE2AA2">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D98B50">
            <w:pPr>
              <w:spacing w:line="360" w:lineRule="auto"/>
              <w:jc w:val="center"/>
              <w:rPr>
                <w:rFonts w:hint="eastAsia" w:ascii="宋体" w:hAnsi="宋体" w:cs="宋体"/>
                <w:color w:val="auto"/>
                <w:kern w:val="0"/>
                <w:sz w:val="24"/>
                <w:szCs w:val="24"/>
                <w:highlight w:val="none"/>
              </w:rPr>
            </w:pPr>
          </w:p>
        </w:tc>
      </w:tr>
      <w:tr w14:paraId="3D868D9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16EE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E8FC0">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155A22">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4AC0FC">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5B28E7">
            <w:pPr>
              <w:spacing w:line="360" w:lineRule="auto"/>
              <w:jc w:val="center"/>
              <w:rPr>
                <w:rFonts w:hint="eastAsia" w:ascii="宋体" w:hAnsi="宋体" w:cs="宋体"/>
                <w:color w:val="auto"/>
                <w:kern w:val="0"/>
                <w:sz w:val="24"/>
                <w:szCs w:val="24"/>
                <w:highlight w:val="none"/>
              </w:rPr>
            </w:pPr>
          </w:p>
        </w:tc>
      </w:tr>
      <w:tr w14:paraId="0B81B64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BC8E9C">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06511">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CBEE4B">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69AAAB">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60C04">
            <w:pPr>
              <w:spacing w:line="360" w:lineRule="auto"/>
              <w:jc w:val="center"/>
              <w:rPr>
                <w:rFonts w:hint="eastAsia" w:ascii="宋体" w:hAnsi="宋体" w:cs="宋体"/>
                <w:color w:val="auto"/>
                <w:kern w:val="0"/>
                <w:sz w:val="24"/>
                <w:szCs w:val="24"/>
                <w:highlight w:val="none"/>
              </w:rPr>
            </w:pPr>
          </w:p>
        </w:tc>
      </w:tr>
      <w:tr w14:paraId="7DF58A9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CCDD00">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E1716B">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D3EC3D">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477ED1">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C23027">
            <w:pPr>
              <w:spacing w:line="360" w:lineRule="auto"/>
              <w:jc w:val="center"/>
              <w:rPr>
                <w:rFonts w:hint="eastAsia" w:ascii="宋体" w:hAnsi="宋体" w:cs="宋体"/>
                <w:color w:val="auto"/>
                <w:kern w:val="0"/>
                <w:sz w:val="24"/>
                <w:szCs w:val="24"/>
                <w:highlight w:val="none"/>
              </w:rPr>
            </w:pPr>
          </w:p>
        </w:tc>
      </w:tr>
    </w:tbl>
    <w:p w14:paraId="07751D50">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6D880F9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939ED0">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06E699F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3.供应商不存在直接控股股东的，则填“无”。</w:t>
      </w:r>
    </w:p>
    <w:p w14:paraId="35290614">
      <w:pPr>
        <w:snapToGrid w:val="0"/>
        <w:spacing w:line="360" w:lineRule="auto"/>
        <w:jc w:val="left"/>
        <w:rPr>
          <w:rFonts w:hint="eastAsia" w:ascii="宋体" w:hAnsi="宋体"/>
          <w:color w:val="auto"/>
          <w:sz w:val="24"/>
          <w:szCs w:val="24"/>
          <w:highlight w:val="none"/>
        </w:rPr>
      </w:pPr>
    </w:p>
    <w:p w14:paraId="5C230B7A">
      <w:pPr>
        <w:snapToGrid w:val="0"/>
        <w:spacing w:line="360" w:lineRule="auto"/>
        <w:jc w:val="left"/>
        <w:rPr>
          <w:rFonts w:hint="eastAsia" w:ascii="宋体" w:hAnsi="宋体"/>
          <w:color w:val="auto"/>
          <w:sz w:val="24"/>
          <w:szCs w:val="24"/>
          <w:highlight w:val="none"/>
        </w:rPr>
      </w:pPr>
    </w:p>
    <w:p w14:paraId="2183F022">
      <w:pPr>
        <w:snapToGrid w:val="0"/>
        <w:spacing w:line="360" w:lineRule="auto"/>
        <w:jc w:val="left"/>
        <w:rPr>
          <w:rFonts w:hint="eastAsia" w:ascii="宋体" w:hAnsi="宋体"/>
          <w:color w:val="auto"/>
          <w:sz w:val="24"/>
          <w:szCs w:val="24"/>
          <w:highlight w:val="none"/>
        </w:rPr>
      </w:pPr>
    </w:p>
    <w:p w14:paraId="19573EF9">
      <w:pPr>
        <w:snapToGrid w:val="0"/>
        <w:spacing w:line="360" w:lineRule="auto"/>
        <w:jc w:val="left"/>
        <w:rPr>
          <w:rFonts w:hint="eastAsia" w:ascii="宋体" w:hAnsi="宋体"/>
          <w:color w:val="auto"/>
          <w:sz w:val="24"/>
          <w:szCs w:val="24"/>
          <w:highlight w:val="none"/>
        </w:rPr>
      </w:pPr>
    </w:p>
    <w:p w14:paraId="5432F7D6">
      <w:pPr>
        <w:snapToGrid w:val="0"/>
        <w:spacing w:line="360" w:lineRule="auto"/>
        <w:jc w:val="left"/>
        <w:rPr>
          <w:rFonts w:hint="eastAsia" w:ascii="宋体" w:hAnsi="宋体"/>
          <w:color w:val="auto"/>
          <w:sz w:val="24"/>
          <w:szCs w:val="24"/>
          <w:highlight w:val="none"/>
        </w:rPr>
      </w:pPr>
    </w:p>
    <w:p w14:paraId="1BBD3CE4">
      <w:pPr>
        <w:snapToGrid w:val="0"/>
        <w:spacing w:line="360" w:lineRule="auto"/>
        <w:ind w:firstLine="506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25FE7E47">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6B9D0DBE">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0AE46660">
      <w:pPr>
        <w:snapToGrid w:val="0"/>
        <w:spacing w:line="360" w:lineRule="auto"/>
        <w:jc w:val="center"/>
        <w:rPr>
          <w:rFonts w:hint="eastAsia" w:ascii="宋体" w:hAnsi="宋体"/>
          <w:color w:val="auto"/>
          <w:sz w:val="30"/>
          <w:szCs w:val="30"/>
          <w:highlight w:val="none"/>
        </w:rPr>
      </w:pPr>
      <w:r>
        <w:rPr>
          <w:rFonts w:hint="eastAsia" w:ascii="宋体" w:hAnsi="宋体"/>
          <w:b/>
          <w:color w:val="auto"/>
          <w:sz w:val="30"/>
          <w:szCs w:val="30"/>
          <w:highlight w:val="none"/>
        </w:rPr>
        <w:t>五、供应商直接管理关系信息表</w:t>
      </w:r>
    </w:p>
    <w:tbl>
      <w:tblPr>
        <w:tblStyle w:val="2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29BC55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1765DA">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308D48">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543B0B">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FBB965">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42D174D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2DC340">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F3B3EB">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36DBDF">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10CFBE">
            <w:pPr>
              <w:spacing w:line="360" w:lineRule="auto"/>
              <w:jc w:val="center"/>
              <w:rPr>
                <w:rFonts w:hint="eastAsia" w:ascii="宋体" w:hAnsi="宋体" w:cs="宋体"/>
                <w:color w:val="auto"/>
                <w:kern w:val="0"/>
                <w:sz w:val="24"/>
                <w:szCs w:val="24"/>
                <w:highlight w:val="none"/>
              </w:rPr>
            </w:pPr>
          </w:p>
        </w:tc>
      </w:tr>
      <w:tr w14:paraId="08F8751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988C5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CD0AC4">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59F306">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38ACF6">
            <w:pPr>
              <w:spacing w:line="360" w:lineRule="auto"/>
              <w:jc w:val="center"/>
              <w:rPr>
                <w:rFonts w:hint="eastAsia" w:ascii="宋体" w:hAnsi="宋体" w:cs="宋体"/>
                <w:color w:val="auto"/>
                <w:kern w:val="0"/>
                <w:sz w:val="24"/>
                <w:szCs w:val="24"/>
                <w:highlight w:val="none"/>
              </w:rPr>
            </w:pPr>
          </w:p>
        </w:tc>
      </w:tr>
      <w:tr w14:paraId="0D906F6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75F7BC">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E940A4">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C4048B">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F28C3F">
            <w:pPr>
              <w:spacing w:line="360" w:lineRule="auto"/>
              <w:jc w:val="center"/>
              <w:rPr>
                <w:rFonts w:hint="eastAsia" w:ascii="宋体" w:hAnsi="宋体" w:cs="宋体"/>
                <w:color w:val="auto"/>
                <w:kern w:val="0"/>
                <w:sz w:val="24"/>
                <w:szCs w:val="24"/>
                <w:highlight w:val="none"/>
              </w:rPr>
            </w:pPr>
          </w:p>
        </w:tc>
      </w:tr>
      <w:tr w14:paraId="22E0002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1D9AA8">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7E1899">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21A8F8">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8DEECC">
            <w:pPr>
              <w:spacing w:line="360" w:lineRule="auto"/>
              <w:jc w:val="center"/>
              <w:rPr>
                <w:rFonts w:hint="eastAsia" w:ascii="宋体" w:hAnsi="宋体" w:cs="宋体"/>
                <w:color w:val="auto"/>
                <w:kern w:val="0"/>
                <w:sz w:val="24"/>
                <w:szCs w:val="24"/>
                <w:highlight w:val="none"/>
              </w:rPr>
            </w:pPr>
          </w:p>
        </w:tc>
      </w:tr>
    </w:tbl>
    <w:p w14:paraId="48224132">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763E975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1582EA9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2B1CC50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21C08380">
      <w:pPr>
        <w:snapToGrid w:val="0"/>
        <w:spacing w:line="360" w:lineRule="auto"/>
        <w:jc w:val="left"/>
        <w:rPr>
          <w:rFonts w:hint="eastAsia" w:ascii="宋体" w:hAnsi="宋体"/>
          <w:color w:val="auto"/>
          <w:szCs w:val="21"/>
          <w:highlight w:val="none"/>
        </w:rPr>
      </w:pPr>
    </w:p>
    <w:p w14:paraId="4BE574FB">
      <w:pPr>
        <w:snapToGrid w:val="0"/>
        <w:spacing w:line="360" w:lineRule="auto"/>
        <w:jc w:val="left"/>
        <w:rPr>
          <w:rFonts w:hint="eastAsia" w:ascii="宋体" w:hAnsi="宋体"/>
          <w:color w:val="auto"/>
          <w:sz w:val="24"/>
          <w:szCs w:val="24"/>
          <w:highlight w:val="none"/>
        </w:rPr>
      </w:pPr>
    </w:p>
    <w:p w14:paraId="6926B79D">
      <w:pPr>
        <w:snapToGrid w:val="0"/>
        <w:spacing w:line="360" w:lineRule="auto"/>
        <w:jc w:val="left"/>
        <w:rPr>
          <w:rFonts w:hint="eastAsia" w:ascii="宋体" w:hAnsi="宋体"/>
          <w:color w:val="auto"/>
          <w:sz w:val="24"/>
          <w:szCs w:val="24"/>
          <w:highlight w:val="none"/>
        </w:rPr>
      </w:pPr>
    </w:p>
    <w:p w14:paraId="2FC6ED7A">
      <w:pPr>
        <w:snapToGrid w:val="0"/>
        <w:spacing w:line="360" w:lineRule="auto"/>
        <w:jc w:val="left"/>
        <w:rPr>
          <w:rFonts w:hint="eastAsia" w:ascii="Times New Roman" w:hAnsi="Times New Roman"/>
          <w:color w:val="auto"/>
          <w:sz w:val="24"/>
          <w:szCs w:val="24"/>
          <w:highlight w:val="none"/>
        </w:rPr>
      </w:pPr>
    </w:p>
    <w:p w14:paraId="3ED9C581">
      <w:pPr>
        <w:snapToGrid w:val="0"/>
        <w:spacing w:line="360" w:lineRule="auto"/>
        <w:jc w:val="left"/>
        <w:rPr>
          <w:rFonts w:ascii="Times New Roman" w:hAnsi="Times New Roman"/>
          <w:color w:val="auto"/>
          <w:sz w:val="24"/>
          <w:szCs w:val="24"/>
          <w:highlight w:val="none"/>
        </w:rPr>
      </w:pPr>
    </w:p>
    <w:p w14:paraId="096186B0">
      <w:pPr>
        <w:snapToGrid w:val="0"/>
        <w:spacing w:line="360" w:lineRule="auto"/>
        <w:jc w:val="left"/>
        <w:rPr>
          <w:rFonts w:ascii="Times New Roman" w:hAnsi="Times New Roman"/>
          <w:color w:val="auto"/>
          <w:sz w:val="24"/>
          <w:szCs w:val="24"/>
          <w:highlight w:val="none"/>
        </w:rPr>
      </w:pPr>
    </w:p>
    <w:p w14:paraId="2B77A592">
      <w:pPr>
        <w:snapToGrid w:val="0"/>
        <w:spacing w:line="360" w:lineRule="auto"/>
        <w:jc w:val="left"/>
        <w:rPr>
          <w:rFonts w:ascii="宋体" w:hAnsi="宋体"/>
          <w:color w:val="auto"/>
          <w:sz w:val="24"/>
          <w:szCs w:val="24"/>
          <w:highlight w:val="none"/>
        </w:rPr>
      </w:pPr>
    </w:p>
    <w:p w14:paraId="489E64FA">
      <w:pPr>
        <w:snapToGrid w:val="0"/>
        <w:spacing w:line="360" w:lineRule="auto"/>
        <w:jc w:val="left"/>
        <w:rPr>
          <w:rFonts w:hint="eastAsia" w:ascii="宋体" w:hAnsi="宋体"/>
          <w:color w:val="auto"/>
          <w:sz w:val="24"/>
          <w:szCs w:val="24"/>
          <w:highlight w:val="none"/>
        </w:rPr>
      </w:pPr>
    </w:p>
    <w:p w14:paraId="5A6FD47D">
      <w:pPr>
        <w:snapToGrid w:val="0"/>
        <w:spacing w:line="360" w:lineRule="auto"/>
        <w:ind w:firstLine="506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p>
    <w:p w14:paraId="62A45260">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7DE6B0E4">
      <w:pPr>
        <w:snapToGrid w:val="0"/>
        <w:spacing w:before="50" w:after="165" w:afterLines="50"/>
        <w:jc w:val="left"/>
        <w:rPr>
          <w:rFonts w:hint="eastAsia" w:ascii="宋体" w:hAnsi="宋体"/>
          <w:color w:val="auto"/>
          <w:szCs w:val="21"/>
          <w:highlight w:val="none"/>
        </w:rPr>
      </w:pPr>
    </w:p>
    <w:p w14:paraId="7F5E6C99">
      <w:pPr>
        <w:snapToGrid w:val="0"/>
        <w:spacing w:before="165" w:beforeLines="50" w:after="50"/>
        <w:jc w:val="left"/>
        <w:rPr>
          <w:rFonts w:hint="eastAsia" w:ascii="宋体" w:hAnsi="宋体"/>
          <w:b/>
          <w:color w:val="auto"/>
          <w:sz w:val="24"/>
          <w:szCs w:val="20"/>
          <w:highlight w:val="none"/>
        </w:rPr>
      </w:pPr>
    </w:p>
    <w:p w14:paraId="2358F41A">
      <w:pPr>
        <w:snapToGrid w:val="0"/>
        <w:spacing w:before="165" w:beforeLines="50" w:after="50"/>
        <w:jc w:val="left"/>
        <w:rPr>
          <w:rFonts w:hint="eastAsia" w:ascii="宋体" w:hAnsi="宋体"/>
          <w:b/>
          <w:color w:val="auto"/>
          <w:sz w:val="24"/>
          <w:szCs w:val="24"/>
          <w:highlight w:val="none"/>
        </w:rPr>
      </w:pPr>
    </w:p>
    <w:p w14:paraId="3FAE74DC">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74FE3094">
      <w:pPr>
        <w:snapToGrid w:val="0"/>
        <w:spacing w:before="165" w:beforeLines="50" w:after="50"/>
        <w:jc w:val="left"/>
        <w:rPr>
          <w:rFonts w:hint="eastAsia" w:ascii="宋体" w:hAnsi="宋体"/>
          <w:b/>
          <w:color w:val="auto"/>
          <w:sz w:val="24"/>
          <w:szCs w:val="20"/>
          <w:highlight w:val="none"/>
        </w:rPr>
      </w:pPr>
    </w:p>
    <w:p w14:paraId="39E4DA83">
      <w:pPr>
        <w:snapToGrid w:val="0"/>
        <w:spacing w:before="165" w:beforeLines="50" w:after="50"/>
        <w:jc w:val="left"/>
        <w:rPr>
          <w:rFonts w:hint="eastAsia" w:ascii="宋体" w:hAnsi="宋体"/>
          <w:b/>
          <w:color w:val="auto"/>
          <w:sz w:val="24"/>
          <w:szCs w:val="20"/>
          <w:highlight w:val="none"/>
        </w:rPr>
      </w:pPr>
    </w:p>
    <w:p w14:paraId="4FC89A7F">
      <w:pPr>
        <w:snapToGrid w:val="0"/>
        <w:spacing w:before="165" w:beforeLines="50" w:after="50"/>
        <w:jc w:val="left"/>
        <w:rPr>
          <w:rFonts w:hint="eastAsia" w:ascii="宋体" w:hAnsi="宋体"/>
          <w:b/>
          <w:color w:val="auto"/>
          <w:sz w:val="24"/>
          <w:szCs w:val="20"/>
          <w:highlight w:val="none"/>
        </w:rPr>
      </w:pPr>
    </w:p>
    <w:p w14:paraId="291E546C">
      <w:pPr>
        <w:snapToGrid w:val="0"/>
        <w:spacing w:before="50" w:after="165" w:afterLines="50"/>
        <w:jc w:val="left"/>
        <w:rPr>
          <w:rFonts w:hint="eastAsia" w:ascii="宋体" w:hAnsi="宋体"/>
          <w:color w:val="auto"/>
          <w:szCs w:val="24"/>
          <w:highlight w:val="none"/>
        </w:rPr>
      </w:pPr>
    </w:p>
    <w:p w14:paraId="29C83A7D">
      <w:pPr>
        <w:snapToGrid w:val="0"/>
        <w:spacing w:before="50" w:after="165"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六、响应资格声明函</w:t>
      </w:r>
    </w:p>
    <w:p w14:paraId="511A6D35">
      <w:pPr>
        <w:tabs>
          <w:tab w:val="left" w:pos="720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（采购代理机构名称）</w:t>
      </w:r>
    </w:p>
    <w:p w14:paraId="2B0B1E1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szCs w:val="21"/>
          <w:highlight w:val="none"/>
        </w:rPr>
        <w:t>（项目编号：       ）项目的响应，为便于贵方公正、择优地确定供应商，我方就本次响应有关事项郑重声明如下：</w:t>
      </w:r>
    </w:p>
    <w:p w14:paraId="6C122D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w:t>
      </w:r>
    </w:p>
    <w:p w14:paraId="79AB418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5A65E05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C52FE7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87BF85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6323780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09E0E1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0974B08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E805F9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3.经查询，在“信用中国”和“中国政府采购网”网站我方未被列入失信被执行人、重大税收违法案件当事人名单、政府采购严重违法失信行为记录名单。</w:t>
      </w:r>
    </w:p>
    <w:p w14:paraId="4E614C2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67C66225">
      <w:pPr>
        <w:tabs>
          <w:tab w:val="left" w:pos="7200"/>
        </w:tabs>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1FA40D62">
      <w:pPr>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14:paraId="23F6CF6C">
      <w:pPr>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B4DCF74">
      <w:pPr>
        <w:snapToGrid w:val="0"/>
        <w:spacing w:before="50" w:after="165" w:afterLines="50"/>
        <w:jc w:val="left"/>
        <w:rPr>
          <w:rFonts w:hint="eastAsia" w:ascii="宋体" w:hAnsi="宋体"/>
          <w:color w:val="auto"/>
          <w:szCs w:val="21"/>
          <w:highlight w:val="none"/>
        </w:rPr>
      </w:pP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 xml:space="preserve">  3.如为联合体响应，盖章处须加盖联合体各方公章并由联合体各方法定代表人分别签署，否则响应无效。</w:t>
      </w:r>
    </w:p>
    <w:p w14:paraId="3B1BF4FB">
      <w:pPr>
        <w:snapToGrid w:val="0"/>
        <w:spacing w:before="50" w:after="331" w:afterLines="100" w:line="360" w:lineRule="auto"/>
        <w:jc w:val="left"/>
        <w:rPr>
          <w:rFonts w:hint="eastAsia" w:ascii="宋体" w:hAnsi="宋体"/>
          <w:color w:val="auto"/>
          <w:szCs w:val="21"/>
          <w:highlight w:val="none"/>
        </w:rPr>
      </w:pPr>
      <w:r>
        <w:rPr>
          <w:rFonts w:hint="eastAsia" w:ascii="宋体" w:hAnsi="宋体"/>
          <w:color w:val="auto"/>
          <w:szCs w:val="21"/>
          <w:highlight w:val="none"/>
        </w:rPr>
        <w:t xml:space="preserve">                                     </w:t>
      </w:r>
    </w:p>
    <w:p w14:paraId="757CDFBD">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szCs w:val="24"/>
          <w:highlight w:val="none"/>
          <w:lang w:val="zh-CN"/>
        </w:rPr>
      </w:pPr>
      <w:r>
        <w:rPr>
          <w:rFonts w:hint="eastAsia" w:ascii="宋体" w:hAnsi="宋体"/>
          <w:color w:val="auto"/>
          <w:sz w:val="24"/>
          <w:szCs w:val="24"/>
          <w:highlight w:val="none"/>
        </w:rPr>
        <w:t xml:space="preserve">  </w:t>
      </w:r>
      <w:r>
        <w:rPr>
          <w:rFonts w:hint="eastAsia" w:ascii="仿宋_GB2312" w:hAnsi="仿宋" w:eastAsia="仿宋_GB2312" w:cs="仿宋_GB2312"/>
          <w:b/>
          <w:color w:val="auto"/>
          <w:kern w:val="0"/>
          <w:sz w:val="24"/>
          <w:szCs w:val="24"/>
          <w:highlight w:val="none"/>
          <w:lang w:val="zh-CN"/>
        </w:rPr>
        <w:t>投标人名称(电子签章)：</w:t>
      </w:r>
      <w:r>
        <w:rPr>
          <w:rFonts w:hint="eastAsia" w:ascii="宋体" w:hAnsi="宋体"/>
          <w:b/>
          <w:color w:val="auto"/>
          <w:szCs w:val="21"/>
          <w:highlight w:val="none"/>
          <w:u w:val="single"/>
        </w:rPr>
        <w:t xml:space="preserve">                </w:t>
      </w:r>
      <w:r>
        <w:rPr>
          <w:rFonts w:hint="eastAsia" w:ascii="宋体" w:hAnsi="宋体"/>
          <w:b/>
          <w:color w:val="auto"/>
          <w:szCs w:val="21"/>
          <w:highlight w:val="none"/>
        </w:rPr>
        <w:t xml:space="preserve"> </w:t>
      </w:r>
      <w:r>
        <w:rPr>
          <w:rFonts w:hint="eastAsia" w:ascii="宋体" w:hAnsi="宋体"/>
          <w:color w:val="auto"/>
          <w:szCs w:val="21"/>
          <w:highlight w:val="none"/>
        </w:rPr>
        <w:t xml:space="preserve">                    年    月    日</w:t>
      </w:r>
    </w:p>
    <w:p w14:paraId="4074E23F">
      <w:pPr>
        <w:spacing w:line="600" w:lineRule="exact"/>
        <w:jc w:val="both"/>
        <w:rPr>
          <w:rFonts w:ascii="Times New Roman" w:hAnsi="Times New Roman"/>
          <w:b/>
          <w:bCs/>
          <w:color w:val="auto"/>
          <w:sz w:val="30"/>
          <w:szCs w:val="30"/>
          <w:highlight w:val="none"/>
        </w:rPr>
      </w:pPr>
    </w:p>
    <w:p w14:paraId="7DD3D86C">
      <w:pPr>
        <w:jc w:val="center"/>
        <w:rPr>
          <w:rFonts w:hint="eastAsia" w:ascii="Times New Roman" w:hAnsi="Times New Roman"/>
          <w:b/>
          <w:color w:val="auto"/>
          <w:sz w:val="30"/>
          <w:szCs w:val="30"/>
          <w:highlight w:val="none"/>
          <w:lang w:eastAsia="zh-CN"/>
        </w:rPr>
      </w:pPr>
    </w:p>
    <w:p w14:paraId="57EA2D08">
      <w:pPr>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lang w:eastAsia="zh-CN"/>
        </w:rPr>
        <w:t>七、</w:t>
      </w:r>
      <w:r>
        <w:rPr>
          <w:rFonts w:hint="eastAsia" w:ascii="Times New Roman" w:hAnsi="Times New Roman"/>
          <w:b/>
          <w:color w:val="auto"/>
          <w:sz w:val="30"/>
          <w:szCs w:val="30"/>
          <w:highlight w:val="none"/>
        </w:rPr>
        <w:t>中小企业声明函</w:t>
      </w:r>
    </w:p>
    <w:p w14:paraId="12B88084">
      <w:pPr>
        <w:rPr>
          <w:rFonts w:ascii="宋体" w:hAnsi="宋体"/>
          <w:color w:val="auto"/>
          <w:spacing w:val="-4"/>
          <w:szCs w:val="21"/>
          <w:highlight w:val="none"/>
        </w:rPr>
      </w:pPr>
      <w:r>
        <w:rPr>
          <w:rFonts w:hint="eastAsia" w:ascii="宋体" w:hAnsi="宋体"/>
          <w:color w:val="auto"/>
          <w:spacing w:val="-4"/>
          <w:szCs w:val="21"/>
          <w:highlight w:val="none"/>
        </w:rPr>
        <w:t>说明：</w:t>
      </w:r>
    </w:p>
    <w:p w14:paraId="797E2E70">
      <w:pPr>
        <w:ind w:firstLine="404" w:firstLineChars="200"/>
        <w:rPr>
          <w:rFonts w:ascii="宋体" w:hAnsi="宋体"/>
          <w:color w:val="auto"/>
          <w:spacing w:val="-4"/>
          <w:szCs w:val="21"/>
          <w:highlight w:val="none"/>
        </w:rPr>
      </w:pPr>
      <w:r>
        <w:rPr>
          <w:rFonts w:ascii="宋体" w:hAnsi="宋体"/>
          <w:color w:val="auto"/>
          <w:spacing w:val="-4"/>
          <w:szCs w:val="21"/>
          <w:highlight w:val="none"/>
        </w:rPr>
        <w:t>1</w:t>
      </w:r>
      <w:r>
        <w:rPr>
          <w:rFonts w:hint="eastAsia" w:ascii="宋体" w:hAnsi="宋体"/>
          <w:color w:val="auto"/>
          <w:spacing w:val="-4"/>
          <w:szCs w:val="21"/>
          <w:highlight w:val="none"/>
        </w:rPr>
        <w:t>、本声明函主要供参加政府采购活动的中小企业填写，非中小企业无需填写。</w:t>
      </w:r>
    </w:p>
    <w:p w14:paraId="49D444E0">
      <w:pPr>
        <w:ind w:firstLine="404" w:firstLineChars="200"/>
        <w:rPr>
          <w:rFonts w:ascii="宋体" w:hAnsi="宋体"/>
          <w:color w:val="auto"/>
          <w:spacing w:val="-4"/>
          <w:szCs w:val="21"/>
          <w:highlight w:val="none"/>
        </w:rPr>
      </w:pPr>
      <w:r>
        <w:rPr>
          <w:rFonts w:ascii="宋体" w:hAnsi="宋体"/>
          <w:color w:val="auto"/>
          <w:spacing w:val="-4"/>
          <w:szCs w:val="21"/>
          <w:highlight w:val="none"/>
        </w:rPr>
        <w:t>2</w:t>
      </w:r>
      <w:r>
        <w:rPr>
          <w:rFonts w:hint="eastAsia" w:ascii="宋体" w:hAnsi="宋体"/>
          <w:color w:val="auto"/>
          <w:spacing w:val="-4"/>
          <w:szCs w:val="21"/>
          <w:highlight w:val="none"/>
        </w:rPr>
        <w:t>、小型、微型企业提供中型企业提供的服务的，视同为中型企业。</w:t>
      </w:r>
    </w:p>
    <w:p w14:paraId="50DE1E27">
      <w:pPr>
        <w:ind w:firstLine="404" w:firstLineChars="200"/>
        <w:rPr>
          <w:rFonts w:ascii="宋体" w:hAnsi="宋体"/>
          <w:color w:val="auto"/>
          <w:spacing w:val="-4"/>
          <w:szCs w:val="21"/>
          <w:highlight w:val="none"/>
        </w:rPr>
      </w:pPr>
    </w:p>
    <w:p w14:paraId="77859A43">
      <w:pPr>
        <w:spacing w:after="120" w:line="500" w:lineRule="exact"/>
        <w:ind w:right="142" w:firstLine="420" w:firstLineChars="200"/>
        <w:rPr>
          <w:rFonts w:ascii="宋体" w:hAnsi="宋体"/>
          <w:color w:val="auto"/>
          <w:szCs w:val="21"/>
          <w:highlight w:val="none"/>
        </w:rPr>
      </w:pPr>
      <w:r>
        <w:rPr>
          <w:rFonts w:hint="eastAsia" w:ascii="宋体" w:hAnsi="宋体"/>
          <w:color w:val="auto"/>
          <w:szCs w:val="21"/>
          <w:highlight w:val="none"/>
        </w:rPr>
        <w:t>本公司郑重声明，根据《政府采购促进中小企业发展管理办法》（财库﹝2020﹞46号）的规定，本公司参加</w:t>
      </w:r>
      <w:r>
        <w:rPr>
          <w:rFonts w:hint="eastAsia"/>
          <w:color w:val="auto"/>
          <w:highlight w:val="none"/>
          <w:u w:val="single"/>
          <w:lang w:val="en-US" w:eastAsia="zh-CN"/>
        </w:rPr>
        <w:t xml:space="preserve">       项目名称         </w:t>
      </w:r>
      <w:r>
        <w:rPr>
          <w:rFonts w:hint="eastAsia"/>
          <w:color w:val="auto"/>
          <w:highlight w:val="none"/>
          <w:u w:val="single"/>
        </w:rPr>
        <w:t xml:space="preserve"> </w:t>
      </w:r>
      <w:r>
        <w:rPr>
          <w:rFonts w:hint="eastAsia" w:ascii="宋体" w:hAnsi="宋体"/>
          <w:color w:val="auto"/>
          <w:szCs w:val="21"/>
          <w:highlight w:val="none"/>
        </w:rPr>
        <w:t>采购活动，服务全部由符合政策要求的中小企业承接。相关企业（含联合体中的中小企业、签订分包意向协议的中小企业）的具体情况如下：</w:t>
      </w:r>
    </w:p>
    <w:p w14:paraId="56E44451">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115424F9">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4B9E1BD7">
      <w:pPr>
        <w:spacing w:before="34" w:after="120" w:line="500" w:lineRule="exact"/>
        <w:ind w:left="765" w:right="142" w:hanging="5"/>
        <w:rPr>
          <w:rFonts w:hint="eastAsia" w:ascii="宋体" w:hAnsi="宋体"/>
          <w:color w:val="auto"/>
          <w:szCs w:val="21"/>
          <w:highlight w:val="none"/>
        </w:rPr>
      </w:pPr>
      <w:r>
        <w:rPr>
          <w:rFonts w:hint="eastAsia" w:ascii="宋体" w:hAnsi="宋体"/>
          <w:color w:val="auto"/>
          <w:szCs w:val="21"/>
          <w:highlight w:val="none"/>
        </w:rPr>
        <w:t xml:space="preserve">…… </w:t>
      </w:r>
    </w:p>
    <w:p w14:paraId="2CAB7F68">
      <w:pPr>
        <w:spacing w:before="34" w:after="120" w:line="500" w:lineRule="exact"/>
        <w:ind w:right="142" w:firstLine="420" w:firstLineChars="200"/>
        <w:rPr>
          <w:rFonts w:hint="eastAsia"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0346C2B6">
      <w:pPr>
        <w:spacing w:before="34" w:after="120" w:line="500" w:lineRule="exact"/>
        <w:ind w:right="142" w:firstLine="420" w:firstLineChars="200"/>
        <w:rPr>
          <w:rFonts w:hint="eastAsia"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20974BED">
      <w:pPr>
        <w:spacing w:line="360" w:lineRule="auto"/>
        <w:ind w:firstLine="420" w:firstLineChars="200"/>
        <w:rPr>
          <w:rFonts w:hint="eastAsia" w:ascii="宋体" w:hAnsi="宋体"/>
          <w:color w:val="auto"/>
          <w:szCs w:val="21"/>
          <w:highlight w:val="none"/>
        </w:rPr>
      </w:pPr>
    </w:p>
    <w:p w14:paraId="1F891641">
      <w:pPr>
        <w:spacing w:line="360" w:lineRule="auto"/>
        <w:ind w:firstLine="420" w:firstLineChars="200"/>
        <w:rPr>
          <w:rFonts w:hint="eastAsia" w:ascii="宋体" w:hAnsi="宋体"/>
          <w:color w:val="auto"/>
          <w:szCs w:val="21"/>
          <w:highlight w:val="none"/>
        </w:rPr>
      </w:pPr>
    </w:p>
    <w:p w14:paraId="7F484F2B">
      <w:pPr>
        <w:snapToGrid w:val="0"/>
        <w:spacing w:line="360" w:lineRule="auto"/>
        <w:ind w:firstLine="4526" w:firstLineChars="2147"/>
        <w:rPr>
          <w:rFonts w:hint="eastAsia" w:ascii="宋体" w:hAnsi="宋体" w:cs="仿宋_GB2312"/>
          <w:b/>
          <w:color w:val="auto"/>
          <w:kern w:val="0"/>
          <w:szCs w:val="21"/>
          <w:highlight w:val="none"/>
        </w:rPr>
      </w:pP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p>
    <w:p w14:paraId="766054CB">
      <w:pPr>
        <w:snapToGrid w:val="0"/>
        <w:spacing w:line="360" w:lineRule="auto"/>
        <w:ind w:firstLine="4515" w:firstLineChars="21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1A0DBEB0">
      <w:pPr>
        <w:spacing w:line="360" w:lineRule="auto"/>
        <w:ind w:firstLine="420" w:firstLineChars="200"/>
        <w:rPr>
          <w:rFonts w:hint="eastAsia" w:ascii="宋体" w:hAnsi="宋体"/>
          <w:color w:val="auto"/>
          <w:szCs w:val="21"/>
          <w:highlight w:val="none"/>
        </w:rPr>
      </w:pPr>
    </w:p>
    <w:p w14:paraId="03453D41">
      <w:pPr>
        <w:snapToGrid w:val="0"/>
        <w:spacing w:before="50" w:after="165"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E3AF7AF">
      <w:pPr>
        <w:numPr>
          <w:ilvl w:val="0"/>
          <w:numId w:val="6"/>
        </w:numPr>
        <w:snapToGrid w:val="0"/>
        <w:spacing w:before="50" w:after="165" w:afterLines="50" w:line="360" w:lineRule="auto"/>
        <w:jc w:val="left"/>
        <w:rPr>
          <w:rFonts w:ascii="宋体" w:hAnsi="宋体"/>
          <w:color w:val="auto"/>
          <w:szCs w:val="21"/>
          <w:highlight w:val="none"/>
        </w:rPr>
      </w:pPr>
      <w:r>
        <w:rPr>
          <w:rFonts w:hint="eastAsia" w:ascii="宋体" w:hAnsi="宋体"/>
          <w:color w:val="auto"/>
          <w:szCs w:val="21"/>
          <w:highlight w:val="none"/>
        </w:rPr>
        <w:t>从业人员、营业收入、资产总额填报上一年度数据，无上一年度数据的新成立企业可不填报。</w:t>
      </w:r>
    </w:p>
    <w:p w14:paraId="707B5862">
      <w:pPr>
        <w:snapToGrid w:val="0"/>
        <w:spacing w:before="50" w:after="165" w:afterLines="50" w:line="360" w:lineRule="auto"/>
        <w:ind w:firstLine="315" w:firstLineChars="15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、请根据自己的真实情况出具《中小企业声明函》。依法享受中小企业优惠政策的，采购人或者采购代理机构在公告中标结果时，同时公告其《中小企业声明函》，接受社会监督。</w:t>
      </w:r>
    </w:p>
    <w:p w14:paraId="267FAAC8">
      <w:pPr>
        <w:spacing w:line="360" w:lineRule="auto"/>
        <w:jc w:val="center"/>
        <w:rPr>
          <w:rFonts w:hint="eastAsia" w:ascii="宋体" w:hAnsi="Courier New"/>
          <w:b/>
          <w:color w:val="auto"/>
          <w:sz w:val="30"/>
          <w:szCs w:val="30"/>
          <w:highlight w:val="none"/>
        </w:rPr>
      </w:pPr>
    </w:p>
    <w:p w14:paraId="5B713D19">
      <w:pPr>
        <w:spacing w:line="360" w:lineRule="auto"/>
        <w:jc w:val="center"/>
        <w:rPr>
          <w:rFonts w:hint="eastAsia" w:ascii="宋体" w:hAnsi="Courier New"/>
          <w:b/>
          <w:color w:val="auto"/>
          <w:sz w:val="30"/>
          <w:szCs w:val="30"/>
          <w:highlight w:val="none"/>
        </w:rPr>
      </w:pPr>
    </w:p>
    <w:p w14:paraId="261734E9">
      <w:pPr>
        <w:spacing w:line="360" w:lineRule="auto"/>
        <w:jc w:val="center"/>
        <w:rPr>
          <w:rFonts w:hint="eastAsia" w:ascii="宋体" w:hAnsi="Courier New"/>
          <w:b/>
          <w:color w:val="auto"/>
          <w:sz w:val="30"/>
          <w:szCs w:val="30"/>
          <w:highlight w:val="none"/>
        </w:rPr>
      </w:pPr>
    </w:p>
    <w:p w14:paraId="15D373F3">
      <w:pPr>
        <w:spacing w:line="360" w:lineRule="auto"/>
        <w:jc w:val="center"/>
        <w:rPr>
          <w:rFonts w:hint="eastAsia" w:ascii="宋体" w:hAnsi="Courier New"/>
          <w:b/>
          <w:color w:val="auto"/>
          <w:sz w:val="30"/>
          <w:szCs w:val="30"/>
          <w:highlight w:val="none"/>
        </w:rPr>
      </w:pPr>
      <w:r>
        <w:rPr>
          <w:rFonts w:hint="eastAsia" w:ascii="宋体" w:hAnsi="Courier New"/>
          <w:b/>
          <w:color w:val="auto"/>
          <w:sz w:val="30"/>
          <w:szCs w:val="30"/>
          <w:highlight w:val="none"/>
        </w:rPr>
        <w:t>残疾人福利性单位声明函（如有）</w:t>
      </w:r>
    </w:p>
    <w:p w14:paraId="05982B51">
      <w:pPr>
        <w:spacing w:line="360" w:lineRule="auto"/>
        <w:jc w:val="center"/>
        <w:rPr>
          <w:rFonts w:hint="eastAsia" w:ascii="宋体" w:hAnsi="Courier New"/>
          <w:b/>
          <w:color w:val="auto"/>
          <w:sz w:val="30"/>
          <w:szCs w:val="30"/>
          <w:highlight w:val="none"/>
        </w:rPr>
      </w:pPr>
    </w:p>
    <w:p w14:paraId="008A16F5">
      <w:pPr>
        <w:spacing w:line="360" w:lineRule="auto"/>
        <w:jc w:val="left"/>
        <w:rPr>
          <w:rFonts w:hint="eastAsia" w:ascii="宋体" w:hAnsi="宋体"/>
          <w:color w:val="auto"/>
          <w:szCs w:val="21"/>
          <w:highlight w:val="none"/>
        </w:rPr>
      </w:pPr>
      <w:r>
        <w:rPr>
          <w:rFonts w:hint="eastAsia" w:ascii="宋体" w:hAnsi="Courier New"/>
          <w:color w:val="auto"/>
          <w:sz w:val="30"/>
          <w:szCs w:val="30"/>
          <w:highlight w:val="none"/>
        </w:rPr>
        <w:t xml:space="preserve">  </w:t>
      </w:r>
      <w:r>
        <w:rPr>
          <w:rFonts w:hint="eastAsia" w:ascii="宋体" w:hAnsi="宋体"/>
          <w:color w:val="auto"/>
          <w:szCs w:val="21"/>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zCs w:val="21"/>
          <w:highlight w:val="none"/>
          <w:u w:val="single"/>
        </w:rPr>
        <w:t xml:space="preserve">       </w:t>
      </w:r>
      <w:r>
        <w:rPr>
          <w:rFonts w:hint="eastAsia" w:ascii="宋体" w:hAnsi="宋体"/>
          <w:color w:val="auto"/>
          <w:szCs w:val="21"/>
          <w:highlight w:val="none"/>
        </w:rPr>
        <w:t>单位的</w:t>
      </w:r>
      <w:r>
        <w:rPr>
          <w:rFonts w:hint="eastAsia"/>
          <w:color w:val="auto"/>
          <w:highlight w:val="none"/>
          <w:u w:val="single"/>
          <w:lang w:val="en-US" w:eastAsia="zh-CN"/>
        </w:rPr>
        <w:t xml:space="preserve">           项目名称         </w:t>
      </w:r>
      <w:r>
        <w:rPr>
          <w:rFonts w:hint="eastAsia" w:ascii="宋体" w:hAnsi="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D05A5D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本公司对上述声明的真实性负责。如有虚假，将依法承担相应责任。</w:t>
      </w:r>
    </w:p>
    <w:p w14:paraId="459405EF">
      <w:pPr>
        <w:spacing w:line="360" w:lineRule="auto"/>
        <w:jc w:val="left"/>
        <w:rPr>
          <w:rFonts w:hint="eastAsia" w:ascii="宋体" w:hAnsi="宋体"/>
          <w:b/>
          <w:color w:val="auto"/>
          <w:szCs w:val="21"/>
          <w:highlight w:val="none"/>
        </w:rPr>
      </w:pPr>
    </w:p>
    <w:p w14:paraId="3C120B0C">
      <w:pPr>
        <w:spacing w:line="360" w:lineRule="auto"/>
        <w:jc w:val="left"/>
        <w:rPr>
          <w:rFonts w:hint="eastAsia" w:ascii="宋体" w:hAnsi="宋体"/>
          <w:b/>
          <w:color w:val="auto"/>
          <w:szCs w:val="21"/>
          <w:highlight w:val="none"/>
        </w:rPr>
      </w:pPr>
    </w:p>
    <w:p w14:paraId="08D4EEAD">
      <w:pPr>
        <w:snapToGrid w:val="0"/>
        <w:spacing w:line="360" w:lineRule="auto"/>
        <w:ind w:left="5385" w:leftChars="1736" w:hanging="1739" w:hangingChars="825"/>
        <w:rPr>
          <w:rFonts w:hint="eastAsia" w:ascii="宋体" w:hAnsi="宋体" w:cs="仿宋_GB2312"/>
          <w:b/>
          <w:color w:val="auto"/>
          <w:kern w:val="0"/>
          <w:szCs w:val="21"/>
          <w:highlight w:val="none"/>
        </w:rPr>
      </w:pPr>
      <w:r>
        <w:rPr>
          <w:rFonts w:ascii="宋体" w:hAnsi="宋体"/>
          <w:b/>
          <w:color w:val="auto"/>
          <w:szCs w:val="21"/>
          <w:highlight w:val="none"/>
        </w:rPr>
        <w:t xml:space="preserve">                                                                    </w:t>
      </w: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p>
    <w:p w14:paraId="7FF9C457">
      <w:pPr>
        <w:snapToGrid w:val="0"/>
        <w:spacing w:line="360" w:lineRule="auto"/>
        <w:ind w:firstLine="5355" w:firstLineChars="25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346F20C9">
      <w:pPr>
        <w:spacing w:line="360" w:lineRule="auto"/>
        <w:ind w:left="5180" w:leftChars="1979" w:hanging="1024" w:hangingChars="488"/>
        <w:rPr>
          <w:rFonts w:hint="eastAsia" w:ascii="宋体" w:hAnsi="宋体"/>
          <w:color w:val="auto"/>
          <w:szCs w:val="21"/>
          <w:highlight w:val="none"/>
        </w:rPr>
      </w:pPr>
    </w:p>
    <w:p w14:paraId="2ECB4569">
      <w:pPr>
        <w:spacing w:line="360" w:lineRule="auto"/>
        <w:ind w:right="420"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0F447ADC">
      <w:pPr>
        <w:widowControl/>
        <w:spacing w:line="360" w:lineRule="auto"/>
        <w:jc w:val="left"/>
        <w:rPr>
          <w:rFonts w:ascii="Times New Roman" w:hAnsi="Times New Roman"/>
          <w:color w:val="auto"/>
          <w:sz w:val="20"/>
          <w:szCs w:val="24"/>
          <w:highlight w:val="none"/>
        </w:rPr>
        <w:sectPr>
          <w:pgSz w:w="11906" w:h="16838"/>
          <w:pgMar w:top="1134" w:right="1134" w:bottom="1134" w:left="1134" w:header="720" w:footer="720" w:gutter="0"/>
          <w:pgNumType w:fmt="decimal"/>
          <w:cols w:space="720" w:num="1"/>
          <w:docGrid w:type="lines" w:linePitch="331" w:charSpace="0"/>
        </w:sectPr>
      </w:pPr>
    </w:p>
    <w:p w14:paraId="59859D11">
      <w:pPr>
        <w:numPr>
          <w:ilvl w:val="0"/>
          <w:numId w:val="7"/>
        </w:numPr>
        <w:spacing w:line="600" w:lineRule="exact"/>
        <w:jc w:val="center"/>
        <w:rPr>
          <w:rFonts w:hint="eastAsia" w:ascii="Times New Roman" w:hAnsi="Times New Roman"/>
          <w:b/>
          <w:bCs/>
          <w:color w:val="auto"/>
          <w:sz w:val="30"/>
          <w:szCs w:val="30"/>
          <w:highlight w:val="none"/>
          <w:lang w:eastAsia="zh-CN"/>
        </w:rPr>
      </w:pPr>
      <w:r>
        <w:rPr>
          <w:rFonts w:hint="eastAsia" w:ascii="Times New Roman" w:hAnsi="Times New Roman"/>
          <w:b/>
          <w:bCs/>
          <w:color w:val="auto"/>
          <w:sz w:val="30"/>
          <w:szCs w:val="30"/>
          <w:highlight w:val="none"/>
          <w:lang w:eastAsia="zh-CN"/>
        </w:rPr>
        <w:t>特定资格证明文件（资质证书证明材料）</w:t>
      </w:r>
    </w:p>
    <w:p w14:paraId="0360AA77">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p>
    <w:p w14:paraId="43F5BE67">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p>
    <w:p w14:paraId="1508F389">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p>
    <w:p w14:paraId="1B90955C">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3FDEC14F">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szCs w:val="24"/>
          <w:highlight w:val="none"/>
          <w:lang w:val="zh-CN"/>
        </w:rPr>
        <w:t xml:space="preserve">                   日期：  年  月</w:t>
      </w:r>
    </w:p>
    <w:p w14:paraId="3C378EFB">
      <w:pPr>
        <w:spacing w:line="600" w:lineRule="exact"/>
        <w:jc w:val="center"/>
        <w:rPr>
          <w:rFonts w:hint="eastAsia" w:ascii="宋体" w:hAnsi="Courier New" w:cs="宋体"/>
          <w:color w:val="auto"/>
          <w:kern w:val="0"/>
          <w:szCs w:val="21"/>
          <w:highlight w:val="none"/>
        </w:rPr>
      </w:pPr>
      <w:r>
        <w:rPr>
          <w:rFonts w:hint="eastAsia" w:ascii="Times New Roman" w:hAnsi="Times New Roman"/>
          <w:b/>
          <w:bCs/>
          <w:color w:val="auto"/>
          <w:sz w:val="30"/>
          <w:szCs w:val="30"/>
          <w:highlight w:val="none"/>
          <w:lang w:eastAsia="zh-CN"/>
        </w:rPr>
        <w:t>九</w:t>
      </w:r>
      <w:r>
        <w:rPr>
          <w:rFonts w:hint="eastAsia" w:ascii="Times New Roman" w:hAnsi="Times New Roman"/>
          <w:b/>
          <w:bCs/>
          <w:color w:val="auto"/>
          <w:sz w:val="30"/>
          <w:szCs w:val="30"/>
          <w:highlight w:val="none"/>
        </w:rPr>
        <w:t>、供应商认为需要提供的其他证明材料</w:t>
      </w:r>
    </w:p>
    <w:p w14:paraId="0AAC9A71">
      <w:pPr>
        <w:spacing w:line="600" w:lineRule="exact"/>
        <w:jc w:val="center"/>
        <w:rPr>
          <w:rFonts w:hint="eastAsia" w:ascii="宋体" w:hAnsi="Courier New" w:cs="宋体"/>
          <w:color w:val="auto"/>
          <w:kern w:val="0"/>
          <w:szCs w:val="21"/>
          <w:highlight w:val="none"/>
        </w:rPr>
      </w:pPr>
    </w:p>
    <w:p w14:paraId="4565A742">
      <w:pPr>
        <w:spacing w:line="600" w:lineRule="exact"/>
        <w:jc w:val="center"/>
        <w:rPr>
          <w:rFonts w:ascii="Times New Roman" w:hAnsi="Times New Roman"/>
          <w:b/>
          <w:bCs/>
          <w:color w:val="auto"/>
          <w:sz w:val="30"/>
          <w:szCs w:val="30"/>
          <w:highlight w:val="none"/>
        </w:rPr>
      </w:pPr>
    </w:p>
    <w:p w14:paraId="52928D48">
      <w:pPr>
        <w:spacing w:line="600" w:lineRule="exact"/>
        <w:jc w:val="center"/>
        <w:rPr>
          <w:rFonts w:ascii="Times New Roman" w:hAnsi="Times New Roman"/>
          <w:b/>
          <w:bCs/>
          <w:color w:val="auto"/>
          <w:sz w:val="30"/>
          <w:szCs w:val="30"/>
          <w:highlight w:val="none"/>
        </w:rPr>
      </w:pPr>
    </w:p>
    <w:p w14:paraId="7EA107AD">
      <w:pPr>
        <w:snapToGrid w:val="0"/>
        <w:spacing w:line="360" w:lineRule="auto"/>
        <w:ind w:firstLine="5060" w:firstLineChars="2100"/>
        <w:rPr>
          <w:rFonts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1FFF04DD">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48B5492E">
      <w:pPr>
        <w:widowControl/>
        <w:spacing w:line="360" w:lineRule="auto"/>
        <w:jc w:val="left"/>
        <w:rPr>
          <w:rFonts w:ascii="Times New Roman" w:hAnsi="宋体"/>
          <w:color w:val="auto"/>
          <w:szCs w:val="21"/>
          <w:highlight w:val="none"/>
        </w:rPr>
        <w:sectPr>
          <w:pgSz w:w="11906" w:h="16838"/>
          <w:pgMar w:top="1134" w:right="1134" w:bottom="1134" w:left="1134" w:header="720" w:footer="720" w:gutter="0"/>
          <w:pgNumType w:fmt="decimal"/>
          <w:cols w:space="720" w:num="1"/>
          <w:docGrid w:type="lines" w:linePitch="331" w:charSpace="0"/>
        </w:sectPr>
      </w:pPr>
    </w:p>
    <w:p w14:paraId="06C77E76">
      <w:pPr>
        <w:rPr>
          <w:rFonts w:ascii="宋体" w:hAnsi="宋体"/>
          <w:color w:val="auto"/>
          <w:szCs w:val="21"/>
          <w:highlight w:val="none"/>
        </w:rPr>
      </w:pPr>
    </w:p>
    <w:p w14:paraId="2CDC8989">
      <w:pPr>
        <w:jc w:val="center"/>
        <w:outlineLvl w:val="1"/>
        <w:rPr>
          <w:rFonts w:hint="eastAsia" w:ascii="宋体" w:hAnsi="宋体"/>
          <w:b/>
          <w:bCs/>
          <w:color w:val="auto"/>
          <w:sz w:val="28"/>
          <w:szCs w:val="28"/>
          <w:highlight w:val="none"/>
        </w:rPr>
      </w:pPr>
      <w:bookmarkStart w:id="135" w:name="_Toc15659"/>
      <w:bookmarkStart w:id="136" w:name="_Toc19686838"/>
      <w:r>
        <w:rPr>
          <w:rFonts w:hint="eastAsia" w:ascii="宋体" w:hAnsi="宋体"/>
          <w:b/>
          <w:bCs/>
          <w:color w:val="auto"/>
          <w:sz w:val="28"/>
          <w:szCs w:val="28"/>
          <w:highlight w:val="none"/>
        </w:rPr>
        <w:t>第三节 商务文件格式</w:t>
      </w:r>
      <w:bookmarkEnd w:id="135"/>
      <w:bookmarkEnd w:id="136"/>
    </w:p>
    <w:p w14:paraId="38391FC2">
      <w:pPr>
        <w:snapToGrid w:val="0"/>
        <w:spacing w:before="165" w:beforeLines="50" w:after="50"/>
        <w:rPr>
          <w:rFonts w:hint="eastAsia" w:ascii="宋体" w:hAnsi="宋体"/>
          <w:color w:val="auto"/>
          <w:sz w:val="30"/>
          <w:szCs w:val="20"/>
          <w:highlight w:val="none"/>
        </w:rPr>
      </w:pPr>
    </w:p>
    <w:p w14:paraId="5D9AC4C1">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 xml:space="preserve">             电子投标文件</w:t>
      </w:r>
    </w:p>
    <w:p w14:paraId="67CAD099">
      <w:pPr>
        <w:snapToGrid w:val="0"/>
        <w:spacing w:before="165" w:beforeLines="50" w:after="50"/>
        <w:rPr>
          <w:rFonts w:hint="eastAsia" w:ascii="宋体" w:hAnsi="宋体"/>
          <w:color w:val="auto"/>
          <w:sz w:val="24"/>
          <w:szCs w:val="20"/>
          <w:highlight w:val="none"/>
        </w:rPr>
      </w:pPr>
    </w:p>
    <w:p w14:paraId="0082A009">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631871A8">
      <w:pPr>
        <w:snapToGrid w:val="0"/>
        <w:spacing w:before="165" w:beforeLines="50" w:after="50"/>
        <w:rPr>
          <w:rFonts w:hint="eastAsia" w:ascii="宋体" w:hAnsi="宋体"/>
          <w:bCs/>
          <w:color w:val="auto"/>
          <w:sz w:val="24"/>
          <w:szCs w:val="20"/>
          <w:highlight w:val="none"/>
        </w:rPr>
      </w:pPr>
    </w:p>
    <w:p w14:paraId="433048B7">
      <w:pPr>
        <w:snapToGrid w:val="0"/>
        <w:spacing w:before="165" w:beforeLines="50" w:after="50"/>
        <w:ind w:firstLine="540" w:firstLineChars="225"/>
        <w:rPr>
          <w:rFonts w:hint="default" w:ascii="宋体" w:hAnsi="宋体" w:eastAsia="宋体"/>
          <w:bCs/>
          <w:color w:val="auto"/>
          <w:sz w:val="24"/>
          <w:szCs w:val="24"/>
          <w:highlight w:val="none"/>
          <w:u w:val="single"/>
          <w:lang w:val="en-US"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u w:val="single"/>
          <w:lang w:val="en-US" w:eastAsia="zh-CN"/>
        </w:rPr>
        <w:t xml:space="preserve">                                                         </w:t>
      </w:r>
    </w:p>
    <w:p w14:paraId="4028A8E1">
      <w:pPr>
        <w:snapToGrid w:val="0"/>
        <w:spacing w:before="165" w:beforeLines="50" w:after="50"/>
        <w:ind w:firstLine="540" w:firstLineChars="225"/>
        <w:rPr>
          <w:rFonts w:hint="eastAsia" w:ascii="宋体" w:hAnsi="宋体"/>
          <w:bCs/>
          <w:color w:val="auto"/>
          <w:sz w:val="24"/>
          <w:szCs w:val="20"/>
          <w:highlight w:val="none"/>
        </w:rPr>
      </w:pPr>
    </w:p>
    <w:p w14:paraId="379E1AB7">
      <w:pPr>
        <w:snapToGrid w:val="0"/>
        <w:spacing w:before="165" w:beforeLines="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w:t>
      </w:r>
    </w:p>
    <w:p w14:paraId="0E4148FA">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szCs w:val="24"/>
          <w:highlight w:val="none"/>
        </w:rPr>
        <w:t xml:space="preserve"> </w:t>
      </w:r>
    </w:p>
    <w:p w14:paraId="67890643">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694177DB">
      <w:pPr>
        <w:snapToGrid w:val="0"/>
        <w:spacing w:before="50" w:after="50"/>
        <w:ind w:firstLine="540" w:firstLineChars="225"/>
        <w:rPr>
          <w:rFonts w:hint="eastAsia" w:ascii="宋体" w:hAnsi="宋体"/>
          <w:bCs/>
          <w:color w:val="auto"/>
          <w:sz w:val="24"/>
          <w:szCs w:val="24"/>
          <w:highlight w:val="none"/>
        </w:rPr>
      </w:pPr>
    </w:p>
    <w:p w14:paraId="7F5770A5">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7E5FF19E">
      <w:pPr>
        <w:snapToGrid w:val="0"/>
        <w:spacing w:before="50" w:after="50"/>
        <w:ind w:firstLine="540" w:firstLineChars="225"/>
        <w:rPr>
          <w:rFonts w:hint="eastAsia" w:ascii="宋体" w:hAnsi="宋体"/>
          <w:bCs/>
          <w:color w:val="auto"/>
          <w:sz w:val="24"/>
          <w:szCs w:val="24"/>
          <w:highlight w:val="none"/>
        </w:rPr>
      </w:pPr>
    </w:p>
    <w:p w14:paraId="3AED1B3D">
      <w:pPr>
        <w:snapToGrid w:val="0"/>
        <w:spacing w:before="50" w:after="50"/>
        <w:ind w:firstLine="540" w:firstLineChars="225"/>
        <w:rPr>
          <w:rFonts w:hint="eastAsia" w:ascii="宋体" w:hAnsi="宋体"/>
          <w:bCs/>
          <w:color w:val="auto"/>
          <w:sz w:val="24"/>
          <w:szCs w:val="24"/>
          <w:highlight w:val="none"/>
        </w:rPr>
      </w:pPr>
    </w:p>
    <w:p w14:paraId="118EA6D7">
      <w:pPr>
        <w:snapToGrid w:val="0"/>
        <w:spacing w:before="50" w:after="50"/>
        <w:ind w:firstLine="960" w:firstLineChars="400"/>
        <w:rPr>
          <w:rFonts w:hint="eastAsia" w:ascii="宋体" w:hAnsi="宋体"/>
          <w:bCs/>
          <w:color w:val="auto"/>
          <w:sz w:val="24"/>
          <w:szCs w:val="24"/>
          <w:highlight w:val="none"/>
        </w:rPr>
      </w:pPr>
    </w:p>
    <w:p w14:paraId="7973891F">
      <w:pPr>
        <w:snapToGrid w:val="0"/>
        <w:spacing w:before="165" w:beforeLines="50" w:after="50"/>
        <w:ind w:firstLine="645"/>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191DEDE2">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2133CBCD">
      <w:pPr>
        <w:spacing w:line="360" w:lineRule="auto"/>
        <w:ind w:right="420"/>
        <w:rPr>
          <w:rFonts w:hint="eastAsia" w:ascii="宋体" w:hAnsi="宋体"/>
          <w:color w:val="auto"/>
          <w:sz w:val="24"/>
          <w:szCs w:val="20"/>
          <w:highlight w:val="none"/>
        </w:rPr>
      </w:pPr>
    </w:p>
    <w:p w14:paraId="7627C27C">
      <w:pPr>
        <w:spacing w:line="360" w:lineRule="auto"/>
        <w:ind w:right="420"/>
        <w:rPr>
          <w:rFonts w:hint="eastAsia" w:ascii="宋体" w:hAnsi="宋体"/>
          <w:color w:val="auto"/>
          <w:sz w:val="24"/>
          <w:szCs w:val="20"/>
          <w:highlight w:val="none"/>
        </w:rPr>
      </w:pPr>
    </w:p>
    <w:p w14:paraId="6F203D35">
      <w:pPr>
        <w:spacing w:line="360" w:lineRule="auto"/>
        <w:ind w:right="420"/>
        <w:rPr>
          <w:rFonts w:hint="eastAsia" w:ascii="宋体" w:hAnsi="宋体"/>
          <w:color w:val="auto"/>
          <w:sz w:val="24"/>
          <w:szCs w:val="20"/>
          <w:highlight w:val="none"/>
        </w:rPr>
      </w:pPr>
    </w:p>
    <w:p w14:paraId="21E90893">
      <w:pPr>
        <w:spacing w:line="360" w:lineRule="auto"/>
        <w:ind w:right="420"/>
        <w:rPr>
          <w:rFonts w:hint="eastAsia" w:ascii="宋体" w:hAnsi="宋体"/>
          <w:color w:val="auto"/>
          <w:sz w:val="24"/>
          <w:szCs w:val="20"/>
          <w:highlight w:val="none"/>
        </w:rPr>
      </w:pPr>
    </w:p>
    <w:p w14:paraId="0186B322">
      <w:pPr>
        <w:spacing w:line="360" w:lineRule="auto"/>
        <w:ind w:right="420"/>
        <w:rPr>
          <w:rFonts w:hint="eastAsia" w:ascii="宋体" w:hAnsi="宋体"/>
          <w:color w:val="auto"/>
          <w:sz w:val="24"/>
          <w:szCs w:val="20"/>
          <w:highlight w:val="none"/>
        </w:rPr>
      </w:pPr>
    </w:p>
    <w:p w14:paraId="212F3C41">
      <w:pPr>
        <w:spacing w:line="360" w:lineRule="auto"/>
        <w:ind w:right="420"/>
        <w:rPr>
          <w:rFonts w:hint="eastAsia" w:ascii="宋体" w:hAnsi="宋体"/>
          <w:color w:val="auto"/>
          <w:sz w:val="24"/>
          <w:szCs w:val="20"/>
          <w:highlight w:val="none"/>
        </w:rPr>
      </w:pPr>
    </w:p>
    <w:p w14:paraId="517540A6">
      <w:pPr>
        <w:spacing w:line="360" w:lineRule="auto"/>
        <w:ind w:right="420"/>
        <w:rPr>
          <w:rFonts w:hint="eastAsia" w:ascii="宋体" w:hAnsi="宋体"/>
          <w:color w:val="auto"/>
          <w:sz w:val="24"/>
          <w:szCs w:val="20"/>
          <w:highlight w:val="none"/>
        </w:rPr>
      </w:pPr>
    </w:p>
    <w:p w14:paraId="38CCC040">
      <w:pPr>
        <w:spacing w:line="360" w:lineRule="auto"/>
        <w:ind w:right="420"/>
        <w:rPr>
          <w:rFonts w:hint="eastAsia" w:ascii="宋体" w:hAnsi="宋体"/>
          <w:color w:val="auto"/>
          <w:sz w:val="24"/>
          <w:szCs w:val="20"/>
          <w:highlight w:val="none"/>
        </w:rPr>
      </w:pPr>
    </w:p>
    <w:p w14:paraId="53543D2A">
      <w:pPr>
        <w:spacing w:line="360" w:lineRule="auto"/>
        <w:ind w:right="420"/>
        <w:rPr>
          <w:rFonts w:hint="eastAsia" w:ascii="宋体" w:hAnsi="宋体"/>
          <w:color w:val="auto"/>
          <w:sz w:val="24"/>
          <w:szCs w:val="20"/>
          <w:highlight w:val="none"/>
        </w:rPr>
      </w:pPr>
    </w:p>
    <w:p w14:paraId="2C855D2B">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2BE4B0D3">
      <w:pPr>
        <w:spacing w:line="360" w:lineRule="auto"/>
        <w:ind w:right="420"/>
        <w:rPr>
          <w:rFonts w:hint="eastAsia" w:ascii="仿宋_GB2312" w:hAnsi="仿宋" w:eastAsia="仿宋_GB2312" w:cs="仿宋_GB2312"/>
          <w:b/>
          <w:color w:val="auto"/>
          <w:kern w:val="0"/>
          <w:sz w:val="36"/>
          <w:szCs w:val="36"/>
          <w:highlight w:val="none"/>
        </w:rPr>
      </w:pPr>
    </w:p>
    <w:p w14:paraId="58BEB542">
      <w:pPr>
        <w:spacing w:line="360" w:lineRule="auto"/>
        <w:ind w:right="420"/>
        <w:rPr>
          <w:rFonts w:hint="eastAsia" w:ascii="仿宋_GB2312" w:hAnsi="仿宋" w:eastAsia="仿宋_GB2312" w:cs="仿宋_GB2312"/>
          <w:b/>
          <w:color w:val="auto"/>
          <w:kern w:val="0"/>
          <w:sz w:val="36"/>
          <w:szCs w:val="36"/>
          <w:highlight w:val="none"/>
        </w:rPr>
      </w:pPr>
    </w:p>
    <w:p w14:paraId="233AE453">
      <w:pPr>
        <w:rPr>
          <w:rFonts w:hint="eastAsia" w:ascii="仿宋_GB2312" w:hAnsi="仿宋" w:eastAsia="仿宋_GB2312" w:cs="仿宋_GB2312"/>
          <w:b/>
          <w:color w:val="auto"/>
          <w:kern w:val="0"/>
          <w:sz w:val="24"/>
          <w:szCs w:val="24"/>
          <w:highlight w:val="none"/>
        </w:rPr>
      </w:pPr>
    </w:p>
    <w:p w14:paraId="35BA89BA">
      <w:pPr>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kern w:val="0"/>
          <w:sz w:val="30"/>
          <w:szCs w:val="30"/>
          <w:highlight w:val="none"/>
        </w:rPr>
        <w:t>商务文件目录</w:t>
      </w:r>
    </w:p>
    <w:p w14:paraId="1385A7BA">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一、无串标行为承诺函…………………………………………………………………（页码）</w:t>
      </w:r>
    </w:p>
    <w:p w14:paraId="757C8C14">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二、法定代表人身份证明及法定代表人有效身份证正反面扫描件……………（页码）</w:t>
      </w:r>
    </w:p>
    <w:p w14:paraId="5F9D0648">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三、法定代表人授权委托书（如有委托时）……………………………………（页码）</w:t>
      </w:r>
    </w:p>
    <w:p w14:paraId="75EA5A3A">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四、</w:t>
      </w:r>
      <w:r>
        <w:rPr>
          <w:rFonts w:hint="eastAsia" w:ascii="仿宋_GB2312" w:hAnsi="仿宋" w:eastAsia="仿宋_GB2312" w:cs="仿宋_GB2312"/>
          <w:color w:val="auto"/>
          <w:sz w:val="24"/>
          <w:szCs w:val="24"/>
          <w:highlight w:val="none"/>
          <w:lang w:val="zh-CN"/>
        </w:rPr>
        <w:t>商务条款偏离表………………………………</w:t>
      </w:r>
      <w:r>
        <w:rPr>
          <w:rFonts w:hint="eastAsia" w:ascii="仿宋_GB2312" w:hAnsi="仿宋" w:eastAsia="仿宋_GB2312" w:cs="仿宋_GB2312"/>
          <w:color w:val="auto"/>
          <w:sz w:val="24"/>
          <w:szCs w:val="24"/>
          <w:highlight w:val="none"/>
        </w:rPr>
        <w:t>……………………………………（页码）</w:t>
      </w:r>
    </w:p>
    <w:p w14:paraId="5119316F">
      <w:pPr>
        <w:pStyle w:val="37"/>
        <w:keepNext w:val="0"/>
        <w:keepLines w:val="0"/>
        <w:pageBreakBefore w:val="0"/>
        <w:widowControl w:val="0"/>
        <w:kinsoku/>
        <w:wordWrap/>
        <w:overflowPunct/>
        <w:topLinePunct w:val="0"/>
        <w:autoSpaceDE/>
        <w:autoSpaceDN/>
        <w:bidi w:val="0"/>
        <w:adjustRightInd w:val="0"/>
        <w:snapToGrid/>
        <w:spacing w:line="360" w:lineRule="auto"/>
        <w:ind w:left="479" w:leftChars="228" w:firstLine="0" w:firstLineChars="0"/>
        <w:textAlignment w:val="auto"/>
        <w:rPr>
          <w:rFonts w:hint="eastAsia" w:ascii="仿宋_GB2312" w:hAnsi="仿宋_GB2312" w:eastAsia="仿宋_GB2312" w:cs="仿宋_GB2312"/>
          <w:color w:val="auto"/>
          <w:highlight w:val="none"/>
        </w:rPr>
      </w:pPr>
      <w:bookmarkStart w:id="137" w:name="OLE_LINK7"/>
      <w:bookmarkStart w:id="138" w:name="OLE_LINK6"/>
      <w:bookmarkStart w:id="139" w:name="OLE_LINK5"/>
      <w:r>
        <w:rPr>
          <w:rFonts w:hint="eastAsia" w:ascii="仿宋_GB2312" w:hAnsi="仿宋" w:eastAsia="仿宋_GB2312" w:cs="仿宋_GB2312"/>
          <w:color w:val="auto"/>
          <w:sz w:val="24"/>
          <w:szCs w:val="24"/>
          <w:highlight w:val="none"/>
        </w:rPr>
        <w:t>五、经营场地…………………………………………………………………………（页码）</w:t>
      </w:r>
      <w:r>
        <w:rPr>
          <w:rFonts w:hint="eastAsia" w:ascii="仿宋_GB2312" w:hAnsi="仿宋_GB2312" w:eastAsia="仿宋_GB2312" w:cs="仿宋_GB2312"/>
          <w:color w:val="auto"/>
          <w:highlight w:val="none"/>
          <w:lang w:val="en-US" w:eastAsia="zh-CN"/>
        </w:rPr>
        <w:t>六</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技术工人配备</w:t>
      </w:r>
      <w:r>
        <w:rPr>
          <w:rFonts w:hint="eastAsia" w:ascii="仿宋_GB2312" w:hAnsi="仿宋_GB2312" w:eastAsia="仿宋_GB2312" w:cs="仿宋_GB2312"/>
          <w:color w:val="auto"/>
          <w:highlight w:val="none"/>
        </w:rPr>
        <w:t>…………………………………………………………………（页码）</w:t>
      </w:r>
    </w:p>
    <w:p w14:paraId="1E27702C">
      <w:pPr>
        <w:pStyle w:val="37"/>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七</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主要维修检测设备一览表</w:t>
      </w:r>
      <w:r>
        <w:rPr>
          <w:rFonts w:hint="eastAsia" w:ascii="仿宋_GB2312" w:hAnsi="仿宋_GB2312" w:eastAsia="仿宋_GB2312" w:cs="仿宋_GB2312"/>
          <w:color w:val="auto"/>
          <w:highlight w:val="none"/>
        </w:rPr>
        <w:t>……………………………………………………（页码）</w:t>
      </w:r>
    </w:p>
    <w:p w14:paraId="33CF0E8E">
      <w:pPr>
        <w:pStyle w:val="37"/>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八</w:t>
      </w:r>
      <w:r>
        <w:rPr>
          <w:rFonts w:hint="eastAsia" w:ascii="仿宋_GB2312" w:hAnsi="仿宋_GB2312" w:eastAsia="仿宋_GB2312" w:cs="仿宋_GB2312"/>
          <w:color w:val="auto"/>
          <w:highlight w:val="none"/>
        </w:rPr>
        <w:t>、</w:t>
      </w:r>
      <w:r>
        <w:rPr>
          <w:rFonts w:hint="eastAsia" w:hAnsi="仿宋_GB2312" w:cs="仿宋_GB2312"/>
          <w:color w:val="auto"/>
          <w:highlight w:val="none"/>
          <w:lang w:val="en-US" w:eastAsia="zh-CN"/>
        </w:rPr>
        <w:t>企业质量信誉</w:t>
      </w:r>
      <w:r>
        <w:rPr>
          <w:rFonts w:hint="eastAsia" w:ascii="仿宋_GB2312" w:hAnsi="仿宋_GB2312" w:eastAsia="仿宋_GB2312" w:cs="仿宋_GB2312"/>
          <w:color w:val="auto"/>
          <w:highlight w:val="none"/>
        </w:rPr>
        <w:t>………………………………………………………………（页码）</w:t>
      </w:r>
    </w:p>
    <w:p w14:paraId="527DE92C">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九</w:t>
      </w:r>
      <w:r>
        <w:rPr>
          <w:rFonts w:hint="eastAsia" w:ascii="仿宋_GB2312" w:hAnsi="仿宋" w:eastAsia="仿宋_GB2312" w:cs="仿宋_GB2312"/>
          <w:color w:val="auto"/>
          <w:sz w:val="24"/>
          <w:szCs w:val="24"/>
          <w:highlight w:val="none"/>
        </w:rPr>
        <w:t>、供应商类似业绩的证明文件（如有要求）</w:t>
      </w:r>
      <w:r>
        <w:rPr>
          <w:rFonts w:hint="eastAsia" w:ascii="仿宋_GB2312" w:hAnsi="仿宋" w:eastAsia="仿宋_GB2312" w:cs="仿宋_GB2312"/>
          <w:color w:val="auto"/>
          <w:sz w:val="24"/>
          <w:szCs w:val="24"/>
          <w:highlight w:val="none"/>
          <w:lang w:val="zh-CN"/>
        </w:rPr>
        <w:t>……………………………</w:t>
      </w:r>
      <w:r>
        <w:rPr>
          <w:rFonts w:hint="eastAsia" w:ascii="仿宋_GB2312" w:hAnsi="仿宋" w:eastAsia="仿宋_GB2312" w:cs="仿宋_GB2312"/>
          <w:color w:val="auto"/>
          <w:sz w:val="24"/>
          <w:szCs w:val="24"/>
          <w:highlight w:val="none"/>
        </w:rPr>
        <w:t>…（页码）</w:t>
      </w:r>
      <w:bookmarkEnd w:id="137"/>
      <w:bookmarkEnd w:id="138"/>
    </w:p>
    <w:p w14:paraId="6A6F4558">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十</w:t>
      </w:r>
      <w:r>
        <w:rPr>
          <w:rFonts w:hint="eastAsia" w:ascii="仿宋_GB2312" w:hAnsi="仿宋" w:eastAsia="仿宋_GB2312" w:cs="仿宋_GB2312"/>
          <w:color w:val="auto"/>
          <w:sz w:val="24"/>
          <w:szCs w:val="24"/>
          <w:highlight w:val="none"/>
        </w:rPr>
        <w:t>、供应商认为需要提供的其他证明材料</w:t>
      </w:r>
      <w:r>
        <w:rPr>
          <w:rFonts w:hint="eastAsia" w:ascii="仿宋_GB2312" w:hAnsi="仿宋" w:eastAsia="仿宋_GB2312" w:cs="仿宋_GB2312"/>
          <w:color w:val="auto"/>
          <w:sz w:val="24"/>
          <w:szCs w:val="24"/>
          <w:highlight w:val="none"/>
          <w:lang w:val="zh-CN"/>
        </w:rPr>
        <w:t>……………………………………………</w:t>
      </w:r>
      <w:r>
        <w:rPr>
          <w:rFonts w:hint="eastAsia" w:ascii="仿宋_GB2312" w:hAnsi="仿宋" w:eastAsia="仿宋_GB2312" w:cs="仿宋_GB2312"/>
          <w:color w:val="auto"/>
          <w:sz w:val="24"/>
          <w:szCs w:val="24"/>
          <w:highlight w:val="none"/>
        </w:rPr>
        <w:t>（页码）</w:t>
      </w:r>
    </w:p>
    <w:bookmarkEnd w:id="139"/>
    <w:p w14:paraId="308E28A0">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注：以上目录是基本格式要求，各供应商可根据自身情况进一步向下增加内容或细化。</w:t>
      </w:r>
    </w:p>
    <w:p w14:paraId="3FD59B7F">
      <w:pPr>
        <w:widowControl/>
        <w:spacing w:line="360" w:lineRule="auto"/>
        <w:jc w:val="left"/>
        <w:rPr>
          <w:rFonts w:ascii="宋体" w:hAnsi="宋体"/>
          <w:color w:val="auto"/>
          <w:szCs w:val="24"/>
          <w:highlight w:val="none"/>
        </w:rPr>
        <w:sectPr>
          <w:pgSz w:w="11906" w:h="16838"/>
          <w:pgMar w:top="1134" w:right="1134" w:bottom="1134" w:left="1134" w:header="720" w:footer="720" w:gutter="0"/>
          <w:pgNumType w:fmt="decimal"/>
          <w:cols w:space="720" w:num="1"/>
          <w:docGrid w:type="lines" w:linePitch="331" w:charSpace="0"/>
        </w:sectPr>
      </w:pPr>
    </w:p>
    <w:p w14:paraId="4C25EA49">
      <w:pPr>
        <w:snapToGrid w:val="0"/>
        <w:spacing w:before="120" w:beforeLines="50" w:after="50"/>
        <w:ind w:left="420"/>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一、无串标行为承诺函</w:t>
      </w:r>
    </w:p>
    <w:p w14:paraId="4B3A2D72">
      <w:pPr>
        <w:snapToGrid w:val="0"/>
        <w:spacing w:before="120" w:beforeLines="50" w:after="50"/>
        <w:ind w:left="420"/>
        <w:jc w:val="center"/>
        <w:rPr>
          <w:rFonts w:hint="eastAsia" w:ascii="宋体" w:hAnsi="宋体"/>
          <w:b/>
          <w:color w:val="auto"/>
          <w:sz w:val="30"/>
          <w:szCs w:val="30"/>
          <w:highlight w:val="none"/>
        </w:rPr>
      </w:pPr>
    </w:p>
    <w:p w14:paraId="047E07FE">
      <w:pPr>
        <w:snapToGrid w:val="0"/>
        <w:spacing w:before="120" w:beforeLines="50" w:after="50"/>
        <w:ind w:left="420"/>
        <w:jc w:val="center"/>
        <w:rPr>
          <w:rFonts w:ascii="宋体" w:hAnsi="宋体"/>
          <w:b/>
          <w:color w:val="auto"/>
          <w:sz w:val="30"/>
          <w:szCs w:val="30"/>
          <w:highlight w:val="none"/>
        </w:rPr>
      </w:pPr>
      <w:r>
        <w:rPr>
          <w:rFonts w:hint="eastAsia" w:ascii="宋体" w:hAnsi="宋体"/>
          <w:b/>
          <w:color w:val="auto"/>
          <w:sz w:val="30"/>
          <w:szCs w:val="30"/>
          <w:highlight w:val="none"/>
        </w:rPr>
        <w:t>供应商参加本项目无围标串标行为的承诺函</w:t>
      </w:r>
    </w:p>
    <w:p w14:paraId="4B0CCB12">
      <w:pPr>
        <w:snapToGrid w:val="0"/>
        <w:spacing w:before="120" w:beforeLines="50" w:after="50"/>
        <w:rPr>
          <w:rFonts w:hint="eastAsia" w:ascii="宋体" w:hAnsi="宋体"/>
          <w:b/>
          <w:color w:val="auto"/>
          <w:szCs w:val="21"/>
          <w:highlight w:val="none"/>
        </w:rPr>
      </w:pPr>
    </w:p>
    <w:p w14:paraId="67AAC884">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31A7303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1.不同供应商的投标文件由同一单位或者个人编制；或者不同供应商报名的IP地址一致的；或者编制标书硬件设备CPU编号、硬盘编号、网卡地址一致的情况。</w:t>
      </w:r>
    </w:p>
    <w:p w14:paraId="6C6A56A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2.不同供应商委托同一单位或者个人办理投标事宜；</w:t>
      </w:r>
    </w:p>
    <w:p w14:paraId="6091DE0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3.不同的供应商的投标文件载明的项目管理员为同一个人；</w:t>
      </w:r>
    </w:p>
    <w:p w14:paraId="075E045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4.不同供应商的投标文件异常一致或者投标报价呈规律性差异；</w:t>
      </w:r>
    </w:p>
    <w:p w14:paraId="61C5F58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5.不同供应商的投标文件相互混装；</w:t>
      </w:r>
    </w:p>
    <w:p w14:paraId="34C4DAEE">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6.不同供应商的投标保证金从同一单位或者个人账户转出。</w:t>
      </w:r>
    </w:p>
    <w:p w14:paraId="24108883">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1059BE1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1.供应商直接或者间接从采购人或者采购代理机构处获得其他供应商的相关信息并修改其投标文件或者投标文件；</w:t>
      </w:r>
    </w:p>
    <w:p w14:paraId="676B64B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2.供应商按照采购人或者采购代理机构的授意撤换、修改投标文件或者投标文件；</w:t>
      </w:r>
    </w:p>
    <w:p w14:paraId="22CE3FE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3.供应商之间协商报价、技术方案等投标文件或者投标文件的实质性内容；</w:t>
      </w:r>
    </w:p>
    <w:p w14:paraId="4C798129">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6A7821C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76FA3DA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6.供应商之间商定部分供应商放弃参加政府采购活动或者放弃中标；</w:t>
      </w:r>
    </w:p>
    <w:p w14:paraId="357FF3D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7.供应商与采购人或者采购代理机构之间、供应商相互之间，为谋求特定供应商中标或者排斥其他供应商的其他串通行为。</w:t>
      </w:r>
    </w:p>
    <w:p w14:paraId="6D81221D">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19AB287E">
      <w:pPr>
        <w:snapToGrid w:val="0"/>
        <w:spacing w:line="360" w:lineRule="auto"/>
        <w:ind w:firstLine="4935" w:firstLineChars="2350"/>
        <w:rPr>
          <w:rFonts w:hint="eastAsia" w:ascii="宋体" w:hAnsi="宋体" w:cs="仿宋_GB2312"/>
          <w:b/>
          <w:color w:val="auto"/>
          <w:kern w:val="0"/>
          <w:szCs w:val="21"/>
          <w:highlight w:val="none"/>
        </w:rPr>
      </w:pPr>
      <w:r>
        <w:rPr>
          <w:rFonts w:ascii="Times New Roman" w:hAnsi="宋体"/>
          <w:color w:val="auto"/>
          <w:szCs w:val="21"/>
          <w:highlight w:val="none"/>
        </w:rPr>
        <w:t xml:space="preserve">  </w:t>
      </w: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r>
        <w:rPr>
          <w:rFonts w:hint="eastAsia" w:ascii="宋体" w:hAnsi="宋体" w:cs="仿宋_GB2312"/>
          <w:b/>
          <w:color w:val="auto"/>
          <w:kern w:val="0"/>
          <w:szCs w:val="21"/>
          <w:highlight w:val="none"/>
          <w:lang w:val="zh-CN"/>
        </w:rPr>
        <w:t xml:space="preserve">  </w:t>
      </w:r>
    </w:p>
    <w:p w14:paraId="4EDEB84D">
      <w:pPr>
        <w:snapToGrid w:val="0"/>
        <w:spacing w:line="360" w:lineRule="auto"/>
        <w:ind w:firstLine="5145" w:firstLineChars="24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2C7BD4F9">
      <w:pPr>
        <w:snapToGrid w:val="0"/>
        <w:spacing w:before="295" w:after="295" w:line="360" w:lineRule="auto"/>
        <w:jc w:val="center"/>
        <w:rPr>
          <w:rFonts w:hint="eastAsia" w:ascii="宋体" w:hAnsi="宋体"/>
          <w:b/>
          <w:color w:val="auto"/>
          <w:sz w:val="24"/>
          <w:szCs w:val="20"/>
          <w:highlight w:val="none"/>
        </w:rPr>
      </w:pPr>
      <w:r>
        <w:rPr>
          <w:rFonts w:hint="eastAsia" w:ascii="宋体" w:hAnsi="宋体"/>
          <w:b/>
          <w:color w:val="auto"/>
          <w:sz w:val="24"/>
          <w:szCs w:val="20"/>
          <w:highlight w:val="none"/>
        </w:rPr>
        <w:br w:type="page"/>
      </w:r>
      <w:r>
        <w:rPr>
          <w:rFonts w:hint="eastAsia" w:ascii="Times New Roman" w:hAnsi="Times New Roman"/>
          <w:b/>
          <w:bCs/>
          <w:color w:val="auto"/>
          <w:sz w:val="30"/>
          <w:szCs w:val="30"/>
          <w:highlight w:val="none"/>
        </w:rPr>
        <w:t>二、法定代表人身份证明</w:t>
      </w:r>
    </w:p>
    <w:p w14:paraId="6BCAA82E">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764A53A9">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p>
    <w:p w14:paraId="6BA3EDA8">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p>
    <w:p w14:paraId="21A8CDBB">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姓    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      别：</w:t>
      </w:r>
      <w:r>
        <w:rPr>
          <w:rFonts w:hint="eastAsia" w:ascii="宋体" w:hAnsi="宋体"/>
          <w:color w:val="auto"/>
          <w:sz w:val="24"/>
          <w:szCs w:val="24"/>
          <w:highlight w:val="none"/>
          <w:u w:val="single"/>
        </w:rPr>
        <w:t xml:space="preserve">                </w:t>
      </w:r>
    </w:p>
    <w:p w14:paraId="233BADE9">
      <w:pPr>
        <w:spacing w:line="500" w:lineRule="exact"/>
        <w:ind w:left="540"/>
        <w:rPr>
          <w:rFonts w:hint="eastAsia" w:ascii="宋体" w:hAnsi="宋体"/>
          <w:color w:val="auto"/>
          <w:sz w:val="24"/>
          <w:szCs w:val="24"/>
          <w:highlight w:val="none"/>
          <w:u w:val="single"/>
        </w:rPr>
      </w:pPr>
      <w:r>
        <w:rPr>
          <w:rFonts w:hint="eastAsia" w:ascii="宋体" w:hAnsi="宋体"/>
          <w:color w:val="auto"/>
          <w:sz w:val="24"/>
          <w:szCs w:val="24"/>
          <w:highlight w:val="none"/>
        </w:rPr>
        <w:t>年    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      务：</w:t>
      </w:r>
      <w:r>
        <w:rPr>
          <w:rFonts w:hint="eastAsia" w:ascii="宋体" w:hAnsi="宋体"/>
          <w:color w:val="auto"/>
          <w:sz w:val="24"/>
          <w:szCs w:val="24"/>
          <w:highlight w:val="none"/>
          <w:u w:val="single"/>
        </w:rPr>
        <w:t xml:space="preserve">                </w:t>
      </w:r>
    </w:p>
    <w:p w14:paraId="623016C2">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身份证</w:t>
      </w:r>
      <w:r>
        <w:rPr>
          <w:rFonts w:hint="eastAsia" w:ascii="Times New Roman" w:hAnsi="Times New Roman"/>
          <w:color w:val="auto"/>
          <w:sz w:val="24"/>
          <w:szCs w:val="24"/>
          <w:highlight w:val="none"/>
        </w:rPr>
        <w:t>号码：</w:t>
      </w:r>
      <w:r>
        <w:rPr>
          <w:rFonts w:ascii="Times New Roman" w:hAnsi="Times New Roman"/>
          <w:color w:val="auto"/>
          <w:sz w:val="24"/>
          <w:szCs w:val="24"/>
          <w:highlight w:val="none"/>
          <w:u w:val="single"/>
        </w:rPr>
        <w:t xml:space="preserve">                                 </w:t>
      </w:r>
    </w:p>
    <w:p w14:paraId="5DCDDF69">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（供应商名称）              </w:t>
      </w:r>
      <w:r>
        <w:rPr>
          <w:rFonts w:hint="eastAsia" w:ascii="宋体" w:hAnsi="宋体"/>
          <w:color w:val="auto"/>
          <w:sz w:val="24"/>
          <w:szCs w:val="24"/>
          <w:highlight w:val="none"/>
        </w:rPr>
        <w:t>的法定代表人。</w:t>
      </w:r>
    </w:p>
    <w:p w14:paraId="6EDE7319">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59FF7E40">
      <w:pPr>
        <w:spacing w:line="500" w:lineRule="exact"/>
        <w:ind w:left="540"/>
        <w:rPr>
          <w:rFonts w:hint="eastAsia" w:ascii="宋体" w:hAnsi="宋体"/>
          <w:color w:val="auto"/>
          <w:sz w:val="24"/>
          <w:szCs w:val="24"/>
          <w:highlight w:val="none"/>
        </w:rPr>
      </w:pPr>
    </w:p>
    <w:p w14:paraId="1C833C3B">
      <w:pPr>
        <w:spacing w:line="500" w:lineRule="exact"/>
        <w:ind w:left="540"/>
        <w:rPr>
          <w:rFonts w:hint="eastAsia" w:ascii="宋体" w:hAnsi="宋体"/>
          <w:color w:val="auto"/>
          <w:sz w:val="24"/>
          <w:szCs w:val="24"/>
          <w:highlight w:val="none"/>
        </w:rPr>
      </w:pPr>
    </w:p>
    <w:p w14:paraId="6DCE9C69">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附件：法定代表人有效身份证正反面扫描件</w:t>
      </w:r>
    </w:p>
    <w:p w14:paraId="7F992A47">
      <w:pPr>
        <w:spacing w:line="500" w:lineRule="exact"/>
        <w:ind w:left="540"/>
        <w:rPr>
          <w:rFonts w:hint="eastAsia" w:ascii="宋体" w:hAnsi="宋体"/>
          <w:color w:val="auto"/>
          <w:sz w:val="24"/>
          <w:szCs w:val="24"/>
          <w:highlight w:val="none"/>
        </w:rPr>
      </w:pPr>
    </w:p>
    <w:p w14:paraId="3B883479">
      <w:pPr>
        <w:snapToGrid w:val="0"/>
        <w:spacing w:line="360" w:lineRule="auto"/>
        <w:ind w:firstLine="4935" w:firstLineChars="2350"/>
        <w:rPr>
          <w:rFonts w:hint="eastAsia" w:ascii="宋体" w:hAnsi="宋体" w:cs="仿宋_GB2312"/>
          <w:color w:val="auto"/>
          <w:kern w:val="0"/>
          <w:sz w:val="24"/>
          <w:szCs w:val="24"/>
          <w:highlight w:val="none"/>
        </w:rPr>
      </w:pPr>
      <w:r>
        <w:rPr>
          <w:rFonts w:ascii="宋体" w:hAnsi="宋体"/>
          <w:color w:val="auto"/>
          <w:szCs w:val="21"/>
          <w:highlight w:val="none"/>
        </w:rPr>
        <w:t xml:space="preserve">  </w:t>
      </w:r>
      <w:r>
        <w:rPr>
          <w:rFonts w:hint="eastAsia" w:ascii="宋体" w:hAnsi="宋体" w:cs="仿宋_GB2312"/>
          <w:color w:val="auto"/>
          <w:kern w:val="0"/>
          <w:sz w:val="24"/>
          <w:szCs w:val="24"/>
          <w:highlight w:val="none"/>
          <w:lang w:val="zh-CN"/>
        </w:rPr>
        <w:t>供应商名称(电子签章)：</w:t>
      </w:r>
    </w:p>
    <w:p w14:paraId="6CCF364C">
      <w:pPr>
        <w:snapToGrid w:val="0"/>
        <w:spacing w:line="360" w:lineRule="auto"/>
        <w:ind w:firstLine="5160" w:firstLineChars="2150"/>
        <w:rPr>
          <w:rFonts w:hint="eastAsia"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日期</w:t>
      </w:r>
      <w:r>
        <w:rPr>
          <w:rFonts w:hint="eastAsia" w:ascii="宋体" w:hAnsi="宋体" w:cs="仿宋_GB2312"/>
          <w:color w:val="auto"/>
          <w:kern w:val="0"/>
          <w:sz w:val="24"/>
          <w:szCs w:val="24"/>
          <w:highlight w:val="none"/>
        </w:rPr>
        <w:t xml:space="preserve">：  年  </w:t>
      </w:r>
      <w:r>
        <w:rPr>
          <w:rFonts w:hint="eastAsia" w:ascii="宋体" w:hAnsi="宋体" w:cs="仿宋_GB2312"/>
          <w:color w:val="auto"/>
          <w:kern w:val="0"/>
          <w:sz w:val="24"/>
          <w:szCs w:val="24"/>
          <w:highlight w:val="none"/>
          <w:lang w:val="zh-CN"/>
        </w:rPr>
        <w:t>月</w:t>
      </w:r>
      <w:r>
        <w:rPr>
          <w:rFonts w:hint="eastAsia" w:ascii="宋体" w:hAnsi="宋体" w:cs="仿宋_GB2312"/>
          <w:color w:val="auto"/>
          <w:kern w:val="0"/>
          <w:sz w:val="24"/>
          <w:szCs w:val="24"/>
          <w:highlight w:val="none"/>
        </w:rPr>
        <w:t xml:space="preserve">   </w:t>
      </w:r>
      <w:r>
        <w:rPr>
          <w:rFonts w:hint="eastAsia" w:ascii="宋体" w:hAnsi="宋体" w:cs="仿宋_GB2312"/>
          <w:color w:val="auto"/>
          <w:kern w:val="0"/>
          <w:sz w:val="24"/>
          <w:szCs w:val="24"/>
          <w:highlight w:val="none"/>
          <w:lang w:val="zh-CN"/>
        </w:rPr>
        <w:t>日</w:t>
      </w:r>
    </w:p>
    <w:p w14:paraId="6B60D391">
      <w:pPr>
        <w:snapToGrid w:val="0"/>
        <w:spacing w:before="120" w:beforeLines="50" w:after="50"/>
        <w:jc w:val="center"/>
        <w:rPr>
          <w:rFonts w:hint="eastAsia" w:ascii="宋体" w:hAnsi="宋体"/>
          <w:b/>
          <w:color w:val="auto"/>
          <w:sz w:val="24"/>
          <w:szCs w:val="24"/>
          <w:highlight w:val="none"/>
        </w:rPr>
      </w:pPr>
    </w:p>
    <w:p w14:paraId="3CE7A575">
      <w:pPr>
        <w:snapToGrid w:val="0"/>
        <w:spacing w:before="120" w:beforeLines="50" w:after="50"/>
        <w:ind w:firstLine="600" w:firstLineChars="250"/>
        <w:jc w:val="left"/>
        <w:rPr>
          <w:rFonts w:hint="eastAsia" w:ascii="宋体" w:hAnsi="宋体"/>
          <w:color w:val="auto"/>
          <w:sz w:val="24"/>
          <w:szCs w:val="24"/>
          <w:highlight w:val="none"/>
        </w:rPr>
      </w:pPr>
      <w:r>
        <w:rPr>
          <w:rFonts w:hint="eastAsia" w:ascii="宋体" w:hAnsi="宋体"/>
          <w:color w:val="auto"/>
          <w:sz w:val="24"/>
          <w:szCs w:val="24"/>
          <w:highlight w:val="none"/>
        </w:rPr>
        <w:t>注：自然人投标的无需提供</w:t>
      </w:r>
    </w:p>
    <w:p w14:paraId="55432DAF">
      <w:pPr>
        <w:snapToGrid w:val="0"/>
        <w:spacing w:before="120" w:beforeLines="50" w:after="50"/>
        <w:ind w:firstLine="600" w:firstLineChars="250"/>
        <w:jc w:val="left"/>
        <w:rPr>
          <w:rFonts w:hint="eastAsia" w:ascii="宋体" w:hAnsi="宋体"/>
          <w:color w:val="auto"/>
          <w:sz w:val="24"/>
          <w:szCs w:val="24"/>
          <w:highlight w:val="none"/>
        </w:rPr>
      </w:pPr>
    </w:p>
    <w:p w14:paraId="57646018">
      <w:pPr>
        <w:snapToGrid w:val="0"/>
        <w:spacing w:before="120" w:beforeLines="50" w:after="50"/>
        <w:ind w:firstLine="602" w:firstLineChars="250"/>
        <w:jc w:val="left"/>
        <w:rPr>
          <w:rFonts w:hint="eastAsia" w:ascii="宋体" w:hAnsi="宋体"/>
          <w:b/>
          <w:color w:val="auto"/>
          <w:sz w:val="24"/>
          <w:szCs w:val="20"/>
          <w:highlight w:val="none"/>
        </w:rPr>
      </w:pPr>
    </w:p>
    <w:tbl>
      <w:tblPr>
        <w:tblStyle w:val="2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7B3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78C89A2C">
            <w:pPr>
              <w:spacing w:line="360" w:lineRule="auto"/>
              <w:rPr>
                <w:rFonts w:hint="eastAsia" w:ascii="宋体" w:hAnsi="Times New Roman"/>
                <w:b/>
                <w:color w:val="auto"/>
                <w:sz w:val="24"/>
                <w:szCs w:val="24"/>
                <w:highlight w:val="none"/>
              </w:rPr>
            </w:pPr>
          </w:p>
          <w:p w14:paraId="12A093F5">
            <w:pPr>
              <w:spacing w:line="360" w:lineRule="auto"/>
              <w:rPr>
                <w:rFonts w:hint="eastAsia" w:ascii="宋体" w:hAnsi="Times New Roman"/>
                <w:b/>
                <w:color w:val="auto"/>
                <w:sz w:val="24"/>
                <w:szCs w:val="24"/>
                <w:highlight w:val="none"/>
              </w:rPr>
            </w:pPr>
            <w:r>
              <w:rPr>
                <w:rFonts w:hint="eastAsia" w:ascii="宋体" w:hAnsi="Times New Roman"/>
                <w:b/>
                <w:color w:val="auto"/>
                <w:sz w:val="24"/>
                <w:szCs w:val="24"/>
                <w:highlight w:val="none"/>
                <w:shd w:val="clear"/>
              </w:rPr>
              <w:t>法定代表人有效身份证</w:t>
            </w:r>
            <w:r>
              <w:rPr>
                <w:rFonts w:hint="eastAsia" w:ascii="宋体" w:hAnsi="Times New Roman"/>
                <w:b/>
                <w:color w:val="auto"/>
                <w:sz w:val="24"/>
                <w:szCs w:val="24"/>
                <w:highlight w:val="none"/>
                <w:shd w:val="clear"/>
                <w:lang w:eastAsia="zh-CN"/>
              </w:rPr>
              <w:t>扫描</w:t>
            </w:r>
            <w:r>
              <w:rPr>
                <w:rFonts w:hint="eastAsia" w:ascii="宋体" w:hAnsi="Times New Roman"/>
                <w:b/>
                <w:color w:val="auto"/>
                <w:sz w:val="24"/>
                <w:szCs w:val="24"/>
                <w:highlight w:val="none"/>
                <w:shd w:val="clear"/>
              </w:rPr>
              <w:t>件粘帖处（正、反面）</w:t>
            </w:r>
          </w:p>
        </w:tc>
      </w:tr>
    </w:tbl>
    <w:p w14:paraId="27EA2623">
      <w:pPr>
        <w:snapToGrid w:val="0"/>
        <w:spacing w:before="295" w:after="295" w:line="360" w:lineRule="auto"/>
        <w:jc w:val="left"/>
        <w:rPr>
          <w:rFonts w:hint="eastAsia" w:ascii="宋体" w:hAnsi="宋体"/>
          <w:b/>
          <w:color w:val="auto"/>
          <w:sz w:val="24"/>
          <w:szCs w:val="20"/>
          <w:highlight w:val="none"/>
        </w:rPr>
      </w:pPr>
      <w:r>
        <w:rPr>
          <w:rFonts w:hint="eastAsia" w:ascii="宋体" w:hAnsi="宋体"/>
          <w:b/>
          <w:color w:val="auto"/>
          <w:sz w:val="24"/>
          <w:szCs w:val="20"/>
          <w:highlight w:val="none"/>
        </w:rPr>
        <w:t>附件：</w:t>
      </w:r>
      <w:r>
        <w:rPr>
          <w:rFonts w:hint="eastAsia" w:ascii="宋体" w:hAnsi="宋体"/>
          <w:b/>
          <w:color w:val="auto"/>
          <w:sz w:val="24"/>
          <w:szCs w:val="20"/>
          <w:highlight w:val="none"/>
        </w:rPr>
        <w:br w:type="page"/>
      </w:r>
      <w:r>
        <w:rPr>
          <w:rFonts w:hint="eastAsia" w:ascii="Times New Roman" w:hAnsi="Times New Roman"/>
          <w:b/>
          <w:bCs/>
          <w:color w:val="auto"/>
          <w:sz w:val="30"/>
          <w:szCs w:val="30"/>
          <w:highlight w:val="none"/>
        </w:rPr>
        <w:t>三、法定代表人授权委托书（如有委托时）</w:t>
      </w:r>
    </w:p>
    <w:p w14:paraId="70FDFAE0">
      <w:pPr>
        <w:snapToGrid w:val="0"/>
        <w:spacing w:before="120" w:beforeLines="50" w:after="50"/>
        <w:jc w:val="center"/>
        <w:rPr>
          <w:rFonts w:hint="eastAsia" w:ascii="宋体" w:hAnsi="宋体"/>
          <w:b/>
          <w:color w:val="auto"/>
          <w:sz w:val="30"/>
          <w:szCs w:val="30"/>
          <w:highlight w:val="none"/>
        </w:rPr>
      </w:pPr>
      <w:r>
        <w:rPr>
          <w:rFonts w:hint="eastAsia" w:ascii="宋体" w:hAnsi="宋体"/>
          <w:b/>
          <w:color w:val="auto"/>
          <w:sz w:val="30"/>
          <w:szCs w:val="30"/>
          <w:highlight w:val="none"/>
        </w:rPr>
        <w:t>法定代表人授权委托书</w:t>
      </w:r>
    </w:p>
    <w:p w14:paraId="00C1E8E9">
      <w:pPr>
        <w:snapToGrid w:val="0"/>
        <w:spacing w:before="120" w:beforeLines="50" w:after="50"/>
        <w:jc w:val="center"/>
        <w:rPr>
          <w:rFonts w:hint="eastAsia" w:ascii="宋体" w:hAnsi="宋体"/>
          <w:b/>
          <w:color w:val="auto"/>
          <w:sz w:val="30"/>
          <w:szCs w:val="30"/>
          <w:highlight w:val="none"/>
        </w:rPr>
      </w:pPr>
    </w:p>
    <w:p w14:paraId="63968818">
      <w:pPr>
        <w:spacing w:line="440" w:lineRule="exact"/>
        <w:ind w:firstLine="420" w:firstLineChars="200"/>
        <w:rPr>
          <w:rFonts w:hint="eastAsia" w:ascii="Times New Roman" w:hAnsi="Times New Roman"/>
          <w:color w:val="auto"/>
          <w:szCs w:val="20"/>
          <w:highlight w:val="none"/>
        </w:rPr>
      </w:pPr>
      <w:r>
        <w:rPr>
          <w:rFonts w:hint="eastAsia" w:ascii="Times New Roman" w:hAnsi="Times New Roman"/>
          <w:color w:val="auto"/>
          <w:szCs w:val="20"/>
          <w:highlight w:val="none"/>
        </w:rPr>
        <w:t>致：</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u w:val="single"/>
          <w:lang w:val="en-US" w:eastAsia="zh-CN"/>
        </w:rPr>
        <w:t xml:space="preserve">              </w:t>
      </w:r>
      <w:r>
        <w:rPr>
          <w:rFonts w:ascii="Times New Roman" w:hAnsi="Times New Roman"/>
          <w:color w:val="auto"/>
          <w:szCs w:val="20"/>
          <w:highlight w:val="none"/>
          <w:u w:val="single"/>
        </w:rPr>
        <w:t xml:space="preserve"> </w:t>
      </w:r>
    </w:p>
    <w:p w14:paraId="0A582237">
      <w:pPr>
        <w:spacing w:line="440" w:lineRule="exact"/>
        <w:ind w:firstLine="420" w:firstLineChars="200"/>
        <w:rPr>
          <w:rFonts w:ascii="Times New Roman" w:hAnsi="Times New Roman"/>
          <w:color w:val="auto"/>
          <w:szCs w:val="20"/>
          <w:highlight w:val="none"/>
        </w:rPr>
      </w:pPr>
      <w:r>
        <w:rPr>
          <w:rFonts w:hint="eastAsia" w:ascii="Times New Roman" w:hAnsi="Times New Roman"/>
          <w:color w:val="auto"/>
          <w:szCs w:val="20"/>
          <w:highlight w:val="none"/>
        </w:rPr>
        <w:t>本人</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rPr>
        <w:t>（姓名）系</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rPr>
        <w:t>（供应商名称）的法定代表人，现授权我单位在职正式员工</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rPr>
        <w:t>（姓名和职务）为我方代理人。代理人根据授权，以我方名义签署、澄清、说明、补正、递交、撤回、修改贵方组织的</w:t>
      </w:r>
      <w:r>
        <w:rPr>
          <w:rFonts w:hint="eastAsia" w:ascii="宋体" w:hAnsi="Courier New"/>
          <w:color w:val="auto"/>
          <w:szCs w:val="20"/>
          <w:highlight w:val="none"/>
          <w:u w:val="single"/>
        </w:rPr>
        <w:t xml:space="preserve"> </w:t>
      </w:r>
      <w:r>
        <w:rPr>
          <w:rFonts w:hint="eastAsia"/>
          <w:color w:val="auto"/>
          <w:highlight w:val="none"/>
          <w:u w:val="single"/>
          <w:lang w:val="en-US" w:eastAsia="zh-CN"/>
        </w:rPr>
        <w:t xml:space="preserve">        项目名称     </w:t>
      </w:r>
      <w:r>
        <w:rPr>
          <w:rFonts w:hint="eastAsia" w:ascii="宋体" w:hAnsi="Courier New"/>
          <w:color w:val="auto"/>
          <w:szCs w:val="20"/>
          <w:highlight w:val="none"/>
        </w:rPr>
        <w:t>项目（项目编号：</w:t>
      </w:r>
      <w:bookmarkStart w:id="140" w:name="PO_3000001866_PM001_12"/>
      <w:r>
        <w:rPr>
          <w:rFonts w:hint="eastAsia" w:ascii="宋体" w:hAnsi="宋体"/>
          <w:color w:val="auto"/>
          <w:szCs w:val="20"/>
          <w:highlight w:val="none"/>
          <w:u w:val="single"/>
          <w:lang w:val="en-US" w:eastAsia="zh-CN"/>
        </w:rPr>
        <w:t xml:space="preserve">         </w:t>
      </w:r>
      <w:r>
        <w:rPr>
          <w:rFonts w:ascii="宋体" w:hAnsi="宋体"/>
          <w:color w:val="auto"/>
          <w:szCs w:val="20"/>
          <w:highlight w:val="none"/>
          <w:u w:val="single"/>
        </w:rPr>
        <w:t xml:space="preserve"> </w:t>
      </w:r>
      <w:bookmarkEnd w:id="140"/>
      <w:r>
        <w:rPr>
          <w:rFonts w:hint="eastAsia" w:ascii="宋体" w:hAnsi="宋体"/>
          <w:color w:val="auto"/>
          <w:szCs w:val="20"/>
          <w:highlight w:val="none"/>
          <w:u w:val="single"/>
        </w:rPr>
        <w:t xml:space="preserve"> </w:t>
      </w:r>
      <w:r>
        <w:rPr>
          <w:rFonts w:hint="eastAsia" w:ascii="宋体" w:hAnsi="Courier New"/>
          <w:color w:val="auto"/>
          <w:szCs w:val="20"/>
          <w:highlight w:val="none"/>
        </w:rPr>
        <w:t>）</w:t>
      </w:r>
      <w:r>
        <w:rPr>
          <w:rFonts w:hint="eastAsia" w:ascii="Times New Roman" w:hAnsi="Times New Roman"/>
          <w:color w:val="auto"/>
          <w:szCs w:val="20"/>
          <w:highlight w:val="none"/>
        </w:rPr>
        <w:t>的投标文件、签订合同和处理一切有关事宜，其法律后果由我方承担。</w:t>
      </w:r>
    </w:p>
    <w:p w14:paraId="7C830431">
      <w:pPr>
        <w:spacing w:line="440" w:lineRule="exact"/>
        <w:ind w:firstLine="420" w:firstLineChars="200"/>
        <w:rPr>
          <w:rFonts w:ascii="Times New Roman" w:hAnsi="Times New Roman"/>
          <w:color w:val="auto"/>
          <w:szCs w:val="20"/>
          <w:highlight w:val="none"/>
        </w:rPr>
      </w:pPr>
      <w:r>
        <w:rPr>
          <w:rFonts w:hint="eastAsia" w:ascii="Times New Roman" w:hAnsi="Times New Roman"/>
          <w:color w:val="auto"/>
          <w:szCs w:val="20"/>
          <w:highlight w:val="none"/>
        </w:rPr>
        <w:t>本授权书于</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年</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月</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日签字生效，委托期限：</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w:t>
      </w:r>
    </w:p>
    <w:p w14:paraId="4E6083F0">
      <w:pPr>
        <w:spacing w:line="360" w:lineRule="auto"/>
        <w:ind w:firstLine="420"/>
        <w:rPr>
          <w:rFonts w:ascii="Times New Roman" w:hAnsi="Times New Roman"/>
          <w:color w:val="auto"/>
          <w:szCs w:val="20"/>
          <w:highlight w:val="none"/>
        </w:rPr>
      </w:pPr>
      <w:r>
        <w:rPr>
          <w:rFonts w:hint="eastAsia" w:ascii="Times New Roman" w:hAnsi="Times New Roman"/>
          <w:color w:val="auto"/>
          <w:szCs w:val="20"/>
          <w:highlight w:val="none"/>
        </w:rPr>
        <w:t>代理人无转委托权。</w:t>
      </w:r>
    </w:p>
    <w:p w14:paraId="20CACECA">
      <w:pPr>
        <w:spacing w:line="360" w:lineRule="auto"/>
        <w:ind w:firstLine="420"/>
        <w:rPr>
          <w:rFonts w:ascii="Times New Roman" w:hAnsi="Times New Roman"/>
          <w:color w:val="auto"/>
          <w:szCs w:val="20"/>
          <w:highlight w:val="none"/>
        </w:rPr>
      </w:pPr>
    </w:p>
    <w:p w14:paraId="19F1516A">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供应商（盖单位公章或</w:t>
      </w:r>
      <w:r>
        <w:rPr>
          <w:rFonts w:hint="eastAsia" w:ascii="宋体" w:hAnsi="宋体" w:cs="仿宋_GB2312"/>
          <w:b/>
          <w:color w:val="auto"/>
          <w:kern w:val="0"/>
          <w:szCs w:val="21"/>
          <w:highlight w:val="none"/>
          <w:u w:val="none"/>
          <w:lang w:val="zh-CN"/>
        </w:rPr>
        <w:t>电子签章</w:t>
      </w:r>
      <w:r>
        <w:rPr>
          <w:rFonts w:hint="eastAsia" w:ascii="Times New Roman" w:hAnsi="Times New Roman"/>
          <w:color w:val="auto"/>
          <w:szCs w:val="20"/>
          <w:highlight w:val="none"/>
        </w:rPr>
        <w:t>）：</w:t>
      </w:r>
      <w:r>
        <w:rPr>
          <w:rFonts w:ascii="Times New Roman" w:hAnsi="Times New Roman"/>
          <w:color w:val="auto"/>
          <w:szCs w:val="20"/>
          <w:highlight w:val="none"/>
          <w:u w:val="single"/>
        </w:rPr>
        <w:t xml:space="preserve">                                    </w:t>
      </w:r>
    </w:p>
    <w:p w14:paraId="43B0D5C2">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法定代表人（签字或签章）：</w:t>
      </w:r>
      <w:r>
        <w:rPr>
          <w:rFonts w:ascii="Times New Roman" w:hAnsi="Times New Roman"/>
          <w:color w:val="auto"/>
          <w:szCs w:val="20"/>
          <w:highlight w:val="none"/>
          <w:u w:val="single"/>
        </w:rPr>
        <w:t xml:space="preserve">                                </w:t>
      </w:r>
    </w:p>
    <w:p w14:paraId="702F09ED">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法定代表人身份证号码：</w:t>
      </w:r>
      <w:r>
        <w:rPr>
          <w:rFonts w:ascii="Times New Roman" w:hAnsi="Times New Roman"/>
          <w:color w:val="auto"/>
          <w:szCs w:val="20"/>
          <w:highlight w:val="none"/>
          <w:u w:val="single"/>
        </w:rPr>
        <w:t xml:space="preserve">                                   </w:t>
      </w:r>
    </w:p>
    <w:p w14:paraId="63144FD6">
      <w:pPr>
        <w:spacing w:line="360" w:lineRule="auto"/>
        <w:ind w:firstLine="420" w:firstLineChars="200"/>
        <w:rPr>
          <w:rFonts w:ascii="Times New Roman" w:hAnsi="Times New Roman"/>
          <w:color w:val="auto"/>
          <w:szCs w:val="20"/>
          <w:highlight w:val="none"/>
        </w:rPr>
      </w:pPr>
      <w:r>
        <w:rPr>
          <w:rFonts w:hint="eastAsia" w:ascii="Times New Roman" w:hAnsi="Times New Roman"/>
          <w:color w:val="auto"/>
          <w:szCs w:val="20"/>
          <w:highlight w:val="none"/>
        </w:rPr>
        <w:t>委托代理人（签字或签章）：</w:t>
      </w:r>
      <w:r>
        <w:rPr>
          <w:rFonts w:ascii="Times New Roman" w:hAnsi="Times New Roman"/>
          <w:color w:val="auto"/>
          <w:szCs w:val="20"/>
          <w:highlight w:val="none"/>
          <w:u w:val="single"/>
        </w:rPr>
        <w:t xml:space="preserve">                                </w:t>
      </w:r>
    </w:p>
    <w:p w14:paraId="42145284">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委托代理人身份证号码：</w:t>
      </w:r>
      <w:r>
        <w:rPr>
          <w:rFonts w:ascii="Times New Roman" w:hAnsi="Times New Roman"/>
          <w:color w:val="auto"/>
          <w:szCs w:val="20"/>
          <w:highlight w:val="none"/>
          <w:u w:val="single"/>
        </w:rPr>
        <w:t xml:space="preserve">                                   </w:t>
      </w:r>
    </w:p>
    <w:p w14:paraId="3D844E4A">
      <w:pPr>
        <w:ind w:firstLine="420" w:firstLineChars="200"/>
        <w:rPr>
          <w:rFonts w:hint="eastAsia" w:ascii="宋体" w:hAnsi="Courier New"/>
          <w:color w:val="auto"/>
          <w:szCs w:val="20"/>
          <w:highlight w:val="none"/>
        </w:rPr>
      </w:pPr>
    </w:p>
    <w:p w14:paraId="6C8A8CED">
      <w:pPr>
        <w:ind w:firstLine="4410" w:firstLineChars="2100"/>
        <w:rPr>
          <w:rFonts w:hint="eastAsia" w:ascii="宋体" w:hAnsi="Courier New"/>
          <w:color w:val="auto"/>
          <w:szCs w:val="20"/>
          <w:highlight w:val="none"/>
        </w:rPr>
      </w:pPr>
      <w:r>
        <w:rPr>
          <w:rFonts w:hint="eastAsia" w:ascii="宋体" w:hAnsi="Courier New"/>
          <w:color w:val="auto"/>
          <w:szCs w:val="20"/>
          <w:highlight w:val="none"/>
        </w:rPr>
        <w:t>日期：  年  月   日</w:t>
      </w:r>
    </w:p>
    <w:p w14:paraId="0EC9B99F">
      <w:pPr>
        <w:spacing w:line="360" w:lineRule="auto"/>
        <w:rPr>
          <w:rFonts w:hint="eastAsia" w:ascii="宋体" w:hAnsi="宋体" w:cs="仿宋_GB2312"/>
          <w:color w:val="auto"/>
          <w:sz w:val="18"/>
          <w:szCs w:val="18"/>
          <w:highlight w:val="none"/>
        </w:rPr>
      </w:pPr>
    </w:p>
    <w:p w14:paraId="54B8585E">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注：</w:t>
      </w:r>
    </w:p>
    <w:p w14:paraId="2740225F">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1.法定代表人和委托代理人必须在授权委托书上亲笔签名或签章，</w:t>
      </w:r>
      <w:r>
        <w:rPr>
          <w:rFonts w:hint="eastAsia" w:ascii="宋体" w:hAnsi="宋体" w:cs="仿宋_GB2312"/>
          <w:b/>
          <w:bCs/>
          <w:color w:val="auto"/>
          <w:szCs w:val="21"/>
          <w:highlight w:val="none"/>
        </w:rPr>
        <w:t>否则作无效投标处理</w:t>
      </w:r>
      <w:r>
        <w:rPr>
          <w:rFonts w:hint="eastAsia" w:ascii="宋体" w:hAnsi="宋体" w:cs="仿宋_GB2312"/>
          <w:color w:val="auto"/>
          <w:szCs w:val="21"/>
          <w:highlight w:val="none"/>
        </w:rPr>
        <w:t>；</w:t>
      </w:r>
    </w:p>
    <w:p w14:paraId="720FDF06">
      <w:pPr>
        <w:spacing w:line="360" w:lineRule="auto"/>
        <w:jc w:val="left"/>
        <w:rPr>
          <w:rFonts w:hint="eastAsia" w:ascii="宋体" w:hAnsi="宋体" w:cs="仿宋_GB2312"/>
          <w:color w:val="auto"/>
          <w:szCs w:val="21"/>
          <w:highlight w:val="none"/>
        </w:rPr>
      </w:pPr>
      <w:r>
        <w:rPr>
          <w:rFonts w:hint="eastAsia" w:ascii="宋体" w:hAnsi="宋体" w:cs="仿宋_GB2312"/>
          <w:color w:val="auto"/>
          <w:szCs w:val="21"/>
          <w:highlight w:val="none"/>
        </w:rPr>
        <w:t>2.以联合体形式投标的，本授权委托书应由联合体牵头人的法定代表人按上述规定签署。</w:t>
      </w:r>
    </w:p>
    <w:p w14:paraId="7E9340E9">
      <w:pPr>
        <w:snapToGrid w:val="0"/>
        <w:spacing w:before="50" w:after="120" w:afterLines="50" w:line="360" w:lineRule="auto"/>
        <w:jc w:val="left"/>
        <w:rPr>
          <w:rFonts w:hint="eastAsia" w:ascii="宋体" w:hAnsi="宋体" w:cs="仿宋_GB2312"/>
          <w:color w:val="auto"/>
          <w:szCs w:val="21"/>
          <w:highlight w:val="none"/>
        </w:rPr>
      </w:pPr>
      <w:r>
        <w:rPr>
          <w:rFonts w:hint="eastAsia" w:ascii="宋体" w:hAnsi="宋体" w:cs="仿宋_GB2312"/>
          <w:color w:val="auto"/>
          <w:szCs w:val="21"/>
          <w:highlight w:val="none"/>
        </w:rPr>
        <w:t>3. 供应商为其他组织或者自然人时，本</w:t>
      </w:r>
      <w:r>
        <w:rPr>
          <w:rFonts w:hint="eastAsia" w:ascii="宋体" w:hAnsi="宋体" w:cs="仿宋_GB2312"/>
          <w:color w:val="auto"/>
          <w:szCs w:val="21"/>
          <w:highlight w:val="none"/>
          <w:lang w:eastAsia="zh-CN"/>
        </w:rPr>
        <w:t>征集文件</w:t>
      </w:r>
      <w:r>
        <w:rPr>
          <w:rFonts w:hint="eastAsia" w:ascii="宋体" w:hAnsi="宋体" w:cs="仿宋_GB2312"/>
          <w:color w:val="auto"/>
          <w:szCs w:val="21"/>
          <w:highlight w:val="none"/>
        </w:rPr>
        <w:t>规定的法定代表人指负责人或者自然人。本</w:t>
      </w:r>
      <w:r>
        <w:rPr>
          <w:rFonts w:hint="eastAsia" w:ascii="宋体" w:hAnsi="宋体" w:cs="仿宋_GB2312"/>
          <w:color w:val="auto"/>
          <w:szCs w:val="21"/>
          <w:highlight w:val="none"/>
          <w:lang w:eastAsia="zh-CN"/>
        </w:rPr>
        <w:t>征集文件</w:t>
      </w:r>
      <w:r>
        <w:rPr>
          <w:rFonts w:hint="eastAsia" w:ascii="宋体" w:hAnsi="宋体" w:cs="仿宋_GB2312"/>
          <w:color w:val="auto"/>
          <w:szCs w:val="21"/>
          <w:highlight w:val="none"/>
        </w:rPr>
        <w:t>所称负责人是指参加投标的其他组织营业执照上的负责人，本</w:t>
      </w:r>
      <w:r>
        <w:rPr>
          <w:rFonts w:hint="eastAsia" w:ascii="宋体" w:hAnsi="宋体" w:cs="仿宋_GB2312"/>
          <w:color w:val="auto"/>
          <w:szCs w:val="21"/>
          <w:highlight w:val="none"/>
          <w:lang w:eastAsia="zh-CN"/>
        </w:rPr>
        <w:t>征集文件</w:t>
      </w:r>
      <w:r>
        <w:rPr>
          <w:rFonts w:hint="eastAsia" w:ascii="宋体" w:hAnsi="宋体" w:cs="仿宋_GB2312"/>
          <w:color w:val="auto"/>
          <w:szCs w:val="21"/>
          <w:highlight w:val="none"/>
        </w:rPr>
        <w:t>所称自然人指参与投标的自然人本人。</w:t>
      </w:r>
    </w:p>
    <w:p w14:paraId="6609A0A7">
      <w:pPr>
        <w:snapToGrid w:val="0"/>
        <w:spacing w:before="50" w:after="120" w:afterLines="50" w:line="360" w:lineRule="auto"/>
        <w:jc w:val="left"/>
        <w:rPr>
          <w:rFonts w:hint="eastAsia" w:ascii="宋体" w:hAnsi="宋体" w:cs="仿宋_GB2312"/>
          <w:color w:val="auto"/>
          <w:szCs w:val="21"/>
          <w:highlight w:val="none"/>
        </w:rPr>
      </w:pPr>
      <w:r>
        <w:rPr>
          <w:rFonts w:hint="eastAsia" w:ascii="宋体" w:hAnsi="宋体" w:cs="仿宋_GB2312"/>
          <w:color w:val="auto"/>
          <w:szCs w:val="21"/>
          <w:highlight w:val="none"/>
        </w:rPr>
        <w:t>4. 若为联合体投标须各方签字或盖章。</w:t>
      </w:r>
    </w:p>
    <w:p w14:paraId="1AAF3D8D">
      <w:pPr>
        <w:spacing w:line="360" w:lineRule="auto"/>
        <w:rPr>
          <w:rFonts w:hint="eastAsia" w:ascii="宋体" w:hAnsi="Times New Roman"/>
          <w:b/>
          <w:color w:val="auto"/>
          <w:sz w:val="24"/>
          <w:szCs w:val="24"/>
          <w:highlight w:val="none"/>
        </w:rPr>
      </w:pPr>
    </w:p>
    <w:p w14:paraId="16FC7A1D">
      <w:pPr>
        <w:spacing w:line="360" w:lineRule="auto"/>
        <w:rPr>
          <w:rFonts w:hint="eastAsia" w:ascii="宋体" w:hAnsi="Times New Roman"/>
          <w:b/>
          <w:color w:val="auto"/>
          <w:sz w:val="24"/>
          <w:szCs w:val="24"/>
          <w:highlight w:val="none"/>
        </w:rPr>
      </w:pPr>
    </w:p>
    <w:p w14:paraId="5FAC5C11">
      <w:pPr>
        <w:spacing w:line="360" w:lineRule="auto"/>
        <w:rPr>
          <w:rFonts w:hint="eastAsia" w:ascii="宋体" w:hAnsi="Times New Roman"/>
          <w:b/>
          <w:color w:val="auto"/>
          <w:sz w:val="24"/>
          <w:szCs w:val="24"/>
          <w:highlight w:val="none"/>
        </w:rPr>
      </w:pPr>
    </w:p>
    <w:p w14:paraId="52DCF686">
      <w:pPr>
        <w:spacing w:line="360" w:lineRule="auto"/>
        <w:rPr>
          <w:rFonts w:hint="eastAsia" w:ascii="宋体" w:hAnsi="Times New Roman"/>
          <w:b/>
          <w:color w:val="auto"/>
          <w:sz w:val="24"/>
          <w:szCs w:val="24"/>
          <w:highlight w:val="none"/>
        </w:rPr>
      </w:pPr>
    </w:p>
    <w:p w14:paraId="0486FA70">
      <w:pPr>
        <w:spacing w:line="360" w:lineRule="auto"/>
        <w:rPr>
          <w:rFonts w:hint="eastAsia" w:ascii="宋体" w:hAnsi="Times New Roman"/>
          <w:b/>
          <w:color w:val="auto"/>
          <w:sz w:val="24"/>
          <w:szCs w:val="24"/>
          <w:highlight w:val="none"/>
        </w:rPr>
      </w:pPr>
    </w:p>
    <w:p w14:paraId="7EE6C4D5">
      <w:pPr>
        <w:spacing w:line="360" w:lineRule="auto"/>
        <w:rPr>
          <w:rFonts w:hint="eastAsia" w:ascii="Times New Roman" w:hAnsi="Times New Roman"/>
          <w:b/>
          <w:color w:val="auto"/>
          <w:sz w:val="24"/>
          <w:szCs w:val="24"/>
          <w:highlight w:val="none"/>
        </w:rPr>
      </w:pPr>
      <w:r>
        <w:rPr>
          <w:rFonts w:hint="eastAsia" w:ascii="宋体" w:hAnsi="Times New Roman"/>
          <w:b/>
          <w:color w:val="auto"/>
          <w:sz w:val="24"/>
          <w:szCs w:val="24"/>
          <w:highlight w:val="none"/>
        </w:rPr>
        <w:t>附件：</w:t>
      </w:r>
    </w:p>
    <w:tbl>
      <w:tblPr>
        <w:tblStyle w:val="25"/>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4733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321D92C8">
            <w:pPr>
              <w:spacing w:line="360" w:lineRule="auto"/>
              <w:rPr>
                <w:rFonts w:ascii="宋体" w:hAnsi="Times New Roman"/>
                <w:b/>
                <w:color w:val="auto"/>
                <w:sz w:val="24"/>
                <w:szCs w:val="24"/>
                <w:highlight w:val="none"/>
              </w:rPr>
            </w:pPr>
          </w:p>
          <w:p w14:paraId="24AD7CE3">
            <w:pPr>
              <w:spacing w:line="360" w:lineRule="auto"/>
              <w:rPr>
                <w:rFonts w:hint="eastAsia" w:ascii="宋体" w:hAnsi="Times New Roman"/>
                <w:b/>
                <w:color w:val="auto"/>
                <w:sz w:val="24"/>
                <w:szCs w:val="24"/>
                <w:highlight w:val="none"/>
              </w:rPr>
            </w:pPr>
            <w:r>
              <w:rPr>
                <w:rFonts w:hint="eastAsia" w:ascii="宋体" w:hAnsi="Times New Roman"/>
                <w:b/>
                <w:color w:val="auto"/>
                <w:sz w:val="24"/>
                <w:szCs w:val="24"/>
                <w:highlight w:val="none"/>
              </w:rPr>
              <w:t>委托代理人身份证扫描件粘帖处（正、反面）</w:t>
            </w:r>
          </w:p>
        </w:tc>
      </w:tr>
    </w:tbl>
    <w:p w14:paraId="3041830E">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48DD972D">
      <w:pPr>
        <w:snapToGrid w:val="0"/>
        <w:spacing w:before="120" w:beforeLines="50" w:after="50"/>
        <w:ind w:firstLine="566" w:firstLineChars="236"/>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5CB66AD">
      <w:pPr>
        <w:snapToGrid w:val="0"/>
        <w:spacing w:before="120" w:beforeLines="50" w:after="50"/>
        <w:ind w:firstLine="566" w:firstLineChars="236"/>
        <w:jc w:val="center"/>
        <w:rPr>
          <w:rFonts w:hint="eastAsia" w:ascii="宋体" w:hAnsi="宋体"/>
          <w:color w:val="auto"/>
          <w:sz w:val="24"/>
          <w:szCs w:val="24"/>
          <w:highlight w:val="none"/>
        </w:rPr>
      </w:pPr>
    </w:p>
    <w:p w14:paraId="00507072">
      <w:pPr>
        <w:snapToGrid w:val="0"/>
        <w:spacing w:before="120" w:beforeLines="50" w:after="50"/>
        <w:ind w:firstLine="566" w:firstLineChars="236"/>
        <w:jc w:val="center"/>
        <w:rPr>
          <w:rFonts w:hint="eastAsia" w:ascii="宋体" w:hAnsi="宋体"/>
          <w:color w:val="auto"/>
          <w:sz w:val="24"/>
          <w:szCs w:val="24"/>
          <w:highlight w:val="none"/>
        </w:rPr>
      </w:pPr>
    </w:p>
    <w:p w14:paraId="0F7293C3">
      <w:pPr>
        <w:snapToGrid w:val="0"/>
        <w:spacing w:before="120" w:beforeLines="50" w:after="50"/>
        <w:ind w:firstLine="566" w:firstLineChars="236"/>
        <w:jc w:val="center"/>
        <w:rPr>
          <w:rFonts w:hint="eastAsia" w:ascii="宋体" w:hAnsi="宋体"/>
          <w:color w:val="auto"/>
          <w:sz w:val="24"/>
          <w:szCs w:val="24"/>
          <w:highlight w:val="none"/>
        </w:rPr>
      </w:pPr>
    </w:p>
    <w:p w14:paraId="3DCEF1AF">
      <w:pPr>
        <w:snapToGrid w:val="0"/>
        <w:spacing w:before="120" w:beforeLines="50" w:after="50"/>
        <w:ind w:firstLine="566" w:firstLineChars="236"/>
        <w:jc w:val="center"/>
        <w:rPr>
          <w:rFonts w:hint="eastAsia" w:ascii="宋体" w:hAnsi="宋体"/>
          <w:color w:val="auto"/>
          <w:sz w:val="24"/>
          <w:szCs w:val="24"/>
          <w:highlight w:val="none"/>
        </w:rPr>
      </w:pPr>
    </w:p>
    <w:p w14:paraId="306BFD7E">
      <w:pPr>
        <w:snapToGrid w:val="0"/>
        <w:spacing w:before="120" w:beforeLines="50" w:after="50"/>
        <w:ind w:firstLine="566" w:firstLineChars="236"/>
        <w:jc w:val="center"/>
        <w:rPr>
          <w:rFonts w:hint="eastAsia" w:ascii="宋体" w:hAnsi="宋体"/>
          <w:color w:val="auto"/>
          <w:sz w:val="24"/>
          <w:szCs w:val="24"/>
          <w:highlight w:val="none"/>
        </w:rPr>
      </w:pPr>
    </w:p>
    <w:p w14:paraId="17B94996">
      <w:pPr>
        <w:snapToGrid w:val="0"/>
        <w:spacing w:before="120" w:beforeLines="50" w:after="50"/>
        <w:ind w:firstLine="566" w:firstLineChars="236"/>
        <w:jc w:val="center"/>
        <w:rPr>
          <w:rFonts w:hint="eastAsia" w:ascii="宋体" w:hAnsi="宋体"/>
          <w:color w:val="auto"/>
          <w:sz w:val="24"/>
          <w:szCs w:val="24"/>
          <w:highlight w:val="none"/>
        </w:rPr>
      </w:pPr>
    </w:p>
    <w:p w14:paraId="615CB2E3">
      <w:pPr>
        <w:snapToGrid w:val="0"/>
        <w:spacing w:before="120" w:beforeLines="50" w:after="50"/>
        <w:ind w:firstLine="566" w:firstLineChars="236"/>
        <w:jc w:val="center"/>
        <w:rPr>
          <w:rFonts w:hint="eastAsia" w:ascii="宋体" w:hAnsi="宋体"/>
          <w:color w:val="auto"/>
          <w:sz w:val="24"/>
          <w:szCs w:val="24"/>
          <w:highlight w:val="none"/>
        </w:rPr>
      </w:pPr>
    </w:p>
    <w:p w14:paraId="36B161EA">
      <w:pPr>
        <w:snapToGrid w:val="0"/>
        <w:spacing w:before="120" w:beforeLines="50" w:after="50"/>
        <w:ind w:firstLine="495" w:firstLineChars="236"/>
        <w:jc w:val="center"/>
        <w:rPr>
          <w:rFonts w:hint="eastAsia" w:ascii="宋体" w:hAnsi="宋体"/>
          <w:color w:val="auto"/>
          <w:szCs w:val="24"/>
          <w:highlight w:val="none"/>
        </w:rPr>
      </w:pPr>
    </w:p>
    <w:p w14:paraId="5FF6B1FC">
      <w:pPr>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四、商务条款偏离表</w:t>
      </w:r>
    </w:p>
    <w:p w14:paraId="3DC56C97">
      <w:pPr>
        <w:jc w:val="center"/>
        <w:rPr>
          <w:rFonts w:ascii="宋体" w:hAnsi="宋体"/>
          <w:b/>
          <w:color w:val="auto"/>
          <w:szCs w:val="21"/>
          <w:highlight w:val="none"/>
        </w:rPr>
      </w:pPr>
      <w:r>
        <w:rPr>
          <w:rFonts w:hint="eastAsia" w:ascii="宋体" w:hAnsi="宋体"/>
          <w:color w:val="auto"/>
          <w:szCs w:val="21"/>
          <w:highlight w:val="none"/>
        </w:rPr>
        <w:t>(注：按项目需求表具体项目修改)</w:t>
      </w:r>
    </w:p>
    <w:p w14:paraId="2D3B4044">
      <w:pPr>
        <w:snapToGrid w:val="0"/>
        <w:spacing w:before="50"/>
        <w:jc w:val="left"/>
        <w:rPr>
          <w:rFonts w:hint="eastAsia" w:ascii="宋体" w:hAnsi="宋体"/>
          <w:color w:val="auto"/>
          <w:szCs w:val="21"/>
          <w:highlight w:val="none"/>
        </w:rPr>
      </w:pPr>
    </w:p>
    <w:p w14:paraId="220E5AF8">
      <w:pPr>
        <w:spacing w:line="360" w:lineRule="auto"/>
        <w:ind w:left="-424" w:leftChars="-202" w:firstLine="846"/>
        <w:rPr>
          <w:rFonts w:hint="eastAsia" w:ascii="宋体" w:hAnsi="宋体"/>
          <w:color w:val="auto"/>
          <w:szCs w:val="21"/>
          <w:highlight w:val="none"/>
        </w:rPr>
      </w:pPr>
      <w:r>
        <w:rPr>
          <w:rFonts w:hint="eastAsia" w:ascii="宋体" w:hAnsi="宋体"/>
          <w:color w:val="auto"/>
          <w:szCs w:val="21"/>
          <w:highlight w:val="none"/>
        </w:rPr>
        <w:t>请逐条对应本项目</w:t>
      </w:r>
      <w:r>
        <w:rPr>
          <w:rFonts w:hint="eastAsia" w:ascii="宋体" w:hAnsi="宋体"/>
          <w:color w:val="auto"/>
          <w:szCs w:val="21"/>
          <w:highlight w:val="none"/>
          <w:lang w:eastAsia="zh-CN"/>
        </w:rPr>
        <w:t>征集文件</w:t>
      </w:r>
      <w:r>
        <w:rPr>
          <w:rFonts w:hint="eastAsia" w:ascii="宋体" w:hAnsi="宋体"/>
          <w:color w:val="auto"/>
          <w:szCs w:val="21"/>
          <w:highlight w:val="none"/>
        </w:rPr>
        <w:t>第二章“服务需求一览表”中“商务条款”的要求，详细填写相应的具体内容。“偏离说明”一栏应当选择“正偏离”、“负偏离”或“无偏离”进行填写。</w:t>
      </w:r>
    </w:p>
    <w:tbl>
      <w:tblPr>
        <w:tblStyle w:val="2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0DA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6072DEC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11DFBA0">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征集文件的商务需求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D407970">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CC4B622">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1B8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BB496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9CB40E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6530066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46BB155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4479218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F6C872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5217829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0F610428">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40A57B5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C8A8CD0">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5C5B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FD03A6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505C29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07CB0CE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275D39F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3CDB2D7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769795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04CE3472">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7C06F2A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7A6E4B2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C22152">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7279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FA2748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7C3F0A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0DC860B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50D3B11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0C3DEE9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AFD90A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47475EE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3712102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0AAD56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9E0C40">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543A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05BE7927">
            <w:pPr>
              <w:spacing w:line="340" w:lineRule="exact"/>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6F4F2688">
      <w:pPr>
        <w:keepNext w:val="0"/>
        <w:keepLines w:val="0"/>
        <w:pageBreakBefore w:val="0"/>
        <w:widowControl w:val="0"/>
        <w:kinsoku/>
        <w:wordWrap/>
        <w:overflowPunct/>
        <w:topLinePunct w:val="0"/>
        <w:autoSpaceDE/>
        <w:autoSpaceDN/>
        <w:bidi w:val="0"/>
        <w:adjustRightInd/>
        <w:snapToGrid w:val="0"/>
        <w:spacing w:before="0" w:beforeLines="100" w:line="360" w:lineRule="auto"/>
        <w:ind w:firstLine="4954" w:firstLineChars="2350"/>
        <w:textAlignment w:val="auto"/>
        <w:rPr>
          <w:rFonts w:hint="eastAsia" w:ascii="宋体" w:hAnsi="宋体" w:cs="仿宋_GB2312"/>
          <w:b/>
          <w:color w:val="auto"/>
          <w:kern w:val="0"/>
          <w:szCs w:val="21"/>
          <w:highlight w:val="none"/>
          <w:u w:val="single"/>
          <w:lang w:val="zh-CN"/>
        </w:rPr>
      </w:pPr>
      <w:r>
        <w:rPr>
          <w:rFonts w:hint="eastAsia" w:ascii="宋体" w:hAnsi="宋体" w:cs="仿宋_GB2312"/>
          <w:b/>
          <w:color w:val="auto"/>
          <w:kern w:val="0"/>
          <w:szCs w:val="21"/>
          <w:highlight w:val="none"/>
          <w:u w:val="single"/>
          <w:lang w:val="zh-CN"/>
        </w:rPr>
        <w:t xml:space="preserve">供应商名称(电子签章)：       </w:t>
      </w:r>
    </w:p>
    <w:p w14:paraId="344A14AC">
      <w:pPr>
        <w:keepNext w:val="0"/>
        <w:keepLines w:val="0"/>
        <w:pageBreakBefore w:val="0"/>
        <w:widowControl w:val="0"/>
        <w:kinsoku/>
        <w:wordWrap/>
        <w:overflowPunct/>
        <w:topLinePunct w:val="0"/>
        <w:autoSpaceDE/>
        <w:autoSpaceDN/>
        <w:bidi w:val="0"/>
        <w:adjustRightInd/>
        <w:snapToGrid w:val="0"/>
        <w:spacing w:before="0" w:beforeLines="100" w:line="360" w:lineRule="auto"/>
        <w:ind w:firstLine="5145" w:firstLineChars="2450"/>
        <w:textAlignment w:val="auto"/>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5870E781">
      <w:pPr>
        <w:spacing w:line="360" w:lineRule="auto"/>
        <w:ind w:left="-708" w:leftChars="-337"/>
        <w:rPr>
          <w:rFonts w:hint="eastAsia" w:ascii="宋体" w:hAnsi="宋体"/>
          <w:color w:val="auto"/>
          <w:szCs w:val="21"/>
          <w:highlight w:val="none"/>
        </w:rPr>
      </w:pPr>
    </w:p>
    <w:p w14:paraId="6D6D215B">
      <w:pPr>
        <w:spacing w:line="360" w:lineRule="auto"/>
        <w:ind w:left="-708" w:leftChars="-337"/>
        <w:rPr>
          <w:rFonts w:hint="eastAsia" w:ascii="宋体" w:hAnsi="宋体"/>
          <w:color w:val="auto"/>
          <w:szCs w:val="21"/>
          <w:highlight w:val="none"/>
        </w:rPr>
      </w:pPr>
    </w:p>
    <w:p w14:paraId="4FB7BE59">
      <w:pPr>
        <w:spacing w:line="360" w:lineRule="auto"/>
        <w:ind w:left="-708" w:leftChars="-337"/>
        <w:rPr>
          <w:rFonts w:ascii="宋体" w:hAnsi="宋体"/>
          <w:color w:val="auto"/>
          <w:szCs w:val="21"/>
          <w:highlight w:val="none"/>
        </w:rPr>
      </w:pPr>
      <w:r>
        <w:rPr>
          <w:rFonts w:hint="eastAsia" w:ascii="宋体" w:hAnsi="宋体"/>
          <w:color w:val="auto"/>
          <w:szCs w:val="21"/>
          <w:highlight w:val="none"/>
        </w:rPr>
        <w:t>注：</w:t>
      </w:r>
    </w:p>
    <w:p w14:paraId="4D6F91BB">
      <w:pPr>
        <w:spacing w:line="360" w:lineRule="auto"/>
        <w:ind w:left="-708" w:leftChars="-337"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表格内容均需按要求填写并盖章，否则按投标无效处理。</w:t>
      </w:r>
    </w:p>
    <w:p w14:paraId="1B7C2D0B">
      <w:pPr>
        <w:spacing w:line="360" w:lineRule="auto"/>
        <w:ind w:left="-603" w:leftChars="-287" w:firstLine="315" w:firstLineChars="15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当投标文件的商务内容低于</w:t>
      </w:r>
      <w:r>
        <w:rPr>
          <w:rFonts w:hint="eastAsia" w:ascii="宋体" w:hAnsi="宋体"/>
          <w:color w:val="auto"/>
          <w:szCs w:val="21"/>
          <w:highlight w:val="none"/>
          <w:lang w:eastAsia="zh-CN"/>
        </w:rPr>
        <w:t>征集文件</w:t>
      </w:r>
      <w:r>
        <w:rPr>
          <w:rFonts w:hint="eastAsia" w:ascii="宋体" w:hAnsi="宋体"/>
          <w:color w:val="auto"/>
          <w:szCs w:val="21"/>
          <w:highlight w:val="none"/>
        </w:rPr>
        <w:t>要求时，供应商应当如实写明“负偏离”，否则视为虚假应标。</w:t>
      </w:r>
    </w:p>
    <w:p w14:paraId="340A15E1">
      <w:pPr>
        <w:spacing w:line="360" w:lineRule="auto"/>
        <w:ind w:left="-708" w:leftChars="-337" w:firstLine="420" w:firstLineChars="200"/>
        <w:rPr>
          <w:rFonts w:ascii="宋体" w:hAnsi="宋体"/>
          <w:color w:val="auto"/>
          <w:szCs w:val="21"/>
          <w:highlight w:val="none"/>
        </w:rPr>
      </w:pPr>
      <w:r>
        <w:rPr>
          <w:rFonts w:hint="eastAsia" w:ascii="宋体" w:hAnsi="宋体" w:cs="宋体"/>
          <w:color w:val="auto"/>
          <w:szCs w:val="21"/>
          <w:highlight w:val="none"/>
        </w:rPr>
        <w:t>3.采购需求中带“▲”及“★”的条款，也要分别在本表“</w:t>
      </w:r>
      <w:r>
        <w:rPr>
          <w:rFonts w:hint="eastAsia" w:ascii="宋体" w:hAnsi="宋体"/>
          <w:color w:val="auto"/>
          <w:szCs w:val="21"/>
          <w:highlight w:val="none"/>
        </w:rPr>
        <w:t>投标文件的商务需求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468CF37E">
      <w:pPr>
        <w:snapToGrid w:val="0"/>
        <w:spacing w:before="50" w:after="50"/>
        <w:rPr>
          <w:rFonts w:ascii="宋体" w:hAnsi="宋体"/>
          <w:color w:val="auto"/>
          <w:szCs w:val="21"/>
          <w:highlight w:val="none"/>
        </w:rPr>
      </w:pPr>
    </w:p>
    <w:p w14:paraId="508E4742">
      <w:pPr>
        <w:snapToGrid w:val="0"/>
        <w:spacing w:line="360" w:lineRule="auto"/>
        <w:ind w:firstLine="4935" w:firstLineChars="2350"/>
        <w:rPr>
          <w:rFonts w:hint="eastAsia" w:ascii="宋体" w:hAnsi="宋体" w:cs="仿宋_GB2312"/>
          <w:color w:val="auto"/>
          <w:kern w:val="0"/>
          <w:szCs w:val="21"/>
          <w:highlight w:val="none"/>
          <w:lang w:val="zh-CN"/>
        </w:rPr>
      </w:pPr>
      <w:r>
        <w:rPr>
          <w:rFonts w:ascii="宋体" w:hAnsi="宋体"/>
          <w:color w:val="auto"/>
          <w:szCs w:val="21"/>
          <w:highlight w:val="none"/>
        </w:rPr>
        <w:t xml:space="preserve"> </w:t>
      </w:r>
    </w:p>
    <w:p w14:paraId="3353D226">
      <w:pPr>
        <w:widowControl/>
        <w:jc w:val="left"/>
        <w:rPr>
          <w:rFonts w:ascii="宋体" w:hAnsi="宋体"/>
          <w:color w:val="auto"/>
          <w:szCs w:val="21"/>
          <w:highlight w:val="none"/>
        </w:rPr>
        <w:sectPr>
          <w:pgSz w:w="11906" w:h="16838"/>
          <w:pgMar w:top="1440" w:right="1797" w:bottom="1440" w:left="1797" w:header="851" w:footer="992" w:gutter="0"/>
          <w:pgNumType w:fmt="decimal"/>
          <w:cols w:space="720" w:num="1"/>
        </w:sectPr>
      </w:pPr>
    </w:p>
    <w:p w14:paraId="3EC7CD76">
      <w:pPr>
        <w:snapToGrid w:val="0"/>
        <w:spacing w:before="165" w:beforeLines="50" w:after="50"/>
        <w:ind w:left="142"/>
        <w:jc w:val="center"/>
        <w:rPr>
          <w:rFonts w:hint="default" w:ascii="宋体" w:hAnsi="宋体" w:eastAsia="宋体" w:cs="宋体"/>
          <w:b/>
          <w:color w:val="auto"/>
          <w:sz w:val="32"/>
          <w:szCs w:val="32"/>
          <w:highlight w:val="none"/>
          <w:lang w:val="en-US" w:eastAsia="zh-CN"/>
        </w:rPr>
      </w:pPr>
      <w:r>
        <w:rPr>
          <w:rFonts w:hint="eastAsia" w:ascii="Times New Roman" w:hAnsi="Times New Roman"/>
          <w:b/>
          <w:bCs/>
          <w:color w:val="auto"/>
          <w:sz w:val="30"/>
          <w:szCs w:val="30"/>
          <w:highlight w:val="none"/>
        </w:rPr>
        <w:t>五、</w:t>
      </w:r>
      <w:r>
        <w:rPr>
          <w:rFonts w:hint="eastAsia" w:ascii="宋体" w:hAnsi="宋体" w:cs="宋体"/>
          <w:b/>
          <w:color w:val="auto"/>
          <w:sz w:val="32"/>
          <w:szCs w:val="32"/>
          <w:highlight w:val="none"/>
          <w:lang w:val="en-US" w:eastAsia="zh-CN"/>
        </w:rPr>
        <w:t>经营场地（格式自拟）</w:t>
      </w:r>
    </w:p>
    <w:p w14:paraId="001749F5">
      <w:pPr>
        <w:pStyle w:val="12"/>
        <w:bidi w:val="0"/>
        <w:jc w:val="center"/>
        <w:rPr>
          <w:b/>
          <w:bCs/>
          <w:color w:val="auto"/>
          <w:highlight w:val="none"/>
        </w:rPr>
      </w:pPr>
    </w:p>
    <w:p w14:paraId="73031002">
      <w:pPr>
        <w:pStyle w:val="12"/>
        <w:bidi w:val="0"/>
        <w:jc w:val="center"/>
        <w:rPr>
          <w:b/>
          <w:bCs/>
          <w:color w:val="auto"/>
          <w:highlight w:val="none"/>
        </w:rPr>
      </w:pPr>
      <w:r>
        <w:rPr>
          <w:b/>
          <w:bCs/>
          <w:color w:val="auto"/>
          <w:highlight w:val="none"/>
        </w:rPr>
        <w:t>（由供应商自行提供有效的经营场所示意图、土地使用证明或有效的租赁合同）</w:t>
      </w:r>
    </w:p>
    <w:p w14:paraId="25420E80">
      <w:pPr>
        <w:jc w:val="center"/>
        <w:rPr>
          <w:rFonts w:hint="eastAsia" w:ascii="宋体" w:hAnsi="宋体"/>
          <w:b/>
          <w:bCs/>
          <w:color w:val="auto"/>
          <w:sz w:val="32"/>
          <w:szCs w:val="32"/>
          <w:highlight w:val="none"/>
        </w:rPr>
      </w:pPr>
    </w:p>
    <w:p w14:paraId="1C9F74DC">
      <w:pPr>
        <w:rPr>
          <w:rFonts w:hint="eastAsia"/>
          <w:color w:val="auto"/>
          <w:highlight w:val="none"/>
        </w:rPr>
      </w:pPr>
    </w:p>
    <w:p w14:paraId="49DBB15C">
      <w:pPr>
        <w:rPr>
          <w:rFonts w:hint="eastAsia"/>
          <w:color w:val="auto"/>
          <w:highlight w:val="none"/>
        </w:rPr>
      </w:pPr>
    </w:p>
    <w:p w14:paraId="7C8B9A26">
      <w:pPr>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0C97CBD5">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BE2F88B">
      <w:pPr>
        <w:snapToGrid w:val="0"/>
        <w:spacing w:before="165" w:beforeLines="50" w:after="50"/>
        <w:rPr>
          <w:rFonts w:hint="eastAsia" w:ascii="宋体" w:hAnsi="宋体" w:cs="宋体"/>
          <w:b/>
          <w:bCs/>
          <w:color w:val="auto"/>
          <w:sz w:val="30"/>
          <w:szCs w:val="30"/>
          <w:highlight w:val="none"/>
        </w:rPr>
      </w:pPr>
    </w:p>
    <w:p w14:paraId="76F380B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必须按本评分标准的要求清晰标识出经营场所中的厂房面积，如因供应商未进行标识或标识不清导致其少得分或不得分的后果由供应商自行承担，土地使用证明（自有）或有效的租赁合同（属租用的需提供房产证或土地使用证明复印件；租赁合同有效期为两年及以上）为准，按此标准打分，其中厂房地址应与营业执照地址保持一致。</w:t>
      </w:r>
    </w:p>
    <w:p w14:paraId="72818BDB">
      <w:pPr>
        <w:snapToGrid w:val="0"/>
        <w:spacing w:line="360" w:lineRule="auto"/>
        <w:ind w:firstLine="5145" w:firstLineChars="2450"/>
        <w:rPr>
          <w:rFonts w:hint="eastAsia" w:ascii="宋体" w:hAnsi="宋体" w:cs="仿宋_GB2312"/>
          <w:color w:val="auto"/>
          <w:kern w:val="0"/>
          <w:szCs w:val="21"/>
          <w:highlight w:val="none"/>
          <w:lang w:val="zh-CN"/>
        </w:rPr>
      </w:pPr>
    </w:p>
    <w:p w14:paraId="3B57EC7C">
      <w:pPr>
        <w:snapToGrid w:val="0"/>
        <w:spacing w:before="165" w:beforeLines="50" w:after="50"/>
        <w:ind w:firstLine="422" w:firstLineChars="200"/>
        <w:jc w:val="center"/>
        <w:rPr>
          <w:rFonts w:hint="eastAsia" w:ascii="宋体" w:hAnsi="宋体"/>
          <w:b/>
          <w:bCs/>
          <w:color w:val="auto"/>
          <w:szCs w:val="21"/>
          <w:highlight w:val="none"/>
        </w:rPr>
      </w:pPr>
    </w:p>
    <w:p w14:paraId="43428871">
      <w:pPr>
        <w:widowControl/>
        <w:jc w:val="left"/>
        <w:rPr>
          <w:rFonts w:ascii="Times New Roman" w:hAnsi="Times New Roman"/>
          <w:b/>
          <w:bCs/>
          <w:color w:val="auto"/>
          <w:sz w:val="30"/>
          <w:szCs w:val="30"/>
          <w:highlight w:val="none"/>
        </w:rPr>
        <w:sectPr>
          <w:pgSz w:w="11906" w:h="16838"/>
          <w:pgMar w:top="1134" w:right="1134" w:bottom="1134" w:left="1134" w:header="720" w:footer="720" w:gutter="0"/>
          <w:pgNumType w:fmt="decimal"/>
          <w:cols w:space="720" w:num="1"/>
          <w:docGrid w:type="lines" w:linePitch="331" w:charSpace="0"/>
        </w:sectPr>
      </w:pPr>
    </w:p>
    <w:p w14:paraId="30CED4B3">
      <w:pPr>
        <w:snapToGrid w:val="0"/>
        <w:spacing w:before="165" w:beforeLines="50" w:after="50"/>
        <w:ind w:firstLine="602" w:firstLineChars="200"/>
        <w:jc w:val="center"/>
        <w:rPr>
          <w:rFonts w:hint="eastAsia" w:ascii="宋体" w:hAnsi="宋体" w:cs="宋体"/>
          <w:b/>
          <w:bCs/>
          <w:color w:val="auto"/>
          <w:sz w:val="30"/>
          <w:szCs w:val="30"/>
          <w:highlight w:val="none"/>
        </w:rPr>
      </w:pPr>
      <w:bookmarkStart w:id="141" w:name="_Toc19686839"/>
      <w:r>
        <w:rPr>
          <w:rFonts w:hint="eastAsia" w:ascii="宋体" w:hAnsi="宋体" w:cs="宋体"/>
          <w:b/>
          <w:bCs/>
          <w:color w:val="auto"/>
          <w:sz w:val="30"/>
          <w:szCs w:val="30"/>
          <w:highlight w:val="none"/>
        </w:rPr>
        <w:t>六、技术工人配备</w:t>
      </w:r>
    </w:p>
    <w:p w14:paraId="3E2F069F">
      <w:pPr>
        <w:pStyle w:val="12"/>
        <w:bidi w:val="0"/>
        <w:jc w:val="center"/>
        <w:rPr>
          <w:b/>
          <w:bCs/>
          <w:color w:val="auto"/>
          <w:sz w:val="28"/>
          <w:szCs w:val="28"/>
          <w:highlight w:val="none"/>
        </w:rPr>
      </w:pPr>
      <w:r>
        <w:rPr>
          <w:rFonts w:hint="eastAsia"/>
          <w:b/>
          <w:bCs/>
          <w:color w:val="auto"/>
          <w:sz w:val="28"/>
          <w:szCs w:val="28"/>
          <w:highlight w:val="none"/>
          <w:lang w:val="en-US" w:eastAsia="zh-CN"/>
        </w:rPr>
        <w:t>技术工人配备</w:t>
      </w:r>
      <w:r>
        <w:rPr>
          <w:b/>
          <w:bCs/>
          <w:color w:val="auto"/>
          <w:sz w:val="28"/>
          <w:szCs w:val="28"/>
          <w:highlight w:val="none"/>
        </w:rPr>
        <w:t>一览表</w:t>
      </w:r>
    </w:p>
    <w:tbl>
      <w:tblPr>
        <w:tblStyle w:val="25"/>
        <w:tblW w:w="9326"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3"/>
        <w:gridCol w:w="1036"/>
        <w:gridCol w:w="854"/>
        <w:gridCol w:w="2400"/>
        <w:gridCol w:w="1650"/>
        <w:gridCol w:w="1575"/>
        <w:gridCol w:w="1038"/>
      </w:tblGrid>
      <w:tr w14:paraId="17B8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773" w:type="dxa"/>
            <w:noWrap w:val="0"/>
            <w:vAlign w:val="center"/>
          </w:tcPr>
          <w:p w14:paraId="6608B2C2">
            <w:pPr>
              <w:pStyle w:val="36"/>
              <w:ind w:left="239"/>
              <w:jc w:val="center"/>
              <w:rPr>
                <w:rFonts w:hint="eastAsia"/>
                <w:color w:val="auto"/>
                <w:sz w:val="24"/>
                <w:highlight w:val="none"/>
                <w:lang w:val="en-US" w:eastAsia="zh-CN"/>
              </w:rPr>
            </w:pPr>
          </w:p>
          <w:p w14:paraId="41D0F100">
            <w:pPr>
              <w:pStyle w:val="36"/>
              <w:ind w:left="239"/>
              <w:jc w:val="both"/>
              <w:rPr>
                <w:rFonts w:hint="default" w:eastAsia="宋体"/>
                <w:color w:val="auto"/>
                <w:sz w:val="24"/>
                <w:highlight w:val="none"/>
                <w:lang w:val="en-US" w:eastAsia="zh-CN"/>
              </w:rPr>
            </w:pPr>
            <w:r>
              <w:rPr>
                <w:rFonts w:hint="eastAsia"/>
                <w:color w:val="auto"/>
                <w:sz w:val="24"/>
                <w:highlight w:val="none"/>
                <w:lang w:val="en-US" w:eastAsia="zh-CN"/>
              </w:rPr>
              <w:t>序号</w:t>
            </w:r>
          </w:p>
        </w:tc>
        <w:tc>
          <w:tcPr>
            <w:tcW w:w="1036" w:type="dxa"/>
            <w:noWrap w:val="0"/>
            <w:vAlign w:val="center"/>
          </w:tcPr>
          <w:p w14:paraId="725AE59A">
            <w:pPr>
              <w:pStyle w:val="36"/>
              <w:ind w:left="185"/>
              <w:jc w:val="center"/>
              <w:rPr>
                <w:rFonts w:hint="eastAsia"/>
                <w:color w:val="auto"/>
                <w:sz w:val="24"/>
                <w:highlight w:val="none"/>
                <w:lang w:val="en-US" w:eastAsia="zh-CN"/>
              </w:rPr>
            </w:pPr>
          </w:p>
          <w:p w14:paraId="5B4CCBBE">
            <w:pPr>
              <w:pStyle w:val="36"/>
              <w:ind w:left="185"/>
              <w:jc w:val="center"/>
              <w:rPr>
                <w:rFonts w:hint="eastAsia" w:eastAsia="宋体"/>
                <w:color w:val="auto"/>
                <w:sz w:val="24"/>
                <w:highlight w:val="none"/>
                <w:lang w:val="en-US" w:eastAsia="zh-CN"/>
              </w:rPr>
            </w:pPr>
            <w:r>
              <w:rPr>
                <w:rFonts w:hint="eastAsia"/>
                <w:color w:val="auto"/>
                <w:sz w:val="24"/>
                <w:highlight w:val="none"/>
                <w:lang w:val="en-US" w:eastAsia="zh-CN"/>
              </w:rPr>
              <w:t>姓名</w:t>
            </w:r>
          </w:p>
        </w:tc>
        <w:tc>
          <w:tcPr>
            <w:tcW w:w="854" w:type="dxa"/>
            <w:noWrap w:val="0"/>
            <w:vAlign w:val="center"/>
          </w:tcPr>
          <w:p w14:paraId="7E7E9E26">
            <w:pPr>
              <w:pStyle w:val="36"/>
              <w:ind w:left="185"/>
              <w:jc w:val="center"/>
              <w:rPr>
                <w:color w:val="auto"/>
                <w:sz w:val="24"/>
                <w:highlight w:val="none"/>
              </w:rPr>
            </w:pPr>
          </w:p>
          <w:p w14:paraId="62876409">
            <w:pPr>
              <w:pStyle w:val="36"/>
              <w:ind w:left="185"/>
              <w:jc w:val="center"/>
              <w:rPr>
                <w:color w:val="auto"/>
                <w:sz w:val="24"/>
                <w:highlight w:val="none"/>
              </w:rPr>
            </w:pPr>
            <w:r>
              <w:rPr>
                <w:color w:val="auto"/>
                <w:sz w:val="24"/>
                <w:highlight w:val="none"/>
              </w:rPr>
              <w:t>职务</w:t>
            </w:r>
          </w:p>
        </w:tc>
        <w:tc>
          <w:tcPr>
            <w:tcW w:w="2400" w:type="dxa"/>
            <w:noWrap w:val="0"/>
            <w:vAlign w:val="center"/>
          </w:tcPr>
          <w:p w14:paraId="5687436B">
            <w:pPr>
              <w:pStyle w:val="36"/>
              <w:spacing w:before="51"/>
              <w:ind w:left="105" w:right="95"/>
              <w:jc w:val="center"/>
              <w:rPr>
                <w:color w:val="auto"/>
                <w:sz w:val="24"/>
                <w:highlight w:val="none"/>
              </w:rPr>
            </w:pPr>
            <w:r>
              <w:rPr>
                <w:color w:val="auto"/>
                <w:sz w:val="24"/>
                <w:highlight w:val="none"/>
              </w:rPr>
              <w:t>专业技术资格</w:t>
            </w:r>
          </w:p>
          <w:p w14:paraId="0AED2B83">
            <w:pPr>
              <w:pStyle w:val="36"/>
              <w:spacing w:before="4" w:line="242" w:lineRule="auto"/>
              <w:ind w:left="107" w:right="95"/>
              <w:jc w:val="center"/>
              <w:rPr>
                <w:color w:val="auto"/>
                <w:sz w:val="24"/>
                <w:highlight w:val="none"/>
              </w:rPr>
            </w:pPr>
            <w:r>
              <w:rPr>
                <w:color w:val="auto"/>
                <w:sz w:val="24"/>
                <w:highlight w:val="none"/>
              </w:rPr>
              <w:t>（职称</w:t>
            </w:r>
            <w:r>
              <w:rPr>
                <w:color w:val="auto"/>
                <w:spacing w:val="-53"/>
                <w:sz w:val="24"/>
                <w:highlight w:val="none"/>
              </w:rPr>
              <w:t>）</w:t>
            </w:r>
            <w:r>
              <w:rPr>
                <w:color w:val="auto"/>
                <w:spacing w:val="-6"/>
                <w:sz w:val="24"/>
                <w:highlight w:val="none"/>
              </w:rPr>
              <w:t>或者职</w:t>
            </w:r>
            <w:r>
              <w:rPr>
                <w:color w:val="auto"/>
                <w:sz w:val="24"/>
                <w:highlight w:val="none"/>
              </w:rPr>
              <w:t>业资格或者执业资格证或者其他证书</w:t>
            </w:r>
          </w:p>
        </w:tc>
        <w:tc>
          <w:tcPr>
            <w:tcW w:w="1650" w:type="dxa"/>
            <w:noWrap w:val="0"/>
            <w:vAlign w:val="center"/>
          </w:tcPr>
          <w:p w14:paraId="53CD8F0C">
            <w:pPr>
              <w:pStyle w:val="36"/>
              <w:jc w:val="center"/>
              <w:rPr>
                <w:color w:val="auto"/>
                <w:sz w:val="24"/>
                <w:highlight w:val="none"/>
              </w:rPr>
            </w:pPr>
            <w:r>
              <w:rPr>
                <w:color w:val="auto"/>
                <w:sz w:val="24"/>
                <w:highlight w:val="none"/>
              </w:rPr>
              <w:t>证书编号</w:t>
            </w:r>
          </w:p>
        </w:tc>
        <w:tc>
          <w:tcPr>
            <w:tcW w:w="1575" w:type="dxa"/>
            <w:noWrap w:val="0"/>
            <w:vAlign w:val="center"/>
          </w:tcPr>
          <w:p w14:paraId="40C9B842">
            <w:pPr>
              <w:pStyle w:val="36"/>
              <w:spacing w:line="336" w:lineRule="auto"/>
              <w:ind w:left="228" w:right="96" w:hanging="120"/>
              <w:jc w:val="center"/>
              <w:rPr>
                <w:color w:val="auto"/>
                <w:sz w:val="24"/>
                <w:highlight w:val="none"/>
              </w:rPr>
            </w:pPr>
            <w:r>
              <w:rPr>
                <w:color w:val="auto"/>
                <w:sz w:val="24"/>
                <w:highlight w:val="none"/>
              </w:rPr>
              <w:t>参加本单位工作时间</w:t>
            </w:r>
          </w:p>
        </w:tc>
        <w:tc>
          <w:tcPr>
            <w:tcW w:w="1038" w:type="dxa"/>
            <w:noWrap w:val="0"/>
            <w:vAlign w:val="center"/>
          </w:tcPr>
          <w:p w14:paraId="3D513833">
            <w:pPr>
              <w:pStyle w:val="36"/>
              <w:ind w:left="200"/>
              <w:jc w:val="center"/>
              <w:rPr>
                <w:rFonts w:hint="default" w:eastAsia="宋体"/>
                <w:color w:val="auto"/>
                <w:sz w:val="24"/>
                <w:highlight w:val="none"/>
                <w:lang w:val="en-US" w:eastAsia="zh-CN"/>
              </w:rPr>
            </w:pPr>
            <w:r>
              <w:rPr>
                <w:rFonts w:hint="eastAsia"/>
                <w:color w:val="auto"/>
                <w:sz w:val="24"/>
                <w:highlight w:val="none"/>
                <w:lang w:val="en-US" w:eastAsia="zh-CN"/>
              </w:rPr>
              <w:t>备注</w:t>
            </w:r>
          </w:p>
        </w:tc>
      </w:tr>
      <w:tr w14:paraId="210B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3" w:type="dxa"/>
            <w:noWrap w:val="0"/>
            <w:vAlign w:val="top"/>
          </w:tcPr>
          <w:p w14:paraId="06C08A8C">
            <w:pPr>
              <w:pStyle w:val="36"/>
              <w:rPr>
                <w:rFonts w:ascii="Times New Roman"/>
                <w:color w:val="auto"/>
                <w:sz w:val="24"/>
                <w:highlight w:val="none"/>
              </w:rPr>
            </w:pPr>
          </w:p>
        </w:tc>
        <w:tc>
          <w:tcPr>
            <w:tcW w:w="1036" w:type="dxa"/>
            <w:noWrap w:val="0"/>
            <w:vAlign w:val="top"/>
          </w:tcPr>
          <w:p w14:paraId="62E2601C">
            <w:pPr>
              <w:pStyle w:val="36"/>
              <w:rPr>
                <w:rFonts w:ascii="Times New Roman"/>
                <w:color w:val="auto"/>
                <w:sz w:val="24"/>
                <w:highlight w:val="none"/>
              </w:rPr>
            </w:pPr>
          </w:p>
        </w:tc>
        <w:tc>
          <w:tcPr>
            <w:tcW w:w="854" w:type="dxa"/>
            <w:noWrap w:val="0"/>
            <w:vAlign w:val="top"/>
          </w:tcPr>
          <w:p w14:paraId="3721D69E">
            <w:pPr>
              <w:pStyle w:val="36"/>
              <w:rPr>
                <w:rFonts w:ascii="Times New Roman"/>
                <w:color w:val="auto"/>
                <w:sz w:val="24"/>
                <w:highlight w:val="none"/>
              </w:rPr>
            </w:pPr>
          </w:p>
        </w:tc>
        <w:tc>
          <w:tcPr>
            <w:tcW w:w="2400" w:type="dxa"/>
            <w:noWrap w:val="0"/>
            <w:vAlign w:val="top"/>
          </w:tcPr>
          <w:p w14:paraId="6C8942C6">
            <w:pPr>
              <w:pStyle w:val="36"/>
              <w:rPr>
                <w:rFonts w:ascii="Times New Roman"/>
                <w:color w:val="auto"/>
                <w:sz w:val="24"/>
                <w:highlight w:val="none"/>
              </w:rPr>
            </w:pPr>
          </w:p>
        </w:tc>
        <w:tc>
          <w:tcPr>
            <w:tcW w:w="1650" w:type="dxa"/>
            <w:noWrap w:val="0"/>
            <w:vAlign w:val="top"/>
          </w:tcPr>
          <w:p w14:paraId="517FB2A2">
            <w:pPr>
              <w:pStyle w:val="36"/>
              <w:rPr>
                <w:rFonts w:ascii="Times New Roman"/>
                <w:color w:val="auto"/>
                <w:sz w:val="24"/>
                <w:highlight w:val="none"/>
              </w:rPr>
            </w:pPr>
          </w:p>
        </w:tc>
        <w:tc>
          <w:tcPr>
            <w:tcW w:w="1575" w:type="dxa"/>
            <w:noWrap w:val="0"/>
            <w:vAlign w:val="top"/>
          </w:tcPr>
          <w:p w14:paraId="3A896868">
            <w:pPr>
              <w:pStyle w:val="36"/>
              <w:rPr>
                <w:rFonts w:ascii="Times New Roman"/>
                <w:color w:val="auto"/>
                <w:sz w:val="24"/>
                <w:highlight w:val="none"/>
              </w:rPr>
            </w:pPr>
          </w:p>
        </w:tc>
        <w:tc>
          <w:tcPr>
            <w:tcW w:w="1038" w:type="dxa"/>
            <w:noWrap w:val="0"/>
            <w:vAlign w:val="top"/>
          </w:tcPr>
          <w:p w14:paraId="0E9FFE03">
            <w:pPr>
              <w:pStyle w:val="36"/>
              <w:rPr>
                <w:rFonts w:ascii="Times New Roman"/>
                <w:color w:val="auto"/>
                <w:sz w:val="24"/>
                <w:highlight w:val="none"/>
              </w:rPr>
            </w:pPr>
          </w:p>
        </w:tc>
      </w:tr>
      <w:tr w14:paraId="1FCF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73" w:type="dxa"/>
            <w:noWrap w:val="0"/>
            <w:vAlign w:val="top"/>
          </w:tcPr>
          <w:p w14:paraId="43D95509">
            <w:pPr>
              <w:pStyle w:val="36"/>
              <w:rPr>
                <w:rFonts w:ascii="Times New Roman"/>
                <w:color w:val="auto"/>
                <w:sz w:val="24"/>
                <w:highlight w:val="none"/>
              </w:rPr>
            </w:pPr>
          </w:p>
        </w:tc>
        <w:tc>
          <w:tcPr>
            <w:tcW w:w="1036" w:type="dxa"/>
            <w:noWrap w:val="0"/>
            <w:vAlign w:val="top"/>
          </w:tcPr>
          <w:p w14:paraId="3174FAA1">
            <w:pPr>
              <w:pStyle w:val="36"/>
              <w:rPr>
                <w:rFonts w:ascii="Times New Roman"/>
                <w:color w:val="auto"/>
                <w:sz w:val="24"/>
                <w:highlight w:val="none"/>
              </w:rPr>
            </w:pPr>
          </w:p>
        </w:tc>
        <w:tc>
          <w:tcPr>
            <w:tcW w:w="854" w:type="dxa"/>
            <w:noWrap w:val="0"/>
            <w:vAlign w:val="top"/>
          </w:tcPr>
          <w:p w14:paraId="75BE600F">
            <w:pPr>
              <w:pStyle w:val="36"/>
              <w:rPr>
                <w:rFonts w:ascii="Times New Roman"/>
                <w:color w:val="auto"/>
                <w:sz w:val="24"/>
                <w:highlight w:val="none"/>
              </w:rPr>
            </w:pPr>
          </w:p>
        </w:tc>
        <w:tc>
          <w:tcPr>
            <w:tcW w:w="2400" w:type="dxa"/>
            <w:noWrap w:val="0"/>
            <w:vAlign w:val="top"/>
          </w:tcPr>
          <w:p w14:paraId="08CFB236">
            <w:pPr>
              <w:pStyle w:val="36"/>
              <w:rPr>
                <w:rFonts w:ascii="Times New Roman"/>
                <w:color w:val="auto"/>
                <w:sz w:val="24"/>
                <w:highlight w:val="none"/>
              </w:rPr>
            </w:pPr>
          </w:p>
        </w:tc>
        <w:tc>
          <w:tcPr>
            <w:tcW w:w="1650" w:type="dxa"/>
            <w:noWrap w:val="0"/>
            <w:vAlign w:val="top"/>
          </w:tcPr>
          <w:p w14:paraId="19374C57">
            <w:pPr>
              <w:pStyle w:val="36"/>
              <w:rPr>
                <w:rFonts w:ascii="Times New Roman"/>
                <w:color w:val="auto"/>
                <w:sz w:val="24"/>
                <w:highlight w:val="none"/>
              </w:rPr>
            </w:pPr>
          </w:p>
        </w:tc>
        <w:tc>
          <w:tcPr>
            <w:tcW w:w="1575" w:type="dxa"/>
            <w:noWrap w:val="0"/>
            <w:vAlign w:val="top"/>
          </w:tcPr>
          <w:p w14:paraId="1378B017">
            <w:pPr>
              <w:pStyle w:val="36"/>
              <w:rPr>
                <w:rFonts w:ascii="Times New Roman"/>
                <w:color w:val="auto"/>
                <w:sz w:val="24"/>
                <w:highlight w:val="none"/>
              </w:rPr>
            </w:pPr>
          </w:p>
        </w:tc>
        <w:tc>
          <w:tcPr>
            <w:tcW w:w="1038" w:type="dxa"/>
            <w:noWrap w:val="0"/>
            <w:vAlign w:val="top"/>
          </w:tcPr>
          <w:p w14:paraId="43E1A9A2">
            <w:pPr>
              <w:pStyle w:val="36"/>
              <w:rPr>
                <w:rFonts w:ascii="Times New Roman"/>
                <w:color w:val="auto"/>
                <w:sz w:val="24"/>
                <w:highlight w:val="none"/>
              </w:rPr>
            </w:pPr>
          </w:p>
        </w:tc>
      </w:tr>
      <w:tr w14:paraId="196B9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73" w:type="dxa"/>
            <w:noWrap w:val="0"/>
            <w:vAlign w:val="top"/>
          </w:tcPr>
          <w:p w14:paraId="436E98F6">
            <w:pPr>
              <w:pStyle w:val="36"/>
              <w:rPr>
                <w:rFonts w:ascii="Times New Roman"/>
                <w:color w:val="auto"/>
                <w:sz w:val="24"/>
                <w:highlight w:val="none"/>
              </w:rPr>
            </w:pPr>
          </w:p>
        </w:tc>
        <w:tc>
          <w:tcPr>
            <w:tcW w:w="1036" w:type="dxa"/>
            <w:noWrap w:val="0"/>
            <w:vAlign w:val="top"/>
          </w:tcPr>
          <w:p w14:paraId="3E48707D">
            <w:pPr>
              <w:pStyle w:val="36"/>
              <w:rPr>
                <w:rFonts w:ascii="Times New Roman"/>
                <w:color w:val="auto"/>
                <w:sz w:val="24"/>
                <w:highlight w:val="none"/>
              </w:rPr>
            </w:pPr>
          </w:p>
        </w:tc>
        <w:tc>
          <w:tcPr>
            <w:tcW w:w="854" w:type="dxa"/>
            <w:noWrap w:val="0"/>
            <w:vAlign w:val="top"/>
          </w:tcPr>
          <w:p w14:paraId="358CDB6C">
            <w:pPr>
              <w:pStyle w:val="36"/>
              <w:rPr>
                <w:rFonts w:ascii="Times New Roman"/>
                <w:color w:val="auto"/>
                <w:sz w:val="24"/>
                <w:highlight w:val="none"/>
              </w:rPr>
            </w:pPr>
          </w:p>
        </w:tc>
        <w:tc>
          <w:tcPr>
            <w:tcW w:w="2400" w:type="dxa"/>
            <w:noWrap w:val="0"/>
            <w:vAlign w:val="top"/>
          </w:tcPr>
          <w:p w14:paraId="36B7D5AC">
            <w:pPr>
              <w:pStyle w:val="36"/>
              <w:rPr>
                <w:rFonts w:ascii="Times New Roman"/>
                <w:color w:val="auto"/>
                <w:sz w:val="24"/>
                <w:highlight w:val="none"/>
              </w:rPr>
            </w:pPr>
          </w:p>
        </w:tc>
        <w:tc>
          <w:tcPr>
            <w:tcW w:w="1650" w:type="dxa"/>
            <w:noWrap w:val="0"/>
            <w:vAlign w:val="top"/>
          </w:tcPr>
          <w:p w14:paraId="36E48B54">
            <w:pPr>
              <w:pStyle w:val="36"/>
              <w:rPr>
                <w:rFonts w:ascii="Times New Roman"/>
                <w:color w:val="auto"/>
                <w:sz w:val="24"/>
                <w:highlight w:val="none"/>
              </w:rPr>
            </w:pPr>
          </w:p>
        </w:tc>
        <w:tc>
          <w:tcPr>
            <w:tcW w:w="1575" w:type="dxa"/>
            <w:noWrap w:val="0"/>
            <w:vAlign w:val="top"/>
          </w:tcPr>
          <w:p w14:paraId="6940C11E">
            <w:pPr>
              <w:pStyle w:val="36"/>
              <w:rPr>
                <w:rFonts w:ascii="Times New Roman"/>
                <w:color w:val="auto"/>
                <w:sz w:val="24"/>
                <w:highlight w:val="none"/>
              </w:rPr>
            </w:pPr>
          </w:p>
        </w:tc>
        <w:tc>
          <w:tcPr>
            <w:tcW w:w="1038" w:type="dxa"/>
            <w:noWrap w:val="0"/>
            <w:vAlign w:val="top"/>
          </w:tcPr>
          <w:p w14:paraId="413289F2">
            <w:pPr>
              <w:pStyle w:val="36"/>
              <w:rPr>
                <w:rFonts w:ascii="Times New Roman"/>
                <w:color w:val="auto"/>
                <w:sz w:val="24"/>
                <w:highlight w:val="none"/>
              </w:rPr>
            </w:pPr>
          </w:p>
        </w:tc>
      </w:tr>
      <w:tr w14:paraId="584F9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73" w:type="dxa"/>
            <w:noWrap w:val="0"/>
            <w:vAlign w:val="top"/>
          </w:tcPr>
          <w:p w14:paraId="3B9B5E80">
            <w:pPr>
              <w:pStyle w:val="36"/>
              <w:rPr>
                <w:rFonts w:ascii="Times New Roman"/>
                <w:color w:val="auto"/>
                <w:sz w:val="24"/>
                <w:highlight w:val="none"/>
              </w:rPr>
            </w:pPr>
          </w:p>
        </w:tc>
        <w:tc>
          <w:tcPr>
            <w:tcW w:w="1036" w:type="dxa"/>
            <w:noWrap w:val="0"/>
            <w:vAlign w:val="top"/>
          </w:tcPr>
          <w:p w14:paraId="0BA8C3C0">
            <w:pPr>
              <w:pStyle w:val="36"/>
              <w:rPr>
                <w:rFonts w:ascii="Times New Roman"/>
                <w:color w:val="auto"/>
                <w:sz w:val="24"/>
                <w:highlight w:val="none"/>
              </w:rPr>
            </w:pPr>
          </w:p>
        </w:tc>
        <w:tc>
          <w:tcPr>
            <w:tcW w:w="854" w:type="dxa"/>
            <w:noWrap w:val="0"/>
            <w:vAlign w:val="top"/>
          </w:tcPr>
          <w:p w14:paraId="422084A7">
            <w:pPr>
              <w:pStyle w:val="36"/>
              <w:rPr>
                <w:rFonts w:ascii="Times New Roman"/>
                <w:color w:val="auto"/>
                <w:sz w:val="24"/>
                <w:highlight w:val="none"/>
              </w:rPr>
            </w:pPr>
          </w:p>
        </w:tc>
        <w:tc>
          <w:tcPr>
            <w:tcW w:w="2400" w:type="dxa"/>
            <w:noWrap w:val="0"/>
            <w:vAlign w:val="top"/>
          </w:tcPr>
          <w:p w14:paraId="737EFE6E">
            <w:pPr>
              <w:pStyle w:val="36"/>
              <w:rPr>
                <w:rFonts w:ascii="Times New Roman"/>
                <w:color w:val="auto"/>
                <w:sz w:val="24"/>
                <w:highlight w:val="none"/>
              </w:rPr>
            </w:pPr>
          </w:p>
        </w:tc>
        <w:tc>
          <w:tcPr>
            <w:tcW w:w="1650" w:type="dxa"/>
            <w:noWrap w:val="0"/>
            <w:vAlign w:val="top"/>
          </w:tcPr>
          <w:p w14:paraId="5A2CA3C1">
            <w:pPr>
              <w:pStyle w:val="36"/>
              <w:rPr>
                <w:rFonts w:ascii="Times New Roman"/>
                <w:color w:val="auto"/>
                <w:sz w:val="24"/>
                <w:highlight w:val="none"/>
              </w:rPr>
            </w:pPr>
          </w:p>
        </w:tc>
        <w:tc>
          <w:tcPr>
            <w:tcW w:w="1575" w:type="dxa"/>
            <w:noWrap w:val="0"/>
            <w:vAlign w:val="top"/>
          </w:tcPr>
          <w:p w14:paraId="6533D6EA">
            <w:pPr>
              <w:pStyle w:val="36"/>
              <w:rPr>
                <w:rFonts w:ascii="Times New Roman"/>
                <w:color w:val="auto"/>
                <w:sz w:val="24"/>
                <w:highlight w:val="none"/>
              </w:rPr>
            </w:pPr>
          </w:p>
        </w:tc>
        <w:tc>
          <w:tcPr>
            <w:tcW w:w="1038" w:type="dxa"/>
            <w:noWrap w:val="0"/>
            <w:vAlign w:val="top"/>
          </w:tcPr>
          <w:p w14:paraId="5CAED5C7">
            <w:pPr>
              <w:pStyle w:val="36"/>
              <w:rPr>
                <w:rFonts w:ascii="Times New Roman"/>
                <w:color w:val="auto"/>
                <w:sz w:val="24"/>
                <w:highlight w:val="none"/>
              </w:rPr>
            </w:pPr>
          </w:p>
        </w:tc>
      </w:tr>
      <w:tr w14:paraId="4BB40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73" w:type="dxa"/>
            <w:noWrap w:val="0"/>
            <w:vAlign w:val="top"/>
          </w:tcPr>
          <w:p w14:paraId="5458C818">
            <w:pPr>
              <w:pStyle w:val="36"/>
              <w:rPr>
                <w:rFonts w:ascii="Times New Roman"/>
                <w:color w:val="auto"/>
                <w:sz w:val="24"/>
                <w:highlight w:val="none"/>
              </w:rPr>
            </w:pPr>
          </w:p>
        </w:tc>
        <w:tc>
          <w:tcPr>
            <w:tcW w:w="1036" w:type="dxa"/>
            <w:noWrap w:val="0"/>
            <w:vAlign w:val="top"/>
          </w:tcPr>
          <w:p w14:paraId="73C25D1C">
            <w:pPr>
              <w:pStyle w:val="36"/>
              <w:rPr>
                <w:rFonts w:ascii="Times New Roman"/>
                <w:color w:val="auto"/>
                <w:sz w:val="24"/>
                <w:highlight w:val="none"/>
              </w:rPr>
            </w:pPr>
          </w:p>
        </w:tc>
        <w:tc>
          <w:tcPr>
            <w:tcW w:w="854" w:type="dxa"/>
            <w:noWrap w:val="0"/>
            <w:vAlign w:val="top"/>
          </w:tcPr>
          <w:p w14:paraId="40128B0F">
            <w:pPr>
              <w:pStyle w:val="36"/>
              <w:rPr>
                <w:rFonts w:ascii="Times New Roman"/>
                <w:color w:val="auto"/>
                <w:sz w:val="24"/>
                <w:highlight w:val="none"/>
              </w:rPr>
            </w:pPr>
          </w:p>
        </w:tc>
        <w:tc>
          <w:tcPr>
            <w:tcW w:w="2400" w:type="dxa"/>
            <w:noWrap w:val="0"/>
            <w:vAlign w:val="top"/>
          </w:tcPr>
          <w:p w14:paraId="7FF6C996">
            <w:pPr>
              <w:pStyle w:val="36"/>
              <w:rPr>
                <w:rFonts w:ascii="Times New Roman"/>
                <w:color w:val="auto"/>
                <w:sz w:val="24"/>
                <w:highlight w:val="none"/>
              </w:rPr>
            </w:pPr>
          </w:p>
        </w:tc>
        <w:tc>
          <w:tcPr>
            <w:tcW w:w="1650" w:type="dxa"/>
            <w:noWrap w:val="0"/>
            <w:vAlign w:val="top"/>
          </w:tcPr>
          <w:p w14:paraId="5282124E">
            <w:pPr>
              <w:pStyle w:val="36"/>
              <w:rPr>
                <w:rFonts w:ascii="Times New Roman"/>
                <w:color w:val="auto"/>
                <w:sz w:val="24"/>
                <w:highlight w:val="none"/>
              </w:rPr>
            </w:pPr>
          </w:p>
        </w:tc>
        <w:tc>
          <w:tcPr>
            <w:tcW w:w="1575" w:type="dxa"/>
            <w:noWrap w:val="0"/>
            <w:vAlign w:val="top"/>
          </w:tcPr>
          <w:p w14:paraId="1C660733">
            <w:pPr>
              <w:pStyle w:val="36"/>
              <w:rPr>
                <w:rFonts w:ascii="Times New Roman"/>
                <w:color w:val="auto"/>
                <w:sz w:val="24"/>
                <w:highlight w:val="none"/>
              </w:rPr>
            </w:pPr>
          </w:p>
        </w:tc>
        <w:tc>
          <w:tcPr>
            <w:tcW w:w="1038" w:type="dxa"/>
            <w:noWrap w:val="0"/>
            <w:vAlign w:val="top"/>
          </w:tcPr>
          <w:p w14:paraId="41A0BAA2">
            <w:pPr>
              <w:pStyle w:val="36"/>
              <w:rPr>
                <w:rFonts w:ascii="Times New Roman"/>
                <w:color w:val="auto"/>
                <w:sz w:val="24"/>
                <w:highlight w:val="none"/>
              </w:rPr>
            </w:pPr>
          </w:p>
        </w:tc>
      </w:tr>
      <w:tr w14:paraId="2AB6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73" w:type="dxa"/>
            <w:noWrap w:val="0"/>
            <w:vAlign w:val="top"/>
          </w:tcPr>
          <w:p w14:paraId="514EBABA">
            <w:pPr>
              <w:pStyle w:val="36"/>
              <w:rPr>
                <w:rFonts w:ascii="Times New Roman"/>
                <w:color w:val="auto"/>
                <w:sz w:val="24"/>
                <w:highlight w:val="none"/>
              </w:rPr>
            </w:pPr>
          </w:p>
        </w:tc>
        <w:tc>
          <w:tcPr>
            <w:tcW w:w="1036" w:type="dxa"/>
            <w:noWrap w:val="0"/>
            <w:vAlign w:val="top"/>
          </w:tcPr>
          <w:p w14:paraId="0724B90D">
            <w:pPr>
              <w:pStyle w:val="36"/>
              <w:rPr>
                <w:rFonts w:ascii="Times New Roman"/>
                <w:color w:val="auto"/>
                <w:sz w:val="24"/>
                <w:highlight w:val="none"/>
              </w:rPr>
            </w:pPr>
          </w:p>
        </w:tc>
        <w:tc>
          <w:tcPr>
            <w:tcW w:w="854" w:type="dxa"/>
            <w:noWrap w:val="0"/>
            <w:vAlign w:val="top"/>
          </w:tcPr>
          <w:p w14:paraId="1D363C7C">
            <w:pPr>
              <w:pStyle w:val="36"/>
              <w:rPr>
                <w:rFonts w:ascii="Times New Roman"/>
                <w:color w:val="auto"/>
                <w:sz w:val="24"/>
                <w:highlight w:val="none"/>
              </w:rPr>
            </w:pPr>
          </w:p>
        </w:tc>
        <w:tc>
          <w:tcPr>
            <w:tcW w:w="2400" w:type="dxa"/>
            <w:noWrap w:val="0"/>
            <w:vAlign w:val="top"/>
          </w:tcPr>
          <w:p w14:paraId="357F82EE">
            <w:pPr>
              <w:pStyle w:val="36"/>
              <w:rPr>
                <w:rFonts w:ascii="Times New Roman"/>
                <w:color w:val="auto"/>
                <w:sz w:val="24"/>
                <w:highlight w:val="none"/>
              </w:rPr>
            </w:pPr>
          </w:p>
        </w:tc>
        <w:tc>
          <w:tcPr>
            <w:tcW w:w="1650" w:type="dxa"/>
            <w:noWrap w:val="0"/>
            <w:vAlign w:val="top"/>
          </w:tcPr>
          <w:p w14:paraId="508F780B">
            <w:pPr>
              <w:pStyle w:val="36"/>
              <w:rPr>
                <w:rFonts w:ascii="Times New Roman"/>
                <w:color w:val="auto"/>
                <w:sz w:val="24"/>
                <w:highlight w:val="none"/>
              </w:rPr>
            </w:pPr>
          </w:p>
        </w:tc>
        <w:tc>
          <w:tcPr>
            <w:tcW w:w="1575" w:type="dxa"/>
            <w:noWrap w:val="0"/>
            <w:vAlign w:val="top"/>
          </w:tcPr>
          <w:p w14:paraId="382C373A">
            <w:pPr>
              <w:pStyle w:val="36"/>
              <w:rPr>
                <w:rFonts w:ascii="Times New Roman"/>
                <w:color w:val="auto"/>
                <w:sz w:val="24"/>
                <w:highlight w:val="none"/>
              </w:rPr>
            </w:pPr>
          </w:p>
        </w:tc>
        <w:tc>
          <w:tcPr>
            <w:tcW w:w="1038" w:type="dxa"/>
            <w:noWrap w:val="0"/>
            <w:vAlign w:val="top"/>
          </w:tcPr>
          <w:p w14:paraId="7029151D">
            <w:pPr>
              <w:pStyle w:val="36"/>
              <w:rPr>
                <w:rFonts w:ascii="Times New Roman"/>
                <w:color w:val="auto"/>
                <w:sz w:val="24"/>
                <w:highlight w:val="none"/>
              </w:rPr>
            </w:pPr>
          </w:p>
        </w:tc>
      </w:tr>
      <w:tr w14:paraId="75ED0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73" w:type="dxa"/>
            <w:noWrap w:val="0"/>
            <w:vAlign w:val="top"/>
          </w:tcPr>
          <w:p w14:paraId="3C564D96">
            <w:pPr>
              <w:pStyle w:val="36"/>
              <w:rPr>
                <w:rFonts w:ascii="Times New Roman"/>
                <w:color w:val="auto"/>
                <w:sz w:val="24"/>
                <w:highlight w:val="none"/>
              </w:rPr>
            </w:pPr>
          </w:p>
        </w:tc>
        <w:tc>
          <w:tcPr>
            <w:tcW w:w="1036" w:type="dxa"/>
            <w:noWrap w:val="0"/>
            <w:vAlign w:val="top"/>
          </w:tcPr>
          <w:p w14:paraId="69F14724">
            <w:pPr>
              <w:pStyle w:val="36"/>
              <w:rPr>
                <w:rFonts w:ascii="Times New Roman"/>
                <w:color w:val="auto"/>
                <w:sz w:val="24"/>
                <w:highlight w:val="none"/>
              </w:rPr>
            </w:pPr>
          </w:p>
        </w:tc>
        <w:tc>
          <w:tcPr>
            <w:tcW w:w="854" w:type="dxa"/>
            <w:noWrap w:val="0"/>
            <w:vAlign w:val="top"/>
          </w:tcPr>
          <w:p w14:paraId="24627F9C">
            <w:pPr>
              <w:pStyle w:val="36"/>
              <w:rPr>
                <w:rFonts w:ascii="Times New Roman"/>
                <w:color w:val="auto"/>
                <w:sz w:val="24"/>
                <w:highlight w:val="none"/>
              </w:rPr>
            </w:pPr>
          </w:p>
        </w:tc>
        <w:tc>
          <w:tcPr>
            <w:tcW w:w="2400" w:type="dxa"/>
            <w:noWrap w:val="0"/>
            <w:vAlign w:val="top"/>
          </w:tcPr>
          <w:p w14:paraId="599B88EE">
            <w:pPr>
              <w:pStyle w:val="36"/>
              <w:rPr>
                <w:rFonts w:ascii="Times New Roman"/>
                <w:color w:val="auto"/>
                <w:sz w:val="24"/>
                <w:highlight w:val="none"/>
              </w:rPr>
            </w:pPr>
          </w:p>
        </w:tc>
        <w:tc>
          <w:tcPr>
            <w:tcW w:w="1650" w:type="dxa"/>
            <w:noWrap w:val="0"/>
            <w:vAlign w:val="top"/>
          </w:tcPr>
          <w:p w14:paraId="37C1EFB4">
            <w:pPr>
              <w:pStyle w:val="36"/>
              <w:rPr>
                <w:rFonts w:ascii="Times New Roman"/>
                <w:color w:val="auto"/>
                <w:sz w:val="24"/>
                <w:highlight w:val="none"/>
              </w:rPr>
            </w:pPr>
          </w:p>
        </w:tc>
        <w:tc>
          <w:tcPr>
            <w:tcW w:w="1575" w:type="dxa"/>
            <w:noWrap w:val="0"/>
            <w:vAlign w:val="top"/>
          </w:tcPr>
          <w:p w14:paraId="35D9A110">
            <w:pPr>
              <w:pStyle w:val="36"/>
              <w:rPr>
                <w:rFonts w:ascii="Times New Roman"/>
                <w:color w:val="auto"/>
                <w:sz w:val="24"/>
                <w:highlight w:val="none"/>
              </w:rPr>
            </w:pPr>
          </w:p>
        </w:tc>
        <w:tc>
          <w:tcPr>
            <w:tcW w:w="1038" w:type="dxa"/>
            <w:noWrap w:val="0"/>
            <w:vAlign w:val="top"/>
          </w:tcPr>
          <w:p w14:paraId="6B9D9A1D">
            <w:pPr>
              <w:pStyle w:val="36"/>
              <w:rPr>
                <w:rFonts w:ascii="Times New Roman"/>
                <w:color w:val="auto"/>
                <w:sz w:val="24"/>
                <w:highlight w:val="none"/>
              </w:rPr>
            </w:pPr>
          </w:p>
        </w:tc>
      </w:tr>
    </w:tbl>
    <w:p w14:paraId="1EB658A6">
      <w:pPr>
        <w:pStyle w:val="12"/>
        <w:spacing w:before="8"/>
        <w:rPr>
          <w:b/>
          <w:color w:val="auto"/>
          <w:sz w:val="37"/>
          <w:highlight w:val="none"/>
        </w:rPr>
      </w:pPr>
    </w:p>
    <w:p w14:paraId="6FBCD947">
      <w:pPr>
        <w:pStyle w:val="12"/>
        <w:bidi w:val="0"/>
        <w:ind w:firstLine="630" w:firstLineChars="300"/>
        <w:rPr>
          <w:color w:val="auto"/>
          <w:highlight w:val="none"/>
        </w:rPr>
      </w:pPr>
      <w:r>
        <w:rPr>
          <w:color w:val="auto"/>
          <w:highlight w:val="none"/>
        </w:rPr>
        <w:t>注：</w:t>
      </w:r>
    </w:p>
    <w:p w14:paraId="213119C4">
      <w:pPr>
        <w:pStyle w:val="12"/>
        <w:numPr>
          <w:ilvl w:val="0"/>
          <w:numId w:val="0"/>
        </w:numPr>
        <w:bidi w:val="0"/>
        <w:ind w:left="798" w:leftChars="0" w:hanging="241" w:firstLineChars="0"/>
        <w:rPr>
          <w:color w:val="auto"/>
          <w:highlight w:val="none"/>
        </w:rPr>
      </w:pPr>
      <w:r>
        <w:rPr>
          <w:rFonts w:hint="default" w:ascii="宋体" w:hAnsi="宋体" w:eastAsia="宋体" w:cs="宋体"/>
          <w:color w:val="auto"/>
          <w:spacing w:val="-17"/>
          <w:w w:val="100"/>
          <w:kern w:val="2"/>
          <w:sz w:val="22"/>
          <w:szCs w:val="22"/>
          <w:highlight w:val="none"/>
          <w:lang w:val="en-US" w:eastAsia="zh-CN" w:bidi="ar-SA"/>
        </w:rPr>
        <w:t>1.</w:t>
      </w:r>
      <w:r>
        <w:rPr>
          <w:color w:val="auto"/>
          <w:highlight w:val="none"/>
        </w:rPr>
        <w:t>在填写时，如本表格不适合</w:t>
      </w:r>
      <w:r>
        <w:rPr>
          <w:rFonts w:hint="eastAsia"/>
          <w:color w:val="auto"/>
          <w:highlight w:val="none"/>
          <w:lang w:val="en-US" w:eastAsia="zh-CN"/>
        </w:rPr>
        <w:t>供应商</w:t>
      </w:r>
      <w:r>
        <w:rPr>
          <w:color w:val="auto"/>
          <w:highlight w:val="none"/>
        </w:rPr>
        <w:t>的实际情况，可根据本表格式自行制表填写。</w:t>
      </w:r>
    </w:p>
    <w:p w14:paraId="418358CF">
      <w:pPr>
        <w:pStyle w:val="12"/>
        <w:numPr>
          <w:ilvl w:val="0"/>
          <w:numId w:val="0"/>
        </w:numPr>
        <w:bidi w:val="0"/>
        <w:ind w:left="798" w:leftChars="0" w:hanging="241" w:firstLineChars="0"/>
        <w:rPr>
          <w:color w:val="auto"/>
          <w:highlight w:val="none"/>
        </w:rPr>
      </w:pPr>
      <w:r>
        <w:rPr>
          <w:rFonts w:hint="default" w:ascii="宋体" w:hAnsi="宋体" w:eastAsia="宋体" w:cs="宋体"/>
          <w:color w:val="auto"/>
          <w:spacing w:val="-17"/>
          <w:w w:val="100"/>
          <w:kern w:val="2"/>
          <w:sz w:val="22"/>
          <w:szCs w:val="22"/>
          <w:highlight w:val="none"/>
          <w:lang w:val="en-US" w:eastAsia="zh-CN" w:bidi="ar-SA"/>
        </w:rPr>
        <w:t>2.</w:t>
      </w:r>
      <w:r>
        <w:rPr>
          <w:color w:val="auto"/>
          <w:highlight w:val="none"/>
        </w:rPr>
        <w:t>供应商应当附本表所列证书的复印件并加盖供应商电子签章。</w:t>
      </w:r>
    </w:p>
    <w:p w14:paraId="6612F8EB">
      <w:pPr>
        <w:pStyle w:val="12"/>
        <w:numPr>
          <w:ilvl w:val="0"/>
          <w:numId w:val="0"/>
        </w:numPr>
        <w:bidi w:val="0"/>
        <w:ind w:left="798" w:leftChars="0" w:hanging="241" w:firstLineChars="0"/>
        <w:rPr>
          <w:color w:val="auto"/>
          <w:sz w:val="21"/>
          <w:szCs w:val="21"/>
          <w:highlight w:val="none"/>
        </w:rPr>
      </w:pPr>
      <w:r>
        <w:rPr>
          <w:rFonts w:hint="default" w:ascii="宋体" w:hAnsi="宋体" w:eastAsia="宋体" w:cs="宋体"/>
          <w:color w:val="auto"/>
          <w:spacing w:val="-17"/>
          <w:w w:val="100"/>
          <w:kern w:val="2"/>
          <w:sz w:val="22"/>
          <w:szCs w:val="22"/>
          <w:highlight w:val="none"/>
          <w:lang w:val="en-US" w:eastAsia="zh-CN" w:bidi="ar-SA"/>
        </w:rPr>
        <w:t>3.</w:t>
      </w:r>
      <w:r>
        <w:rPr>
          <w:rStyle w:val="39"/>
          <w:rFonts w:hint="eastAsia"/>
          <w:color w:val="auto"/>
          <w:highlight w:val="none"/>
        </w:rPr>
        <w:t>技术人员必须是在聘员工，提供由供应商替在聘员工缴纳的社保缴纳证明（在响应文件中提供响</w:t>
      </w:r>
      <w:r>
        <w:rPr>
          <w:rFonts w:hint="eastAsia"/>
          <w:color w:val="auto"/>
          <w:sz w:val="21"/>
          <w:szCs w:val="21"/>
          <w:highlight w:val="none"/>
        </w:rPr>
        <w:t>应文件递交截止时间前半年内连续三个月的社保缴纳证明），否则不得分；</w:t>
      </w:r>
    </w:p>
    <w:p w14:paraId="1D6549CD">
      <w:pPr>
        <w:rPr>
          <w:color w:val="auto"/>
          <w:sz w:val="21"/>
          <w:szCs w:val="21"/>
          <w:highlight w:val="none"/>
        </w:rPr>
      </w:pPr>
    </w:p>
    <w:p w14:paraId="3445E8FB">
      <w:pPr>
        <w:rPr>
          <w:rFonts w:hint="default" w:eastAsia="宋体"/>
          <w:color w:val="auto"/>
          <w:highlight w:val="none"/>
          <w:lang w:val="en-US" w:eastAsia="zh-CN"/>
        </w:rPr>
      </w:pPr>
      <w:r>
        <w:rPr>
          <w:rFonts w:hint="eastAsia"/>
          <w:color w:val="auto"/>
          <w:highlight w:val="none"/>
          <w:lang w:val="en-US" w:eastAsia="zh-CN"/>
        </w:rPr>
        <w:t xml:space="preserve">    </w:t>
      </w:r>
    </w:p>
    <w:p w14:paraId="063D3638">
      <w:pPr>
        <w:pStyle w:val="12"/>
        <w:rPr>
          <w:color w:val="auto"/>
          <w:sz w:val="24"/>
          <w:highlight w:val="none"/>
        </w:rPr>
      </w:pPr>
    </w:p>
    <w:p w14:paraId="32ADDA0D">
      <w:pPr>
        <w:snapToGrid w:val="0"/>
        <w:spacing w:before="165" w:beforeLines="50" w:after="50"/>
        <w:ind w:firstLine="602" w:firstLineChars="200"/>
        <w:jc w:val="center"/>
        <w:rPr>
          <w:rFonts w:hint="eastAsia" w:ascii="宋体" w:hAnsi="宋体" w:cs="宋体"/>
          <w:b/>
          <w:bCs/>
          <w:color w:val="auto"/>
          <w:sz w:val="30"/>
          <w:szCs w:val="30"/>
          <w:highlight w:val="none"/>
        </w:rPr>
      </w:pPr>
    </w:p>
    <w:p w14:paraId="3965C6DB">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551EEBAF">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7E90F6E">
      <w:pPr>
        <w:jc w:val="center"/>
        <w:rPr>
          <w:rFonts w:hint="eastAsia" w:ascii="宋体" w:hAnsi="宋体"/>
          <w:b/>
          <w:bCs/>
          <w:color w:val="auto"/>
          <w:sz w:val="32"/>
          <w:szCs w:val="32"/>
          <w:highlight w:val="none"/>
        </w:rPr>
      </w:pPr>
    </w:p>
    <w:p w14:paraId="4A896EB1">
      <w:pPr>
        <w:jc w:val="center"/>
        <w:rPr>
          <w:rFonts w:hint="eastAsia" w:ascii="宋体" w:hAnsi="宋体"/>
          <w:b/>
          <w:bCs/>
          <w:color w:val="auto"/>
          <w:sz w:val="32"/>
          <w:szCs w:val="32"/>
          <w:highlight w:val="none"/>
        </w:rPr>
      </w:pPr>
    </w:p>
    <w:p w14:paraId="596E14F8">
      <w:pPr>
        <w:jc w:val="center"/>
        <w:rPr>
          <w:rFonts w:hint="eastAsia" w:ascii="宋体" w:hAnsi="宋体"/>
          <w:b/>
          <w:bCs/>
          <w:color w:val="auto"/>
          <w:sz w:val="32"/>
          <w:szCs w:val="32"/>
          <w:highlight w:val="none"/>
          <w:lang w:val="en-US" w:eastAsia="zh-CN"/>
        </w:rPr>
      </w:pPr>
    </w:p>
    <w:p w14:paraId="0D76BB45">
      <w:pPr>
        <w:jc w:val="center"/>
        <w:rPr>
          <w:rFonts w:hint="eastAsia" w:ascii="宋体" w:hAnsi="宋体"/>
          <w:b/>
          <w:bCs/>
          <w:color w:val="auto"/>
          <w:sz w:val="32"/>
          <w:szCs w:val="32"/>
          <w:highlight w:val="none"/>
          <w:lang w:val="en-US" w:eastAsia="zh-CN"/>
        </w:rPr>
      </w:pPr>
    </w:p>
    <w:p w14:paraId="326F584D">
      <w:pPr>
        <w:jc w:val="center"/>
        <w:rPr>
          <w:rFonts w:hint="default" w:ascii="宋体" w:hAnsi="宋体"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七、主要维修检测设备一览表</w:t>
      </w:r>
    </w:p>
    <w:p w14:paraId="78BDEA2B">
      <w:pPr>
        <w:jc w:val="center"/>
        <w:rPr>
          <w:rFonts w:ascii="宋体" w:hAnsi="宋体"/>
          <w:b/>
          <w:bCs/>
          <w:color w:val="auto"/>
          <w:sz w:val="32"/>
          <w:szCs w:val="32"/>
          <w:highlight w:val="none"/>
        </w:rPr>
      </w:pPr>
      <w:r>
        <w:rPr>
          <w:rFonts w:hint="eastAsia" w:ascii="宋体" w:hAnsi="宋体"/>
          <w:b/>
          <w:bCs/>
          <w:color w:val="auto"/>
          <w:sz w:val="32"/>
          <w:szCs w:val="32"/>
          <w:highlight w:val="none"/>
          <w:lang w:val="en-US" w:eastAsia="zh-CN"/>
        </w:rPr>
        <w:t>汽车维修</w:t>
      </w:r>
      <w:r>
        <w:rPr>
          <w:rFonts w:hint="eastAsia" w:ascii="宋体" w:hAnsi="宋体"/>
          <w:b/>
          <w:bCs/>
          <w:color w:val="auto"/>
          <w:sz w:val="32"/>
          <w:szCs w:val="32"/>
          <w:highlight w:val="none"/>
        </w:rPr>
        <w:t>设备一览表</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952"/>
        <w:gridCol w:w="1425"/>
        <w:gridCol w:w="1217"/>
        <w:gridCol w:w="858"/>
        <w:gridCol w:w="1958"/>
        <w:gridCol w:w="1408"/>
      </w:tblGrid>
      <w:tr w14:paraId="1090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36" w:type="dxa"/>
            <w:noWrap w:val="0"/>
            <w:vAlign w:val="center"/>
          </w:tcPr>
          <w:p w14:paraId="7E068BA0">
            <w:pPr>
              <w:pStyle w:val="15"/>
              <w:jc w:val="center"/>
              <w:rPr>
                <w:color w:val="auto"/>
                <w:highlight w:val="none"/>
              </w:rPr>
            </w:pPr>
            <w:r>
              <w:rPr>
                <w:rFonts w:hint="eastAsia"/>
                <w:color w:val="auto"/>
                <w:highlight w:val="none"/>
              </w:rPr>
              <w:t>序号</w:t>
            </w:r>
          </w:p>
        </w:tc>
        <w:tc>
          <w:tcPr>
            <w:tcW w:w="1952" w:type="dxa"/>
            <w:noWrap w:val="0"/>
            <w:vAlign w:val="center"/>
          </w:tcPr>
          <w:p w14:paraId="2F4CB647">
            <w:pPr>
              <w:pStyle w:val="15"/>
              <w:jc w:val="center"/>
              <w:rPr>
                <w:color w:val="auto"/>
                <w:highlight w:val="none"/>
              </w:rPr>
            </w:pPr>
            <w:r>
              <w:rPr>
                <w:rFonts w:hint="eastAsia"/>
                <w:color w:val="auto"/>
                <w:highlight w:val="none"/>
              </w:rPr>
              <w:t>设备名称</w:t>
            </w:r>
          </w:p>
        </w:tc>
        <w:tc>
          <w:tcPr>
            <w:tcW w:w="1425" w:type="dxa"/>
            <w:noWrap w:val="0"/>
            <w:vAlign w:val="center"/>
          </w:tcPr>
          <w:p w14:paraId="14D04875">
            <w:pPr>
              <w:pStyle w:val="15"/>
              <w:jc w:val="center"/>
              <w:rPr>
                <w:color w:val="auto"/>
                <w:highlight w:val="none"/>
              </w:rPr>
            </w:pPr>
            <w:r>
              <w:rPr>
                <w:rFonts w:hint="eastAsia"/>
                <w:color w:val="auto"/>
                <w:highlight w:val="none"/>
              </w:rPr>
              <w:t>型号</w:t>
            </w:r>
          </w:p>
        </w:tc>
        <w:tc>
          <w:tcPr>
            <w:tcW w:w="1217" w:type="dxa"/>
            <w:noWrap w:val="0"/>
            <w:vAlign w:val="center"/>
          </w:tcPr>
          <w:p w14:paraId="58C49438">
            <w:pPr>
              <w:pStyle w:val="15"/>
              <w:jc w:val="center"/>
              <w:rPr>
                <w:color w:val="auto"/>
                <w:highlight w:val="none"/>
              </w:rPr>
            </w:pPr>
            <w:r>
              <w:rPr>
                <w:rFonts w:hint="eastAsia"/>
                <w:color w:val="auto"/>
                <w:highlight w:val="none"/>
              </w:rPr>
              <w:t>产地</w:t>
            </w:r>
          </w:p>
        </w:tc>
        <w:tc>
          <w:tcPr>
            <w:tcW w:w="858" w:type="dxa"/>
            <w:noWrap w:val="0"/>
            <w:vAlign w:val="center"/>
          </w:tcPr>
          <w:p w14:paraId="6E995E9C">
            <w:pPr>
              <w:pStyle w:val="15"/>
              <w:jc w:val="center"/>
              <w:rPr>
                <w:color w:val="auto"/>
                <w:highlight w:val="none"/>
              </w:rPr>
            </w:pPr>
            <w:r>
              <w:rPr>
                <w:rFonts w:hint="eastAsia"/>
                <w:color w:val="auto"/>
                <w:highlight w:val="none"/>
              </w:rPr>
              <w:t>数量</w:t>
            </w:r>
          </w:p>
        </w:tc>
        <w:tc>
          <w:tcPr>
            <w:tcW w:w="1958" w:type="dxa"/>
            <w:noWrap w:val="0"/>
            <w:vAlign w:val="center"/>
          </w:tcPr>
          <w:p w14:paraId="576C2175">
            <w:pPr>
              <w:pStyle w:val="15"/>
              <w:jc w:val="center"/>
              <w:rPr>
                <w:color w:val="auto"/>
                <w:highlight w:val="none"/>
              </w:rPr>
            </w:pPr>
            <w:r>
              <w:rPr>
                <w:rFonts w:hint="eastAsia"/>
                <w:color w:val="auto"/>
                <w:highlight w:val="none"/>
              </w:rPr>
              <w:t>性能状况</w:t>
            </w:r>
          </w:p>
        </w:tc>
        <w:tc>
          <w:tcPr>
            <w:tcW w:w="1408" w:type="dxa"/>
            <w:noWrap w:val="0"/>
            <w:vAlign w:val="center"/>
          </w:tcPr>
          <w:p w14:paraId="22B5EF92">
            <w:pPr>
              <w:pStyle w:val="15"/>
              <w:jc w:val="center"/>
              <w:rPr>
                <w:rFonts w:hint="default" w:eastAsia="宋体"/>
                <w:color w:val="auto"/>
                <w:highlight w:val="none"/>
                <w:lang w:val="en-US" w:eastAsia="zh-CN"/>
              </w:rPr>
            </w:pPr>
            <w:r>
              <w:rPr>
                <w:rFonts w:hint="eastAsia"/>
                <w:color w:val="auto"/>
                <w:highlight w:val="none"/>
                <w:lang w:val="en-US" w:eastAsia="zh-CN"/>
              </w:rPr>
              <w:t>购买时间</w:t>
            </w:r>
          </w:p>
        </w:tc>
      </w:tr>
      <w:tr w14:paraId="10BA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36" w:type="dxa"/>
            <w:noWrap w:val="0"/>
            <w:vAlign w:val="center"/>
          </w:tcPr>
          <w:p w14:paraId="6E566231">
            <w:pPr>
              <w:pStyle w:val="15"/>
              <w:jc w:val="center"/>
              <w:rPr>
                <w:color w:val="auto"/>
                <w:highlight w:val="none"/>
              </w:rPr>
            </w:pPr>
            <w:r>
              <w:rPr>
                <w:rFonts w:hint="eastAsia"/>
                <w:color w:val="auto"/>
                <w:highlight w:val="none"/>
              </w:rPr>
              <w:t>1</w:t>
            </w:r>
          </w:p>
        </w:tc>
        <w:tc>
          <w:tcPr>
            <w:tcW w:w="1952" w:type="dxa"/>
            <w:noWrap w:val="0"/>
            <w:vAlign w:val="center"/>
          </w:tcPr>
          <w:p w14:paraId="3E4B323E">
            <w:pPr>
              <w:pStyle w:val="15"/>
              <w:jc w:val="center"/>
              <w:rPr>
                <w:color w:val="auto"/>
                <w:highlight w:val="none"/>
              </w:rPr>
            </w:pPr>
          </w:p>
        </w:tc>
        <w:tc>
          <w:tcPr>
            <w:tcW w:w="1425" w:type="dxa"/>
            <w:noWrap w:val="0"/>
            <w:vAlign w:val="center"/>
          </w:tcPr>
          <w:p w14:paraId="300D9420">
            <w:pPr>
              <w:pStyle w:val="15"/>
              <w:jc w:val="center"/>
              <w:rPr>
                <w:color w:val="auto"/>
                <w:highlight w:val="none"/>
              </w:rPr>
            </w:pPr>
          </w:p>
        </w:tc>
        <w:tc>
          <w:tcPr>
            <w:tcW w:w="1217" w:type="dxa"/>
            <w:noWrap w:val="0"/>
            <w:vAlign w:val="center"/>
          </w:tcPr>
          <w:p w14:paraId="01E4B070">
            <w:pPr>
              <w:pStyle w:val="15"/>
              <w:jc w:val="center"/>
              <w:rPr>
                <w:color w:val="auto"/>
                <w:highlight w:val="none"/>
              </w:rPr>
            </w:pPr>
          </w:p>
        </w:tc>
        <w:tc>
          <w:tcPr>
            <w:tcW w:w="858" w:type="dxa"/>
            <w:noWrap w:val="0"/>
            <w:vAlign w:val="center"/>
          </w:tcPr>
          <w:p w14:paraId="23AAE94E">
            <w:pPr>
              <w:pStyle w:val="15"/>
              <w:jc w:val="center"/>
              <w:rPr>
                <w:color w:val="auto"/>
                <w:highlight w:val="none"/>
              </w:rPr>
            </w:pPr>
          </w:p>
        </w:tc>
        <w:tc>
          <w:tcPr>
            <w:tcW w:w="1958" w:type="dxa"/>
            <w:noWrap w:val="0"/>
            <w:vAlign w:val="center"/>
          </w:tcPr>
          <w:p w14:paraId="6439B5A2">
            <w:pPr>
              <w:pStyle w:val="15"/>
              <w:jc w:val="center"/>
              <w:rPr>
                <w:color w:val="auto"/>
                <w:highlight w:val="none"/>
              </w:rPr>
            </w:pPr>
          </w:p>
        </w:tc>
        <w:tc>
          <w:tcPr>
            <w:tcW w:w="1408" w:type="dxa"/>
            <w:noWrap w:val="0"/>
            <w:vAlign w:val="center"/>
          </w:tcPr>
          <w:p w14:paraId="39CFE333">
            <w:pPr>
              <w:pStyle w:val="15"/>
              <w:jc w:val="center"/>
              <w:rPr>
                <w:color w:val="auto"/>
                <w:highlight w:val="none"/>
              </w:rPr>
            </w:pPr>
          </w:p>
        </w:tc>
      </w:tr>
      <w:tr w14:paraId="461B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6" w:type="dxa"/>
            <w:noWrap w:val="0"/>
            <w:vAlign w:val="center"/>
          </w:tcPr>
          <w:p w14:paraId="13B4443E">
            <w:pPr>
              <w:pStyle w:val="15"/>
              <w:jc w:val="center"/>
              <w:rPr>
                <w:color w:val="auto"/>
                <w:highlight w:val="none"/>
              </w:rPr>
            </w:pPr>
            <w:r>
              <w:rPr>
                <w:rFonts w:hint="eastAsia"/>
                <w:color w:val="auto"/>
                <w:highlight w:val="none"/>
              </w:rPr>
              <w:t>2</w:t>
            </w:r>
          </w:p>
        </w:tc>
        <w:tc>
          <w:tcPr>
            <w:tcW w:w="1952" w:type="dxa"/>
            <w:noWrap w:val="0"/>
            <w:vAlign w:val="center"/>
          </w:tcPr>
          <w:p w14:paraId="08E99246">
            <w:pPr>
              <w:pStyle w:val="15"/>
              <w:jc w:val="center"/>
              <w:rPr>
                <w:color w:val="auto"/>
                <w:highlight w:val="none"/>
              </w:rPr>
            </w:pPr>
          </w:p>
        </w:tc>
        <w:tc>
          <w:tcPr>
            <w:tcW w:w="1425" w:type="dxa"/>
            <w:noWrap w:val="0"/>
            <w:vAlign w:val="center"/>
          </w:tcPr>
          <w:p w14:paraId="768EC964">
            <w:pPr>
              <w:pStyle w:val="15"/>
              <w:jc w:val="center"/>
              <w:rPr>
                <w:color w:val="auto"/>
                <w:highlight w:val="none"/>
              </w:rPr>
            </w:pPr>
          </w:p>
        </w:tc>
        <w:tc>
          <w:tcPr>
            <w:tcW w:w="1217" w:type="dxa"/>
            <w:noWrap w:val="0"/>
            <w:vAlign w:val="center"/>
          </w:tcPr>
          <w:p w14:paraId="73B1DBA6">
            <w:pPr>
              <w:pStyle w:val="15"/>
              <w:jc w:val="center"/>
              <w:rPr>
                <w:color w:val="auto"/>
                <w:highlight w:val="none"/>
              </w:rPr>
            </w:pPr>
          </w:p>
        </w:tc>
        <w:tc>
          <w:tcPr>
            <w:tcW w:w="858" w:type="dxa"/>
            <w:noWrap w:val="0"/>
            <w:vAlign w:val="center"/>
          </w:tcPr>
          <w:p w14:paraId="1B383975">
            <w:pPr>
              <w:pStyle w:val="15"/>
              <w:jc w:val="center"/>
              <w:rPr>
                <w:color w:val="auto"/>
                <w:highlight w:val="none"/>
              </w:rPr>
            </w:pPr>
          </w:p>
        </w:tc>
        <w:tc>
          <w:tcPr>
            <w:tcW w:w="1958" w:type="dxa"/>
            <w:noWrap w:val="0"/>
            <w:vAlign w:val="center"/>
          </w:tcPr>
          <w:p w14:paraId="0DEBC95A">
            <w:pPr>
              <w:pStyle w:val="15"/>
              <w:jc w:val="center"/>
              <w:rPr>
                <w:color w:val="auto"/>
                <w:highlight w:val="none"/>
              </w:rPr>
            </w:pPr>
          </w:p>
        </w:tc>
        <w:tc>
          <w:tcPr>
            <w:tcW w:w="1408" w:type="dxa"/>
            <w:noWrap w:val="0"/>
            <w:vAlign w:val="center"/>
          </w:tcPr>
          <w:p w14:paraId="5C76B2A3">
            <w:pPr>
              <w:pStyle w:val="15"/>
              <w:jc w:val="center"/>
              <w:rPr>
                <w:color w:val="auto"/>
                <w:highlight w:val="none"/>
              </w:rPr>
            </w:pPr>
          </w:p>
        </w:tc>
      </w:tr>
      <w:tr w14:paraId="3DDD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6" w:type="dxa"/>
            <w:noWrap w:val="0"/>
            <w:vAlign w:val="center"/>
          </w:tcPr>
          <w:p w14:paraId="06922508">
            <w:pPr>
              <w:pStyle w:val="15"/>
              <w:jc w:val="center"/>
              <w:rPr>
                <w:color w:val="auto"/>
                <w:highlight w:val="none"/>
              </w:rPr>
            </w:pPr>
            <w:r>
              <w:rPr>
                <w:rFonts w:hint="eastAsia"/>
                <w:color w:val="auto"/>
                <w:highlight w:val="none"/>
              </w:rPr>
              <w:t>3</w:t>
            </w:r>
          </w:p>
        </w:tc>
        <w:tc>
          <w:tcPr>
            <w:tcW w:w="1952" w:type="dxa"/>
            <w:noWrap w:val="0"/>
            <w:vAlign w:val="center"/>
          </w:tcPr>
          <w:p w14:paraId="7AABE1BF">
            <w:pPr>
              <w:pStyle w:val="15"/>
              <w:jc w:val="center"/>
              <w:rPr>
                <w:color w:val="auto"/>
                <w:highlight w:val="none"/>
              </w:rPr>
            </w:pPr>
          </w:p>
        </w:tc>
        <w:tc>
          <w:tcPr>
            <w:tcW w:w="1425" w:type="dxa"/>
            <w:noWrap w:val="0"/>
            <w:vAlign w:val="center"/>
          </w:tcPr>
          <w:p w14:paraId="05C8DE4B">
            <w:pPr>
              <w:pStyle w:val="15"/>
              <w:jc w:val="center"/>
              <w:rPr>
                <w:color w:val="auto"/>
                <w:highlight w:val="none"/>
              </w:rPr>
            </w:pPr>
          </w:p>
        </w:tc>
        <w:tc>
          <w:tcPr>
            <w:tcW w:w="1217" w:type="dxa"/>
            <w:noWrap w:val="0"/>
            <w:vAlign w:val="center"/>
          </w:tcPr>
          <w:p w14:paraId="63D25002">
            <w:pPr>
              <w:pStyle w:val="15"/>
              <w:jc w:val="center"/>
              <w:rPr>
                <w:color w:val="auto"/>
                <w:highlight w:val="none"/>
              </w:rPr>
            </w:pPr>
          </w:p>
        </w:tc>
        <w:tc>
          <w:tcPr>
            <w:tcW w:w="858" w:type="dxa"/>
            <w:noWrap w:val="0"/>
            <w:vAlign w:val="center"/>
          </w:tcPr>
          <w:p w14:paraId="636EC2D4">
            <w:pPr>
              <w:pStyle w:val="15"/>
              <w:jc w:val="center"/>
              <w:rPr>
                <w:color w:val="auto"/>
                <w:highlight w:val="none"/>
              </w:rPr>
            </w:pPr>
          </w:p>
        </w:tc>
        <w:tc>
          <w:tcPr>
            <w:tcW w:w="1958" w:type="dxa"/>
            <w:noWrap w:val="0"/>
            <w:vAlign w:val="center"/>
          </w:tcPr>
          <w:p w14:paraId="3AD1CD48">
            <w:pPr>
              <w:pStyle w:val="15"/>
              <w:jc w:val="center"/>
              <w:rPr>
                <w:color w:val="auto"/>
                <w:highlight w:val="none"/>
              </w:rPr>
            </w:pPr>
          </w:p>
        </w:tc>
        <w:tc>
          <w:tcPr>
            <w:tcW w:w="1408" w:type="dxa"/>
            <w:noWrap w:val="0"/>
            <w:vAlign w:val="center"/>
          </w:tcPr>
          <w:p w14:paraId="55A2AB30">
            <w:pPr>
              <w:pStyle w:val="15"/>
              <w:jc w:val="center"/>
              <w:rPr>
                <w:color w:val="auto"/>
                <w:highlight w:val="none"/>
              </w:rPr>
            </w:pPr>
          </w:p>
        </w:tc>
      </w:tr>
      <w:tr w14:paraId="3F68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6" w:type="dxa"/>
            <w:noWrap w:val="0"/>
            <w:vAlign w:val="center"/>
          </w:tcPr>
          <w:p w14:paraId="2EB69957">
            <w:pPr>
              <w:pStyle w:val="15"/>
              <w:jc w:val="center"/>
              <w:rPr>
                <w:color w:val="auto"/>
                <w:highlight w:val="none"/>
              </w:rPr>
            </w:pPr>
            <w:r>
              <w:rPr>
                <w:rFonts w:hint="eastAsia"/>
                <w:color w:val="auto"/>
                <w:highlight w:val="none"/>
              </w:rPr>
              <w:t>4</w:t>
            </w:r>
          </w:p>
        </w:tc>
        <w:tc>
          <w:tcPr>
            <w:tcW w:w="1952" w:type="dxa"/>
            <w:noWrap w:val="0"/>
            <w:vAlign w:val="center"/>
          </w:tcPr>
          <w:p w14:paraId="361380F3">
            <w:pPr>
              <w:pStyle w:val="15"/>
              <w:jc w:val="center"/>
              <w:rPr>
                <w:color w:val="auto"/>
                <w:highlight w:val="none"/>
              </w:rPr>
            </w:pPr>
          </w:p>
        </w:tc>
        <w:tc>
          <w:tcPr>
            <w:tcW w:w="1425" w:type="dxa"/>
            <w:noWrap w:val="0"/>
            <w:vAlign w:val="center"/>
          </w:tcPr>
          <w:p w14:paraId="25C98E50">
            <w:pPr>
              <w:pStyle w:val="15"/>
              <w:jc w:val="center"/>
              <w:rPr>
                <w:color w:val="auto"/>
                <w:highlight w:val="none"/>
              </w:rPr>
            </w:pPr>
          </w:p>
        </w:tc>
        <w:tc>
          <w:tcPr>
            <w:tcW w:w="1217" w:type="dxa"/>
            <w:noWrap w:val="0"/>
            <w:vAlign w:val="center"/>
          </w:tcPr>
          <w:p w14:paraId="3ADA1336">
            <w:pPr>
              <w:pStyle w:val="15"/>
              <w:jc w:val="center"/>
              <w:rPr>
                <w:color w:val="auto"/>
                <w:highlight w:val="none"/>
              </w:rPr>
            </w:pPr>
          </w:p>
        </w:tc>
        <w:tc>
          <w:tcPr>
            <w:tcW w:w="858" w:type="dxa"/>
            <w:noWrap w:val="0"/>
            <w:vAlign w:val="center"/>
          </w:tcPr>
          <w:p w14:paraId="4847B7F7">
            <w:pPr>
              <w:pStyle w:val="15"/>
              <w:jc w:val="center"/>
              <w:rPr>
                <w:color w:val="auto"/>
                <w:highlight w:val="none"/>
              </w:rPr>
            </w:pPr>
          </w:p>
        </w:tc>
        <w:tc>
          <w:tcPr>
            <w:tcW w:w="1958" w:type="dxa"/>
            <w:noWrap w:val="0"/>
            <w:vAlign w:val="center"/>
          </w:tcPr>
          <w:p w14:paraId="5244F58C">
            <w:pPr>
              <w:pStyle w:val="15"/>
              <w:jc w:val="center"/>
              <w:rPr>
                <w:color w:val="auto"/>
                <w:highlight w:val="none"/>
              </w:rPr>
            </w:pPr>
          </w:p>
        </w:tc>
        <w:tc>
          <w:tcPr>
            <w:tcW w:w="1408" w:type="dxa"/>
            <w:noWrap w:val="0"/>
            <w:vAlign w:val="center"/>
          </w:tcPr>
          <w:p w14:paraId="2FEA276E">
            <w:pPr>
              <w:pStyle w:val="15"/>
              <w:jc w:val="center"/>
              <w:rPr>
                <w:color w:val="auto"/>
                <w:highlight w:val="none"/>
              </w:rPr>
            </w:pPr>
          </w:p>
        </w:tc>
      </w:tr>
      <w:tr w14:paraId="6E28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6" w:type="dxa"/>
            <w:noWrap w:val="0"/>
            <w:vAlign w:val="center"/>
          </w:tcPr>
          <w:p w14:paraId="014E47A4">
            <w:pPr>
              <w:pStyle w:val="15"/>
              <w:jc w:val="center"/>
              <w:rPr>
                <w:color w:val="auto"/>
                <w:highlight w:val="none"/>
              </w:rPr>
            </w:pPr>
            <w:r>
              <w:rPr>
                <w:rFonts w:hint="eastAsia"/>
                <w:color w:val="auto"/>
                <w:highlight w:val="none"/>
              </w:rPr>
              <w:t>5</w:t>
            </w:r>
          </w:p>
        </w:tc>
        <w:tc>
          <w:tcPr>
            <w:tcW w:w="1952" w:type="dxa"/>
            <w:noWrap w:val="0"/>
            <w:vAlign w:val="center"/>
          </w:tcPr>
          <w:p w14:paraId="121DAFD6">
            <w:pPr>
              <w:pStyle w:val="15"/>
              <w:jc w:val="center"/>
              <w:rPr>
                <w:color w:val="auto"/>
                <w:highlight w:val="none"/>
              </w:rPr>
            </w:pPr>
          </w:p>
        </w:tc>
        <w:tc>
          <w:tcPr>
            <w:tcW w:w="1425" w:type="dxa"/>
            <w:noWrap w:val="0"/>
            <w:vAlign w:val="center"/>
          </w:tcPr>
          <w:p w14:paraId="33691907">
            <w:pPr>
              <w:pStyle w:val="15"/>
              <w:jc w:val="center"/>
              <w:rPr>
                <w:color w:val="auto"/>
                <w:highlight w:val="none"/>
              </w:rPr>
            </w:pPr>
          </w:p>
        </w:tc>
        <w:tc>
          <w:tcPr>
            <w:tcW w:w="1217" w:type="dxa"/>
            <w:noWrap w:val="0"/>
            <w:vAlign w:val="center"/>
          </w:tcPr>
          <w:p w14:paraId="25F49202">
            <w:pPr>
              <w:pStyle w:val="15"/>
              <w:jc w:val="center"/>
              <w:rPr>
                <w:color w:val="auto"/>
                <w:highlight w:val="none"/>
              </w:rPr>
            </w:pPr>
          </w:p>
        </w:tc>
        <w:tc>
          <w:tcPr>
            <w:tcW w:w="858" w:type="dxa"/>
            <w:noWrap w:val="0"/>
            <w:vAlign w:val="center"/>
          </w:tcPr>
          <w:p w14:paraId="7FD77321">
            <w:pPr>
              <w:pStyle w:val="15"/>
              <w:jc w:val="center"/>
              <w:rPr>
                <w:color w:val="auto"/>
                <w:highlight w:val="none"/>
              </w:rPr>
            </w:pPr>
          </w:p>
        </w:tc>
        <w:tc>
          <w:tcPr>
            <w:tcW w:w="1958" w:type="dxa"/>
            <w:noWrap w:val="0"/>
            <w:vAlign w:val="center"/>
          </w:tcPr>
          <w:p w14:paraId="1B4FCAFA">
            <w:pPr>
              <w:pStyle w:val="15"/>
              <w:jc w:val="center"/>
              <w:rPr>
                <w:color w:val="auto"/>
                <w:highlight w:val="none"/>
              </w:rPr>
            </w:pPr>
          </w:p>
        </w:tc>
        <w:tc>
          <w:tcPr>
            <w:tcW w:w="1408" w:type="dxa"/>
            <w:noWrap w:val="0"/>
            <w:vAlign w:val="center"/>
          </w:tcPr>
          <w:p w14:paraId="4E4ECB5F">
            <w:pPr>
              <w:pStyle w:val="15"/>
              <w:jc w:val="center"/>
              <w:rPr>
                <w:color w:val="auto"/>
                <w:highlight w:val="none"/>
              </w:rPr>
            </w:pPr>
          </w:p>
        </w:tc>
      </w:tr>
      <w:tr w14:paraId="0194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36" w:type="dxa"/>
            <w:noWrap w:val="0"/>
            <w:vAlign w:val="center"/>
          </w:tcPr>
          <w:p w14:paraId="50E2267D">
            <w:pPr>
              <w:pStyle w:val="15"/>
              <w:jc w:val="center"/>
              <w:rPr>
                <w:rFonts w:hint="eastAsia" w:eastAsia="宋体"/>
                <w:color w:val="auto"/>
                <w:highlight w:val="none"/>
                <w:lang w:eastAsia="zh-CN"/>
              </w:rPr>
            </w:pPr>
            <w:r>
              <w:rPr>
                <w:rFonts w:hint="eastAsia"/>
                <w:color w:val="auto"/>
                <w:highlight w:val="none"/>
                <w:lang w:val="en-US" w:eastAsia="zh-CN"/>
              </w:rPr>
              <w:t>6</w:t>
            </w:r>
          </w:p>
        </w:tc>
        <w:tc>
          <w:tcPr>
            <w:tcW w:w="1952" w:type="dxa"/>
            <w:noWrap w:val="0"/>
            <w:vAlign w:val="center"/>
          </w:tcPr>
          <w:p w14:paraId="5D869D16">
            <w:pPr>
              <w:pStyle w:val="15"/>
              <w:jc w:val="center"/>
              <w:rPr>
                <w:color w:val="auto"/>
                <w:sz w:val="32"/>
                <w:highlight w:val="none"/>
              </w:rPr>
            </w:pPr>
          </w:p>
        </w:tc>
        <w:tc>
          <w:tcPr>
            <w:tcW w:w="1425" w:type="dxa"/>
            <w:noWrap w:val="0"/>
            <w:vAlign w:val="center"/>
          </w:tcPr>
          <w:p w14:paraId="35ECCC87">
            <w:pPr>
              <w:pStyle w:val="15"/>
              <w:jc w:val="center"/>
              <w:rPr>
                <w:color w:val="auto"/>
                <w:highlight w:val="none"/>
              </w:rPr>
            </w:pPr>
          </w:p>
        </w:tc>
        <w:tc>
          <w:tcPr>
            <w:tcW w:w="1217" w:type="dxa"/>
            <w:noWrap w:val="0"/>
            <w:vAlign w:val="center"/>
          </w:tcPr>
          <w:p w14:paraId="38F59D62">
            <w:pPr>
              <w:pStyle w:val="15"/>
              <w:jc w:val="center"/>
              <w:rPr>
                <w:color w:val="auto"/>
                <w:highlight w:val="none"/>
              </w:rPr>
            </w:pPr>
          </w:p>
        </w:tc>
        <w:tc>
          <w:tcPr>
            <w:tcW w:w="858" w:type="dxa"/>
            <w:noWrap w:val="0"/>
            <w:vAlign w:val="center"/>
          </w:tcPr>
          <w:p w14:paraId="09C2FCB0">
            <w:pPr>
              <w:pStyle w:val="15"/>
              <w:jc w:val="center"/>
              <w:rPr>
                <w:color w:val="auto"/>
                <w:highlight w:val="none"/>
              </w:rPr>
            </w:pPr>
          </w:p>
        </w:tc>
        <w:tc>
          <w:tcPr>
            <w:tcW w:w="1958" w:type="dxa"/>
            <w:noWrap w:val="0"/>
            <w:vAlign w:val="center"/>
          </w:tcPr>
          <w:p w14:paraId="05A9436A">
            <w:pPr>
              <w:pStyle w:val="15"/>
              <w:jc w:val="center"/>
              <w:rPr>
                <w:color w:val="auto"/>
                <w:highlight w:val="none"/>
              </w:rPr>
            </w:pPr>
          </w:p>
        </w:tc>
        <w:tc>
          <w:tcPr>
            <w:tcW w:w="1408" w:type="dxa"/>
            <w:noWrap w:val="0"/>
            <w:vAlign w:val="center"/>
          </w:tcPr>
          <w:p w14:paraId="05700A91">
            <w:pPr>
              <w:pStyle w:val="15"/>
              <w:jc w:val="center"/>
              <w:rPr>
                <w:color w:val="auto"/>
                <w:highlight w:val="none"/>
              </w:rPr>
            </w:pPr>
          </w:p>
        </w:tc>
      </w:tr>
      <w:tr w14:paraId="2EF7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36" w:type="dxa"/>
            <w:noWrap w:val="0"/>
            <w:vAlign w:val="center"/>
          </w:tcPr>
          <w:p w14:paraId="0059D2C3">
            <w:pPr>
              <w:pStyle w:val="15"/>
              <w:jc w:val="center"/>
              <w:rPr>
                <w:rFonts w:hint="eastAsia" w:eastAsia="宋体"/>
                <w:color w:val="auto"/>
                <w:highlight w:val="none"/>
                <w:lang w:val="en-US" w:eastAsia="zh-CN"/>
              </w:rPr>
            </w:pPr>
            <w:r>
              <w:rPr>
                <w:rFonts w:hint="eastAsia"/>
                <w:color w:val="auto"/>
                <w:highlight w:val="none"/>
                <w:lang w:val="en-US" w:eastAsia="zh-CN"/>
              </w:rPr>
              <w:t>7</w:t>
            </w:r>
          </w:p>
        </w:tc>
        <w:tc>
          <w:tcPr>
            <w:tcW w:w="1952" w:type="dxa"/>
            <w:noWrap w:val="0"/>
            <w:vAlign w:val="center"/>
          </w:tcPr>
          <w:p w14:paraId="6195E58D">
            <w:pPr>
              <w:pStyle w:val="15"/>
              <w:jc w:val="center"/>
              <w:rPr>
                <w:color w:val="auto"/>
                <w:highlight w:val="none"/>
              </w:rPr>
            </w:pPr>
          </w:p>
        </w:tc>
        <w:tc>
          <w:tcPr>
            <w:tcW w:w="1425" w:type="dxa"/>
            <w:noWrap w:val="0"/>
            <w:vAlign w:val="center"/>
          </w:tcPr>
          <w:p w14:paraId="7A63C91A">
            <w:pPr>
              <w:pStyle w:val="15"/>
              <w:jc w:val="center"/>
              <w:rPr>
                <w:color w:val="auto"/>
                <w:highlight w:val="none"/>
              </w:rPr>
            </w:pPr>
          </w:p>
        </w:tc>
        <w:tc>
          <w:tcPr>
            <w:tcW w:w="1217" w:type="dxa"/>
            <w:noWrap w:val="0"/>
            <w:vAlign w:val="center"/>
          </w:tcPr>
          <w:p w14:paraId="16D0B37B">
            <w:pPr>
              <w:pStyle w:val="15"/>
              <w:jc w:val="center"/>
              <w:rPr>
                <w:color w:val="auto"/>
                <w:highlight w:val="none"/>
              </w:rPr>
            </w:pPr>
          </w:p>
        </w:tc>
        <w:tc>
          <w:tcPr>
            <w:tcW w:w="858" w:type="dxa"/>
            <w:noWrap w:val="0"/>
            <w:vAlign w:val="center"/>
          </w:tcPr>
          <w:p w14:paraId="24BAD459">
            <w:pPr>
              <w:pStyle w:val="15"/>
              <w:jc w:val="center"/>
              <w:rPr>
                <w:color w:val="auto"/>
                <w:highlight w:val="none"/>
              </w:rPr>
            </w:pPr>
          </w:p>
        </w:tc>
        <w:tc>
          <w:tcPr>
            <w:tcW w:w="1958" w:type="dxa"/>
            <w:noWrap w:val="0"/>
            <w:vAlign w:val="center"/>
          </w:tcPr>
          <w:p w14:paraId="22AA1501">
            <w:pPr>
              <w:pStyle w:val="15"/>
              <w:jc w:val="center"/>
              <w:rPr>
                <w:color w:val="auto"/>
                <w:highlight w:val="none"/>
              </w:rPr>
            </w:pPr>
          </w:p>
        </w:tc>
        <w:tc>
          <w:tcPr>
            <w:tcW w:w="1408" w:type="dxa"/>
            <w:noWrap w:val="0"/>
            <w:vAlign w:val="center"/>
          </w:tcPr>
          <w:p w14:paraId="6222D3A1">
            <w:pPr>
              <w:pStyle w:val="15"/>
              <w:jc w:val="center"/>
              <w:rPr>
                <w:color w:val="auto"/>
                <w:highlight w:val="none"/>
              </w:rPr>
            </w:pPr>
          </w:p>
        </w:tc>
      </w:tr>
      <w:tr w14:paraId="1823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36" w:type="dxa"/>
            <w:noWrap w:val="0"/>
            <w:vAlign w:val="center"/>
          </w:tcPr>
          <w:p w14:paraId="533899BD">
            <w:pPr>
              <w:pStyle w:val="15"/>
              <w:jc w:val="center"/>
              <w:rPr>
                <w:rFonts w:hint="eastAsia" w:eastAsia="宋体"/>
                <w:color w:val="auto"/>
                <w:highlight w:val="none"/>
                <w:lang w:val="en-US" w:eastAsia="zh-CN"/>
              </w:rPr>
            </w:pPr>
            <w:r>
              <w:rPr>
                <w:rFonts w:hint="eastAsia"/>
                <w:color w:val="auto"/>
                <w:highlight w:val="none"/>
                <w:lang w:val="en-US" w:eastAsia="zh-CN"/>
              </w:rPr>
              <w:t>8</w:t>
            </w:r>
          </w:p>
        </w:tc>
        <w:tc>
          <w:tcPr>
            <w:tcW w:w="1952" w:type="dxa"/>
            <w:noWrap w:val="0"/>
            <w:vAlign w:val="center"/>
          </w:tcPr>
          <w:p w14:paraId="24D17ED0">
            <w:pPr>
              <w:pStyle w:val="15"/>
              <w:jc w:val="center"/>
              <w:rPr>
                <w:color w:val="auto"/>
                <w:highlight w:val="none"/>
              </w:rPr>
            </w:pPr>
          </w:p>
        </w:tc>
        <w:tc>
          <w:tcPr>
            <w:tcW w:w="1425" w:type="dxa"/>
            <w:noWrap w:val="0"/>
            <w:vAlign w:val="center"/>
          </w:tcPr>
          <w:p w14:paraId="298226C9">
            <w:pPr>
              <w:pStyle w:val="15"/>
              <w:jc w:val="center"/>
              <w:rPr>
                <w:color w:val="auto"/>
                <w:highlight w:val="none"/>
              </w:rPr>
            </w:pPr>
          </w:p>
        </w:tc>
        <w:tc>
          <w:tcPr>
            <w:tcW w:w="1217" w:type="dxa"/>
            <w:noWrap w:val="0"/>
            <w:vAlign w:val="center"/>
          </w:tcPr>
          <w:p w14:paraId="754024C3">
            <w:pPr>
              <w:pStyle w:val="15"/>
              <w:jc w:val="center"/>
              <w:rPr>
                <w:color w:val="auto"/>
                <w:highlight w:val="none"/>
              </w:rPr>
            </w:pPr>
          </w:p>
        </w:tc>
        <w:tc>
          <w:tcPr>
            <w:tcW w:w="858" w:type="dxa"/>
            <w:noWrap w:val="0"/>
            <w:vAlign w:val="center"/>
          </w:tcPr>
          <w:p w14:paraId="56F7C946">
            <w:pPr>
              <w:pStyle w:val="15"/>
              <w:jc w:val="center"/>
              <w:rPr>
                <w:color w:val="auto"/>
                <w:highlight w:val="none"/>
              </w:rPr>
            </w:pPr>
          </w:p>
        </w:tc>
        <w:tc>
          <w:tcPr>
            <w:tcW w:w="1958" w:type="dxa"/>
            <w:noWrap w:val="0"/>
            <w:vAlign w:val="center"/>
          </w:tcPr>
          <w:p w14:paraId="47E042F1">
            <w:pPr>
              <w:pStyle w:val="15"/>
              <w:jc w:val="center"/>
              <w:rPr>
                <w:color w:val="auto"/>
                <w:highlight w:val="none"/>
              </w:rPr>
            </w:pPr>
          </w:p>
        </w:tc>
        <w:tc>
          <w:tcPr>
            <w:tcW w:w="1408" w:type="dxa"/>
            <w:noWrap w:val="0"/>
            <w:vAlign w:val="center"/>
          </w:tcPr>
          <w:p w14:paraId="12B457E2">
            <w:pPr>
              <w:pStyle w:val="15"/>
              <w:jc w:val="center"/>
              <w:rPr>
                <w:color w:val="auto"/>
                <w:highlight w:val="none"/>
              </w:rPr>
            </w:pPr>
          </w:p>
        </w:tc>
      </w:tr>
      <w:tr w14:paraId="72A6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6" w:type="dxa"/>
            <w:noWrap w:val="0"/>
            <w:vAlign w:val="center"/>
          </w:tcPr>
          <w:p w14:paraId="49979E5E">
            <w:pPr>
              <w:pStyle w:val="36"/>
              <w:ind w:right="182" w:rightChars="0"/>
              <w:jc w:val="center"/>
              <w:rPr>
                <w:rFonts w:hint="eastAsia" w:eastAsia="宋体"/>
                <w:color w:val="auto"/>
                <w:highlight w:val="none"/>
                <w:lang w:val="en-US" w:eastAsia="zh-CN"/>
              </w:rPr>
            </w:pPr>
            <w:r>
              <w:rPr>
                <w:rFonts w:hint="eastAsia" w:eastAsia="宋体"/>
                <w:color w:val="auto"/>
                <w:highlight w:val="none"/>
                <w:lang w:val="en-US" w:eastAsia="zh-CN"/>
              </w:rPr>
              <w:t>……</w:t>
            </w:r>
          </w:p>
        </w:tc>
        <w:tc>
          <w:tcPr>
            <w:tcW w:w="1952" w:type="dxa"/>
            <w:noWrap w:val="0"/>
            <w:vAlign w:val="center"/>
          </w:tcPr>
          <w:p w14:paraId="44E42F5E">
            <w:pPr>
              <w:pStyle w:val="15"/>
              <w:jc w:val="center"/>
              <w:rPr>
                <w:color w:val="auto"/>
                <w:highlight w:val="none"/>
              </w:rPr>
            </w:pPr>
          </w:p>
        </w:tc>
        <w:tc>
          <w:tcPr>
            <w:tcW w:w="1425" w:type="dxa"/>
            <w:noWrap w:val="0"/>
            <w:vAlign w:val="center"/>
          </w:tcPr>
          <w:p w14:paraId="152CF8FF">
            <w:pPr>
              <w:pStyle w:val="15"/>
              <w:jc w:val="center"/>
              <w:rPr>
                <w:color w:val="auto"/>
                <w:highlight w:val="none"/>
              </w:rPr>
            </w:pPr>
          </w:p>
        </w:tc>
        <w:tc>
          <w:tcPr>
            <w:tcW w:w="1217" w:type="dxa"/>
            <w:noWrap w:val="0"/>
            <w:vAlign w:val="center"/>
          </w:tcPr>
          <w:p w14:paraId="687A2D7C">
            <w:pPr>
              <w:pStyle w:val="15"/>
              <w:jc w:val="center"/>
              <w:rPr>
                <w:color w:val="auto"/>
                <w:highlight w:val="none"/>
              </w:rPr>
            </w:pPr>
          </w:p>
        </w:tc>
        <w:tc>
          <w:tcPr>
            <w:tcW w:w="858" w:type="dxa"/>
            <w:noWrap w:val="0"/>
            <w:vAlign w:val="center"/>
          </w:tcPr>
          <w:p w14:paraId="04045B92">
            <w:pPr>
              <w:pStyle w:val="15"/>
              <w:jc w:val="center"/>
              <w:rPr>
                <w:color w:val="auto"/>
                <w:highlight w:val="none"/>
              </w:rPr>
            </w:pPr>
          </w:p>
        </w:tc>
        <w:tc>
          <w:tcPr>
            <w:tcW w:w="1958" w:type="dxa"/>
            <w:noWrap w:val="0"/>
            <w:vAlign w:val="center"/>
          </w:tcPr>
          <w:p w14:paraId="776EA183">
            <w:pPr>
              <w:pStyle w:val="15"/>
              <w:jc w:val="center"/>
              <w:rPr>
                <w:color w:val="auto"/>
                <w:highlight w:val="none"/>
              </w:rPr>
            </w:pPr>
          </w:p>
        </w:tc>
        <w:tc>
          <w:tcPr>
            <w:tcW w:w="1408" w:type="dxa"/>
            <w:noWrap w:val="0"/>
            <w:vAlign w:val="center"/>
          </w:tcPr>
          <w:p w14:paraId="0174E810">
            <w:pPr>
              <w:pStyle w:val="15"/>
              <w:jc w:val="center"/>
              <w:rPr>
                <w:color w:val="auto"/>
                <w:highlight w:val="none"/>
              </w:rPr>
            </w:pPr>
          </w:p>
        </w:tc>
      </w:tr>
      <w:tr w14:paraId="2B7C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6" w:type="dxa"/>
            <w:noWrap w:val="0"/>
            <w:vAlign w:val="center"/>
          </w:tcPr>
          <w:p w14:paraId="0CDB02A9">
            <w:pPr>
              <w:pStyle w:val="36"/>
              <w:ind w:left="6" w:leftChars="0"/>
              <w:jc w:val="center"/>
              <w:rPr>
                <w:color w:val="auto"/>
                <w:highlight w:val="none"/>
              </w:rPr>
            </w:pPr>
            <w:r>
              <w:rPr>
                <w:color w:val="auto"/>
                <w:w w:val="99"/>
                <w:sz w:val="21"/>
                <w:szCs w:val="21"/>
                <w:highlight w:val="none"/>
              </w:rPr>
              <w:t>N</w:t>
            </w:r>
          </w:p>
        </w:tc>
        <w:tc>
          <w:tcPr>
            <w:tcW w:w="1952" w:type="dxa"/>
            <w:noWrap w:val="0"/>
            <w:vAlign w:val="center"/>
          </w:tcPr>
          <w:p w14:paraId="1FE745F1">
            <w:pPr>
              <w:pStyle w:val="15"/>
              <w:jc w:val="center"/>
              <w:rPr>
                <w:color w:val="auto"/>
                <w:highlight w:val="none"/>
              </w:rPr>
            </w:pPr>
          </w:p>
        </w:tc>
        <w:tc>
          <w:tcPr>
            <w:tcW w:w="1425" w:type="dxa"/>
            <w:noWrap w:val="0"/>
            <w:vAlign w:val="center"/>
          </w:tcPr>
          <w:p w14:paraId="63F5BF5A">
            <w:pPr>
              <w:pStyle w:val="15"/>
              <w:jc w:val="center"/>
              <w:rPr>
                <w:color w:val="auto"/>
                <w:highlight w:val="none"/>
              </w:rPr>
            </w:pPr>
          </w:p>
        </w:tc>
        <w:tc>
          <w:tcPr>
            <w:tcW w:w="1217" w:type="dxa"/>
            <w:noWrap w:val="0"/>
            <w:vAlign w:val="center"/>
          </w:tcPr>
          <w:p w14:paraId="605C7E9E">
            <w:pPr>
              <w:pStyle w:val="15"/>
              <w:jc w:val="center"/>
              <w:rPr>
                <w:color w:val="auto"/>
                <w:highlight w:val="none"/>
              </w:rPr>
            </w:pPr>
          </w:p>
        </w:tc>
        <w:tc>
          <w:tcPr>
            <w:tcW w:w="858" w:type="dxa"/>
            <w:noWrap w:val="0"/>
            <w:vAlign w:val="center"/>
          </w:tcPr>
          <w:p w14:paraId="527B714E">
            <w:pPr>
              <w:pStyle w:val="15"/>
              <w:jc w:val="center"/>
              <w:rPr>
                <w:color w:val="auto"/>
                <w:highlight w:val="none"/>
              </w:rPr>
            </w:pPr>
          </w:p>
        </w:tc>
        <w:tc>
          <w:tcPr>
            <w:tcW w:w="1958" w:type="dxa"/>
            <w:noWrap w:val="0"/>
            <w:vAlign w:val="center"/>
          </w:tcPr>
          <w:p w14:paraId="5C7B4EBB">
            <w:pPr>
              <w:pStyle w:val="15"/>
              <w:jc w:val="center"/>
              <w:rPr>
                <w:color w:val="auto"/>
                <w:highlight w:val="none"/>
              </w:rPr>
            </w:pPr>
          </w:p>
        </w:tc>
        <w:tc>
          <w:tcPr>
            <w:tcW w:w="1408" w:type="dxa"/>
            <w:noWrap w:val="0"/>
            <w:vAlign w:val="center"/>
          </w:tcPr>
          <w:p w14:paraId="1AD0A008">
            <w:pPr>
              <w:pStyle w:val="15"/>
              <w:jc w:val="center"/>
              <w:rPr>
                <w:color w:val="auto"/>
                <w:highlight w:val="none"/>
              </w:rPr>
            </w:pPr>
          </w:p>
        </w:tc>
      </w:tr>
    </w:tbl>
    <w:p w14:paraId="3874A83A">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注：</w:t>
      </w:r>
    </w:p>
    <w:p w14:paraId="395216C3">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lang w:val="en-US" w:eastAsia="zh-CN"/>
        </w:rPr>
        <w:t>1.</w:t>
      </w:r>
      <w:r>
        <w:rPr>
          <w:color w:val="auto"/>
          <w:highlight w:val="none"/>
        </w:rPr>
        <w:t>在填写时，如本表格不适合投标单位的实际情况，可根据本表格式自行制表填写。</w:t>
      </w:r>
    </w:p>
    <w:p w14:paraId="3EA864F8">
      <w:pPr>
        <w:pStyle w:val="12"/>
        <w:keepNext w:val="0"/>
        <w:keepLines w:val="0"/>
        <w:pageBreakBefore w:val="0"/>
        <w:widowControl w:val="0"/>
        <w:kinsoku/>
        <w:wordWrap/>
        <w:overflowPunct/>
        <w:topLinePunct w:val="0"/>
        <w:autoSpaceDE/>
        <w:autoSpaceDN/>
        <w:bidi w:val="0"/>
        <w:adjustRightInd/>
        <w:snapToGrid/>
        <w:ind w:firstLine="400" w:firstLineChars="200"/>
        <w:textAlignment w:val="auto"/>
        <w:rPr>
          <w:color w:val="auto"/>
          <w:sz w:val="21"/>
          <w:szCs w:val="21"/>
          <w:highlight w:val="none"/>
        </w:rPr>
      </w:pPr>
      <w:r>
        <w:rPr>
          <w:rFonts w:hint="eastAsia"/>
          <w:color w:val="auto"/>
          <w:spacing w:val="-5"/>
          <w:sz w:val="21"/>
          <w:szCs w:val="21"/>
          <w:highlight w:val="none"/>
          <w:lang w:val="en-US" w:eastAsia="zh-CN"/>
        </w:rPr>
        <w:t>2.</w:t>
      </w:r>
      <w:r>
        <w:rPr>
          <w:color w:val="auto"/>
          <w:spacing w:val="-5"/>
          <w:sz w:val="21"/>
          <w:szCs w:val="21"/>
          <w:highlight w:val="none"/>
        </w:rPr>
        <w:t>本项对应评分办法中的“维修设备配置”项，请供应商结合自身实际情况如实编</w:t>
      </w:r>
      <w:r>
        <w:rPr>
          <w:color w:val="auto"/>
          <w:sz w:val="21"/>
          <w:szCs w:val="21"/>
          <w:highlight w:val="none"/>
        </w:rPr>
        <w:t>写。</w:t>
      </w:r>
    </w:p>
    <w:p w14:paraId="4F988CCB">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sz w:val="21"/>
          <w:szCs w:val="21"/>
          <w:highlight w:val="none"/>
        </w:rPr>
      </w:pPr>
      <w:r>
        <w:rPr>
          <w:rStyle w:val="39"/>
          <w:rFonts w:hint="eastAsia"/>
          <w:color w:val="auto"/>
          <w:highlight w:val="none"/>
          <w:lang w:val="en-US" w:eastAsia="zh-CN"/>
        </w:rPr>
        <w:t>3.</w:t>
      </w:r>
      <w:r>
        <w:rPr>
          <w:rStyle w:val="39"/>
          <w:rFonts w:hint="eastAsia"/>
          <w:color w:val="auto"/>
          <w:highlight w:val="none"/>
        </w:rPr>
        <w:t>根据供应商提供的“汽车维修设备一览表”信息及提供一览表中对应的现场实物图片为</w:t>
      </w:r>
      <w:r>
        <w:rPr>
          <w:rFonts w:hint="eastAsia"/>
          <w:color w:val="auto"/>
          <w:sz w:val="21"/>
          <w:szCs w:val="21"/>
          <w:highlight w:val="none"/>
        </w:rPr>
        <w:t>依据进行评定）。</w:t>
      </w:r>
    </w:p>
    <w:p w14:paraId="0A261B4F">
      <w:pPr>
        <w:snapToGrid w:val="0"/>
        <w:spacing w:line="360" w:lineRule="auto"/>
        <w:ind w:firstLine="5040" w:firstLineChars="2100"/>
        <w:rPr>
          <w:rFonts w:hint="eastAsia" w:ascii="宋体" w:hAnsi="宋体" w:cs="宋体"/>
          <w:color w:val="auto"/>
          <w:kern w:val="0"/>
          <w:sz w:val="24"/>
          <w:highlight w:val="none"/>
          <w:lang w:val="zh-CN"/>
        </w:rPr>
      </w:pPr>
    </w:p>
    <w:p w14:paraId="5AA2205F">
      <w:pPr>
        <w:snapToGrid w:val="0"/>
        <w:spacing w:line="360" w:lineRule="auto"/>
        <w:ind w:firstLine="5040" w:firstLineChars="2100"/>
        <w:rPr>
          <w:rFonts w:hint="eastAsia" w:ascii="宋体" w:hAnsi="宋体" w:cs="宋体"/>
          <w:color w:val="auto"/>
          <w:kern w:val="0"/>
          <w:sz w:val="24"/>
          <w:highlight w:val="none"/>
          <w:lang w:val="zh-CN"/>
        </w:rPr>
      </w:pPr>
    </w:p>
    <w:p w14:paraId="2AF01D66">
      <w:pPr>
        <w:snapToGrid w:val="0"/>
        <w:spacing w:line="360" w:lineRule="auto"/>
        <w:ind w:firstLine="5040" w:firstLineChars="2100"/>
        <w:rPr>
          <w:rFonts w:hint="eastAsia" w:ascii="宋体" w:hAnsi="宋体" w:cs="宋体"/>
          <w:color w:val="auto"/>
          <w:kern w:val="0"/>
          <w:sz w:val="24"/>
          <w:highlight w:val="none"/>
          <w:lang w:val="zh-CN"/>
        </w:rPr>
      </w:pPr>
    </w:p>
    <w:p w14:paraId="64C35B59">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3BDA36AA">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A3643C6">
      <w:pPr>
        <w:rPr>
          <w:rFonts w:hint="eastAsia" w:ascii="宋体" w:hAnsi="宋体" w:cs="宋体"/>
          <w:b/>
          <w:bCs/>
          <w:color w:val="auto"/>
          <w:sz w:val="30"/>
          <w:szCs w:val="30"/>
          <w:highlight w:val="none"/>
        </w:rPr>
      </w:pPr>
    </w:p>
    <w:p w14:paraId="5BB1E974">
      <w:pPr>
        <w:pStyle w:val="24"/>
        <w:rPr>
          <w:rFonts w:hint="eastAsia" w:ascii="宋体" w:hAnsi="宋体" w:cs="宋体"/>
          <w:b/>
          <w:bCs/>
          <w:color w:val="auto"/>
          <w:sz w:val="30"/>
          <w:szCs w:val="30"/>
          <w:highlight w:val="none"/>
        </w:rPr>
      </w:pPr>
    </w:p>
    <w:p w14:paraId="4C2963CA">
      <w:pPr>
        <w:rPr>
          <w:rFonts w:hint="eastAsia" w:ascii="宋体" w:hAnsi="宋体" w:cs="宋体"/>
          <w:b/>
          <w:bCs/>
          <w:color w:val="auto"/>
          <w:sz w:val="30"/>
          <w:szCs w:val="30"/>
          <w:highlight w:val="none"/>
        </w:rPr>
      </w:pPr>
    </w:p>
    <w:p w14:paraId="3FEE23AB">
      <w:pPr>
        <w:pStyle w:val="24"/>
        <w:rPr>
          <w:rFonts w:hint="eastAsia"/>
          <w:color w:val="auto"/>
          <w:highlight w:val="none"/>
        </w:rPr>
      </w:pPr>
    </w:p>
    <w:p w14:paraId="7CFA331B">
      <w:pPr>
        <w:pStyle w:val="12"/>
        <w:bidi w:val="0"/>
        <w:jc w:val="center"/>
        <w:rPr>
          <w:rFonts w:hint="eastAsia"/>
          <w:b/>
          <w:bCs/>
          <w:color w:val="auto"/>
          <w:sz w:val="32"/>
          <w:szCs w:val="36"/>
          <w:highlight w:val="none"/>
          <w:lang w:val="en-US" w:eastAsia="zh-CN"/>
        </w:rPr>
      </w:pPr>
      <w:bookmarkStart w:id="142" w:name="_Toc29021"/>
      <w:r>
        <w:rPr>
          <w:rFonts w:hint="eastAsia"/>
          <w:b/>
          <w:bCs/>
          <w:color w:val="auto"/>
          <w:sz w:val="32"/>
          <w:szCs w:val="36"/>
          <w:highlight w:val="none"/>
          <w:lang w:val="en-US" w:eastAsia="zh-CN"/>
        </w:rPr>
        <w:t>八、企业质量信誉</w:t>
      </w:r>
      <w:bookmarkEnd w:id="142"/>
    </w:p>
    <w:p w14:paraId="785346CD">
      <w:pPr>
        <w:pStyle w:val="12"/>
        <w:bidi w:val="0"/>
        <w:jc w:val="center"/>
        <w:rPr>
          <w:b/>
          <w:bCs/>
          <w:color w:val="auto"/>
          <w:sz w:val="28"/>
          <w:szCs w:val="32"/>
          <w:highlight w:val="none"/>
        </w:rPr>
      </w:pPr>
      <w:r>
        <w:rPr>
          <w:rFonts w:hint="eastAsia"/>
          <w:b/>
          <w:bCs/>
          <w:color w:val="auto"/>
          <w:sz w:val="28"/>
          <w:szCs w:val="32"/>
          <w:highlight w:val="none"/>
          <w:lang w:val="en-US" w:eastAsia="zh-CN"/>
        </w:rPr>
        <w:t>企业质量信誉</w:t>
      </w:r>
      <w:r>
        <w:rPr>
          <w:b/>
          <w:bCs/>
          <w:color w:val="auto"/>
          <w:sz w:val="28"/>
          <w:szCs w:val="32"/>
          <w:highlight w:val="none"/>
        </w:rPr>
        <w:t>（格式）</w:t>
      </w:r>
    </w:p>
    <w:p w14:paraId="7DC88158">
      <w:pPr>
        <w:jc w:val="center"/>
        <w:rPr>
          <w:b/>
          <w:bCs/>
          <w:color w:val="auto"/>
          <w:highlight w:val="none"/>
        </w:rPr>
      </w:pPr>
      <w:r>
        <w:rPr>
          <w:rFonts w:hint="eastAsia"/>
          <w:b/>
          <w:bCs/>
          <w:color w:val="auto"/>
          <w:highlight w:val="none"/>
          <w:lang w:eastAsia="zh-CN"/>
        </w:rPr>
        <w:t>（</w:t>
      </w:r>
      <w:r>
        <w:rPr>
          <w:rFonts w:hint="eastAsia"/>
          <w:b/>
          <w:bCs/>
          <w:color w:val="auto"/>
          <w:highlight w:val="none"/>
        </w:rPr>
        <w:t>以县级或县级以上的道路交通运输部门提供的考核结果为准</w:t>
      </w:r>
      <w:r>
        <w:rPr>
          <w:rFonts w:hint="eastAsia"/>
          <w:b/>
          <w:bCs/>
          <w:color w:val="auto"/>
          <w:highlight w:val="none"/>
          <w:lang w:eastAsia="zh-CN"/>
        </w:rPr>
        <w:t>）</w:t>
      </w:r>
    </w:p>
    <w:p w14:paraId="6AC140B0">
      <w:pPr>
        <w:pStyle w:val="12"/>
        <w:rPr>
          <w:b w:val="0"/>
          <w:bCs/>
          <w:color w:val="auto"/>
          <w:sz w:val="28"/>
          <w:highlight w:val="none"/>
        </w:rPr>
      </w:pPr>
    </w:p>
    <w:p w14:paraId="4801E5D1">
      <w:pPr>
        <w:pStyle w:val="12"/>
        <w:spacing w:before="10"/>
        <w:rPr>
          <w:b/>
          <w:color w:val="auto"/>
          <w:sz w:val="20"/>
          <w:highlight w:val="none"/>
        </w:rPr>
      </w:pPr>
    </w:p>
    <w:p w14:paraId="546FD8E6">
      <w:pPr>
        <w:rPr>
          <w:rFonts w:hint="eastAsia"/>
          <w:color w:val="auto"/>
          <w:highlight w:val="none"/>
        </w:rPr>
      </w:pPr>
    </w:p>
    <w:p w14:paraId="5AE259A7">
      <w:pPr>
        <w:snapToGrid w:val="0"/>
        <w:spacing w:before="165" w:beforeLines="50" w:after="50"/>
        <w:ind w:firstLine="602" w:firstLineChars="200"/>
        <w:jc w:val="center"/>
        <w:rPr>
          <w:rFonts w:hint="eastAsia" w:ascii="宋体" w:hAnsi="宋体" w:cs="宋体"/>
          <w:b/>
          <w:bCs/>
          <w:color w:val="auto"/>
          <w:sz w:val="30"/>
          <w:szCs w:val="30"/>
          <w:highlight w:val="none"/>
        </w:rPr>
      </w:pPr>
    </w:p>
    <w:p w14:paraId="6A5E22FE">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54BD958F">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FF5109">
      <w:pPr>
        <w:snapToGrid w:val="0"/>
        <w:spacing w:before="165" w:beforeLines="50" w:after="50"/>
        <w:ind w:firstLine="602" w:firstLineChars="200"/>
        <w:jc w:val="center"/>
        <w:rPr>
          <w:rFonts w:hint="eastAsia" w:ascii="宋体" w:hAnsi="宋体" w:cs="宋体"/>
          <w:b/>
          <w:bCs/>
          <w:color w:val="auto"/>
          <w:sz w:val="30"/>
          <w:szCs w:val="30"/>
          <w:highlight w:val="none"/>
        </w:rPr>
      </w:pPr>
    </w:p>
    <w:p w14:paraId="68BF751E">
      <w:pPr>
        <w:rPr>
          <w:rFonts w:hint="eastAsia"/>
          <w:color w:val="auto"/>
          <w:highlight w:val="none"/>
        </w:rPr>
      </w:pPr>
    </w:p>
    <w:p w14:paraId="2AF98191">
      <w:pPr>
        <w:snapToGrid w:val="0"/>
        <w:spacing w:before="165" w:beforeLines="50" w:after="50"/>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en-US" w:eastAsia="zh-CN"/>
        </w:rPr>
        <w:t>九、</w:t>
      </w:r>
      <w:r>
        <w:rPr>
          <w:rFonts w:hint="eastAsia" w:ascii="宋体" w:hAnsi="宋体" w:cs="宋体"/>
          <w:b/>
          <w:bCs/>
          <w:color w:val="auto"/>
          <w:sz w:val="30"/>
          <w:szCs w:val="30"/>
          <w:highlight w:val="none"/>
        </w:rPr>
        <w:t>供应商类似项目业绩证明文件</w:t>
      </w:r>
    </w:p>
    <w:p w14:paraId="48D29BE1">
      <w:pPr>
        <w:pStyle w:val="21"/>
        <w:snapToGrid w:val="0"/>
        <w:ind w:left="480" w:hanging="480"/>
        <w:rPr>
          <w:rFonts w:hint="eastAsia" w:ascii="宋体" w:hAnsi="宋体" w:cs="宋体"/>
          <w:color w:val="auto"/>
          <w:sz w:val="24"/>
          <w:highlight w:val="none"/>
        </w:rPr>
      </w:pPr>
    </w:p>
    <w:p w14:paraId="2CE871C1">
      <w:pPr>
        <w:autoSpaceDE w:val="0"/>
        <w:autoSpaceDN w:val="0"/>
        <w:spacing w:line="360" w:lineRule="auto"/>
        <w:ind w:firstLine="120"/>
        <w:jc w:val="center"/>
        <w:rPr>
          <w:rFonts w:hint="eastAsia" w:ascii="宋体" w:hAnsi="宋体" w:cs="宋体"/>
          <w:color w:val="auto"/>
          <w:sz w:val="24"/>
          <w:highlight w:val="none"/>
        </w:rPr>
      </w:pPr>
      <w:r>
        <w:rPr>
          <w:rFonts w:hint="eastAsia" w:ascii="宋体" w:hAnsi="宋体" w:cs="宋体"/>
          <w:b/>
          <w:color w:val="auto"/>
          <w:sz w:val="24"/>
          <w:highlight w:val="none"/>
        </w:rPr>
        <w:t>相关项目业绩一览表</w:t>
      </w:r>
    </w:p>
    <w:tbl>
      <w:tblPr>
        <w:tblStyle w:val="25"/>
        <w:tblW w:w="10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1305"/>
        <w:gridCol w:w="2151"/>
        <w:gridCol w:w="1229"/>
        <w:gridCol w:w="1117"/>
        <w:gridCol w:w="2133"/>
        <w:gridCol w:w="1625"/>
      </w:tblGrid>
      <w:tr w14:paraId="0C85D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2F133A28">
            <w:pPr>
              <w:snapToGrid w:val="0"/>
              <w:spacing w:line="2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14:paraId="5056A6A3">
            <w:pPr>
              <w:snapToGrid w:val="0"/>
              <w:spacing w:line="2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客户</w:t>
            </w:r>
            <w:r>
              <w:rPr>
                <w:rFonts w:hint="eastAsia" w:ascii="宋体" w:hAnsi="宋体" w:cs="宋体"/>
                <w:color w:val="auto"/>
                <w:sz w:val="24"/>
                <w:highlight w:val="none"/>
              </w:rPr>
              <w:t>名</w:t>
            </w:r>
            <w:r>
              <w:rPr>
                <w:rFonts w:hint="eastAsia" w:ascii="宋体" w:hAnsi="宋体" w:cs="宋体"/>
                <w:color w:val="auto"/>
                <w:sz w:val="24"/>
                <w:highlight w:val="none"/>
                <w:lang w:val="en-US" w:eastAsia="zh-CN"/>
              </w:rPr>
              <w:t>称</w:t>
            </w:r>
          </w:p>
        </w:tc>
        <w:tc>
          <w:tcPr>
            <w:tcW w:w="2151" w:type="dxa"/>
            <w:vMerge w:val="restart"/>
            <w:tcBorders>
              <w:top w:val="single" w:color="auto" w:sz="4" w:space="0"/>
              <w:left w:val="single" w:color="auto" w:sz="4" w:space="0"/>
              <w:bottom w:val="single" w:color="auto" w:sz="4" w:space="0"/>
              <w:right w:val="single" w:color="auto" w:sz="4" w:space="0"/>
            </w:tcBorders>
            <w:noWrap w:val="0"/>
            <w:vAlign w:val="center"/>
          </w:tcPr>
          <w:p w14:paraId="521A0E32">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14:paraId="51E47275">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w:t>
            </w:r>
          </w:p>
          <w:p w14:paraId="0E45B26C">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金额</w:t>
            </w:r>
          </w:p>
          <w:p w14:paraId="04FC3CA1">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14:paraId="680962CB">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附件在响应文件中页码</w:t>
            </w:r>
          </w:p>
        </w:tc>
        <w:tc>
          <w:tcPr>
            <w:tcW w:w="1625" w:type="dxa"/>
            <w:vMerge w:val="restart"/>
            <w:tcBorders>
              <w:top w:val="single" w:color="auto" w:sz="4" w:space="0"/>
              <w:left w:val="single" w:color="auto" w:sz="4" w:space="0"/>
              <w:bottom w:val="single" w:color="auto" w:sz="4" w:space="0"/>
              <w:right w:val="single" w:color="auto" w:sz="4" w:space="0"/>
            </w:tcBorders>
            <w:noWrap w:val="0"/>
            <w:vAlign w:val="center"/>
          </w:tcPr>
          <w:p w14:paraId="7BFA0FAB">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客户</w:t>
            </w:r>
            <w:r>
              <w:rPr>
                <w:rFonts w:hint="eastAsia" w:ascii="宋体" w:hAnsi="宋体" w:cs="宋体"/>
                <w:color w:val="auto"/>
                <w:sz w:val="24"/>
                <w:highlight w:val="none"/>
              </w:rPr>
              <w:t>联系人及联系电话</w:t>
            </w:r>
          </w:p>
        </w:tc>
      </w:tr>
      <w:tr w14:paraId="3B06B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231F42EF">
            <w:pPr>
              <w:jc w:val="left"/>
              <w:rPr>
                <w:rFonts w:hint="eastAsia" w:ascii="宋体" w:hAnsi="宋体" w:cs="宋体"/>
                <w:color w:val="auto"/>
                <w:sz w:val="24"/>
                <w:highlight w:val="none"/>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4381B1FF">
            <w:pPr>
              <w:jc w:val="left"/>
              <w:rPr>
                <w:rFonts w:hint="eastAsia" w:ascii="宋体" w:hAnsi="宋体" w:cs="宋体"/>
                <w:color w:val="auto"/>
                <w:sz w:val="24"/>
                <w:highlight w:val="none"/>
              </w:rPr>
            </w:pPr>
          </w:p>
        </w:tc>
        <w:tc>
          <w:tcPr>
            <w:tcW w:w="2151" w:type="dxa"/>
            <w:vMerge w:val="continue"/>
            <w:tcBorders>
              <w:top w:val="single" w:color="auto" w:sz="4" w:space="0"/>
              <w:left w:val="single" w:color="auto" w:sz="4" w:space="0"/>
              <w:bottom w:val="single" w:color="auto" w:sz="4" w:space="0"/>
              <w:right w:val="single" w:color="auto" w:sz="4" w:space="0"/>
            </w:tcBorders>
            <w:noWrap w:val="0"/>
            <w:vAlign w:val="center"/>
          </w:tcPr>
          <w:p w14:paraId="730786F4">
            <w:pPr>
              <w:jc w:val="left"/>
              <w:rPr>
                <w:rFonts w:hint="eastAsia" w:ascii="宋体" w:hAnsi="宋体" w:cs="宋体"/>
                <w:color w:val="auto"/>
                <w:sz w:val="24"/>
                <w:highlight w:val="none"/>
              </w:rPr>
            </w:pP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14:paraId="46BE61C7">
            <w:pPr>
              <w:jc w:val="left"/>
              <w:rPr>
                <w:rFonts w:hint="eastAsia" w:ascii="宋体" w:hAnsi="宋体" w:cs="宋体"/>
                <w:color w:val="auto"/>
                <w:sz w:val="24"/>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DBBD728">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w:t>
            </w:r>
          </w:p>
        </w:tc>
        <w:tc>
          <w:tcPr>
            <w:tcW w:w="2133" w:type="dxa"/>
            <w:tcBorders>
              <w:top w:val="single" w:color="auto" w:sz="4" w:space="0"/>
              <w:left w:val="single" w:color="auto" w:sz="4" w:space="0"/>
              <w:bottom w:val="single" w:color="auto" w:sz="4" w:space="0"/>
              <w:right w:val="single" w:color="auto" w:sz="4" w:space="0"/>
            </w:tcBorders>
            <w:noWrap w:val="0"/>
            <w:vAlign w:val="center"/>
          </w:tcPr>
          <w:p w14:paraId="5F9F75DF">
            <w:pPr>
              <w:snapToGrid w:val="0"/>
              <w:spacing w:line="240" w:lineRule="exact"/>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中标通知书</w:t>
            </w:r>
          </w:p>
        </w:tc>
        <w:tc>
          <w:tcPr>
            <w:tcW w:w="1625" w:type="dxa"/>
            <w:vMerge w:val="continue"/>
            <w:tcBorders>
              <w:top w:val="single" w:color="auto" w:sz="4" w:space="0"/>
              <w:left w:val="single" w:color="auto" w:sz="4" w:space="0"/>
              <w:bottom w:val="single" w:color="auto" w:sz="4" w:space="0"/>
              <w:right w:val="single" w:color="auto" w:sz="4" w:space="0"/>
            </w:tcBorders>
            <w:noWrap w:val="0"/>
            <w:vAlign w:val="center"/>
          </w:tcPr>
          <w:p w14:paraId="484C8EA4">
            <w:pPr>
              <w:jc w:val="left"/>
              <w:rPr>
                <w:rFonts w:hint="eastAsia" w:ascii="宋体" w:hAnsi="宋体" w:cs="宋体"/>
                <w:color w:val="auto"/>
                <w:sz w:val="24"/>
                <w:highlight w:val="none"/>
              </w:rPr>
            </w:pPr>
          </w:p>
        </w:tc>
      </w:tr>
      <w:tr w14:paraId="04B3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14:paraId="20FB3278">
            <w:pPr>
              <w:snapToGrid w:val="0"/>
              <w:spacing w:line="240" w:lineRule="exact"/>
              <w:jc w:val="left"/>
              <w:rPr>
                <w:rFonts w:hint="eastAsia" w:ascii="宋体" w:hAnsi="宋体" w:cs="宋体"/>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top"/>
          </w:tcPr>
          <w:p w14:paraId="5CD232D4">
            <w:pPr>
              <w:snapToGrid w:val="0"/>
              <w:spacing w:line="240" w:lineRule="exact"/>
              <w:jc w:val="left"/>
              <w:rPr>
                <w:rFonts w:hint="eastAsia" w:ascii="宋体" w:hAnsi="宋体" w:cs="宋体"/>
                <w:color w:val="auto"/>
                <w:sz w:val="24"/>
                <w:highlight w:val="none"/>
              </w:rPr>
            </w:pPr>
          </w:p>
        </w:tc>
        <w:tc>
          <w:tcPr>
            <w:tcW w:w="2151" w:type="dxa"/>
            <w:tcBorders>
              <w:top w:val="single" w:color="auto" w:sz="4" w:space="0"/>
              <w:left w:val="single" w:color="auto" w:sz="4" w:space="0"/>
              <w:bottom w:val="single" w:color="auto" w:sz="4" w:space="0"/>
              <w:right w:val="single" w:color="auto" w:sz="4" w:space="0"/>
            </w:tcBorders>
            <w:noWrap w:val="0"/>
            <w:vAlign w:val="top"/>
          </w:tcPr>
          <w:p w14:paraId="6ADD1D5C">
            <w:pPr>
              <w:snapToGrid w:val="0"/>
              <w:spacing w:line="240" w:lineRule="exact"/>
              <w:jc w:val="left"/>
              <w:rPr>
                <w:rFonts w:hint="eastAsia" w:ascii="宋体" w:hAnsi="宋体" w:cs="宋体"/>
                <w:color w:val="auto"/>
                <w:sz w:val="24"/>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top"/>
          </w:tcPr>
          <w:p w14:paraId="442C4E60">
            <w:pPr>
              <w:snapToGrid w:val="0"/>
              <w:spacing w:line="240" w:lineRule="exact"/>
              <w:jc w:val="left"/>
              <w:rPr>
                <w:rFonts w:hint="eastAsia" w:ascii="宋体" w:hAnsi="宋体" w:cs="宋体"/>
                <w:color w:val="auto"/>
                <w:sz w:val="24"/>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198CDB12">
            <w:pPr>
              <w:snapToGrid w:val="0"/>
              <w:spacing w:line="240" w:lineRule="exact"/>
              <w:jc w:val="left"/>
              <w:rPr>
                <w:rFonts w:hint="eastAsia" w:ascii="宋体" w:hAnsi="宋体" w:cs="宋体"/>
                <w:color w:val="auto"/>
                <w:sz w:val="24"/>
                <w:highlight w:val="none"/>
              </w:rPr>
            </w:pPr>
          </w:p>
        </w:tc>
        <w:tc>
          <w:tcPr>
            <w:tcW w:w="2133" w:type="dxa"/>
            <w:tcBorders>
              <w:top w:val="single" w:color="auto" w:sz="4" w:space="0"/>
              <w:left w:val="single" w:color="auto" w:sz="4" w:space="0"/>
              <w:bottom w:val="single" w:color="auto" w:sz="4" w:space="0"/>
              <w:right w:val="single" w:color="auto" w:sz="4" w:space="0"/>
            </w:tcBorders>
            <w:noWrap w:val="0"/>
            <w:vAlign w:val="top"/>
          </w:tcPr>
          <w:p w14:paraId="081F9062">
            <w:pPr>
              <w:snapToGrid w:val="0"/>
              <w:spacing w:line="240" w:lineRule="exact"/>
              <w:jc w:val="left"/>
              <w:rPr>
                <w:rFonts w:hint="eastAsia" w:ascii="宋体" w:hAnsi="宋体" w:cs="宋体"/>
                <w:color w:val="auto"/>
                <w:sz w:val="24"/>
                <w:highlight w:val="none"/>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336D054">
            <w:pPr>
              <w:snapToGrid w:val="0"/>
              <w:spacing w:line="240" w:lineRule="exact"/>
              <w:jc w:val="left"/>
              <w:rPr>
                <w:rFonts w:hint="eastAsia" w:ascii="宋体" w:hAnsi="宋体" w:cs="宋体"/>
                <w:color w:val="auto"/>
                <w:sz w:val="24"/>
                <w:highlight w:val="none"/>
              </w:rPr>
            </w:pPr>
          </w:p>
        </w:tc>
      </w:tr>
      <w:tr w14:paraId="7FA2F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14:paraId="6578A045">
            <w:pPr>
              <w:snapToGrid w:val="0"/>
              <w:spacing w:before="50" w:after="165" w:afterLines="50" w:line="400" w:lineRule="exact"/>
              <w:jc w:val="left"/>
              <w:rPr>
                <w:rFonts w:hint="eastAsia" w:ascii="宋体" w:hAnsi="宋体" w:cs="宋体"/>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top"/>
          </w:tcPr>
          <w:p w14:paraId="470F5A13">
            <w:pPr>
              <w:snapToGrid w:val="0"/>
              <w:spacing w:before="50" w:after="165" w:afterLines="50" w:line="400" w:lineRule="exact"/>
              <w:jc w:val="left"/>
              <w:rPr>
                <w:rFonts w:hint="eastAsia" w:ascii="宋体" w:hAnsi="宋体" w:cs="宋体"/>
                <w:color w:val="auto"/>
                <w:sz w:val="24"/>
                <w:highlight w:val="none"/>
              </w:rPr>
            </w:pPr>
          </w:p>
        </w:tc>
        <w:tc>
          <w:tcPr>
            <w:tcW w:w="2151" w:type="dxa"/>
            <w:tcBorders>
              <w:top w:val="single" w:color="auto" w:sz="4" w:space="0"/>
              <w:left w:val="single" w:color="auto" w:sz="4" w:space="0"/>
              <w:bottom w:val="single" w:color="auto" w:sz="4" w:space="0"/>
              <w:right w:val="single" w:color="auto" w:sz="4" w:space="0"/>
            </w:tcBorders>
            <w:noWrap w:val="0"/>
            <w:vAlign w:val="top"/>
          </w:tcPr>
          <w:p w14:paraId="3655B885">
            <w:pPr>
              <w:snapToGrid w:val="0"/>
              <w:spacing w:before="50" w:after="165" w:afterLines="50" w:line="400" w:lineRule="exact"/>
              <w:jc w:val="left"/>
              <w:rPr>
                <w:rFonts w:hint="eastAsia" w:ascii="宋体" w:hAnsi="宋体" w:cs="宋体"/>
                <w:color w:val="auto"/>
                <w:sz w:val="24"/>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top"/>
          </w:tcPr>
          <w:p w14:paraId="24BE462E">
            <w:pPr>
              <w:snapToGrid w:val="0"/>
              <w:spacing w:before="50" w:after="165" w:afterLines="50" w:line="400" w:lineRule="exact"/>
              <w:jc w:val="left"/>
              <w:rPr>
                <w:rFonts w:hint="eastAsia" w:ascii="宋体" w:hAnsi="宋体" w:cs="宋体"/>
                <w:color w:val="auto"/>
                <w:sz w:val="24"/>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50ED5C4E">
            <w:pPr>
              <w:snapToGrid w:val="0"/>
              <w:spacing w:before="50" w:after="165" w:afterLines="50" w:line="400" w:lineRule="exact"/>
              <w:jc w:val="left"/>
              <w:rPr>
                <w:rFonts w:hint="eastAsia" w:ascii="宋体" w:hAnsi="宋体" w:cs="宋体"/>
                <w:color w:val="auto"/>
                <w:sz w:val="24"/>
                <w:highlight w:val="none"/>
              </w:rPr>
            </w:pPr>
          </w:p>
        </w:tc>
        <w:tc>
          <w:tcPr>
            <w:tcW w:w="2133" w:type="dxa"/>
            <w:tcBorders>
              <w:top w:val="single" w:color="auto" w:sz="4" w:space="0"/>
              <w:left w:val="single" w:color="auto" w:sz="4" w:space="0"/>
              <w:bottom w:val="single" w:color="auto" w:sz="4" w:space="0"/>
              <w:right w:val="single" w:color="auto" w:sz="4" w:space="0"/>
            </w:tcBorders>
            <w:noWrap w:val="0"/>
            <w:vAlign w:val="top"/>
          </w:tcPr>
          <w:p w14:paraId="579AAA09">
            <w:pPr>
              <w:snapToGrid w:val="0"/>
              <w:spacing w:before="50" w:after="165" w:afterLines="50" w:line="400" w:lineRule="exact"/>
              <w:jc w:val="left"/>
              <w:rPr>
                <w:rFonts w:hint="eastAsia" w:ascii="宋体" w:hAnsi="宋体" w:cs="宋体"/>
                <w:color w:val="auto"/>
                <w:sz w:val="24"/>
                <w:highlight w:val="none"/>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15F25433">
            <w:pPr>
              <w:snapToGrid w:val="0"/>
              <w:spacing w:before="50" w:after="165" w:afterLines="50" w:line="400" w:lineRule="exact"/>
              <w:jc w:val="left"/>
              <w:rPr>
                <w:rFonts w:hint="eastAsia" w:ascii="宋体" w:hAnsi="宋体" w:cs="宋体"/>
                <w:color w:val="auto"/>
                <w:sz w:val="24"/>
                <w:highlight w:val="none"/>
              </w:rPr>
            </w:pPr>
          </w:p>
        </w:tc>
      </w:tr>
      <w:tr w14:paraId="35BF1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14:paraId="26625299">
            <w:pPr>
              <w:snapToGrid w:val="0"/>
              <w:spacing w:before="50" w:after="165" w:afterLines="50" w:line="400" w:lineRule="exact"/>
              <w:jc w:val="left"/>
              <w:rPr>
                <w:rFonts w:hint="eastAsia" w:ascii="宋体" w:hAnsi="宋体" w:cs="宋体"/>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top"/>
          </w:tcPr>
          <w:p w14:paraId="41BD9DFA">
            <w:pPr>
              <w:snapToGrid w:val="0"/>
              <w:spacing w:before="50" w:after="165" w:afterLines="50" w:line="400" w:lineRule="exact"/>
              <w:jc w:val="left"/>
              <w:rPr>
                <w:rFonts w:hint="eastAsia" w:ascii="宋体" w:hAnsi="宋体" w:cs="宋体"/>
                <w:color w:val="auto"/>
                <w:sz w:val="24"/>
                <w:highlight w:val="none"/>
              </w:rPr>
            </w:pPr>
          </w:p>
        </w:tc>
        <w:tc>
          <w:tcPr>
            <w:tcW w:w="2151" w:type="dxa"/>
            <w:tcBorders>
              <w:top w:val="single" w:color="auto" w:sz="4" w:space="0"/>
              <w:left w:val="single" w:color="auto" w:sz="4" w:space="0"/>
              <w:bottom w:val="single" w:color="auto" w:sz="4" w:space="0"/>
              <w:right w:val="single" w:color="auto" w:sz="4" w:space="0"/>
            </w:tcBorders>
            <w:noWrap w:val="0"/>
            <w:vAlign w:val="top"/>
          </w:tcPr>
          <w:p w14:paraId="791FB78F">
            <w:pPr>
              <w:snapToGrid w:val="0"/>
              <w:spacing w:before="50" w:after="165" w:afterLines="50" w:line="400" w:lineRule="exact"/>
              <w:jc w:val="left"/>
              <w:rPr>
                <w:rFonts w:hint="eastAsia" w:ascii="宋体" w:hAnsi="宋体" w:cs="宋体"/>
                <w:color w:val="auto"/>
                <w:sz w:val="24"/>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top"/>
          </w:tcPr>
          <w:p w14:paraId="77864D0C">
            <w:pPr>
              <w:snapToGrid w:val="0"/>
              <w:spacing w:before="50" w:after="165" w:afterLines="50" w:line="400" w:lineRule="exact"/>
              <w:jc w:val="left"/>
              <w:rPr>
                <w:rFonts w:hint="eastAsia" w:ascii="宋体" w:hAnsi="宋体" w:cs="宋体"/>
                <w:color w:val="auto"/>
                <w:sz w:val="24"/>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7B091E43">
            <w:pPr>
              <w:snapToGrid w:val="0"/>
              <w:spacing w:before="50" w:after="165" w:afterLines="50" w:line="400" w:lineRule="exact"/>
              <w:jc w:val="left"/>
              <w:rPr>
                <w:rFonts w:hint="eastAsia" w:ascii="宋体" w:hAnsi="宋体" w:cs="宋体"/>
                <w:color w:val="auto"/>
                <w:sz w:val="24"/>
                <w:highlight w:val="none"/>
              </w:rPr>
            </w:pPr>
          </w:p>
        </w:tc>
        <w:tc>
          <w:tcPr>
            <w:tcW w:w="2133" w:type="dxa"/>
            <w:tcBorders>
              <w:top w:val="single" w:color="auto" w:sz="4" w:space="0"/>
              <w:left w:val="single" w:color="auto" w:sz="4" w:space="0"/>
              <w:bottom w:val="single" w:color="auto" w:sz="4" w:space="0"/>
              <w:right w:val="single" w:color="auto" w:sz="4" w:space="0"/>
            </w:tcBorders>
            <w:noWrap w:val="0"/>
            <w:vAlign w:val="top"/>
          </w:tcPr>
          <w:p w14:paraId="090A0089">
            <w:pPr>
              <w:snapToGrid w:val="0"/>
              <w:spacing w:before="50" w:after="165" w:afterLines="50" w:line="400" w:lineRule="exact"/>
              <w:jc w:val="left"/>
              <w:rPr>
                <w:rFonts w:hint="eastAsia" w:ascii="宋体" w:hAnsi="宋体" w:cs="宋体"/>
                <w:color w:val="auto"/>
                <w:sz w:val="24"/>
                <w:highlight w:val="none"/>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4D561A04">
            <w:pPr>
              <w:snapToGrid w:val="0"/>
              <w:spacing w:before="50" w:after="165" w:afterLines="50" w:line="400" w:lineRule="exact"/>
              <w:jc w:val="left"/>
              <w:rPr>
                <w:rFonts w:hint="eastAsia" w:ascii="宋体" w:hAnsi="宋体" w:cs="宋体"/>
                <w:color w:val="auto"/>
                <w:sz w:val="24"/>
                <w:highlight w:val="none"/>
              </w:rPr>
            </w:pPr>
          </w:p>
        </w:tc>
      </w:tr>
      <w:tr w14:paraId="7CA9D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14:paraId="2912FD51">
            <w:pPr>
              <w:snapToGrid w:val="0"/>
              <w:spacing w:before="50" w:after="165" w:afterLines="50" w:line="400" w:lineRule="exact"/>
              <w:jc w:val="left"/>
              <w:rPr>
                <w:rFonts w:hint="eastAsia" w:ascii="宋体" w:hAnsi="宋体" w:cs="宋体"/>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top"/>
          </w:tcPr>
          <w:p w14:paraId="5BB3E891">
            <w:pPr>
              <w:snapToGrid w:val="0"/>
              <w:spacing w:before="50" w:after="165" w:afterLines="50" w:line="400" w:lineRule="exact"/>
              <w:jc w:val="left"/>
              <w:rPr>
                <w:rFonts w:hint="eastAsia" w:ascii="宋体" w:hAnsi="宋体" w:cs="宋体"/>
                <w:color w:val="auto"/>
                <w:sz w:val="24"/>
                <w:highlight w:val="none"/>
              </w:rPr>
            </w:pPr>
          </w:p>
        </w:tc>
        <w:tc>
          <w:tcPr>
            <w:tcW w:w="2151" w:type="dxa"/>
            <w:tcBorders>
              <w:top w:val="single" w:color="auto" w:sz="4" w:space="0"/>
              <w:left w:val="single" w:color="auto" w:sz="4" w:space="0"/>
              <w:bottom w:val="single" w:color="auto" w:sz="4" w:space="0"/>
              <w:right w:val="single" w:color="auto" w:sz="4" w:space="0"/>
            </w:tcBorders>
            <w:noWrap w:val="0"/>
            <w:vAlign w:val="top"/>
          </w:tcPr>
          <w:p w14:paraId="314A16C9">
            <w:pPr>
              <w:snapToGrid w:val="0"/>
              <w:spacing w:before="50" w:after="165" w:afterLines="50" w:line="400" w:lineRule="exact"/>
              <w:jc w:val="left"/>
              <w:rPr>
                <w:rFonts w:hint="eastAsia" w:ascii="宋体" w:hAnsi="宋体" w:cs="宋体"/>
                <w:color w:val="auto"/>
                <w:sz w:val="24"/>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top"/>
          </w:tcPr>
          <w:p w14:paraId="6E0B7E71">
            <w:pPr>
              <w:snapToGrid w:val="0"/>
              <w:spacing w:before="50" w:after="165" w:afterLines="50" w:line="400" w:lineRule="exact"/>
              <w:jc w:val="left"/>
              <w:rPr>
                <w:rFonts w:hint="eastAsia" w:ascii="宋体" w:hAnsi="宋体" w:cs="宋体"/>
                <w:color w:val="auto"/>
                <w:sz w:val="24"/>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0DF645FF">
            <w:pPr>
              <w:snapToGrid w:val="0"/>
              <w:spacing w:before="50" w:after="165" w:afterLines="50" w:line="400" w:lineRule="exact"/>
              <w:jc w:val="left"/>
              <w:rPr>
                <w:rFonts w:hint="eastAsia" w:ascii="宋体" w:hAnsi="宋体" w:cs="宋体"/>
                <w:color w:val="auto"/>
                <w:sz w:val="24"/>
                <w:highlight w:val="none"/>
              </w:rPr>
            </w:pPr>
          </w:p>
        </w:tc>
        <w:tc>
          <w:tcPr>
            <w:tcW w:w="2133" w:type="dxa"/>
            <w:tcBorders>
              <w:top w:val="single" w:color="auto" w:sz="4" w:space="0"/>
              <w:left w:val="single" w:color="auto" w:sz="4" w:space="0"/>
              <w:bottom w:val="single" w:color="auto" w:sz="4" w:space="0"/>
              <w:right w:val="single" w:color="auto" w:sz="4" w:space="0"/>
            </w:tcBorders>
            <w:noWrap w:val="0"/>
            <w:vAlign w:val="top"/>
          </w:tcPr>
          <w:p w14:paraId="180C1C0F">
            <w:pPr>
              <w:snapToGrid w:val="0"/>
              <w:spacing w:before="50" w:after="165" w:afterLines="50" w:line="400" w:lineRule="exact"/>
              <w:jc w:val="left"/>
              <w:rPr>
                <w:rFonts w:hint="eastAsia" w:ascii="宋体" w:hAnsi="宋体" w:cs="宋体"/>
                <w:color w:val="auto"/>
                <w:sz w:val="24"/>
                <w:highlight w:val="none"/>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4299D1E">
            <w:pPr>
              <w:snapToGrid w:val="0"/>
              <w:spacing w:before="50" w:after="165" w:afterLines="50" w:line="400" w:lineRule="exact"/>
              <w:jc w:val="left"/>
              <w:rPr>
                <w:rFonts w:hint="eastAsia" w:ascii="宋体" w:hAnsi="宋体" w:cs="宋体"/>
                <w:color w:val="auto"/>
                <w:sz w:val="24"/>
                <w:highlight w:val="none"/>
              </w:rPr>
            </w:pPr>
          </w:p>
        </w:tc>
      </w:tr>
      <w:tr w14:paraId="27812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14:paraId="175AF40F">
            <w:pPr>
              <w:snapToGrid w:val="0"/>
              <w:spacing w:before="50" w:after="165" w:afterLines="50" w:line="400" w:lineRule="exact"/>
              <w:jc w:val="left"/>
              <w:rPr>
                <w:rFonts w:hint="eastAsia" w:ascii="宋体" w:hAnsi="宋体" w:cs="宋体"/>
                <w:color w:val="auto"/>
                <w:sz w:val="24"/>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top"/>
          </w:tcPr>
          <w:p w14:paraId="67EC68A3">
            <w:pPr>
              <w:snapToGrid w:val="0"/>
              <w:spacing w:before="50" w:after="165" w:afterLines="50" w:line="400" w:lineRule="exact"/>
              <w:jc w:val="left"/>
              <w:rPr>
                <w:rFonts w:hint="eastAsia" w:ascii="宋体" w:hAnsi="宋体" w:cs="宋体"/>
                <w:color w:val="auto"/>
                <w:sz w:val="24"/>
                <w:highlight w:val="none"/>
              </w:rPr>
            </w:pPr>
          </w:p>
        </w:tc>
        <w:tc>
          <w:tcPr>
            <w:tcW w:w="2151" w:type="dxa"/>
            <w:tcBorders>
              <w:top w:val="single" w:color="auto" w:sz="4" w:space="0"/>
              <w:left w:val="single" w:color="auto" w:sz="4" w:space="0"/>
              <w:bottom w:val="single" w:color="auto" w:sz="4" w:space="0"/>
              <w:right w:val="single" w:color="auto" w:sz="4" w:space="0"/>
            </w:tcBorders>
            <w:noWrap w:val="0"/>
            <w:vAlign w:val="top"/>
          </w:tcPr>
          <w:p w14:paraId="77AE0F45">
            <w:pPr>
              <w:snapToGrid w:val="0"/>
              <w:spacing w:before="50" w:after="165" w:afterLines="50" w:line="400" w:lineRule="exact"/>
              <w:jc w:val="left"/>
              <w:rPr>
                <w:rFonts w:hint="eastAsia" w:ascii="宋体" w:hAnsi="宋体" w:cs="宋体"/>
                <w:color w:val="auto"/>
                <w:sz w:val="24"/>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top"/>
          </w:tcPr>
          <w:p w14:paraId="1501F4DD">
            <w:pPr>
              <w:snapToGrid w:val="0"/>
              <w:spacing w:before="50" w:after="165" w:afterLines="50" w:line="400" w:lineRule="exact"/>
              <w:jc w:val="left"/>
              <w:rPr>
                <w:rFonts w:hint="eastAsia" w:ascii="宋体" w:hAnsi="宋体" w:cs="宋体"/>
                <w:color w:val="auto"/>
                <w:sz w:val="24"/>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26B4D943">
            <w:pPr>
              <w:snapToGrid w:val="0"/>
              <w:spacing w:before="50" w:after="165" w:afterLines="50" w:line="400" w:lineRule="exact"/>
              <w:jc w:val="left"/>
              <w:rPr>
                <w:rFonts w:hint="eastAsia" w:ascii="宋体" w:hAnsi="宋体" w:cs="宋体"/>
                <w:color w:val="auto"/>
                <w:sz w:val="24"/>
                <w:highlight w:val="none"/>
              </w:rPr>
            </w:pPr>
          </w:p>
        </w:tc>
        <w:tc>
          <w:tcPr>
            <w:tcW w:w="2133" w:type="dxa"/>
            <w:tcBorders>
              <w:top w:val="single" w:color="auto" w:sz="4" w:space="0"/>
              <w:left w:val="single" w:color="auto" w:sz="4" w:space="0"/>
              <w:bottom w:val="single" w:color="auto" w:sz="4" w:space="0"/>
              <w:right w:val="single" w:color="auto" w:sz="4" w:space="0"/>
            </w:tcBorders>
            <w:noWrap w:val="0"/>
            <w:vAlign w:val="top"/>
          </w:tcPr>
          <w:p w14:paraId="2E092658">
            <w:pPr>
              <w:snapToGrid w:val="0"/>
              <w:spacing w:before="50" w:after="165" w:afterLines="50" w:line="400" w:lineRule="exact"/>
              <w:jc w:val="left"/>
              <w:rPr>
                <w:rFonts w:hint="eastAsia" w:ascii="宋体" w:hAnsi="宋体" w:cs="宋体"/>
                <w:color w:val="auto"/>
                <w:sz w:val="24"/>
                <w:highlight w:val="none"/>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1C4C1BC3">
            <w:pPr>
              <w:snapToGrid w:val="0"/>
              <w:spacing w:before="50" w:after="165" w:afterLines="50" w:line="400" w:lineRule="exact"/>
              <w:jc w:val="left"/>
              <w:rPr>
                <w:rFonts w:hint="eastAsia" w:ascii="宋体" w:hAnsi="宋体" w:cs="宋体"/>
                <w:color w:val="auto"/>
                <w:sz w:val="24"/>
                <w:highlight w:val="none"/>
              </w:rPr>
            </w:pPr>
          </w:p>
        </w:tc>
      </w:tr>
    </w:tbl>
    <w:p w14:paraId="50BBD1FD">
      <w:pPr>
        <w:pStyle w:val="15"/>
        <w:spacing w:line="360" w:lineRule="auto"/>
        <w:ind w:left="72"/>
        <w:rPr>
          <w:rFonts w:hint="eastAsia" w:hAnsi="宋体" w:cs="宋体"/>
          <w:color w:val="auto"/>
          <w:highlight w:val="none"/>
        </w:rPr>
      </w:pPr>
      <w:r>
        <w:rPr>
          <w:rFonts w:hint="eastAsia" w:hAnsi="宋体" w:cs="宋体"/>
          <w:color w:val="auto"/>
          <w:highlight w:val="none"/>
        </w:rPr>
        <w:t>注：供应商可按上述的格式自行编制，须随表提交相应的合同</w:t>
      </w:r>
      <w:r>
        <w:rPr>
          <w:rFonts w:hint="eastAsia" w:hAnsi="宋体" w:cs="宋体"/>
          <w:color w:val="auto"/>
          <w:highlight w:val="none"/>
          <w:lang w:val="en-US" w:eastAsia="zh-CN"/>
        </w:rPr>
        <w:t>或中标通知书</w:t>
      </w:r>
      <w:r>
        <w:rPr>
          <w:rFonts w:hint="eastAsia" w:hAnsi="宋体" w:cs="宋体"/>
          <w:color w:val="auto"/>
          <w:highlight w:val="none"/>
        </w:rPr>
        <w:t>复印件并注明所在供应商商务技术文件页码。</w:t>
      </w:r>
    </w:p>
    <w:p w14:paraId="1F2B9119">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1160EA2">
      <w:pPr>
        <w:snapToGrid w:val="0"/>
        <w:spacing w:line="360" w:lineRule="auto"/>
        <w:ind w:left="5040" w:leftChars="2400" w:firstLine="5040" w:firstLineChars="240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4FB1DFA7">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6F01E53">
      <w:pPr>
        <w:snapToGrid w:val="0"/>
        <w:spacing w:before="165" w:beforeLines="50" w:after="50"/>
        <w:ind w:firstLine="602" w:firstLineChars="200"/>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十</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eastAsia="zh-CN"/>
        </w:rPr>
        <w:t>供应商认为需要提供的其他证明材料</w:t>
      </w:r>
    </w:p>
    <w:p w14:paraId="0EAFE605">
      <w:pPr>
        <w:spacing w:line="360" w:lineRule="auto"/>
        <w:ind w:firstLine="588" w:firstLineChars="245"/>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供应商可结合自身情况提供。</w:t>
      </w:r>
    </w:p>
    <w:p w14:paraId="487196A5">
      <w:pPr>
        <w:pStyle w:val="15"/>
        <w:jc w:val="center"/>
        <w:rPr>
          <w:rFonts w:hint="eastAsia" w:hAnsi="宋体" w:cs="宋体"/>
          <w:b/>
          <w:bCs/>
          <w:color w:val="auto"/>
          <w:sz w:val="30"/>
          <w:szCs w:val="30"/>
          <w:highlight w:val="none"/>
        </w:rPr>
      </w:pPr>
    </w:p>
    <w:p w14:paraId="0B77058E">
      <w:pPr>
        <w:snapToGrid w:val="0"/>
        <w:spacing w:line="360" w:lineRule="auto"/>
        <w:ind w:left="3950" w:leftChars="1881" w:firstLine="7560" w:firstLineChars="3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w:t>
      </w:r>
    </w:p>
    <w:p w14:paraId="0EA24FD7">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165C1506">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417E0C24">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26B00763">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1F6037CD">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0C07CF35">
      <w:pPr>
        <w:snapToGrid w:val="0"/>
        <w:spacing w:line="360" w:lineRule="auto"/>
        <w:ind w:left="3950" w:leftChars="1881" w:firstLine="7560" w:firstLineChars="3150"/>
        <w:jc w:val="right"/>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供供应商名称(电子签章)：</w:t>
      </w:r>
    </w:p>
    <w:p w14:paraId="7DB5934F">
      <w:pPr>
        <w:pStyle w:val="12"/>
        <w:bidi w:val="0"/>
        <w:jc w:val="right"/>
        <w:rPr>
          <w:rFonts w:hint="eastAsia"/>
          <w:color w:val="auto"/>
          <w:sz w:val="22"/>
          <w:szCs w:val="24"/>
          <w:highlight w:val="none"/>
        </w:rPr>
      </w:pPr>
      <w:r>
        <w:rPr>
          <w:rFonts w:hint="eastAsia"/>
          <w:color w:val="auto"/>
          <w:sz w:val="22"/>
          <w:szCs w:val="24"/>
          <w:highlight w:val="none"/>
        </w:rPr>
        <w:t xml:space="preserve">    </w:t>
      </w:r>
      <w:bookmarkStart w:id="143" w:name="_Toc1548"/>
      <w:bookmarkStart w:id="144" w:name="_Toc29173"/>
      <w:r>
        <w:rPr>
          <w:rFonts w:hint="eastAsia"/>
          <w:color w:val="auto"/>
          <w:sz w:val="22"/>
          <w:szCs w:val="24"/>
          <w:highlight w:val="none"/>
          <w:lang w:val="zh-CN"/>
        </w:rPr>
        <w:t>日期</w:t>
      </w:r>
      <w:r>
        <w:rPr>
          <w:rFonts w:hint="eastAsia"/>
          <w:color w:val="auto"/>
          <w:sz w:val="22"/>
          <w:szCs w:val="24"/>
          <w:highlight w:val="none"/>
        </w:rPr>
        <w:t xml:space="preserve">：  年  </w:t>
      </w:r>
      <w:r>
        <w:rPr>
          <w:rFonts w:hint="eastAsia"/>
          <w:color w:val="auto"/>
          <w:sz w:val="22"/>
          <w:szCs w:val="24"/>
          <w:highlight w:val="none"/>
          <w:lang w:val="zh-CN"/>
        </w:rPr>
        <w:t>月</w:t>
      </w:r>
      <w:r>
        <w:rPr>
          <w:rFonts w:hint="eastAsia"/>
          <w:color w:val="auto"/>
          <w:sz w:val="22"/>
          <w:szCs w:val="24"/>
          <w:highlight w:val="none"/>
        </w:rPr>
        <w:t xml:space="preserve">   </w:t>
      </w:r>
      <w:r>
        <w:rPr>
          <w:rFonts w:hint="eastAsia"/>
          <w:color w:val="auto"/>
          <w:sz w:val="22"/>
          <w:szCs w:val="24"/>
          <w:highlight w:val="none"/>
          <w:lang w:val="zh-CN"/>
        </w:rPr>
        <w:t>日</w:t>
      </w:r>
      <w:bookmarkEnd w:id="143"/>
      <w:bookmarkEnd w:id="144"/>
    </w:p>
    <w:p w14:paraId="29BA419B">
      <w:pPr>
        <w:jc w:val="center"/>
        <w:outlineLvl w:val="1"/>
        <w:rPr>
          <w:rFonts w:hint="eastAsia" w:ascii="宋体" w:hAnsi="宋体"/>
          <w:b/>
          <w:bCs/>
          <w:color w:val="auto"/>
          <w:sz w:val="28"/>
          <w:szCs w:val="28"/>
          <w:highlight w:val="none"/>
        </w:rPr>
      </w:pPr>
      <w:r>
        <w:rPr>
          <w:rFonts w:hint="eastAsia" w:hAnsi="宋体" w:cs="宋体"/>
          <w:b/>
          <w:bCs/>
          <w:color w:val="auto"/>
          <w:sz w:val="28"/>
          <w:szCs w:val="28"/>
          <w:highlight w:val="none"/>
        </w:rPr>
        <w:br w:type="page"/>
      </w:r>
      <w:bookmarkStart w:id="145" w:name="_Toc2374"/>
      <w:r>
        <w:rPr>
          <w:rFonts w:hint="eastAsia" w:ascii="宋体" w:hAnsi="宋体"/>
          <w:b/>
          <w:bCs/>
          <w:color w:val="auto"/>
          <w:sz w:val="28"/>
          <w:szCs w:val="28"/>
          <w:highlight w:val="none"/>
        </w:rPr>
        <w:t>第四节 技术文件格式</w:t>
      </w:r>
      <w:bookmarkEnd w:id="141"/>
      <w:bookmarkEnd w:id="145"/>
    </w:p>
    <w:p w14:paraId="48F0DE57">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电子投标文件</w:t>
      </w:r>
    </w:p>
    <w:p w14:paraId="6CE245C9">
      <w:pPr>
        <w:snapToGrid w:val="0"/>
        <w:spacing w:before="165" w:beforeLines="50" w:after="50"/>
        <w:rPr>
          <w:rFonts w:hint="eastAsia" w:ascii="宋体" w:hAnsi="宋体"/>
          <w:color w:val="auto"/>
          <w:sz w:val="24"/>
          <w:szCs w:val="20"/>
          <w:highlight w:val="none"/>
        </w:rPr>
      </w:pPr>
    </w:p>
    <w:p w14:paraId="4397ED1F">
      <w:pPr>
        <w:snapToGrid w:val="0"/>
        <w:spacing w:before="165" w:beforeLines="50" w:after="50"/>
        <w:jc w:val="center"/>
        <w:rPr>
          <w:rFonts w:hint="eastAsia" w:ascii="宋体" w:hAnsi="宋体"/>
          <w:b/>
          <w:bCs/>
          <w:color w:val="auto"/>
          <w:sz w:val="32"/>
          <w:szCs w:val="32"/>
          <w:highlight w:val="none"/>
        </w:rPr>
      </w:pPr>
    </w:p>
    <w:p w14:paraId="73D14A64">
      <w:pPr>
        <w:snapToGrid w:val="0"/>
        <w:spacing w:before="165" w:beforeLines="50" w:after="50"/>
        <w:jc w:val="center"/>
        <w:rPr>
          <w:rFonts w:hint="eastAsia" w:ascii="宋体" w:hAnsi="宋体"/>
          <w:b/>
          <w:bCs/>
          <w:color w:val="auto"/>
          <w:sz w:val="32"/>
          <w:szCs w:val="32"/>
          <w:highlight w:val="none"/>
        </w:rPr>
      </w:pPr>
    </w:p>
    <w:p w14:paraId="1EF4383E">
      <w:pPr>
        <w:snapToGrid w:val="0"/>
        <w:spacing w:before="165" w:beforeLines="50" w:after="50"/>
        <w:jc w:val="center"/>
        <w:rPr>
          <w:rFonts w:hint="eastAsia" w:ascii="宋体" w:hAnsi="宋体"/>
          <w:b/>
          <w:bCs/>
          <w:color w:val="auto"/>
          <w:sz w:val="32"/>
          <w:szCs w:val="32"/>
          <w:highlight w:val="none"/>
        </w:rPr>
      </w:pPr>
    </w:p>
    <w:p w14:paraId="45DF544D">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1972010E">
      <w:pPr>
        <w:snapToGrid w:val="0"/>
        <w:spacing w:before="165" w:beforeLines="50" w:after="50"/>
        <w:rPr>
          <w:rFonts w:hint="eastAsia" w:ascii="宋体" w:hAnsi="宋体"/>
          <w:bCs/>
          <w:color w:val="auto"/>
          <w:sz w:val="24"/>
          <w:szCs w:val="20"/>
          <w:highlight w:val="none"/>
        </w:rPr>
      </w:pPr>
    </w:p>
    <w:p w14:paraId="4D1756BF">
      <w:pPr>
        <w:snapToGrid w:val="0"/>
        <w:spacing w:before="165" w:beforeLines="50" w:after="50" w:line="400" w:lineRule="exact"/>
        <w:ind w:firstLine="360" w:firstLineChars="15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 xml:space="preserve">项目名称： </w:t>
      </w:r>
      <w:r>
        <w:rPr>
          <w:rFonts w:hint="eastAsia"/>
          <w:color w:val="auto"/>
          <w:sz w:val="24"/>
          <w:szCs w:val="24"/>
          <w:highlight w:val="none"/>
          <w:u w:val="single"/>
          <w:lang w:val="en-US" w:eastAsia="zh-CN"/>
        </w:rPr>
        <w:t xml:space="preserve">                                                  </w:t>
      </w:r>
    </w:p>
    <w:p w14:paraId="50F27FDB">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p w14:paraId="647F8DFF">
      <w:pPr>
        <w:snapToGrid w:val="0"/>
        <w:spacing w:before="50" w:after="50"/>
        <w:rPr>
          <w:rFonts w:hint="eastAsia" w:ascii="宋体" w:hAnsi="宋体"/>
          <w:bCs/>
          <w:color w:val="auto"/>
          <w:sz w:val="24"/>
          <w:szCs w:val="24"/>
          <w:highlight w:val="none"/>
        </w:rPr>
      </w:pPr>
    </w:p>
    <w:p w14:paraId="420B141C">
      <w:pPr>
        <w:snapToGrid w:val="0"/>
        <w:spacing w:before="50" w:after="50"/>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55A70301">
      <w:pPr>
        <w:snapToGrid w:val="0"/>
        <w:spacing w:before="50" w:after="50"/>
        <w:ind w:firstLine="540" w:firstLineChars="225"/>
        <w:rPr>
          <w:rFonts w:hint="eastAsia" w:ascii="宋体" w:hAnsi="宋体"/>
          <w:bCs/>
          <w:color w:val="auto"/>
          <w:sz w:val="24"/>
          <w:szCs w:val="24"/>
          <w:highlight w:val="none"/>
        </w:rPr>
      </w:pPr>
    </w:p>
    <w:p w14:paraId="7833DCDF">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7158AC27">
      <w:pPr>
        <w:snapToGrid w:val="0"/>
        <w:spacing w:before="165" w:beforeLines="50" w:after="50"/>
        <w:ind w:firstLine="645"/>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64479961">
      <w:pPr>
        <w:snapToGrid w:val="0"/>
        <w:spacing w:before="165" w:beforeLines="50" w:after="50"/>
        <w:ind w:firstLine="645"/>
        <w:jc w:val="center"/>
        <w:rPr>
          <w:rFonts w:hint="eastAsia" w:ascii="宋体" w:hAnsi="宋体"/>
          <w:color w:val="auto"/>
          <w:sz w:val="24"/>
          <w:szCs w:val="20"/>
          <w:highlight w:val="none"/>
        </w:rPr>
      </w:pPr>
    </w:p>
    <w:p w14:paraId="632048B2">
      <w:pPr>
        <w:jc w:val="center"/>
        <w:rPr>
          <w:rFonts w:hint="eastAsia" w:ascii="仿宋_GB2312" w:hAnsi="仿宋" w:eastAsia="仿宋_GB2312" w:cs="仿宋_GB2312"/>
          <w:b/>
          <w:color w:val="auto"/>
          <w:kern w:val="0"/>
          <w:sz w:val="30"/>
          <w:szCs w:val="30"/>
          <w:highlight w:val="none"/>
        </w:rPr>
      </w:pPr>
      <w:r>
        <w:rPr>
          <w:rFonts w:hint="eastAsia" w:ascii="宋体" w:hAnsi="宋体"/>
          <w:b/>
          <w:bCs/>
          <w:color w:val="auto"/>
          <w:sz w:val="24"/>
          <w:szCs w:val="24"/>
          <w:highlight w:val="none"/>
        </w:rPr>
        <w:br w:type="page"/>
      </w:r>
      <w:r>
        <w:rPr>
          <w:rFonts w:hint="eastAsia" w:ascii="仿宋_GB2312" w:hAnsi="仿宋" w:eastAsia="仿宋_GB2312" w:cs="仿宋_GB2312"/>
          <w:b/>
          <w:color w:val="auto"/>
          <w:kern w:val="0"/>
          <w:sz w:val="30"/>
          <w:szCs w:val="30"/>
          <w:highlight w:val="none"/>
        </w:rPr>
        <w:t>技术文件目录</w:t>
      </w:r>
    </w:p>
    <w:p w14:paraId="443FE0E1">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一、响应服务技术需求偏离表………………………………………………………（页码）</w:t>
      </w:r>
    </w:p>
    <w:p w14:paraId="6E78B784">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二、各项方案…………………………………………………………………………（页码）</w:t>
      </w:r>
    </w:p>
    <w:p w14:paraId="4233C3F8">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三、售后服务承诺…</w:t>
      </w:r>
      <w:r>
        <w:rPr>
          <w:rFonts w:hint="eastAsia" w:ascii="仿宋_GB2312" w:hAnsi="仿宋" w:eastAsia="仿宋_GB2312" w:cs="仿宋_GB2312"/>
          <w:color w:val="auto"/>
          <w:sz w:val="24"/>
          <w:szCs w:val="24"/>
          <w:highlight w:val="none"/>
          <w:lang w:val="zh-CN"/>
        </w:rPr>
        <w:t>……………………………………………</w:t>
      </w:r>
      <w:r>
        <w:rPr>
          <w:rFonts w:hint="eastAsia" w:ascii="仿宋_GB2312" w:hAnsi="仿宋" w:eastAsia="仿宋_GB2312" w:cs="仿宋_GB2312"/>
          <w:color w:val="auto"/>
          <w:sz w:val="24"/>
          <w:szCs w:val="24"/>
          <w:highlight w:val="none"/>
        </w:rPr>
        <w:t>………………………（页码）</w:t>
      </w:r>
    </w:p>
    <w:p w14:paraId="6F8D6FAE">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四</w:t>
      </w:r>
      <w:r>
        <w:rPr>
          <w:rFonts w:hint="eastAsia" w:ascii="仿宋_GB2312" w:hAnsi="仿宋" w:eastAsia="仿宋_GB2312" w:cs="仿宋_GB2312"/>
          <w:color w:val="auto"/>
          <w:sz w:val="24"/>
          <w:szCs w:val="24"/>
          <w:highlight w:val="none"/>
        </w:rPr>
        <w:t>、供应商认为需要提供的其他证明材料………………………………………</w:t>
      </w:r>
      <w:r>
        <w:rPr>
          <w:rFonts w:hint="eastAsia" w:ascii="仿宋_GB2312" w:hAnsi="仿宋" w:eastAsia="仿宋_GB2312" w:cs="仿宋_GB2312"/>
          <w:color w:val="auto"/>
          <w:sz w:val="24"/>
          <w:szCs w:val="24"/>
          <w:highlight w:val="none"/>
          <w:lang w:val="zh-CN"/>
        </w:rPr>
        <w:t>……</w:t>
      </w:r>
      <w:r>
        <w:rPr>
          <w:rFonts w:hint="eastAsia" w:ascii="仿宋_GB2312" w:hAnsi="仿宋" w:eastAsia="仿宋_GB2312" w:cs="仿宋_GB2312"/>
          <w:color w:val="auto"/>
          <w:sz w:val="24"/>
          <w:szCs w:val="24"/>
          <w:highlight w:val="none"/>
        </w:rPr>
        <w:t>（页码）</w:t>
      </w:r>
    </w:p>
    <w:p w14:paraId="299F5178">
      <w:pPr>
        <w:spacing w:line="360" w:lineRule="auto"/>
        <w:rPr>
          <w:rFonts w:hint="eastAsia" w:ascii="仿宋_GB2312" w:hAnsi="仿宋" w:eastAsia="仿宋_GB2312" w:cs="仿宋_GB2312"/>
          <w:b/>
          <w:bCs/>
          <w:color w:val="auto"/>
          <w:sz w:val="24"/>
          <w:szCs w:val="24"/>
          <w:highlight w:val="none"/>
        </w:rPr>
      </w:pPr>
    </w:p>
    <w:p w14:paraId="55190EB8">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注：以上目录是基本格式要求，各供应商可根据自身情况进一步向下增加内容或细化。</w:t>
      </w:r>
    </w:p>
    <w:p w14:paraId="58ACC236">
      <w:pPr>
        <w:snapToGrid w:val="0"/>
        <w:spacing w:before="165" w:beforeLines="50" w:after="50"/>
        <w:ind w:left="143" w:leftChars="68" w:firstLine="472" w:firstLineChars="196"/>
        <w:jc w:val="left"/>
        <w:rPr>
          <w:rFonts w:hint="eastAsia" w:ascii="宋体" w:hAnsi="宋体"/>
          <w:b/>
          <w:color w:val="auto"/>
          <w:sz w:val="24"/>
          <w:szCs w:val="24"/>
          <w:highlight w:val="none"/>
        </w:rPr>
      </w:pPr>
    </w:p>
    <w:p w14:paraId="1E8E023C">
      <w:pPr>
        <w:pStyle w:val="15"/>
        <w:spacing w:line="500" w:lineRule="exact"/>
        <w:jc w:val="center"/>
        <w:rPr>
          <w:rFonts w:hint="eastAsia" w:hAnsi="宋体" w:cs="宋体"/>
          <w:b/>
          <w:bCs/>
          <w:color w:val="auto"/>
          <w:sz w:val="30"/>
          <w:szCs w:val="30"/>
          <w:highlight w:val="none"/>
        </w:rPr>
      </w:pPr>
      <w:r>
        <w:rPr>
          <w:rFonts w:hint="eastAsia" w:ascii="宋体" w:hAnsi="宋体"/>
          <w:b/>
          <w:color w:val="auto"/>
          <w:sz w:val="24"/>
          <w:szCs w:val="24"/>
          <w:highlight w:val="none"/>
        </w:rPr>
        <w:br w:type="page"/>
      </w:r>
      <w:r>
        <w:rPr>
          <w:rFonts w:hint="eastAsia" w:hAnsi="宋体" w:cs="宋体"/>
          <w:b/>
          <w:bCs/>
          <w:color w:val="auto"/>
          <w:sz w:val="30"/>
          <w:szCs w:val="30"/>
          <w:highlight w:val="none"/>
        </w:rPr>
        <w:t>一、响应服务技术需求偏离表</w:t>
      </w:r>
    </w:p>
    <w:p w14:paraId="2F227235">
      <w:pPr>
        <w:pStyle w:val="15"/>
        <w:spacing w:line="440" w:lineRule="exact"/>
        <w:ind w:firstLine="400" w:firstLineChars="200"/>
        <w:rPr>
          <w:rFonts w:hint="eastAsia" w:hAnsi="宋体" w:cs="宋体"/>
          <w:color w:val="auto"/>
          <w:highlight w:val="none"/>
        </w:rPr>
      </w:pPr>
    </w:p>
    <w:p w14:paraId="027ACBB9">
      <w:pPr>
        <w:pStyle w:val="15"/>
        <w:spacing w:line="6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本项目征集文件第二章“服务需求一览表”中的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A97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1FC5BA33">
            <w:pP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6F5D668">
            <w:pPr>
              <w:jc w:val="center"/>
              <w:rPr>
                <w:rFonts w:hint="eastAsia" w:ascii="宋体" w:hAnsi="宋体" w:cs="宋体"/>
                <w:color w:val="auto"/>
                <w:szCs w:val="21"/>
                <w:highlight w:val="none"/>
              </w:rPr>
            </w:pPr>
            <w:r>
              <w:rPr>
                <w:rFonts w:hint="eastAsia" w:ascii="宋体" w:hAnsi="宋体" w:cs="宋体"/>
                <w:color w:val="auto"/>
                <w:szCs w:val="21"/>
                <w:highlight w:val="none"/>
              </w:rPr>
              <w:t>征集文件需求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25739D42">
            <w:pPr>
              <w:jc w:val="center"/>
              <w:rPr>
                <w:rFonts w:hint="eastAsia" w:ascii="宋体" w:hAnsi="宋体" w:cs="宋体"/>
                <w:color w:val="auto"/>
                <w:szCs w:val="21"/>
                <w:highlight w:val="none"/>
              </w:rPr>
            </w:pPr>
            <w:r>
              <w:rPr>
                <w:rFonts w:hint="eastAsia" w:ascii="宋体" w:hAnsi="宋体" w:cs="宋体"/>
                <w:color w:val="auto"/>
                <w:szCs w:val="21"/>
                <w:highlight w:val="none"/>
              </w:rPr>
              <w:t>响应文件承诺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794D1EEF">
            <w:pP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014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4C21D333">
            <w:pPr>
              <w:widowControl/>
              <w:jc w:val="left"/>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E88F20">
            <w:pPr>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976D1C7">
            <w:pPr>
              <w:jc w:val="center"/>
              <w:rPr>
                <w:rFonts w:hint="eastAsia"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6B49BBC">
            <w:pPr>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4251BF8">
            <w:pPr>
              <w:jc w:val="center"/>
              <w:rPr>
                <w:rFonts w:hint="eastAsia"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79BCBD7">
            <w:pPr>
              <w:widowControl/>
              <w:jc w:val="left"/>
              <w:rPr>
                <w:rFonts w:hint="eastAsia" w:ascii="宋体" w:hAnsi="宋体" w:cs="宋体"/>
                <w:color w:val="auto"/>
                <w:szCs w:val="21"/>
                <w:highlight w:val="none"/>
              </w:rPr>
            </w:pPr>
          </w:p>
        </w:tc>
      </w:tr>
      <w:tr w14:paraId="03F4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6AA21C7">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74F76D">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B9AF26B">
            <w:pPr>
              <w:rPr>
                <w:rFonts w:hint="eastAsia" w:ascii="宋体" w:hAnsi="宋体" w:cs="宋体"/>
                <w:color w:val="auto"/>
                <w:szCs w:val="21"/>
                <w:highlight w:val="none"/>
              </w:rPr>
            </w:pPr>
            <w:r>
              <w:rPr>
                <w:rFonts w:hint="eastAsia" w:ascii="宋体" w:hAnsi="宋体" w:cs="宋体"/>
                <w:color w:val="auto"/>
                <w:szCs w:val="21"/>
                <w:highlight w:val="none"/>
              </w:rPr>
              <w:t>1  ……</w:t>
            </w:r>
          </w:p>
          <w:p w14:paraId="1B38DFF8">
            <w:pPr>
              <w:rPr>
                <w:rFonts w:hint="eastAsia" w:ascii="宋体" w:hAnsi="宋体" w:cs="宋体"/>
                <w:color w:val="auto"/>
                <w:szCs w:val="21"/>
                <w:highlight w:val="none"/>
              </w:rPr>
            </w:pPr>
            <w:r>
              <w:rPr>
                <w:rFonts w:hint="eastAsia" w:ascii="宋体" w:hAnsi="宋体" w:cs="宋体"/>
                <w:color w:val="auto"/>
                <w:szCs w:val="21"/>
                <w:highlight w:val="none"/>
              </w:rPr>
              <w:t>2  ……</w:t>
            </w:r>
          </w:p>
          <w:p w14:paraId="3AE442FD">
            <w:pPr>
              <w:rPr>
                <w:rFonts w:hint="eastAsia" w:ascii="宋体" w:hAnsi="宋体" w:cs="宋体"/>
                <w:color w:val="auto"/>
                <w:szCs w:val="21"/>
                <w:highlight w:val="none"/>
              </w:rPr>
            </w:pPr>
            <w:r>
              <w:rPr>
                <w:rFonts w:hint="eastAsia" w:ascii="宋体" w:hAnsi="宋体" w:cs="宋体"/>
                <w:color w:val="auto"/>
                <w:szCs w:val="21"/>
                <w:highlight w:val="none"/>
              </w:rPr>
              <w:t>3  ……</w:t>
            </w:r>
          </w:p>
          <w:p w14:paraId="78C8ECC1">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3BA2B2E">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D8A848F">
            <w:pPr>
              <w:rPr>
                <w:rFonts w:hint="eastAsia" w:ascii="宋体" w:hAnsi="宋体" w:cs="宋体"/>
                <w:color w:val="auto"/>
                <w:szCs w:val="21"/>
                <w:highlight w:val="none"/>
              </w:rPr>
            </w:pPr>
            <w:r>
              <w:rPr>
                <w:rFonts w:hint="eastAsia" w:ascii="宋体" w:hAnsi="宋体" w:cs="宋体"/>
                <w:color w:val="auto"/>
                <w:szCs w:val="21"/>
                <w:highlight w:val="none"/>
              </w:rPr>
              <w:t>1  ……</w:t>
            </w:r>
          </w:p>
          <w:p w14:paraId="0E8A5AC7">
            <w:pPr>
              <w:rPr>
                <w:rFonts w:hint="eastAsia" w:ascii="宋体" w:hAnsi="宋体" w:cs="宋体"/>
                <w:color w:val="auto"/>
                <w:szCs w:val="21"/>
                <w:highlight w:val="none"/>
              </w:rPr>
            </w:pPr>
            <w:r>
              <w:rPr>
                <w:rFonts w:hint="eastAsia" w:ascii="宋体" w:hAnsi="宋体" w:cs="宋体"/>
                <w:color w:val="auto"/>
                <w:szCs w:val="21"/>
                <w:highlight w:val="none"/>
              </w:rPr>
              <w:t>2  ……</w:t>
            </w:r>
          </w:p>
          <w:p w14:paraId="634D87EA">
            <w:pPr>
              <w:rPr>
                <w:rFonts w:hint="eastAsia" w:ascii="宋体" w:hAnsi="宋体" w:cs="宋体"/>
                <w:color w:val="auto"/>
                <w:szCs w:val="21"/>
                <w:highlight w:val="none"/>
              </w:rPr>
            </w:pPr>
            <w:r>
              <w:rPr>
                <w:rFonts w:hint="eastAsia" w:ascii="宋体" w:hAnsi="宋体" w:cs="宋体"/>
                <w:color w:val="auto"/>
                <w:szCs w:val="21"/>
                <w:highlight w:val="none"/>
              </w:rPr>
              <w:t>3  ……</w:t>
            </w:r>
          </w:p>
          <w:p w14:paraId="403F9852">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96862CD">
            <w:pPr>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33E8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2398AE0">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CC4C02">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C45CF45">
            <w:pPr>
              <w:rPr>
                <w:rFonts w:hint="eastAsia" w:ascii="宋体" w:hAnsi="宋体" w:cs="宋体"/>
                <w:color w:val="auto"/>
                <w:szCs w:val="21"/>
                <w:highlight w:val="none"/>
              </w:rPr>
            </w:pPr>
            <w:r>
              <w:rPr>
                <w:rFonts w:hint="eastAsia" w:ascii="宋体" w:hAnsi="宋体" w:cs="宋体"/>
                <w:color w:val="auto"/>
                <w:szCs w:val="21"/>
                <w:highlight w:val="none"/>
              </w:rPr>
              <w:t>1  ……</w:t>
            </w:r>
          </w:p>
          <w:p w14:paraId="2CFD9266">
            <w:pPr>
              <w:rPr>
                <w:rFonts w:hint="eastAsia" w:ascii="宋体" w:hAnsi="宋体" w:cs="宋体"/>
                <w:color w:val="auto"/>
                <w:szCs w:val="21"/>
                <w:highlight w:val="none"/>
              </w:rPr>
            </w:pPr>
            <w:r>
              <w:rPr>
                <w:rFonts w:hint="eastAsia" w:ascii="宋体" w:hAnsi="宋体" w:cs="宋体"/>
                <w:color w:val="auto"/>
                <w:szCs w:val="21"/>
                <w:highlight w:val="none"/>
              </w:rPr>
              <w:t>2  ……</w:t>
            </w:r>
          </w:p>
          <w:p w14:paraId="44DCADF0">
            <w:pPr>
              <w:rPr>
                <w:rFonts w:hint="eastAsia" w:ascii="宋体" w:hAnsi="宋体" w:cs="宋体"/>
                <w:color w:val="auto"/>
                <w:szCs w:val="21"/>
                <w:highlight w:val="none"/>
              </w:rPr>
            </w:pPr>
            <w:r>
              <w:rPr>
                <w:rFonts w:hint="eastAsia" w:ascii="宋体" w:hAnsi="宋体" w:cs="宋体"/>
                <w:color w:val="auto"/>
                <w:szCs w:val="21"/>
                <w:highlight w:val="none"/>
              </w:rPr>
              <w:t>3  ……</w:t>
            </w:r>
          </w:p>
          <w:p w14:paraId="4E29A975">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A4E5F1C">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A3E7E1C">
            <w:pPr>
              <w:rPr>
                <w:rFonts w:hint="eastAsia" w:ascii="宋体" w:hAnsi="宋体" w:cs="宋体"/>
                <w:color w:val="auto"/>
                <w:szCs w:val="21"/>
                <w:highlight w:val="none"/>
              </w:rPr>
            </w:pPr>
            <w:r>
              <w:rPr>
                <w:rFonts w:hint="eastAsia" w:ascii="宋体" w:hAnsi="宋体" w:cs="宋体"/>
                <w:color w:val="auto"/>
                <w:szCs w:val="21"/>
                <w:highlight w:val="none"/>
              </w:rPr>
              <w:t>1  ……</w:t>
            </w:r>
          </w:p>
          <w:p w14:paraId="48F1C49D">
            <w:pPr>
              <w:rPr>
                <w:rFonts w:hint="eastAsia" w:ascii="宋体" w:hAnsi="宋体" w:cs="宋体"/>
                <w:color w:val="auto"/>
                <w:szCs w:val="21"/>
                <w:highlight w:val="none"/>
              </w:rPr>
            </w:pPr>
            <w:r>
              <w:rPr>
                <w:rFonts w:hint="eastAsia" w:ascii="宋体" w:hAnsi="宋体" w:cs="宋体"/>
                <w:color w:val="auto"/>
                <w:szCs w:val="21"/>
                <w:highlight w:val="none"/>
              </w:rPr>
              <w:t>2  ……</w:t>
            </w:r>
          </w:p>
          <w:p w14:paraId="05D82154">
            <w:pPr>
              <w:rPr>
                <w:rFonts w:hint="eastAsia" w:ascii="宋体" w:hAnsi="宋体" w:cs="宋体"/>
                <w:color w:val="auto"/>
                <w:szCs w:val="21"/>
                <w:highlight w:val="none"/>
              </w:rPr>
            </w:pPr>
            <w:r>
              <w:rPr>
                <w:rFonts w:hint="eastAsia" w:ascii="宋体" w:hAnsi="宋体" w:cs="宋体"/>
                <w:color w:val="auto"/>
                <w:szCs w:val="21"/>
                <w:highlight w:val="none"/>
              </w:rPr>
              <w:t>3  ……</w:t>
            </w:r>
          </w:p>
          <w:p w14:paraId="7C5A7EFB">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27C72E0">
            <w:pPr>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7AE2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9D459EE">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8638D8">
            <w:pPr>
              <w:rPr>
                <w:rFonts w:hint="eastAsia"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2047CE4">
            <w:pPr>
              <w:rPr>
                <w:rFonts w:hint="eastAsia"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C532C92">
            <w:pPr>
              <w:rPr>
                <w:rFonts w:hint="eastAsia"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BE8937B">
            <w:pPr>
              <w:rPr>
                <w:rFonts w:hint="eastAsia"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A79E8D3">
            <w:pPr>
              <w:rPr>
                <w:rFonts w:hint="eastAsia" w:ascii="宋体" w:hAnsi="宋体" w:cs="宋体"/>
                <w:color w:val="auto"/>
                <w:szCs w:val="21"/>
                <w:highlight w:val="none"/>
              </w:rPr>
            </w:pPr>
          </w:p>
        </w:tc>
      </w:tr>
      <w:tr w14:paraId="0173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3A71DEBD">
            <w:pPr>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56F36EE9">
      <w:pPr>
        <w:pStyle w:val="15"/>
        <w:spacing w:line="360" w:lineRule="auto"/>
        <w:rPr>
          <w:rFonts w:hint="eastAsia" w:hAnsi="宋体" w:cs="宋体"/>
          <w:color w:val="auto"/>
          <w:szCs w:val="21"/>
          <w:highlight w:val="none"/>
        </w:rPr>
      </w:pPr>
      <w:r>
        <w:rPr>
          <w:rFonts w:hint="eastAsia" w:hAnsi="宋体" w:cs="宋体"/>
          <w:color w:val="auto"/>
          <w:szCs w:val="21"/>
          <w:highlight w:val="none"/>
        </w:rPr>
        <w:t>注：</w:t>
      </w:r>
    </w:p>
    <w:p w14:paraId="7097942C">
      <w:pPr>
        <w:pStyle w:val="15"/>
        <w:spacing w:line="360" w:lineRule="auto"/>
        <w:rPr>
          <w:rFonts w:hint="eastAsia"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否则按响应无效处理</w:t>
      </w:r>
      <w:r>
        <w:rPr>
          <w:rFonts w:hint="eastAsia" w:hAnsi="宋体" w:cs="宋体"/>
          <w:color w:val="auto"/>
          <w:szCs w:val="21"/>
          <w:highlight w:val="none"/>
        </w:rPr>
        <w:t>。</w:t>
      </w:r>
    </w:p>
    <w:p w14:paraId="6F0C2EA9">
      <w:pPr>
        <w:pStyle w:val="15"/>
        <w:spacing w:line="360" w:lineRule="auto"/>
        <w:rPr>
          <w:rFonts w:hint="eastAsia" w:hAnsi="宋体" w:cs="宋体"/>
          <w:color w:val="auto"/>
          <w:szCs w:val="21"/>
          <w:highlight w:val="none"/>
        </w:rPr>
      </w:pPr>
      <w:r>
        <w:rPr>
          <w:rFonts w:hint="eastAsia" w:hAnsi="宋体" w:cs="宋体"/>
          <w:bCs/>
          <w:color w:val="auto"/>
          <w:szCs w:val="21"/>
          <w:highlight w:val="none"/>
        </w:rPr>
        <w:t>2.当响应文件的服务内容低于征集文件要求时，供应商应当如实写明“负偏离”，否则视为虚假应标。</w:t>
      </w:r>
    </w:p>
    <w:p w14:paraId="397CE849">
      <w:pPr>
        <w:pStyle w:val="15"/>
        <w:spacing w:line="360" w:lineRule="auto"/>
        <w:rPr>
          <w:rFonts w:hint="eastAsia"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1BCBA53D">
      <w:pPr>
        <w:snapToGrid w:val="0"/>
        <w:spacing w:line="360" w:lineRule="auto"/>
        <w:ind w:firstLine="5640" w:firstLineChars="2350"/>
        <w:rPr>
          <w:rFonts w:hint="eastAsia" w:ascii="宋体" w:hAnsi="宋体" w:cs="宋体"/>
          <w:color w:val="auto"/>
          <w:kern w:val="0"/>
          <w:sz w:val="24"/>
          <w:highlight w:val="none"/>
          <w:lang w:val="zh-CN"/>
        </w:rPr>
      </w:pPr>
    </w:p>
    <w:p w14:paraId="6C42479B">
      <w:pPr>
        <w:snapToGrid w:val="0"/>
        <w:spacing w:line="360" w:lineRule="auto"/>
        <w:ind w:firstLine="5640" w:firstLineChars="23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5ADEE735">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9A8C6DE">
      <w:pPr>
        <w:snapToGrid w:val="0"/>
        <w:spacing w:before="165" w:beforeLines="50" w:after="50"/>
        <w:ind w:left="143" w:leftChars="68" w:firstLine="600" w:firstLineChars="200"/>
        <w:jc w:val="left"/>
        <w:rPr>
          <w:rFonts w:hint="eastAsia" w:ascii="宋体" w:hAnsi="宋体" w:cs="宋体"/>
          <w:color w:val="auto"/>
          <w:sz w:val="30"/>
          <w:szCs w:val="20"/>
          <w:highlight w:val="none"/>
        </w:rPr>
        <w:sectPr>
          <w:footerReference r:id="rId12" w:type="first"/>
          <w:headerReference r:id="rId9" w:type="default"/>
          <w:footerReference r:id="rId10" w:type="default"/>
          <w:footerReference r:id="rId11" w:type="even"/>
          <w:pgSz w:w="11906" w:h="16838"/>
          <w:pgMar w:top="1134" w:right="1134" w:bottom="1134" w:left="1134" w:header="720" w:footer="720" w:gutter="0"/>
          <w:pgNumType w:fmt="decimal"/>
          <w:cols w:space="720" w:num="1"/>
          <w:docGrid w:type="lines" w:linePitch="331" w:charSpace="0"/>
        </w:sectPr>
      </w:pPr>
    </w:p>
    <w:p w14:paraId="5FFB37CF">
      <w:pPr>
        <w:snapToGrid w:val="0"/>
        <w:spacing w:before="165"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w:t>
      </w:r>
      <w:r>
        <w:rPr>
          <w:rFonts w:hint="eastAsia" w:ascii="宋体" w:hAnsi="宋体" w:cs="宋体"/>
          <w:b/>
          <w:bCs/>
          <w:color w:val="auto"/>
          <w:sz w:val="30"/>
          <w:szCs w:val="30"/>
          <w:highlight w:val="none"/>
          <w:lang w:val="en-US" w:eastAsia="zh-CN"/>
        </w:rPr>
        <w:t>各项</w:t>
      </w:r>
      <w:r>
        <w:rPr>
          <w:rFonts w:hint="eastAsia" w:ascii="宋体" w:hAnsi="宋体" w:cs="宋体"/>
          <w:b/>
          <w:bCs/>
          <w:color w:val="auto"/>
          <w:sz w:val="30"/>
          <w:szCs w:val="30"/>
          <w:highlight w:val="none"/>
        </w:rPr>
        <w:t>方案</w:t>
      </w:r>
    </w:p>
    <w:p w14:paraId="106909F6">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第二章采购需求”及“第四章评审方法及评审标准”编制</w:t>
      </w:r>
      <w:r>
        <w:rPr>
          <w:rFonts w:hint="eastAsia" w:ascii="宋体" w:hAnsi="宋体" w:cs="宋体"/>
          <w:color w:val="auto"/>
          <w:sz w:val="24"/>
          <w:highlight w:val="none"/>
        </w:rPr>
        <w:t>）</w:t>
      </w:r>
    </w:p>
    <w:p w14:paraId="60F922FF">
      <w:pPr>
        <w:rPr>
          <w:rFonts w:hint="eastAsia" w:ascii="宋体" w:hAnsi="宋体" w:cs="宋体"/>
          <w:b/>
          <w:bCs/>
          <w:color w:val="auto"/>
          <w:kern w:val="0"/>
          <w:sz w:val="24"/>
          <w:highlight w:val="none"/>
          <w:lang w:val="zh-CN"/>
        </w:rPr>
      </w:pPr>
    </w:p>
    <w:p w14:paraId="1E6F099C">
      <w:pPr>
        <w:rPr>
          <w:rFonts w:hint="eastAsia" w:ascii="宋体" w:hAnsi="宋体" w:cs="宋体"/>
          <w:b/>
          <w:bCs/>
          <w:color w:val="auto"/>
          <w:kern w:val="0"/>
          <w:sz w:val="24"/>
          <w:highlight w:val="none"/>
          <w:lang w:val="zh-CN"/>
        </w:rPr>
      </w:pPr>
    </w:p>
    <w:p w14:paraId="572F0C81">
      <w:pPr>
        <w:autoSpaceDE w:val="0"/>
        <w:autoSpaceDN w:val="0"/>
        <w:spacing w:line="360" w:lineRule="auto"/>
        <w:ind w:firstLine="4440" w:firstLineChars="185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83D9AB9">
      <w:pPr>
        <w:autoSpaceDE w:val="0"/>
        <w:autoSpaceDN w:val="0"/>
        <w:spacing w:line="360" w:lineRule="auto"/>
        <w:rPr>
          <w:rFonts w:hint="eastAsia"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EE9CAA9">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107F51E">
      <w:pPr>
        <w:snapToGrid w:val="0"/>
        <w:spacing w:before="165" w:beforeLines="50" w:after="50"/>
        <w:jc w:val="center"/>
        <w:rPr>
          <w:rFonts w:hint="eastAsia" w:ascii="宋体" w:hAnsi="宋体" w:cs="宋体"/>
          <w:b/>
          <w:bCs/>
          <w:color w:val="auto"/>
          <w:sz w:val="30"/>
          <w:szCs w:val="30"/>
          <w:highlight w:val="none"/>
        </w:rPr>
      </w:pPr>
    </w:p>
    <w:p w14:paraId="1DE2E5FC">
      <w:pPr>
        <w:snapToGrid w:val="0"/>
        <w:spacing w:before="165"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三、售后服务承诺</w:t>
      </w:r>
    </w:p>
    <w:p w14:paraId="098506DB">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74DC33DE">
      <w:pPr>
        <w:snapToGrid w:val="0"/>
        <w:spacing w:before="165" w:beforeLines="50" w:after="50"/>
        <w:ind w:left="142"/>
        <w:jc w:val="center"/>
        <w:rPr>
          <w:rFonts w:hint="eastAsia" w:ascii="宋体" w:hAnsi="宋体" w:cs="宋体"/>
          <w:b/>
          <w:color w:val="auto"/>
          <w:sz w:val="32"/>
          <w:szCs w:val="32"/>
          <w:highlight w:val="none"/>
        </w:rPr>
      </w:pPr>
    </w:p>
    <w:p w14:paraId="7BDF0EC9">
      <w:pPr>
        <w:snapToGrid w:val="0"/>
        <w:spacing w:before="165" w:beforeLines="50" w:line="360" w:lineRule="auto"/>
        <w:ind w:right="480" w:firstLine="3967" w:firstLineChars="1653"/>
        <w:rPr>
          <w:rFonts w:hint="eastAsia" w:ascii="宋体" w:hAnsi="宋体" w:cs="宋体"/>
          <w:color w:val="auto"/>
          <w:sz w:val="24"/>
          <w:highlight w:val="none"/>
        </w:rPr>
      </w:pPr>
    </w:p>
    <w:p w14:paraId="6DBB164F">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6F3F9897">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151014C1">
      <w:pPr>
        <w:snapToGrid w:val="0"/>
        <w:spacing w:before="165" w:beforeLines="50" w:after="50"/>
        <w:jc w:val="left"/>
        <w:rPr>
          <w:rFonts w:hint="eastAsia" w:ascii="宋体" w:hAnsi="宋体" w:cs="宋体"/>
          <w:color w:val="auto"/>
          <w:sz w:val="24"/>
          <w:highlight w:val="none"/>
        </w:rPr>
      </w:pPr>
    </w:p>
    <w:p w14:paraId="5549BCB1">
      <w:pPr>
        <w:pStyle w:val="15"/>
        <w:jc w:val="center"/>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lang w:val="en-US" w:eastAsia="zh-CN"/>
        </w:rPr>
        <w:t>《公务车辆维修和保养服务采购承诺书》</w:t>
      </w:r>
      <w:r>
        <w:rPr>
          <w:rFonts w:hint="eastAsia" w:hAnsi="宋体" w:cs="宋体"/>
          <w:b/>
          <w:bCs/>
          <w:color w:val="auto"/>
          <w:sz w:val="30"/>
          <w:szCs w:val="30"/>
          <w:highlight w:val="none"/>
          <w:lang w:val="en-US" w:eastAsia="zh-CN"/>
        </w:rPr>
        <w:t>（格式自拟）</w:t>
      </w:r>
    </w:p>
    <w:p w14:paraId="11B0A3B4">
      <w:pPr>
        <w:pStyle w:val="12"/>
        <w:bidi w:val="0"/>
        <w:jc w:val="center"/>
        <w:rPr>
          <w:rFonts w:hint="eastAsia"/>
          <w:b/>
          <w:bCs/>
          <w:color w:val="auto"/>
          <w:highlight w:val="none"/>
          <w:lang w:val="zh-CN"/>
        </w:rPr>
      </w:pPr>
      <w:r>
        <w:rPr>
          <w:rFonts w:hint="eastAsia"/>
          <w:b/>
          <w:bCs/>
          <w:color w:val="auto"/>
          <w:highlight w:val="none"/>
          <w:lang w:val="zh-CN"/>
        </w:rPr>
        <w:t>（具体的质量保证期由供应商根据自身情况进行承诺）</w:t>
      </w:r>
    </w:p>
    <w:p w14:paraId="0D8DFD6F">
      <w:pPr>
        <w:snapToGrid w:val="0"/>
        <w:spacing w:before="165" w:beforeLines="50" w:after="50"/>
        <w:ind w:firstLine="2397" w:firstLineChars="796"/>
        <w:jc w:val="center"/>
        <w:rPr>
          <w:rFonts w:hint="eastAsia" w:ascii="宋体" w:hAnsi="宋体" w:cs="宋体"/>
          <w:b/>
          <w:bCs/>
          <w:color w:val="auto"/>
          <w:sz w:val="30"/>
          <w:szCs w:val="30"/>
          <w:highlight w:val="none"/>
        </w:rPr>
      </w:pPr>
    </w:p>
    <w:p w14:paraId="295EEBAE">
      <w:pPr>
        <w:snapToGrid w:val="0"/>
        <w:spacing w:before="165" w:beforeLines="50" w:line="360" w:lineRule="auto"/>
        <w:ind w:right="480" w:firstLine="3967" w:firstLineChars="1653"/>
        <w:rPr>
          <w:rFonts w:hint="eastAsia" w:ascii="宋体" w:hAnsi="宋体" w:cs="宋体"/>
          <w:color w:val="auto"/>
          <w:sz w:val="24"/>
          <w:highlight w:val="none"/>
        </w:rPr>
      </w:pPr>
    </w:p>
    <w:p w14:paraId="79611608">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211F582E">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6B3E3B97">
      <w:pPr>
        <w:autoSpaceDE w:val="0"/>
        <w:autoSpaceDN w:val="0"/>
        <w:spacing w:line="360" w:lineRule="auto"/>
        <w:ind w:firstLine="120"/>
        <w:rPr>
          <w:rFonts w:hint="eastAsia" w:ascii="仿宋_GB2312" w:hAnsi="仿宋" w:eastAsia="仿宋_GB2312" w:cs="仿宋_GB2312"/>
          <w:color w:val="auto"/>
          <w:sz w:val="24"/>
          <w:szCs w:val="24"/>
          <w:highlight w:val="none"/>
        </w:rPr>
      </w:pPr>
    </w:p>
    <w:p w14:paraId="48DD5325">
      <w:pPr>
        <w:rPr>
          <w:rFonts w:hint="eastAsia"/>
          <w:color w:val="auto"/>
          <w:highlight w:val="none"/>
        </w:rPr>
      </w:pPr>
    </w:p>
    <w:p w14:paraId="1640CDB3">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五</w:t>
      </w:r>
      <w:r>
        <w:rPr>
          <w:rFonts w:hint="eastAsia" w:ascii="宋体" w:hAnsi="宋体"/>
          <w:b/>
          <w:color w:val="auto"/>
          <w:sz w:val="32"/>
          <w:szCs w:val="32"/>
          <w:highlight w:val="none"/>
        </w:rPr>
        <w:t>、认为需要的其他技术证明文件</w:t>
      </w:r>
    </w:p>
    <w:p w14:paraId="6408DAF5">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（由供应商根据采购需求自行编制）</w:t>
      </w:r>
    </w:p>
    <w:p w14:paraId="3B97C007">
      <w:pPr>
        <w:spacing w:line="360" w:lineRule="auto"/>
        <w:jc w:val="center"/>
        <w:rPr>
          <w:rFonts w:hint="eastAsia" w:ascii="宋体" w:hAnsi="宋体" w:cs="仿宋_GB2312"/>
          <w:color w:val="auto"/>
          <w:szCs w:val="21"/>
          <w:highlight w:val="none"/>
        </w:rPr>
      </w:pPr>
    </w:p>
    <w:p w14:paraId="489F2FE4">
      <w:pPr>
        <w:autoSpaceDE w:val="0"/>
        <w:autoSpaceDN w:val="0"/>
        <w:spacing w:line="360" w:lineRule="auto"/>
        <w:ind w:firstLine="4200" w:firstLineChars="2000"/>
        <w:rPr>
          <w:rFonts w:hint="eastAsia" w:ascii="宋体" w:hAnsi="宋体" w:cs="仿宋_GB2312"/>
          <w:color w:val="auto"/>
          <w:kern w:val="0"/>
          <w:szCs w:val="21"/>
          <w:highlight w:val="none"/>
        </w:rPr>
      </w:pPr>
    </w:p>
    <w:p w14:paraId="12027506">
      <w:pPr>
        <w:autoSpaceDE w:val="0"/>
        <w:autoSpaceDN w:val="0"/>
        <w:spacing w:line="360" w:lineRule="auto"/>
        <w:ind w:firstLine="4216" w:firstLineChars="2000"/>
        <w:rPr>
          <w:rFonts w:hint="eastAsia" w:ascii="宋体" w:hAnsi="宋体" w:cs="仿宋_GB2312"/>
          <w:b/>
          <w:color w:val="auto"/>
          <w:szCs w:val="21"/>
          <w:highlight w:val="none"/>
        </w:rPr>
      </w:pPr>
      <w:r>
        <w:rPr>
          <w:rFonts w:hint="eastAsia" w:ascii="宋体" w:hAnsi="宋体" w:cs="仿宋_GB2312"/>
          <w:b/>
          <w:color w:val="auto"/>
          <w:kern w:val="0"/>
          <w:szCs w:val="21"/>
          <w:highlight w:val="none"/>
        </w:rPr>
        <w:t>供应商名称（电子</w:t>
      </w:r>
      <w:r>
        <w:rPr>
          <w:rFonts w:hint="eastAsia" w:ascii="宋体" w:hAnsi="宋体" w:cs="仿宋_GB2312"/>
          <w:b/>
          <w:color w:val="auto"/>
          <w:kern w:val="0"/>
          <w:szCs w:val="21"/>
          <w:highlight w:val="none"/>
          <w:lang w:val="zh-CN"/>
        </w:rPr>
        <w:t>签章</w:t>
      </w:r>
      <w:r>
        <w:rPr>
          <w:rFonts w:hint="eastAsia" w:ascii="宋体" w:hAnsi="宋体" w:cs="仿宋_GB2312"/>
          <w:b/>
          <w:color w:val="auto"/>
          <w:kern w:val="0"/>
          <w:szCs w:val="21"/>
          <w:highlight w:val="none"/>
        </w:rPr>
        <w:t>）：</w:t>
      </w:r>
      <w:r>
        <w:rPr>
          <w:rFonts w:hint="eastAsia" w:ascii="宋体" w:hAnsi="宋体" w:cs="仿宋_GB2312"/>
          <w:b/>
          <w:color w:val="auto"/>
          <w:kern w:val="0"/>
          <w:szCs w:val="21"/>
          <w:highlight w:val="none"/>
          <w:u w:val="single"/>
        </w:rPr>
        <w:t xml:space="preserve">                     </w:t>
      </w:r>
      <w:r>
        <w:rPr>
          <w:rFonts w:hint="eastAsia" w:ascii="宋体" w:hAnsi="宋体" w:cs="仿宋_GB2312"/>
          <w:b/>
          <w:color w:val="auto"/>
          <w:kern w:val="0"/>
          <w:szCs w:val="21"/>
          <w:highlight w:val="none"/>
        </w:rPr>
        <w:t xml:space="preserve">  </w:t>
      </w:r>
    </w:p>
    <w:p w14:paraId="3AE5F1B9">
      <w:pPr>
        <w:autoSpaceDE w:val="0"/>
        <w:autoSpaceDN w:val="0"/>
        <w:spacing w:line="360" w:lineRule="auto"/>
        <w:rPr>
          <w:rFonts w:hint="eastAsia" w:ascii="宋体" w:hAnsi="宋体" w:cs="仿宋_GB2312"/>
          <w:b/>
          <w:bCs/>
          <w:color w:val="auto"/>
          <w:szCs w:val="21"/>
          <w:highlight w:val="none"/>
        </w:rPr>
      </w:pP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日期：  年  月   日</w:t>
      </w:r>
    </w:p>
    <w:p w14:paraId="5AB0E38A">
      <w:pPr>
        <w:widowControl/>
        <w:jc w:val="left"/>
        <w:rPr>
          <w:rFonts w:ascii="宋体" w:hAnsi="宋体"/>
          <w:b/>
          <w:bCs/>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6C9F7C94">
      <w:pPr>
        <w:jc w:val="center"/>
        <w:outlineLvl w:val="1"/>
        <w:rPr>
          <w:rFonts w:hint="eastAsia" w:ascii="宋体" w:hAnsi="宋体"/>
          <w:b/>
          <w:bCs/>
          <w:color w:val="auto"/>
          <w:sz w:val="28"/>
          <w:szCs w:val="28"/>
          <w:highlight w:val="none"/>
        </w:rPr>
      </w:pPr>
      <w:bookmarkStart w:id="146" w:name="_Toc27263"/>
      <w:r>
        <w:rPr>
          <w:rFonts w:hint="eastAsia" w:ascii="宋体" w:hAnsi="宋体"/>
          <w:b/>
          <w:bCs/>
          <w:color w:val="auto"/>
          <w:sz w:val="28"/>
          <w:szCs w:val="28"/>
          <w:highlight w:val="none"/>
        </w:rPr>
        <w:t>第五节 报价文件格式</w:t>
      </w:r>
      <w:bookmarkEnd w:id="146"/>
    </w:p>
    <w:p w14:paraId="5661C3D8">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电子投标文件</w:t>
      </w:r>
    </w:p>
    <w:p w14:paraId="12D923A2">
      <w:pPr>
        <w:snapToGrid w:val="0"/>
        <w:spacing w:before="165" w:beforeLines="50" w:after="50" w:line="400" w:lineRule="exact"/>
        <w:jc w:val="center"/>
        <w:rPr>
          <w:rFonts w:hint="eastAsia" w:ascii="宋体" w:hAnsi="宋体"/>
          <w:bCs/>
          <w:color w:val="auto"/>
          <w:sz w:val="24"/>
          <w:szCs w:val="20"/>
          <w:highlight w:val="none"/>
        </w:rPr>
      </w:pPr>
    </w:p>
    <w:p w14:paraId="22F5C51D">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022B236B">
      <w:pPr>
        <w:snapToGrid w:val="0"/>
        <w:spacing w:before="165" w:beforeLines="50" w:after="50" w:line="400" w:lineRule="exact"/>
        <w:rPr>
          <w:rFonts w:hint="eastAsia" w:ascii="宋体" w:hAnsi="宋体"/>
          <w:bCs/>
          <w:color w:val="auto"/>
          <w:sz w:val="24"/>
          <w:szCs w:val="20"/>
          <w:highlight w:val="none"/>
        </w:rPr>
      </w:pPr>
    </w:p>
    <w:p w14:paraId="7A7B362A">
      <w:pPr>
        <w:snapToGrid w:val="0"/>
        <w:spacing w:before="165" w:beforeLines="50" w:after="50" w:line="400" w:lineRule="exact"/>
        <w:rPr>
          <w:rFonts w:hint="eastAsia" w:ascii="宋体" w:hAnsi="宋体"/>
          <w:bCs/>
          <w:color w:val="auto"/>
          <w:sz w:val="24"/>
          <w:szCs w:val="20"/>
          <w:highlight w:val="none"/>
        </w:rPr>
      </w:pPr>
    </w:p>
    <w:p w14:paraId="606DDF8F">
      <w:pPr>
        <w:snapToGrid w:val="0"/>
        <w:spacing w:before="165" w:beforeLines="50" w:after="50" w:line="400" w:lineRule="exact"/>
        <w:rPr>
          <w:rFonts w:hint="eastAsia" w:ascii="宋体" w:hAnsi="宋体"/>
          <w:bCs/>
          <w:color w:val="auto"/>
          <w:sz w:val="24"/>
          <w:szCs w:val="20"/>
          <w:highlight w:val="none"/>
        </w:rPr>
      </w:pPr>
    </w:p>
    <w:p w14:paraId="12E49643">
      <w:pPr>
        <w:snapToGrid w:val="0"/>
        <w:spacing w:before="165" w:beforeLines="50" w:after="50" w:line="400" w:lineRule="exact"/>
        <w:rPr>
          <w:rFonts w:hint="eastAsia" w:ascii="宋体" w:hAnsi="宋体"/>
          <w:bCs/>
          <w:color w:val="auto"/>
          <w:sz w:val="24"/>
          <w:szCs w:val="20"/>
          <w:highlight w:val="none"/>
        </w:rPr>
      </w:pPr>
    </w:p>
    <w:p w14:paraId="6DEB5946">
      <w:pPr>
        <w:snapToGrid w:val="0"/>
        <w:spacing w:before="165" w:beforeLines="50" w:after="50" w:line="400" w:lineRule="exact"/>
        <w:ind w:firstLine="360" w:firstLineChars="15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 xml:space="preserve">项目名称： </w:t>
      </w:r>
      <w:r>
        <w:rPr>
          <w:rFonts w:hint="eastAsia"/>
          <w:color w:val="auto"/>
          <w:sz w:val="24"/>
          <w:szCs w:val="24"/>
          <w:highlight w:val="none"/>
          <w:u w:val="single"/>
          <w:lang w:val="en-US" w:eastAsia="zh-CN"/>
        </w:rPr>
        <w:t xml:space="preserve">                                                  </w:t>
      </w:r>
    </w:p>
    <w:p w14:paraId="16FC154C">
      <w:pPr>
        <w:snapToGrid w:val="0"/>
        <w:spacing w:before="165" w:beforeLines="50" w:after="50" w:line="400" w:lineRule="exact"/>
        <w:ind w:firstLine="360" w:firstLineChars="150"/>
        <w:rPr>
          <w:rFonts w:hint="eastAsia" w:ascii="宋体" w:hAnsi="宋体"/>
          <w:bCs/>
          <w:color w:val="auto"/>
          <w:sz w:val="24"/>
          <w:szCs w:val="24"/>
          <w:highlight w:val="none"/>
        </w:rPr>
      </w:pPr>
    </w:p>
    <w:p w14:paraId="24AD9AC2">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p w14:paraId="6DB7C700">
      <w:pPr>
        <w:snapToGrid w:val="0"/>
        <w:spacing w:before="165" w:beforeLines="50" w:after="50" w:line="400" w:lineRule="exact"/>
        <w:ind w:firstLine="360" w:firstLineChars="150"/>
        <w:rPr>
          <w:rFonts w:hint="eastAsia" w:ascii="宋体" w:hAnsi="宋体"/>
          <w:bCs/>
          <w:color w:val="auto"/>
          <w:sz w:val="24"/>
          <w:szCs w:val="24"/>
          <w:highlight w:val="none"/>
        </w:rPr>
      </w:pPr>
    </w:p>
    <w:p w14:paraId="799CF3F0">
      <w:pPr>
        <w:snapToGrid w:val="0"/>
        <w:spacing w:before="50" w:after="50"/>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152E1312">
      <w:pPr>
        <w:snapToGrid w:val="0"/>
        <w:spacing w:before="50" w:after="50"/>
        <w:rPr>
          <w:rFonts w:hint="eastAsia" w:ascii="宋体" w:hAnsi="宋体"/>
          <w:bCs/>
          <w:color w:val="auto"/>
          <w:sz w:val="24"/>
          <w:szCs w:val="24"/>
          <w:highlight w:val="none"/>
        </w:rPr>
      </w:pPr>
    </w:p>
    <w:p w14:paraId="4F45893B">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4B95E063">
      <w:pPr>
        <w:snapToGrid w:val="0"/>
        <w:spacing w:before="50" w:after="50" w:line="400" w:lineRule="exact"/>
        <w:ind w:firstLine="960" w:firstLineChars="400"/>
        <w:rPr>
          <w:rFonts w:hint="eastAsia" w:ascii="宋体" w:hAnsi="宋体"/>
          <w:bCs/>
          <w:color w:val="auto"/>
          <w:sz w:val="24"/>
          <w:szCs w:val="24"/>
          <w:highlight w:val="none"/>
        </w:rPr>
      </w:pPr>
    </w:p>
    <w:p w14:paraId="21474403">
      <w:pPr>
        <w:snapToGrid w:val="0"/>
        <w:spacing w:before="165" w:beforeLines="50" w:after="50"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730401BB">
      <w:pPr>
        <w:widowControl/>
        <w:jc w:val="left"/>
        <w:rPr>
          <w:rFonts w:ascii="宋体" w:hAnsi="宋体"/>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395CE806">
      <w:pPr>
        <w:rPr>
          <w:rFonts w:hint="eastAsia" w:ascii="宋体" w:hAnsi="宋体" w:cs="宋体"/>
          <w:color w:val="auto"/>
          <w:szCs w:val="24"/>
          <w:highlight w:val="none"/>
        </w:rPr>
      </w:pPr>
    </w:p>
    <w:p w14:paraId="2D02ED31">
      <w:pPr>
        <w:snapToGrid w:val="0"/>
        <w:spacing w:before="165" w:beforeLines="50" w:after="50" w:line="400" w:lineRule="exact"/>
        <w:jc w:val="center"/>
        <w:rPr>
          <w:rFonts w:hint="eastAsia" w:ascii="仿宋" w:hAnsi="仿宋" w:eastAsia="仿宋"/>
          <w:b/>
          <w:bCs/>
          <w:color w:val="auto"/>
          <w:sz w:val="30"/>
          <w:szCs w:val="30"/>
          <w:highlight w:val="none"/>
        </w:rPr>
      </w:pPr>
      <w:r>
        <w:rPr>
          <w:rFonts w:hint="eastAsia" w:ascii="仿宋" w:hAnsi="仿宋" w:eastAsia="仿宋"/>
          <w:b/>
          <w:bCs/>
          <w:color w:val="auto"/>
          <w:sz w:val="30"/>
          <w:szCs w:val="30"/>
          <w:highlight w:val="none"/>
        </w:rPr>
        <w:t>报价文件目录</w:t>
      </w:r>
    </w:p>
    <w:p w14:paraId="5D0978E3">
      <w:pPr>
        <w:rPr>
          <w:rFonts w:hint="eastAsia" w:ascii="宋体" w:hAnsi="宋体" w:cs="宋体"/>
          <w:color w:val="auto"/>
          <w:szCs w:val="24"/>
          <w:highlight w:val="none"/>
        </w:rPr>
      </w:pPr>
    </w:p>
    <w:p w14:paraId="0BB94007">
      <w:pPr>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一、响应函………………………………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0DEA1BBB">
      <w:pPr>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二、开标一览表……………………</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5D1A40A4">
      <w:pPr>
        <w:spacing w:line="500" w:lineRule="exact"/>
        <w:jc w:val="center"/>
        <w:rPr>
          <w:rFonts w:hint="eastAsia" w:ascii="Times New Roman" w:hAnsi="Times New Roman"/>
          <w:b/>
          <w:bCs/>
          <w:color w:val="auto"/>
          <w:sz w:val="30"/>
          <w:szCs w:val="30"/>
          <w:highlight w:val="none"/>
        </w:rPr>
      </w:pPr>
    </w:p>
    <w:p w14:paraId="0F353E13">
      <w:pPr>
        <w:spacing w:line="500" w:lineRule="exact"/>
        <w:jc w:val="center"/>
        <w:rPr>
          <w:rFonts w:hint="eastAsia" w:ascii="Times New Roman" w:hAnsi="Times New Roman"/>
          <w:b/>
          <w:bCs/>
          <w:color w:val="auto"/>
          <w:sz w:val="30"/>
          <w:szCs w:val="30"/>
          <w:highlight w:val="none"/>
        </w:rPr>
      </w:pPr>
    </w:p>
    <w:p w14:paraId="0B92948F">
      <w:pPr>
        <w:spacing w:line="500" w:lineRule="exact"/>
        <w:jc w:val="center"/>
        <w:rPr>
          <w:rFonts w:hint="eastAsia" w:ascii="Times New Roman" w:hAnsi="Times New Roman"/>
          <w:b/>
          <w:bCs/>
          <w:color w:val="auto"/>
          <w:sz w:val="30"/>
          <w:szCs w:val="30"/>
          <w:highlight w:val="none"/>
        </w:rPr>
      </w:pPr>
    </w:p>
    <w:p w14:paraId="0D210F2E">
      <w:pPr>
        <w:spacing w:line="500" w:lineRule="exact"/>
        <w:jc w:val="center"/>
        <w:rPr>
          <w:rFonts w:hint="eastAsia" w:ascii="Times New Roman" w:hAnsi="Times New Roman"/>
          <w:b/>
          <w:bCs/>
          <w:color w:val="auto"/>
          <w:sz w:val="30"/>
          <w:szCs w:val="30"/>
          <w:highlight w:val="none"/>
        </w:rPr>
      </w:pPr>
    </w:p>
    <w:p w14:paraId="5DAF3593">
      <w:pPr>
        <w:spacing w:line="500" w:lineRule="exact"/>
        <w:jc w:val="center"/>
        <w:rPr>
          <w:rFonts w:hint="eastAsia" w:ascii="Times New Roman" w:hAnsi="Times New Roman"/>
          <w:b/>
          <w:bCs/>
          <w:color w:val="auto"/>
          <w:sz w:val="30"/>
          <w:szCs w:val="30"/>
          <w:highlight w:val="none"/>
        </w:rPr>
      </w:pPr>
    </w:p>
    <w:p w14:paraId="09B222C0">
      <w:pPr>
        <w:spacing w:line="500" w:lineRule="exact"/>
        <w:jc w:val="center"/>
        <w:rPr>
          <w:rFonts w:hint="eastAsia" w:ascii="Times New Roman" w:hAnsi="Times New Roman"/>
          <w:b/>
          <w:bCs/>
          <w:color w:val="auto"/>
          <w:sz w:val="30"/>
          <w:szCs w:val="30"/>
          <w:highlight w:val="none"/>
        </w:rPr>
      </w:pPr>
    </w:p>
    <w:p w14:paraId="077E7FEA">
      <w:pPr>
        <w:spacing w:line="500" w:lineRule="exact"/>
        <w:jc w:val="center"/>
        <w:rPr>
          <w:rFonts w:hint="eastAsia" w:ascii="Times New Roman" w:hAnsi="Times New Roman"/>
          <w:b/>
          <w:bCs/>
          <w:color w:val="auto"/>
          <w:sz w:val="30"/>
          <w:szCs w:val="30"/>
          <w:highlight w:val="none"/>
        </w:rPr>
      </w:pPr>
    </w:p>
    <w:p w14:paraId="174CAB1E">
      <w:pPr>
        <w:spacing w:line="500" w:lineRule="exact"/>
        <w:jc w:val="center"/>
        <w:rPr>
          <w:rFonts w:hint="eastAsia" w:ascii="Times New Roman" w:hAnsi="Times New Roman"/>
          <w:b/>
          <w:bCs/>
          <w:color w:val="auto"/>
          <w:sz w:val="30"/>
          <w:szCs w:val="30"/>
          <w:highlight w:val="none"/>
        </w:rPr>
      </w:pPr>
    </w:p>
    <w:p w14:paraId="7F401E07">
      <w:pPr>
        <w:spacing w:line="500" w:lineRule="exact"/>
        <w:jc w:val="center"/>
        <w:rPr>
          <w:rFonts w:hint="eastAsia" w:ascii="Times New Roman" w:hAnsi="Times New Roman"/>
          <w:b/>
          <w:bCs/>
          <w:color w:val="auto"/>
          <w:sz w:val="30"/>
          <w:szCs w:val="30"/>
          <w:highlight w:val="none"/>
        </w:rPr>
      </w:pPr>
    </w:p>
    <w:p w14:paraId="2242A94D">
      <w:pPr>
        <w:spacing w:line="500" w:lineRule="exact"/>
        <w:jc w:val="center"/>
        <w:rPr>
          <w:rFonts w:hint="eastAsia" w:ascii="Times New Roman" w:hAnsi="Times New Roman"/>
          <w:b/>
          <w:bCs/>
          <w:color w:val="auto"/>
          <w:sz w:val="30"/>
          <w:szCs w:val="30"/>
          <w:highlight w:val="none"/>
        </w:rPr>
      </w:pPr>
    </w:p>
    <w:p w14:paraId="25203112">
      <w:pPr>
        <w:spacing w:line="500" w:lineRule="exact"/>
        <w:jc w:val="center"/>
        <w:rPr>
          <w:rFonts w:hint="eastAsia" w:ascii="Times New Roman" w:hAnsi="Times New Roman"/>
          <w:b/>
          <w:bCs/>
          <w:color w:val="auto"/>
          <w:sz w:val="30"/>
          <w:szCs w:val="30"/>
          <w:highlight w:val="none"/>
        </w:rPr>
      </w:pPr>
    </w:p>
    <w:p w14:paraId="22690881">
      <w:pPr>
        <w:spacing w:line="500" w:lineRule="exact"/>
        <w:jc w:val="center"/>
        <w:rPr>
          <w:rFonts w:hint="eastAsia" w:ascii="Times New Roman" w:hAnsi="Times New Roman"/>
          <w:b/>
          <w:bCs/>
          <w:color w:val="auto"/>
          <w:sz w:val="30"/>
          <w:szCs w:val="30"/>
          <w:highlight w:val="none"/>
        </w:rPr>
      </w:pPr>
    </w:p>
    <w:p w14:paraId="5368553E">
      <w:pPr>
        <w:spacing w:line="500" w:lineRule="exact"/>
        <w:jc w:val="center"/>
        <w:rPr>
          <w:rFonts w:hint="eastAsia" w:ascii="Times New Roman" w:hAnsi="Times New Roman"/>
          <w:b/>
          <w:bCs/>
          <w:color w:val="auto"/>
          <w:sz w:val="30"/>
          <w:szCs w:val="30"/>
          <w:highlight w:val="none"/>
        </w:rPr>
      </w:pPr>
    </w:p>
    <w:p w14:paraId="7710A66E">
      <w:pPr>
        <w:spacing w:line="500" w:lineRule="exact"/>
        <w:jc w:val="center"/>
        <w:rPr>
          <w:rFonts w:hint="eastAsia" w:ascii="Times New Roman" w:hAnsi="Times New Roman"/>
          <w:b/>
          <w:bCs/>
          <w:color w:val="auto"/>
          <w:sz w:val="30"/>
          <w:szCs w:val="30"/>
          <w:highlight w:val="none"/>
        </w:rPr>
      </w:pPr>
    </w:p>
    <w:p w14:paraId="73BD1665">
      <w:pPr>
        <w:spacing w:line="500" w:lineRule="exact"/>
        <w:jc w:val="center"/>
        <w:rPr>
          <w:rFonts w:hint="eastAsia" w:ascii="Times New Roman" w:hAnsi="Times New Roman"/>
          <w:b/>
          <w:bCs/>
          <w:color w:val="auto"/>
          <w:sz w:val="30"/>
          <w:szCs w:val="30"/>
          <w:highlight w:val="none"/>
        </w:rPr>
      </w:pPr>
    </w:p>
    <w:p w14:paraId="283B9C93">
      <w:pPr>
        <w:spacing w:line="500" w:lineRule="exact"/>
        <w:jc w:val="center"/>
        <w:rPr>
          <w:rFonts w:hint="eastAsia" w:ascii="Times New Roman" w:hAnsi="Times New Roman"/>
          <w:b/>
          <w:bCs/>
          <w:color w:val="auto"/>
          <w:sz w:val="30"/>
          <w:szCs w:val="30"/>
          <w:highlight w:val="none"/>
        </w:rPr>
      </w:pPr>
    </w:p>
    <w:p w14:paraId="0E8C680D">
      <w:pPr>
        <w:spacing w:line="500" w:lineRule="exact"/>
        <w:jc w:val="center"/>
        <w:rPr>
          <w:rFonts w:hint="eastAsia" w:ascii="Times New Roman" w:hAnsi="Times New Roman"/>
          <w:b/>
          <w:bCs/>
          <w:color w:val="auto"/>
          <w:sz w:val="30"/>
          <w:szCs w:val="30"/>
          <w:highlight w:val="none"/>
        </w:rPr>
      </w:pPr>
    </w:p>
    <w:p w14:paraId="735358C9">
      <w:pPr>
        <w:spacing w:line="500" w:lineRule="exact"/>
        <w:jc w:val="center"/>
        <w:rPr>
          <w:rFonts w:hint="eastAsia" w:ascii="Times New Roman" w:hAnsi="Times New Roman"/>
          <w:b/>
          <w:bCs/>
          <w:color w:val="auto"/>
          <w:sz w:val="30"/>
          <w:szCs w:val="30"/>
          <w:highlight w:val="none"/>
        </w:rPr>
      </w:pPr>
    </w:p>
    <w:p w14:paraId="29C7336C">
      <w:pPr>
        <w:spacing w:line="500" w:lineRule="exact"/>
        <w:jc w:val="center"/>
        <w:rPr>
          <w:rFonts w:hint="eastAsia" w:ascii="Times New Roman" w:hAnsi="Times New Roman"/>
          <w:b/>
          <w:bCs/>
          <w:color w:val="auto"/>
          <w:sz w:val="30"/>
          <w:szCs w:val="30"/>
          <w:highlight w:val="none"/>
        </w:rPr>
      </w:pPr>
    </w:p>
    <w:p w14:paraId="769977CE">
      <w:pPr>
        <w:spacing w:line="500" w:lineRule="exact"/>
        <w:jc w:val="center"/>
        <w:rPr>
          <w:rFonts w:hint="eastAsia" w:ascii="Times New Roman" w:hAnsi="Times New Roman"/>
          <w:b/>
          <w:bCs/>
          <w:color w:val="auto"/>
          <w:sz w:val="30"/>
          <w:szCs w:val="30"/>
          <w:highlight w:val="none"/>
        </w:rPr>
      </w:pPr>
    </w:p>
    <w:p w14:paraId="6C25D3EC">
      <w:pPr>
        <w:spacing w:line="500" w:lineRule="exact"/>
        <w:jc w:val="center"/>
        <w:rPr>
          <w:rFonts w:hint="eastAsia" w:ascii="Times New Roman" w:hAnsi="Times New Roman"/>
          <w:b/>
          <w:bCs/>
          <w:color w:val="auto"/>
          <w:sz w:val="30"/>
          <w:szCs w:val="30"/>
          <w:highlight w:val="none"/>
        </w:rPr>
      </w:pPr>
    </w:p>
    <w:p w14:paraId="6676D124">
      <w:pPr>
        <w:spacing w:line="500" w:lineRule="exact"/>
        <w:jc w:val="center"/>
        <w:rPr>
          <w:rFonts w:hint="eastAsia" w:ascii="Times New Roman" w:hAnsi="Times New Roman"/>
          <w:b/>
          <w:bCs/>
          <w:color w:val="auto"/>
          <w:sz w:val="30"/>
          <w:szCs w:val="30"/>
          <w:highlight w:val="none"/>
        </w:rPr>
      </w:pPr>
    </w:p>
    <w:p w14:paraId="2058797A">
      <w:pPr>
        <w:spacing w:line="500" w:lineRule="exact"/>
        <w:jc w:val="center"/>
        <w:rPr>
          <w:rFonts w:hint="eastAsia" w:ascii="Times New Roman" w:hAnsi="Times New Roman"/>
          <w:b/>
          <w:bCs/>
          <w:color w:val="auto"/>
          <w:sz w:val="30"/>
          <w:szCs w:val="30"/>
          <w:highlight w:val="none"/>
        </w:rPr>
      </w:pPr>
    </w:p>
    <w:p w14:paraId="5069ADC8">
      <w:pPr>
        <w:spacing w:line="500" w:lineRule="exact"/>
        <w:jc w:val="center"/>
        <w:rPr>
          <w:rFonts w:hint="eastAsia" w:ascii="Times New Roman" w:hAnsi="Times New Roman"/>
          <w:b/>
          <w:bCs/>
          <w:color w:val="auto"/>
          <w:sz w:val="30"/>
          <w:szCs w:val="30"/>
          <w:highlight w:val="none"/>
        </w:rPr>
      </w:pPr>
    </w:p>
    <w:p w14:paraId="42442A62">
      <w:pPr>
        <w:spacing w:line="500" w:lineRule="exact"/>
        <w:jc w:val="center"/>
        <w:rPr>
          <w:rFonts w:hint="eastAsia" w:ascii="Times New Roman" w:hAnsi="Times New Roman"/>
          <w:b/>
          <w:bCs/>
          <w:color w:val="auto"/>
          <w:sz w:val="30"/>
          <w:szCs w:val="30"/>
          <w:highlight w:val="none"/>
        </w:rPr>
      </w:pPr>
    </w:p>
    <w:p w14:paraId="5D30A821">
      <w:pPr>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一、响应函</w:t>
      </w:r>
    </w:p>
    <w:p w14:paraId="0195C546">
      <w:pPr>
        <w:pStyle w:val="15"/>
        <w:spacing w:line="440" w:lineRule="exact"/>
        <w:ind w:firstLine="400" w:firstLineChars="200"/>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r>
        <w:rPr>
          <w:rFonts w:hint="eastAsia" w:hAnsi="宋体" w:cs="宋体"/>
          <w:color w:val="auto"/>
          <w:highlight w:val="none"/>
        </w:rPr>
        <w:t>（采购代理机构名称）</w:t>
      </w:r>
    </w:p>
    <w:p w14:paraId="289A831D">
      <w:pPr>
        <w:pStyle w:val="15"/>
        <w:spacing w:line="440" w:lineRule="exact"/>
        <w:ind w:firstLine="400" w:firstLineChars="200"/>
        <w:rPr>
          <w:rFonts w:hint="eastAsia"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highlight w:val="none"/>
          <w:u w:val="single"/>
        </w:rPr>
        <w:t xml:space="preserve">                    </w:t>
      </w:r>
      <w:r>
        <w:rPr>
          <w:rFonts w:hint="eastAsia" w:hAnsi="宋体" w:cs="宋体"/>
          <w:color w:val="auto"/>
          <w:highlight w:val="none"/>
        </w:rPr>
        <w:t>项目（项目编号：             ）的征集文件的全部内容，授权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26B78585">
      <w:pPr>
        <w:pStyle w:val="15"/>
        <w:spacing w:line="440" w:lineRule="exact"/>
        <w:ind w:firstLine="400" w:firstLineChars="200"/>
        <w:rPr>
          <w:rFonts w:hint="eastAsia" w:hAnsi="宋体" w:cs="宋体"/>
          <w:color w:val="auto"/>
          <w:highlight w:val="none"/>
        </w:rPr>
      </w:pPr>
      <w:r>
        <w:rPr>
          <w:rFonts w:hint="eastAsia" w:hAnsi="宋体" w:cs="宋体"/>
          <w:color w:val="auto"/>
          <w:highlight w:val="none"/>
        </w:rPr>
        <w:t>一、报价文件电子版一份（包含按供应商须知前附表要求提交的全部文件）；</w:t>
      </w:r>
    </w:p>
    <w:p w14:paraId="6DFBA370">
      <w:pPr>
        <w:pStyle w:val="15"/>
        <w:spacing w:line="440" w:lineRule="exact"/>
        <w:ind w:firstLine="482"/>
        <w:rPr>
          <w:rFonts w:hint="eastAsia" w:hAnsi="宋体" w:cs="宋体"/>
          <w:color w:val="auto"/>
          <w:highlight w:val="none"/>
        </w:rPr>
      </w:pPr>
      <w:r>
        <w:rPr>
          <w:rFonts w:hint="eastAsia" w:hAnsi="宋体" w:cs="宋体"/>
          <w:color w:val="auto"/>
          <w:highlight w:val="none"/>
        </w:rPr>
        <w:t>二、资格文件电子版一份（包含按供应商须知前附表要求提交的全部文件）；</w:t>
      </w:r>
    </w:p>
    <w:p w14:paraId="0B817813">
      <w:pPr>
        <w:pStyle w:val="15"/>
        <w:spacing w:line="440" w:lineRule="exact"/>
        <w:ind w:firstLine="482"/>
        <w:rPr>
          <w:rFonts w:hint="eastAsia" w:hAnsi="宋体" w:cs="宋体"/>
          <w:color w:val="auto"/>
          <w:highlight w:val="none"/>
        </w:rPr>
      </w:pPr>
      <w:r>
        <w:rPr>
          <w:rFonts w:hint="eastAsia" w:hAnsi="宋体" w:cs="宋体"/>
          <w:color w:val="auto"/>
          <w:highlight w:val="none"/>
        </w:rPr>
        <w:t>三、技术文件电子版一份（包含按供应商须知前附表要求提交的全部文件）；</w:t>
      </w:r>
    </w:p>
    <w:p w14:paraId="11B16D9C">
      <w:pPr>
        <w:pStyle w:val="15"/>
        <w:spacing w:line="440" w:lineRule="exact"/>
        <w:ind w:firstLine="482"/>
        <w:rPr>
          <w:rFonts w:hint="eastAsia" w:hAnsi="宋体" w:cs="宋体"/>
          <w:color w:val="auto"/>
          <w:highlight w:val="none"/>
        </w:rPr>
      </w:pPr>
      <w:r>
        <w:rPr>
          <w:rFonts w:hint="eastAsia" w:hAnsi="宋体" w:cs="宋体"/>
          <w:color w:val="auto"/>
          <w:highlight w:val="none"/>
        </w:rPr>
        <w:t>四、商务文件电子版一份（包含按供应商须知前附表要求提交的全部文件）；</w:t>
      </w:r>
    </w:p>
    <w:p w14:paraId="3883C7FF">
      <w:pPr>
        <w:pStyle w:val="15"/>
        <w:spacing w:line="440" w:lineRule="exact"/>
        <w:ind w:firstLine="482"/>
        <w:rPr>
          <w:rFonts w:hint="eastAsia" w:hAnsi="宋体" w:cs="宋体"/>
          <w:color w:val="auto"/>
          <w:highlight w:val="none"/>
        </w:rPr>
      </w:pPr>
      <w:r>
        <w:rPr>
          <w:rFonts w:hint="eastAsia" w:hAnsi="宋体" w:cs="宋体"/>
          <w:color w:val="auto"/>
          <w:highlight w:val="none"/>
        </w:rPr>
        <w:t>据此函，签字人兹宣布：</w:t>
      </w:r>
    </w:p>
    <w:p w14:paraId="4A47621A">
      <w:pPr>
        <w:pStyle w:val="15"/>
        <w:spacing w:line="440" w:lineRule="exact"/>
        <w:ind w:firstLine="400" w:firstLineChars="200"/>
        <w:rPr>
          <w:rFonts w:hint="eastAsia" w:hAnsi="宋体" w:cs="宋体"/>
          <w:color w:val="auto"/>
          <w:highlight w:val="none"/>
        </w:rPr>
      </w:pPr>
      <w:r>
        <w:rPr>
          <w:rFonts w:hint="eastAsia" w:hAnsi="宋体" w:cs="宋体"/>
          <w:color w:val="auto"/>
          <w:highlight w:val="none"/>
        </w:rPr>
        <w:t>1、响应报价</w:t>
      </w:r>
    </w:p>
    <w:p w14:paraId="772BDDFC">
      <w:pPr>
        <w:pStyle w:val="15"/>
        <w:spacing w:line="360" w:lineRule="exact"/>
        <w:ind w:firstLine="400" w:firstLineChars="200"/>
        <w:rPr>
          <w:rFonts w:hint="eastAsia" w:hAnsi="宋体" w:cs="宋体"/>
          <w:color w:val="auto"/>
          <w:highlight w:val="none"/>
          <w:u w:val="single"/>
        </w:rPr>
      </w:pPr>
      <w:r>
        <w:rPr>
          <w:rFonts w:hint="eastAsia" w:hAnsi="宋体" w:cs="宋体"/>
          <w:color w:val="auto"/>
          <w:highlight w:val="none"/>
        </w:rPr>
        <w:t>我方愿意</w:t>
      </w:r>
      <w:r>
        <w:rPr>
          <w:rFonts w:hint="eastAsia" w:hAnsi="宋体"/>
          <w:color w:val="auto"/>
          <w:szCs w:val="22"/>
          <w:highlight w:val="none"/>
          <w:u w:val="none"/>
        </w:rPr>
        <w:t>按</w:t>
      </w:r>
      <w:r>
        <w:rPr>
          <w:rFonts w:hint="eastAsia" w:hAnsi="宋体"/>
          <w:color w:val="auto"/>
          <w:szCs w:val="22"/>
          <w:highlight w:val="none"/>
          <w:u w:val="single"/>
          <w:lang w:val="en-US" w:eastAsia="zh-CN"/>
        </w:rPr>
        <w:t xml:space="preserve"> 零配件价格优惠率     %、工时费优惠率     %   </w:t>
      </w:r>
      <w:r>
        <w:rPr>
          <w:rFonts w:hint="eastAsia" w:hAnsi="宋体" w:cs="宋体"/>
          <w:color w:val="auto"/>
          <w:highlight w:val="none"/>
        </w:rPr>
        <w:t>进行响应，框架协议的期限：</w:t>
      </w:r>
      <w:r>
        <w:rPr>
          <w:rFonts w:hint="eastAsia" w:hAnsi="宋体" w:cs="宋体"/>
          <w:color w:val="auto"/>
          <w:highlight w:val="none"/>
          <w:u w:val="single"/>
        </w:rPr>
        <w:t xml:space="preserve">          </w:t>
      </w:r>
      <w:r>
        <w:rPr>
          <w:rFonts w:hint="eastAsia" w:hAnsi="宋体" w:cs="宋体"/>
          <w:color w:val="auto"/>
          <w:highlight w:val="none"/>
        </w:rPr>
        <w:t>；</w:t>
      </w:r>
    </w:p>
    <w:p w14:paraId="167A7707">
      <w:pPr>
        <w:pStyle w:val="15"/>
        <w:spacing w:line="360" w:lineRule="exact"/>
        <w:ind w:firstLine="400" w:firstLineChars="200"/>
        <w:rPr>
          <w:rFonts w:hint="eastAsia" w:hAnsi="宋体" w:cs="宋体"/>
          <w:color w:val="auto"/>
          <w:highlight w:val="none"/>
          <w:u w:val="single"/>
        </w:rPr>
      </w:pPr>
      <w:r>
        <w:rPr>
          <w:rFonts w:hint="eastAsia" w:hAnsi="宋体" w:cs="宋体"/>
          <w:color w:val="auto"/>
          <w:highlight w:val="none"/>
        </w:rPr>
        <w:t>2、我方同意自本项目征集文件“第三章 供应商须知”第一节 供应商须知前附表 第21.2项规定的响应截止时间（开标时间）起遵循本响应函，并承诺在“供应商须知前附表”第17.2项规定的响应有效期内不修改、撤销响应文件。</w:t>
      </w:r>
    </w:p>
    <w:p w14:paraId="54B344B7">
      <w:pPr>
        <w:pStyle w:val="15"/>
        <w:spacing w:line="360" w:lineRule="exact"/>
        <w:ind w:firstLine="400" w:firstLineChars="200"/>
        <w:rPr>
          <w:rFonts w:hint="eastAsia" w:hAnsi="宋体" w:cs="宋体"/>
          <w:color w:val="auto"/>
          <w:highlight w:val="none"/>
          <w:u w:val="single"/>
        </w:rPr>
      </w:pPr>
      <w:r>
        <w:rPr>
          <w:rFonts w:hint="eastAsia" w:hAnsi="宋体" w:cs="宋体"/>
          <w:color w:val="auto"/>
          <w:highlight w:val="none"/>
        </w:rPr>
        <w:t>3、我方所递交的响应文件及有关资料都是内容完整、真实和准确的。</w:t>
      </w:r>
    </w:p>
    <w:p w14:paraId="20116D4A">
      <w:pPr>
        <w:pStyle w:val="15"/>
        <w:spacing w:line="360" w:lineRule="exact"/>
        <w:ind w:firstLine="400" w:firstLineChars="200"/>
        <w:rPr>
          <w:rFonts w:hint="eastAsia" w:hAnsi="宋体" w:cs="宋体"/>
          <w:color w:val="auto"/>
          <w:highlight w:val="none"/>
          <w:u w:val="single"/>
        </w:rPr>
      </w:pPr>
      <w:r>
        <w:rPr>
          <w:rFonts w:hint="eastAsia" w:hAnsi="宋体" w:cs="宋体"/>
          <w:color w:val="auto"/>
          <w:highlight w:val="none"/>
        </w:rPr>
        <w:t>4、我方承诺</w:t>
      </w:r>
      <w:r>
        <w:rPr>
          <w:rFonts w:hint="eastAsia" w:hAnsi="宋体" w:cs="宋体"/>
          <w:bCs/>
          <w:color w:val="auto"/>
          <w:szCs w:val="24"/>
          <w:highlight w:val="none"/>
        </w:rPr>
        <w:t>2019年7月至今，</w:t>
      </w:r>
      <w:r>
        <w:rPr>
          <w:rFonts w:hint="eastAsia" w:hAnsi="宋体" w:cs="宋体"/>
          <w:color w:val="auto"/>
          <w:highlight w:val="none"/>
        </w:rPr>
        <w:t>未被列入失信被执行人、重大税收违法案件当事人名单、政府采购严重违法失信行为记录名单，并已经具备《中华人民共和国政府采购法》中规定的参加政府采购活动的供应商应当具备的条件：</w:t>
      </w:r>
    </w:p>
    <w:p w14:paraId="4283EF3C">
      <w:pPr>
        <w:pStyle w:val="15"/>
        <w:numPr>
          <w:ilvl w:val="0"/>
          <w:numId w:val="8"/>
        </w:numPr>
        <w:spacing w:line="440" w:lineRule="exact"/>
        <w:rPr>
          <w:rFonts w:hint="eastAsia" w:hAnsi="宋体" w:cs="宋体"/>
          <w:color w:val="auto"/>
          <w:highlight w:val="none"/>
        </w:rPr>
      </w:pPr>
      <w:r>
        <w:rPr>
          <w:rFonts w:hint="eastAsia" w:hAnsi="宋体" w:cs="宋体"/>
          <w:color w:val="auto"/>
          <w:highlight w:val="none"/>
        </w:rPr>
        <w:t>具有独立承担民事责任的能力；</w:t>
      </w:r>
    </w:p>
    <w:p w14:paraId="713C55E7">
      <w:pPr>
        <w:pStyle w:val="15"/>
        <w:numPr>
          <w:ilvl w:val="0"/>
          <w:numId w:val="8"/>
        </w:numPr>
        <w:spacing w:line="440" w:lineRule="exact"/>
        <w:rPr>
          <w:rFonts w:hint="eastAsia" w:hAnsi="宋体" w:cs="宋体"/>
          <w:color w:val="auto"/>
          <w:highlight w:val="none"/>
        </w:rPr>
      </w:pPr>
      <w:r>
        <w:rPr>
          <w:rFonts w:hint="eastAsia" w:hAnsi="宋体" w:cs="宋体"/>
          <w:color w:val="auto"/>
          <w:highlight w:val="none"/>
        </w:rPr>
        <w:t>具有良好的商业信誉和健全的财务会计制度；</w:t>
      </w:r>
    </w:p>
    <w:p w14:paraId="14E3A01F">
      <w:pPr>
        <w:pStyle w:val="15"/>
        <w:numPr>
          <w:ilvl w:val="0"/>
          <w:numId w:val="8"/>
        </w:numPr>
        <w:spacing w:line="440" w:lineRule="exact"/>
        <w:rPr>
          <w:rFonts w:hint="eastAsia" w:hAnsi="宋体" w:cs="宋体"/>
          <w:color w:val="auto"/>
          <w:highlight w:val="none"/>
        </w:rPr>
      </w:pPr>
      <w:r>
        <w:rPr>
          <w:rFonts w:hint="eastAsia" w:hAnsi="宋体" w:cs="宋体"/>
          <w:color w:val="auto"/>
          <w:highlight w:val="none"/>
        </w:rPr>
        <w:t>具有履行合同所必需的设备和专业技术能力；</w:t>
      </w:r>
    </w:p>
    <w:p w14:paraId="167F0092">
      <w:pPr>
        <w:pStyle w:val="15"/>
        <w:numPr>
          <w:ilvl w:val="0"/>
          <w:numId w:val="8"/>
        </w:numPr>
        <w:spacing w:line="440" w:lineRule="exact"/>
        <w:rPr>
          <w:rFonts w:hint="eastAsia" w:hAnsi="宋体" w:cs="宋体"/>
          <w:color w:val="auto"/>
          <w:highlight w:val="none"/>
        </w:rPr>
      </w:pPr>
      <w:r>
        <w:rPr>
          <w:rFonts w:hint="eastAsia" w:hAnsi="宋体" w:cs="宋体"/>
          <w:color w:val="auto"/>
          <w:highlight w:val="none"/>
        </w:rPr>
        <w:t>有依法缴纳税收和社会保障资金的良好记录；</w:t>
      </w:r>
    </w:p>
    <w:p w14:paraId="567DA03D">
      <w:pPr>
        <w:pStyle w:val="15"/>
        <w:numPr>
          <w:ilvl w:val="0"/>
          <w:numId w:val="8"/>
        </w:numPr>
        <w:spacing w:line="440" w:lineRule="exact"/>
        <w:rPr>
          <w:rFonts w:hint="eastAsia" w:hAnsi="宋体" w:cs="宋体"/>
          <w:color w:val="auto"/>
          <w:highlight w:val="none"/>
        </w:rPr>
      </w:pPr>
      <w:r>
        <w:rPr>
          <w:rFonts w:hint="eastAsia" w:hAnsi="宋体" w:cs="宋体"/>
          <w:color w:val="auto"/>
          <w:highlight w:val="none"/>
        </w:rPr>
        <w:t>参加政府采购活动前三年内，在经营活动中没有重大违法记录；</w:t>
      </w:r>
    </w:p>
    <w:p w14:paraId="629854C1">
      <w:pPr>
        <w:pStyle w:val="15"/>
        <w:numPr>
          <w:ilvl w:val="0"/>
          <w:numId w:val="8"/>
        </w:numPr>
        <w:spacing w:line="440" w:lineRule="exact"/>
        <w:rPr>
          <w:rFonts w:hint="eastAsia" w:hAnsi="宋体" w:cs="宋体"/>
          <w:color w:val="auto"/>
          <w:highlight w:val="none"/>
        </w:rPr>
      </w:pPr>
      <w:r>
        <w:rPr>
          <w:rFonts w:hint="eastAsia" w:hAnsi="宋体" w:cs="宋体"/>
          <w:color w:val="auto"/>
          <w:highlight w:val="none"/>
        </w:rPr>
        <w:t>法律、行政法规规定的其他条件。</w:t>
      </w:r>
    </w:p>
    <w:p w14:paraId="6CEE5BA0">
      <w:pPr>
        <w:pStyle w:val="15"/>
        <w:spacing w:line="440" w:lineRule="exact"/>
        <w:ind w:firstLine="482"/>
        <w:rPr>
          <w:rFonts w:hint="eastAsia" w:hAnsi="宋体" w:cs="宋体"/>
          <w:color w:val="auto"/>
          <w:highlight w:val="none"/>
        </w:rPr>
      </w:pPr>
      <w:r>
        <w:rPr>
          <w:rFonts w:hint="eastAsia" w:hAnsi="宋体" w:cs="宋体"/>
          <w:color w:val="auto"/>
          <w:highlight w:val="none"/>
        </w:rPr>
        <w:t>5、</w:t>
      </w:r>
      <w:r>
        <w:rPr>
          <w:rFonts w:hint="eastAsia" w:hAnsi="宋体" w:cs="宋体"/>
          <w:color w:val="auto"/>
          <w:szCs w:val="21"/>
          <w:highlight w:val="none"/>
        </w:rPr>
        <w:t>如本项目采购内容涉及须符合国家强制规定的，我方承诺我方本次响应（包括资格条件和所投产品）均符合国家有关强制规定。</w:t>
      </w:r>
    </w:p>
    <w:p w14:paraId="6845E391">
      <w:pPr>
        <w:pStyle w:val="15"/>
        <w:spacing w:line="440" w:lineRule="exact"/>
        <w:ind w:firstLine="400" w:firstLineChars="200"/>
        <w:rPr>
          <w:rFonts w:hint="eastAsia" w:hAnsi="宋体" w:cs="宋体"/>
          <w:color w:val="auto"/>
          <w:highlight w:val="none"/>
        </w:rPr>
      </w:pPr>
      <w:r>
        <w:rPr>
          <w:rFonts w:hint="eastAsia" w:hAnsi="宋体" w:cs="宋体"/>
          <w:color w:val="auto"/>
          <w:highlight w:val="none"/>
        </w:rPr>
        <w:t>6、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14:paraId="2A71F414">
      <w:pPr>
        <w:pStyle w:val="15"/>
        <w:spacing w:line="440" w:lineRule="exact"/>
        <w:ind w:firstLine="400" w:firstLineChars="200"/>
        <w:rPr>
          <w:rFonts w:hint="eastAsia" w:hAnsi="宋体" w:cs="宋体"/>
          <w:color w:val="auto"/>
          <w:highlight w:val="none"/>
        </w:rPr>
      </w:pPr>
      <w:r>
        <w:rPr>
          <w:rFonts w:hint="eastAsia" w:hAnsi="宋体" w:cs="宋体"/>
          <w:color w:val="auto"/>
          <w:highlight w:val="none"/>
        </w:rPr>
        <w:t>7、我方已详细审核征集文件，我方知道必须放弃提出含糊不清或误解问题的权利。</w:t>
      </w:r>
    </w:p>
    <w:p w14:paraId="138866CA">
      <w:pPr>
        <w:pStyle w:val="15"/>
        <w:spacing w:line="440" w:lineRule="exact"/>
        <w:ind w:firstLine="400" w:firstLineChars="200"/>
        <w:rPr>
          <w:rFonts w:hint="eastAsia" w:hAnsi="宋体" w:cs="宋体"/>
          <w:color w:val="auto"/>
          <w:highlight w:val="none"/>
        </w:rPr>
      </w:pPr>
      <w:r>
        <w:rPr>
          <w:rFonts w:hint="eastAsia" w:hAnsi="宋体" w:cs="宋体"/>
          <w:color w:val="auto"/>
          <w:highlight w:val="none"/>
        </w:rPr>
        <w:t>8、我方同意应贵方要求提供与本响应有关的任何数据或资料。若贵方需要，我方愿意提供我方作出的一切承诺的证明材料。</w:t>
      </w:r>
    </w:p>
    <w:p w14:paraId="1A969EF6">
      <w:pPr>
        <w:pStyle w:val="15"/>
        <w:spacing w:line="440" w:lineRule="exact"/>
        <w:ind w:firstLine="400" w:firstLineChars="200"/>
        <w:rPr>
          <w:rFonts w:hint="eastAsia" w:hAnsi="宋体" w:cs="宋体"/>
          <w:color w:val="auto"/>
          <w:highlight w:val="none"/>
        </w:rPr>
      </w:pPr>
      <w:r>
        <w:rPr>
          <w:rFonts w:hint="eastAsia" w:hAnsi="宋体" w:cs="宋体"/>
          <w:color w:val="auto"/>
          <w:highlight w:val="none"/>
        </w:rPr>
        <w:t>9、我方完全理解贵方不一定接受响应报价最低的供应商为入围供应商的行为。</w:t>
      </w:r>
    </w:p>
    <w:p w14:paraId="67CFB1F6">
      <w:pPr>
        <w:pStyle w:val="15"/>
        <w:spacing w:line="440" w:lineRule="exact"/>
        <w:ind w:firstLine="400" w:firstLineChars="200"/>
        <w:rPr>
          <w:rFonts w:hint="eastAsia" w:hAnsi="宋体" w:cs="宋体"/>
          <w:color w:val="auto"/>
          <w:highlight w:val="none"/>
        </w:rPr>
      </w:pPr>
      <w:r>
        <w:rPr>
          <w:rFonts w:hint="eastAsia" w:hAnsi="宋体" w:cs="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C796185">
      <w:pPr>
        <w:pStyle w:val="15"/>
        <w:numPr>
          <w:ilvl w:val="0"/>
          <w:numId w:val="9"/>
        </w:numPr>
        <w:spacing w:line="440" w:lineRule="exact"/>
        <w:rPr>
          <w:rFonts w:hint="eastAsia" w:hAnsi="宋体" w:cs="宋体"/>
          <w:color w:val="auto"/>
          <w:highlight w:val="none"/>
        </w:rPr>
      </w:pPr>
      <w:r>
        <w:rPr>
          <w:rFonts w:hint="eastAsia" w:hAnsi="宋体" w:cs="宋体"/>
          <w:color w:val="auto"/>
          <w:highlight w:val="none"/>
        </w:rPr>
        <w:t>提供虚假材料谋取入围、成交的；</w:t>
      </w:r>
    </w:p>
    <w:p w14:paraId="40D0F4ED">
      <w:pPr>
        <w:pStyle w:val="15"/>
        <w:numPr>
          <w:ilvl w:val="0"/>
          <w:numId w:val="9"/>
        </w:numPr>
        <w:spacing w:line="440" w:lineRule="exact"/>
        <w:rPr>
          <w:rFonts w:hint="eastAsia" w:hAnsi="宋体" w:cs="宋体"/>
          <w:color w:val="auto"/>
          <w:highlight w:val="none"/>
        </w:rPr>
      </w:pPr>
      <w:r>
        <w:rPr>
          <w:rFonts w:hint="eastAsia" w:hAnsi="宋体" w:cs="宋体"/>
          <w:color w:val="auto"/>
          <w:highlight w:val="none"/>
        </w:rPr>
        <w:t>采取不正当手段诋毁、排挤其他供应商的；</w:t>
      </w:r>
    </w:p>
    <w:p w14:paraId="32D30B54">
      <w:pPr>
        <w:pStyle w:val="15"/>
        <w:numPr>
          <w:ilvl w:val="0"/>
          <w:numId w:val="9"/>
        </w:numPr>
        <w:spacing w:line="440" w:lineRule="exact"/>
        <w:rPr>
          <w:rFonts w:hint="eastAsia" w:hAnsi="宋体" w:cs="宋体"/>
          <w:color w:val="auto"/>
          <w:highlight w:val="none"/>
        </w:rPr>
      </w:pPr>
      <w:r>
        <w:rPr>
          <w:rFonts w:hint="eastAsia" w:hAnsi="宋体" w:cs="宋体"/>
          <w:color w:val="auto"/>
          <w:highlight w:val="none"/>
        </w:rPr>
        <w:t>与采购人、其他供应商或者采购代理机构恶意串通的；</w:t>
      </w:r>
    </w:p>
    <w:p w14:paraId="11338743">
      <w:pPr>
        <w:pStyle w:val="15"/>
        <w:numPr>
          <w:ilvl w:val="0"/>
          <w:numId w:val="9"/>
        </w:numPr>
        <w:spacing w:line="440" w:lineRule="exact"/>
        <w:rPr>
          <w:rFonts w:hint="eastAsia" w:hAnsi="宋体" w:cs="宋体"/>
          <w:color w:val="auto"/>
          <w:highlight w:val="none"/>
        </w:rPr>
      </w:pPr>
      <w:r>
        <w:rPr>
          <w:rFonts w:hint="eastAsia" w:hAnsi="宋体" w:cs="宋体"/>
          <w:color w:val="auto"/>
          <w:highlight w:val="none"/>
        </w:rPr>
        <w:t>向采购人、采购代理机构行贿或者提供其他不正当利益的；</w:t>
      </w:r>
    </w:p>
    <w:p w14:paraId="10AE3021">
      <w:pPr>
        <w:pStyle w:val="15"/>
        <w:numPr>
          <w:ilvl w:val="0"/>
          <w:numId w:val="9"/>
        </w:numPr>
        <w:spacing w:line="440" w:lineRule="exact"/>
        <w:rPr>
          <w:rFonts w:hint="eastAsia" w:hAnsi="宋体" w:cs="宋体"/>
          <w:color w:val="auto"/>
          <w:highlight w:val="none"/>
        </w:rPr>
      </w:pPr>
      <w:r>
        <w:rPr>
          <w:rFonts w:hint="eastAsia" w:hAnsi="宋体" w:cs="宋体"/>
          <w:color w:val="auto"/>
          <w:highlight w:val="none"/>
        </w:rPr>
        <w:t>在征集采购过程中与采购人进行协商谈判的；</w:t>
      </w:r>
    </w:p>
    <w:p w14:paraId="5526F8A8">
      <w:pPr>
        <w:pStyle w:val="15"/>
        <w:numPr>
          <w:ilvl w:val="0"/>
          <w:numId w:val="9"/>
        </w:numPr>
        <w:spacing w:line="440" w:lineRule="exact"/>
        <w:rPr>
          <w:rFonts w:hint="eastAsia" w:hAnsi="宋体" w:cs="宋体"/>
          <w:color w:val="auto"/>
          <w:highlight w:val="none"/>
        </w:rPr>
      </w:pPr>
      <w:r>
        <w:rPr>
          <w:rFonts w:hint="eastAsia" w:hAnsi="宋体" w:cs="宋体"/>
          <w:color w:val="auto"/>
          <w:highlight w:val="none"/>
        </w:rPr>
        <w:t>拒绝有关部门监督检查或提供虚假情况的。</w:t>
      </w:r>
    </w:p>
    <w:p w14:paraId="76E06052">
      <w:pPr>
        <w:pStyle w:val="15"/>
        <w:spacing w:line="440" w:lineRule="exact"/>
        <w:ind w:left="420"/>
        <w:rPr>
          <w:rFonts w:hint="eastAsia" w:hAnsi="宋体" w:cs="宋体"/>
          <w:color w:val="auto"/>
          <w:highlight w:val="none"/>
        </w:rPr>
      </w:pPr>
      <w:r>
        <w:rPr>
          <w:rFonts w:hint="eastAsia" w:hAnsi="宋体" w:cs="宋体"/>
          <w:color w:val="auto"/>
          <w:highlight w:val="none"/>
        </w:rPr>
        <w:t>11、我方及由本人担任法定代表人的其他机构最近三年内被处罚的违法行为有：</w:t>
      </w:r>
      <w:r>
        <w:rPr>
          <w:rFonts w:hint="eastAsia" w:hAnsi="宋体" w:cs="宋体"/>
          <w:color w:val="auto"/>
          <w:highlight w:val="none"/>
          <w:u w:val="single"/>
        </w:rPr>
        <w:t xml:space="preserve">                                        </w:t>
      </w:r>
    </w:p>
    <w:p w14:paraId="1A45E69B">
      <w:pPr>
        <w:pStyle w:val="15"/>
        <w:spacing w:line="440" w:lineRule="exact"/>
        <w:ind w:left="420"/>
        <w:rPr>
          <w:rFonts w:hint="eastAsia" w:hAnsi="宋体" w:cs="宋体"/>
          <w:color w:val="auto"/>
          <w:highlight w:val="none"/>
        </w:rPr>
      </w:pPr>
      <w:r>
        <w:rPr>
          <w:rFonts w:hint="eastAsia" w:hAnsi="宋体" w:cs="宋体"/>
          <w:color w:val="auto"/>
          <w:highlight w:val="none"/>
          <w:u w:val="single"/>
        </w:rPr>
        <w:t xml:space="preserve">                                                                                                                        </w:t>
      </w:r>
    </w:p>
    <w:p w14:paraId="52DE72EA">
      <w:pPr>
        <w:pStyle w:val="15"/>
        <w:spacing w:line="360" w:lineRule="auto"/>
        <w:ind w:firstLine="420"/>
        <w:rPr>
          <w:rFonts w:hint="eastAsia" w:hAnsi="宋体" w:cs="宋体"/>
          <w:color w:val="auto"/>
          <w:highlight w:val="none"/>
        </w:rPr>
      </w:pPr>
      <w:r>
        <w:rPr>
          <w:rFonts w:hint="eastAsia" w:hAnsi="宋体" w:cs="宋体"/>
          <w:color w:val="auto"/>
          <w:highlight w:val="none"/>
        </w:rPr>
        <w:t>12、以上事项如有虚假或隐瞒，我方愿意承担一切后果，并不再寻求任何旨在减轻或免除法律责任的辩解。</w:t>
      </w:r>
    </w:p>
    <w:p w14:paraId="08A0A3E9">
      <w:pPr>
        <w:pStyle w:val="15"/>
        <w:spacing w:line="360" w:lineRule="auto"/>
        <w:ind w:firstLine="420"/>
        <w:rPr>
          <w:rFonts w:hint="eastAsia" w:hAnsi="宋体" w:cs="宋体"/>
          <w:color w:val="auto"/>
          <w:highlight w:val="none"/>
        </w:rPr>
      </w:pPr>
      <w:r>
        <w:rPr>
          <w:rFonts w:hint="eastAsia" w:hAnsi="宋体" w:cs="宋体"/>
          <w:color w:val="auto"/>
          <w:highlight w:val="none"/>
        </w:rPr>
        <w:t>13、与本响应有关的一切正式往来信函请寄：</w:t>
      </w:r>
      <w:r>
        <w:rPr>
          <w:rFonts w:hint="eastAsia" w:hAnsi="宋体" w:cs="宋体"/>
          <w:color w:val="auto"/>
          <w:highlight w:val="none"/>
          <w:u w:val="single"/>
        </w:rPr>
        <w:t xml:space="preserve"> </w:t>
      </w:r>
    </w:p>
    <w:p w14:paraId="7A598A56">
      <w:pPr>
        <w:pStyle w:val="15"/>
        <w:spacing w:line="360" w:lineRule="auto"/>
        <w:ind w:firstLine="42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50697655">
      <w:pPr>
        <w:pStyle w:val="15"/>
        <w:spacing w:line="360" w:lineRule="auto"/>
        <w:ind w:firstLine="420"/>
        <w:rPr>
          <w:rFonts w:hint="eastAsia"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2659D91C">
      <w:pPr>
        <w:pStyle w:val="15"/>
        <w:spacing w:line="360" w:lineRule="auto"/>
        <w:ind w:firstLine="420"/>
        <w:rPr>
          <w:rFonts w:hint="eastAsia"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5307C329">
      <w:pPr>
        <w:pStyle w:val="15"/>
        <w:spacing w:line="360" w:lineRule="auto"/>
        <w:ind w:firstLine="420"/>
        <w:rPr>
          <w:rFonts w:hint="eastAsia"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695D4501">
      <w:pPr>
        <w:pStyle w:val="15"/>
        <w:spacing w:line="360" w:lineRule="auto"/>
        <w:ind w:firstLine="420"/>
        <w:rPr>
          <w:rFonts w:hint="eastAsia"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639E1C16">
      <w:pPr>
        <w:pStyle w:val="15"/>
        <w:spacing w:line="360" w:lineRule="auto"/>
        <w:ind w:firstLine="42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1F3E7882">
      <w:pPr>
        <w:pStyle w:val="15"/>
        <w:spacing w:line="360" w:lineRule="auto"/>
        <w:ind w:firstLine="420"/>
        <w:rPr>
          <w:rFonts w:hint="eastAsia"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6B23B98E">
      <w:pPr>
        <w:snapToGrid w:val="0"/>
        <w:spacing w:line="360" w:lineRule="auto"/>
        <w:ind w:firstLine="5040" w:firstLineChars="2100"/>
        <w:rPr>
          <w:rFonts w:hint="eastAsia" w:ascii="宋体" w:hAnsi="宋体" w:cs="宋体"/>
          <w:color w:val="auto"/>
          <w:kern w:val="0"/>
          <w:sz w:val="24"/>
          <w:highlight w:val="none"/>
          <w:lang w:val="zh-CN"/>
        </w:rPr>
      </w:pPr>
    </w:p>
    <w:p w14:paraId="5C451BDC">
      <w:pPr>
        <w:snapToGrid w:val="0"/>
        <w:spacing w:line="360" w:lineRule="auto"/>
        <w:ind w:firstLine="5040" w:firstLineChars="2100"/>
        <w:rPr>
          <w:rFonts w:hint="eastAsia" w:ascii="宋体" w:hAnsi="宋体" w:cs="宋体"/>
          <w:color w:val="auto"/>
          <w:kern w:val="0"/>
          <w:sz w:val="24"/>
          <w:highlight w:val="none"/>
          <w:lang w:val="zh-CN"/>
        </w:rPr>
      </w:pPr>
    </w:p>
    <w:p w14:paraId="288F6D39">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4FFF24B5">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6E68790">
      <w:pPr>
        <w:widowControl/>
        <w:spacing w:line="360" w:lineRule="auto"/>
        <w:jc w:val="left"/>
        <w:rPr>
          <w:rFonts w:hint="eastAsia" w:ascii="仿宋_GB2312" w:hAnsi="仿宋" w:eastAsia="仿宋_GB2312" w:cs="仿宋_GB2312"/>
          <w:color w:val="auto"/>
          <w:kern w:val="0"/>
          <w:sz w:val="24"/>
          <w:szCs w:val="24"/>
          <w:highlight w:val="none"/>
          <w:lang w:val="zh-CN"/>
        </w:rPr>
      </w:pPr>
    </w:p>
    <w:p w14:paraId="29F786B7">
      <w:pPr>
        <w:widowControl/>
        <w:spacing w:line="360" w:lineRule="auto"/>
        <w:jc w:val="left"/>
        <w:rPr>
          <w:rFonts w:hint="eastAsia" w:ascii="仿宋_GB2312" w:hAnsi="仿宋" w:eastAsia="仿宋_GB2312" w:cs="仿宋_GB2312"/>
          <w:color w:val="auto"/>
          <w:kern w:val="0"/>
          <w:sz w:val="24"/>
          <w:szCs w:val="24"/>
          <w:highlight w:val="none"/>
          <w:lang w:val="zh-CN"/>
        </w:rPr>
      </w:pPr>
    </w:p>
    <w:p w14:paraId="0D2A8397">
      <w:pPr>
        <w:widowControl/>
        <w:spacing w:line="360" w:lineRule="auto"/>
        <w:jc w:val="left"/>
        <w:rPr>
          <w:rFonts w:hint="eastAsia" w:ascii="仿宋_GB2312" w:hAnsi="仿宋" w:eastAsia="仿宋_GB2312" w:cs="仿宋_GB2312"/>
          <w:color w:val="auto"/>
          <w:kern w:val="0"/>
          <w:sz w:val="24"/>
          <w:szCs w:val="24"/>
          <w:highlight w:val="none"/>
          <w:lang w:val="zh-CN"/>
        </w:rPr>
      </w:pPr>
    </w:p>
    <w:p w14:paraId="1E0237F1">
      <w:pPr>
        <w:widowControl/>
        <w:spacing w:line="360" w:lineRule="auto"/>
        <w:jc w:val="left"/>
        <w:rPr>
          <w:rFonts w:hint="eastAsia" w:ascii="仿宋_GB2312" w:hAnsi="仿宋" w:eastAsia="仿宋_GB2312" w:cs="仿宋_GB2312"/>
          <w:color w:val="auto"/>
          <w:kern w:val="0"/>
          <w:sz w:val="24"/>
          <w:szCs w:val="24"/>
          <w:highlight w:val="none"/>
          <w:lang w:val="zh-CN"/>
        </w:rPr>
      </w:pPr>
    </w:p>
    <w:p w14:paraId="581808D1">
      <w:pPr>
        <w:widowControl/>
        <w:spacing w:line="360" w:lineRule="auto"/>
        <w:jc w:val="left"/>
        <w:rPr>
          <w:rFonts w:hint="eastAsia" w:ascii="仿宋_GB2312" w:hAnsi="仿宋" w:eastAsia="仿宋_GB2312" w:cs="仿宋_GB2312"/>
          <w:color w:val="auto"/>
          <w:kern w:val="0"/>
          <w:sz w:val="24"/>
          <w:szCs w:val="24"/>
          <w:highlight w:val="none"/>
          <w:lang w:val="zh-CN"/>
        </w:rPr>
      </w:pPr>
    </w:p>
    <w:p w14:paraId="6F80D3B2">
      <w:pPr>
        <w:spacing w:line="360" w:lineRule="auto"/>
        <w:jc w:val="center"/>
        <w:rPr>
          <w:rFonts w:hint="eastAsia" w:ascii="宋体" w:hAnsi="Courier New"/>
          <w:b/>
          <w:color w:val="auto"/>
          <w:sz w:val="30"/>
          <w:szCs w:val="30"/>
          <w:highlight w:val="none"/>
        </w:rPr>
      </w:pPr>
      <w:r>
        <w:rPr>
          <w:rFonts w:hint="eastAsia" w:ascii="宋体" w:hAnsi="宋体"/>
          <w:color w:val="auto"/>
          <w:sz w:val="30"/>
          <w:szCs w:val="20"/>
          <w:highlight w:val="none"/>
        </w:rPr>
        <w:t>二、</w:t>
      </w:r>
      <w:r>
        <w:rPr>
          <w:rFonts w:hint="eastAsia" w:ascii="宋体" w:hAnsi="Courier New"/>
          <w:b/>
          <w:color w:val="auto"/>
          <w:sz w:val="30"/>
          <w:szCs w:val="30"/>
          <w:highlight w:val="none"/>
        </w:rPr>
        <w:t>开标一览表</w:t>
      </w:r>
    </w:p>
    <w:p w14:paraId="5BAAE5EB">
      <w:pPr>
        <w:snapToGrid w:val="0"/>
        <w:spacing w:before="50" w:after="50"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color w:val="auto"/>
          <w:highlight w:val="none"/>
          <w:u w:val="single"/>
          <w:lang w:val="en-US" w:eastAsia="zh-CN"/>
        </w:rPr>
        <w:t xml:space="preserve">                     </w:t>
      </w:r>
      <w:r>
        <w:rPr>
          <w:rFonts w:hint="eastAsia" w:ascii="宋体" w:hAnsi="宋体"/>
          <w:color w:val="auto"/>
          <w:szCs w:val="21"/>
          <w:highlight w:val="none"/>
        </w:rPr>
        <w:t xml:space="preserve">  项目编号：</w:t>
      </w:r>
      <w:bookmarkStart w:id="147" w:name="PO_3000001866_PM001_4"/>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bookmarkEnd w:id="147"/>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9344C3C">
      <w:pPr>
        <w:spacing w:line="360" w:lineRule="auto"/>
        <w:rPr>
          <w:rFonts w:hint="eastAsia"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分标：</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2129"/>
        <w:gridCol w:w="3789"/>
      </w:tblGrid>
      <w:tr w14:paraId="4C8B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3895" w:type="dxa"/>
            <w:tcBorders>
              <w:top w:val="single" w:color="auto" w:sz="4" w:space="0"/>
              <w:left w:val="single" w:color="auto" w:sz="4" w:space="0"/>
              <w:bottom w:val="single" w:color="auto" w:sz="4" w:space="0"/>
              <w:right w:val="single" w:color="auto" w:sz="4" w:space="0"/>
            </w:tcBorders>
            <w:noWrap w:val="0"/>
            <w:vAlign w:val="center"/>
          </w:tcPr>
          <w:p w14:paraId="24D4B38D">
            <w:pPr>
              <w:jc w:val="center"/>
              <w:rPr>
                <w:rFonts w:ascii="宋体" w:hAnsi="宋体"/>
                <w:color w:val="auto"/>
                <w:szCs w:val="21"/>
                <w:highlight w:val="none"/>
              </w:rPr>
            </w:pPr>
            <w:r>
              <w:rPr>
                <w:rFonts w:hint="eastAsia" w:ascii="宋体" w:hAnsi="宋体"/>
                <w:color w:val="auto"/>
                <w:szCs w:val="21"/>
                <w:highlight w:val="none"/>
              </w:rPr>
              <w:t>服务名称</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1E938F5">
            <w:pPr>
              <w:jc w:val="center"/>
              <w:rPr>
                <w:rFonts w:ascii="宋体" w:hAnsi="宋体"/>
                <w:color w:val="auto"/>
                <w:szCs w:val="21"/>
                <w:highlight w:val="none"/>
              </w:rPr>
            </w:pPr>
            <w:r>
              <w:rPr>
                <w:rFonts w:hint="eastAsia"/>
                <w:color w:val="auto"/>
                <w:highlight w:val="none"/>
              </w:rPr>
              <w:t>报价内容</w:t>
            </w:r>
          </w:p>
        </w:tc>
        <w:tc>
          <w:tcPr>
            <w:tcW w:w="3789" w:type="dxa"/>
            <w:tcBorders>
              <w:top w:val="single" w:color="auto" w:sz="4" w:space="0"/>
              <w:left w:val="single" w:color="auto" w:sz="4" w:space="0"/>
              <w:bottom w:val="single" w:color="auto" w:sz="4" w:space="0"/>
              <w:right w:val="single" w:color="auto" w:sz="4" w:space="0"/>
            </w:tcBorders>
            <w:noWrap w:val="0"/>
            <w:vAlign w:val="center"/>
          </w:tcPr>
          <w:p w14:paraId="6C4E81D2">
            <w:pPr>
              <w:jc w:val="center"/>
              <w:rPr>
                <w:rFonts w:ascii="宋体" w:hAnsi="宋体"/>
                <w:color w:val="auto"/>
                <w:szCs w:val="21"/>
                <w:highlight w:val="none"/>
              </w:rPr>
            </w:pPr>
            <w:r>
              <w:rPr>
                <w:rFonts w:hint="eastAsia"/>
                <w:color w:val="auto"/>
                <w:highlight w:val="none"/>
              </w:rPr>
              <w:t>响应报价（优惠率</w:t>
            </w:r>
            <w:r>
              <w:rPr>
                <w:rFonts w:hint="eastAsia"/>
                <w:color w:val="auto"/>
                <w:highlight w:val="none"/>
                <w:lang w:val="en-US" w:eastAsia="zh-CN"/>
              </w:rPr>
              <w:t>%</w:t>
            </w:r>
            <w:r>
              <w:rPr>
                <w:rFonts w:hint="eastAsia"/>
                <w:color w:val="auto"/>
                <w:highlight w:val="none"/>
              </w:rPr>
              <w:t>）</w:t>
            </w:r>
          </w:p>
        </w:tc>
      </w:tr>
      <w:tr w14:paraId="0BC9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3895" w:type="dxa"/>
            <w:vMerge w:val="restart"/>
            <w:tcBorders>
              <w:top w:val="single" w:color="auto" w:sz="4" w:space="0"/>
              <w:left w:val="single" w:color="auto" w:sz="4" w:space="0"/>
              <w:right w:val="single" w:color="auto" w:sz="4" w:space="0"/>
            </w:tcBorders>
            <w:noWrap w:val="0"/>
            <w:vAlign w:val="center"/>
          </w:tcPr>
          <w:p w14:paraId="27D1E774">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2025-2027年度东兴市车辆维修和保养服务框架协议采购</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4A11895F">
            <w:pPr>
              <w:jc w:val="center"/>
              <w:rPr>
                <w:rFonts w:ascii="宋体" w:hAnsi="宋体"/>
                <w:color w:val="auto"/>
                <w:szCs w:val="21"/>
                <w:highlight w:val="none"/>
              </w:rPr>
            </w:pPr>
            <w:r>
              <w:rPr>
                <w:rFonts w:hint="eastAsia" w:ascii="宋体" w:hAnsi="宋体"/>
                <w:color w:val="auto"/>
                <w:szCs w:val="21"/>
                <w:highlight w:val="none"/>
              </w:rPr>
              <w:t>零配件价格</w:t>
            </w:r>
          </w:p>
        </w:tc>
        <w:tc>
          <w:tcPr>
            <w:tcW w:w="3789" w:type="dxa"/>
            <w:tcBorders>
              <w:top w:val="single" w:color="auto" w:sz="4" w:space="0"/>
              <w:left w:val="single" w:color="auto" w:sz="4" w:space="0"/>
              <w:bottom w:val="single" w:color="auto" w:sz="4" w:space="0"/>
              <w:right w:val="single" w:color="auto" w:sz="4" w:space="0"/>
            </w:tcBorders>
            <w:noWrap w:val="0"/>
            <w:vAlign w:val="center"/>
          </w:tcPr>
          <w:p w14:paraId="1C3855AA">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tc>
      </w:tr>
      <w:tr w14:paraId="30AD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3895" w:type="dxa"/>
            <w:vMerge w:val="continue"/>
            <w:tcBorders>
              <w:left w:val="single" w:color="auto" w:sz="4" w:space="0"/>
              <w:bottom w:val="single" w:color="auto" w:sz="4" w:space="0"/>
              <w:right w:val="single" w:color="auto" w:sz="4" w:space="0"/>
            </w:tcBorders>
            <w:noWrap w:val="0"/>
            <w:vAlign w:val="center"/>
          </w:tcPr>
          <w:p w14:paraId="0FE0716D">
            <w:pPr>
              <w:jc w:val="center"/>
              <w:rPr>
                <w:rFonts w:ascii="宋体" w:hAnsi="宋体"/>
                <w:color w:val="auto"/>
                <w:szCs w:val="21"/>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79517231">
            <w:pPr>
              <w:jc w:val="center"/>
              <w:rPr>
                <w:rFonts w:ascii="宋体" w:hAnsi="宋体"/>
                <w:color w:val="auto"/>
                <w:szCs w:val="21"/>
                <w:highlight w:val="none"/>
              </w:rPr>
            </w:pPr>
            <w:r>
              <w:rPr>
                <w:rFonts w:hint="eastAsia" w:ascii="宋体" w:hAnsi="宋体"/>
                <w:color w:val="auto"/>
                <w:szCs w:val="21"/>
                <w:highlight w:val="none"/>
              </w:rPr>
              <w:t>工时费</w:t>
            </w:r>
          </w:p>
        </w:tc>
        <w:tc>
          <w:tcPr>
            <w:tcW w:w="3789" w:type="dxa"/>
            <w:tcBorders>
              <w:top w:val="single" w:color="auto" w:sz="4" w:space="0"/>
              <w:left w:val="single" w:color="auto" w:sz="4" w:space="0"/>
              <w:bottom w:val="single" w:color="auto" w:sz="4" w:space="0"/>
              <w:right w:val="single" w:color="auto" w:sz="4" w:space="0"/>
            </w:tcBorders>
            <w:noWrap w:val="0"/>
            <w:vAlign w:val="center"/>
          </w:tcPr>
          <w:p w14:paraId="7D12AA63">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tc>
      </w:tr>
      <w:tr w14:paraId="5FF9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9813" w:type="dxa"/>
            <w:gridSpan w:val="3"/>
            <w:tcBorders>
              <w:top w:val="single" w:color="auto" w:sz="4" w:space="0"/>
              <w:left w:val="single" w:color="auto" w:sz="4" w:space="0"/>
              <w:bottom w:val="single" w:color="auto" w:sz="4" w:space="0"/>
              <w:right w:val="single" w:color="auto" w:sz="4" w:space="0"/>
            </w:tcBorders>
            <w:noWrap w:val="0"/>
            <w:vAlign w:val="top"/>
          </w:tcPr>
          <w:p w14:paraId="5EDC8B89">
            <w:pPr>
              <w:rPr>
                <w:rFonts w:ascii="宋体" w:hAnsi="宋体"/>
                <w:color w:val="auto"/>
                <w:szCs w:val="21"/>
                <w:highlight w:val="none"/>
              </w:rPr>
            </w:pPr>
            <w:r>
              <w:rPr>
                <w:rFonts w:hint="eastAsia" w:ascii="宋体" w:hAnsi="宋体"/>
                <w:color w:val="auto"/>
                <w:kern w:val="0"/>
                <w:szCs w:val="24"/>
                <w:highlight w:val="none"/>
              </w:rPr>
              <w:t>框架协议的期限：</w:t>
            </w:r>
          </w:p>
        </w:tc>
      </w:tr>
    </w:tbl>
    <w:p w14:paraId="33876CAA">
      <w:pPr>
        <w:snapToGrid w:val="0"/>
        <w:spacing w:before="50" w:after="50" w:line="360" w:lineRule="auto"/>
        <w:jc w:val="left"/>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 xml:space="preserve">注： </w:t>
      </w:r>
    </w:p>
    <w:p w14:paraId="29148B59">
      <w:pPr>
        <w:snapToGrid w:val="0"/>
        <w:spacing w:line="360" w:lineRule="auto"/>
        <w:ind w:firstLine="420" w:firstLineChars="200"/>
        <w:jc w:val="left"/>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1.供应商的开标一览表必须加盖供应商电子签章并由法定代表人或者委托代</w:t>
      </w:r>
    </w:p>
    <w:p w14:paraId="2BEA8E31">
      <w:pPr>
        <w:snapToGrid w:val="0"/>
        <w:spacing w:line="360" w:lineRule="auto"/>
        <w:ind w:firstLine="420" w:firstLineChars="200"/>
        <w:jc w:val="left"/>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理人签字或者电子签名，否则其投标作无效标处理。</w:t>
      </w:r>
    </w:p>
    <w:p w14:paraId="375AEC9D">
      <w:pPr>
        <w:snapToGrid w:val="0"/>
        <w:spacing w:line="360" w:lineRule="auto"/>
        <w:ind w:firstLine="420" w:firstLineChars="200"/>
        <w:jc w:val="left"/>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2.报价一经涂改，应在涂改处加盖供应商公章或者加盖电子签章或者由法定代表人或者委托代理人签字（或者电子签名），否则其投标作无效标处理。</w:t>
      </w:r>
    </w:p>
    <w:p w14:paraId="5D2502EF">
      <w:pPr>
        <w:snapToGrid w:val="0"/>
        <w:spacing w:line="360" w:lineRule="auto"/>
        <w:ind w:firstLine="420" w:firstLineChars="200"/>
        <w:jc w:val="left"/>
        <w:rPr>
          <w:rFonts w:hint="eastAsia" w:ascii="宋体" w:hAnsi="宋体" w:cs="仿宋_GB2312"/>
          <w:color w:val="auto"/>
          <w:kern w:val="0"/>
          <w:szCs w:val="21"/>
          <w:highlight w:val="none"/>
          <w:lang w:val="zh-CN"/>
        </w:rPr>
      </w:pPr>
    </w:p>
    <w:p w14:paraId="4D63C56D">
      <w:pPr>
        <w:snapToGrid w:val="0"/>
        <w:spacing w:line="360" w:lineRule="auto"/>
        <w:ind w:firstLine="420" w:firstLineChars="200"/>
        <w:jc w:val="left"/>
        <w:rPr>
          <w:rFonts w:hint="eastAsia" w:ascii="宋体" w:hAnsi="宋体" w:cs="仿宋_GB2312"/>
          <w:color w:val="auto"/>
          <w:kern w:val="0"/>
          <w:szCs w:val="21"/>
          <w:highlight w:val="none"/>
          <w:lang w:val="zh-CN"/>
        </w:rPr>
      </w:pPr>
    </w:p>
    <w:p w14:paraId="331D58AB">
      <w:pPr>
        <w:snapToGrid w:val="0"/>
        <w:spacing w:line="360" w:lineRule="auto"/>
        <w:ind w:firstLine="420" w:firstLineChars="200"/>
        <w:jc w:val="left"/>
        <w:rPr>
          <w:rFonts w:hint="eastAsia" w:ascii="宋体" w:hAnsi="宋体" w:cs="仿宋_GB2312"/>
          <w:color w:val="auto"/>
          <w:kern w:val="0"/>
          <w:szCs w:val="21"/>
          <w:highlight w:val="none"/>
          <w:lang w:val="zh-CN"/>
        </w:rPr>
      </w:pPr>
    </w:p>
    <w:p w14:paraId="7C113127">
      <w:pPr>
        <w:snapToGrid w:val="0"/>
        <w:spacing w:line="360" w:lineRule="auto"/>
        <w:ind w:firstLine="420" w:firstLineChars="200"/>
        <w:jc w:val="left"/>
        <w:rPr>
          <w:rFonts w:hint="eastAsia" w:ascii="宋体" w:hAnsi="宋体" w:cs="仿宋_GB2312"/>
          <w:color w:val="auto"/>
          <w:kern w:val="0"/>
          <w:szCs w:val="21"/>
          <w:highlight w:val="none"/>
          <w:lang w:val="zh-CN"/>
        </w:rPr>
      </w:pPr>
    </w:p>
    <w:p w14:paraId="019E04B9">
      <w:pPr>
        <w:snapToGrid w:val="0"/>
        <w:spacing w:line="360" w:lineRule="auto"/>
        <w:ind w:firstLine="4427" w:firstLineChars="2100"/>
        <w:rPr>
          <w:rFonts w:hint="eastAsia" w:ascii="宋体" w:hAnsi="宋体" w:cs="仿宋_GB2312"/>
          <w:b/>
          <w:color w:val="auto"/>
          <w:kern w:val="0"/>
          <w:szCs w:val="21"/>
          <w:highlight w:val="none"/>
        </w:rPr>
      </w:pP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p>
    <w:p w14:paraId="40B889EA">
      <w:pPr>
        <w:snapToGrid w:val="0"/>
        <w:spacing w:line="360" w:lineRule="auto"/>
        <w:ind w:firstLine="4515" w:firstLineChars="21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7AA2C366">
      <w:pPr>
        <w:widowControl/>
        <w:spacing w:line="360" w:lineRule="auto"/>
        <w:jc w:val="left"/>
        <w:rPr>
          <w:rFonts w:hint="eastAsia" w:ascii="仿宋_GB2312" w:hAnsi="仿宋" w:eastAsia="仿宋_GB2312" w:cs="仿宋_GB2312"/>
          <w:color w:val="auto"/>
          <w:kern w:val="0"/>
          <w:sz w:val="24"/>
          <w:szCs w:val="24"/>
          <w:highlight w:val="none"/>
          <w:lang w:val="zh-CN"/>
        </w:rPr>
      </w:pPr>
    </w:p>
    <w:p w14:paraId="45FA0057">
      <w:pPr>
        <w:widowControl/>
        <w:spacing w:line="360" w:lineRule="auto"/>
        <w:jc w:val="left"/>
        <w:rPr>
          <w:rFonts w:ascii="仿宋_GB2312" w:hAnsi="仿宋" w:eastAsia="仿宋_GB2312" w:cs="仿宋_GB2312"/>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p>
    <w:p w14:paraId="4F6B40C4">
      <w:pPr>
        <w:snapToGrid w:val="0"/>
        <w:spacing w:before="165" w:beforeLines="50" w:after="50"/>
        <w:jc w:val="center"/>
        <w:outlineLvl w:val="1"/>
        <w:rPr>
          <w:rFonts w:ascii="宋体" w:hAnsi="宋体"/>
          <w:b/>
          <w:bCs/>
          <w:color w:val="auto"/>
          <w:sz w:val="28"/>
          <w:szCs w:val="28"/>
          <w:highlight w:val="none"/>
        </w:rPr>
      </w:pPr>
      <w:bookmarkStart w:id="148" w:name="_Toc14506"/>
      <w:bookmarkStart w:id="149" w:name="_Toc19686840"/>
      <w:r>
        <w:rPr>
          <w:rFonts w:hint="eastAsia" w:ascii="宋体" w:hAnsi="宋体"/>
          <w:b/>
          <w:bCs/>
          <w:color w:val="auto"/>
          <w:sz w:val="28"/>
          <w:szCs w:val="28"/>
          <w:highlight w:val="none"/>
        </w:rPr>
        <w:t>第六节 其他文书、文件格式</w:t>
      </w:r>
      <w:bookmarkEnd w:id="148"/>
      <w:bookmarkEnd w:id="149"/>
    </w:p>
    <w:p w14:paraId="77691E2A">
      <w:pPr>
        <w:jc w:val="center"/>
        <w:rPr>
          <w:rFonts w:hint="eastAsia" w:ascii="宋体" w:hAnsi="宋体" w:cs="宋体"/>
          <w:b/>
          <w:bCs/>
          <w:color w:val="auto"/>
          <w:sz w:val="32"/>
          <w:szCs w:val="32"/>
          <w:highlight w:val="none"/>
          <w:lang w:val="en"/>
        </w:rPr>
      </w:pPr>
    </w:p>
    <w:p w14:paraId="52FDCE2E">
      <w:pPr>
        <w:jc w:val="center"/>
        <w:rPr>
          <w:rFonts w:hint="eastAsia" w:ascii="宋体" w:hAnsi="宋体" w:cs="宋体"/>
          <w:b/>
          <w:bCs/>
          <w:color w:val="auto"/>
          <w:sz w:val="30"/>
          <w:szCs w:val="30"/>
          <w:highlight w:val="none"/>
          <w:lang w:val="en"/>
        </w:rPr>
      </w:pPr>
      <w:r>
        <w:rPr>
          <w:rFonts w:hint="eastAsia" w:ascii="宋体" w:hAnsi="宋体" w:cs="宋体"/>
          <w:b/>
          <w:bCs/>
          <w:color w:val="auto"/>
          <w:sz w:val="30"/>
          <w:szCs w:val="30"/>
          <w:highlight w:val="none"/>
          <w:lang w:val="en"/>
        </w:rPr>
        <w:t>知识产权合规性声明</w:t>
      </w:r>
    </w:p>
    <w:p w14:paraId="22A28CF4">
      <w:pPr>
        <w:spacing w:line="360" w:lineRule="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14E18FFE">
      <w:pPr>
        <w:spacing w:line="360" w:lineRule="auto"/>
        <w:rPr>
          <w:rFonts w:hint="eastAsia" w:ascii="宋体" w:hAnsi="宋体" w:cs="仿宋_GB2312"/>
          <w:color w:val="auto"/>
          <w:szCs w:val="21"/>
          <w:highlight w:val="none"/>
          <w:lang w:val="en"/>
        </w:rPr>
      </w:pPr>
      <w:r>
        <w:rPr>
          <w:rFonts w:hint="eastAsia" w:ascii="仿宋_GB2312" w:hAnsi="仿宋_GB2312" w:eastAsia="仿宋_GB2312" w:cs="仿宋_GB2312"/>
          <w:color w:val="auto"/>
          <w:sz w:val="30"/>
          <w:szCs w:val="30"/>
          <w:highlight w:val="none"/>
        </w:rPr>
        <w:t xml:space="preserve">   </w:t>
      </w:r>
      <w:r>
        <w:rPr>
          <w:rFonts w:hint="eastAsia" w:ascii="宋体" w:hAnsi="宋体" w:cs="仿宋_GB2312"/>
          <w:color w:val="auto"/>
          <w:szCs w:val="21"/>
          <w:highlight w:val="none"/>
        </w:rPr>
        <w:t xml:space="preserve"> 本</w:t>
      </w:r>
      <w:r>
        <w:rPr>
          <w:rFonts w:hint="eastAsia" w:ascii="宋体" w:hAnsi="宋体" w:cs="仿宋_GB2312"/>
          <w:color w:val="auto"/>
          <w:szCs w:val="21"/>
          <w:highlight w:val="none"/>
          <w:lang w:val="en"/>
        </w:rPr>
        <w:t>企业自愿参与政府投资政府采购的</w:t>
      </w:r>
      <w:r>
        <w:rPr>
          <w:rFonts w:hint="eastAsia"/>
          <w:color w:val="auto"/>
          <w:highlight w:val="none"/>
          <w:u w:val="single"/>
          <w:lang w:val="en-US" w:eastAsia="zh-CN"/>
        </w:rPr>
        <w:t xml:space="preserve">               项目名称             </w:t>
      </w:r>
      <w:r>
        <w:rPr>
          <w:rFonts w:hint="eastAsia" w:ascii="宋体" w:hAnsi="宋体" w:cs="仿宋_GB2312"/>
          <w:color w:val="auto"/>
          <w:szCs w:val="21"/>
          <w:highlight w:val="none"/>
          <w:lang w:val="en"/>
        </w:rPr>
        <w:t>项目，</w:t>
      </w:r>
      <w:r>
        <w:rPr>
          <w:rFonts w:hint="eastAsia" w:ascii="宋体" w:hAnsi="宋体" w:cs="仿宋_GB2312"/>
          <w:b/>
          <w:bCs/>
          <w:color w:val="auto"/>
          <w:szCs w:val="21"/>
          <w:highlight w:val="none"/>
          <w:lang w:val="en"/>
        </w:rPr>
        <w:t>在此郑重承诺：</w:t>
      </w:r>
      <w:r>
        <w:rPr>
          <w:rFonts w:hint="eastAsia" w:ascii="宋体" w:hAnsi="宋体" w:cs="仿宋_GB2312"/>
          <w:color w:val="auto"/>
          <w:szCs w:val="21"/>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3856C36">
      <w:pPr>
        <w:snapToGrid w:val="0"/>
        <w:spacing w:line="360" w:lineRule="auto"/>
        <w:ind w:left="5385" w:leftChars="1736" w:hanging="1739" w:hangingChars="825"/>
        <w:rPr>
          <w:rFonts w:hint="eastAsia" w:ascii="宋体" w:hAnsi="宋体"/>
          <w:b/>
          <w:color w:val="auto"/>
          <w:szCs w:val="21"/>
          <w:highlight w:val="none"/>
        </w:rPr>
      </w:pPr>
      <w:r>
        <w:rPr>
          <w:rFonts w:ascii="宋体" w:hAnsi="宋体"/>
          <w:b/>
          <w:color w:val="auto"/>
          <w:szCs w:val="21"/>
          <w:highlight w:val="none"/>
        </w:rPr>
        <w:t xml:space="preserve">           </w:t>
      </w:r>
    </w:p>
    <w:p w14:paraId="7E989EC8">
      <w:pPr>
        <w:snapToGrid w:val="0"/>
        <w:spacing w:line="360" w:lineRule="auto"/>
        <w:ind w:left="5385" w:leftChars="1736" w:hanging="1739" w:hangingChars="825"/>
        <w:rPr>
          <w:rFonts w:ascii="宋体" w:hAnsi="宋体"/>
          <w:b/>
          <w:color w:val="auto"/>
          <w:szCs w:val="21"/>
          <w:highlight w:val="none"/>
        </w:rPr>
      </w:pPr>
    </w:p>
    <w:p w14:paraId="24FE59A7">
      <w:pPr>
        <w:snapToGrid w:val="0"/>
        <w:spacing w:line="360" w:lineRule="auto"/>
        <w:ind w:left="5385" w:leftChars="1736" w:hanging="1739" w:hangingChars="825"/>
        <w:rPr>
          <w:rFonts w:ascii="宋体" w:hAnsi="宋体"/>
          <w:b/>
          <w:color w:val="auto"/>
          <w:szCs w:val="21"/>
          <w:highlight w:val="none"/>
        </w:rPr>
      </w:pPr>
    </w:p>
    <w:p w14:paraId="47913C2C">
      <w:pPr>
        <w:snapToGrid w:val="0"/>
        <w:spacing w:line="360" w:lineRule="auto"/>
        <w:ind w:left="5385" w:leftChars="1736" w:hanging="1739" w:hangingChars="825"/>
        <w:rPr>
          <w:rFonts w:ascii="宋体" w:hAnsi="宋体"/>
          <w:b/>
          <w:color w:val="auto"/>
          <w:szCs w:val="21"/>
          <w:highlight w:val="none"/>
        </w:rPr>
      </w:pPr>
    </w:p>
    <w:p w14:paraId="46061763">
      <w:pPr>
        <w:snapToGrid w:val="0"/>
        <w:spacing w:line="360" w:lineRule="auto"/>
        <w:ind w:left="5385" w:leftChars="1736" w:hanging="1739" w:hangingChars="825"/>
        <w:rPr>
          <w:rFonts w:ascii="宋体" w:hAnsi="宋体" w:cs="仿宋_GB2312"/>
          <w:b/>
          <w:color w:val="auto"/>
          <w:kern w:val="0"/>
          <w:szCs w:val="21"/>
          <w:highlight w:val="none"/>
        </w:rPr>
      </w:pPr>
      <w:r>
        <w:rPr>
          <w:rFonts w:ascii="宋体" w:hAnsi="宋体"/>
          <w:b/>
          <w:color w:val="auto"/>
          <w:szCs w:val="21"/>
          <w:highlight w:val="none"/>
        </w:rPr>
        <w:t xml:space="preserve">      </w:t>
      </w: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r>
        <w:rPr>
          <w:rFonts w:hint="eastAsia" w:ascii="宋体" w:hAnsi="宋体" w:cs="仿宋_GB2312"/>
          <w:b/>
          <w:color w:val="auto"/>
          <w:kern w:val="0"/>
          <w:szCs w:val="21"/>
          <w:highlight w:val="none"/>
          <w:lang w:val="zh-CN"/>
        </w:rPr>
        <w:t xml:space="preserve"> </w:t>
      </w:r>
    </w:p>
    <w:p w14:paraId="5998BDCA">
      <w:pPr>
        <w:snapToGrid w:val="0"/>
        <w:spacing w:line="360" w:lineRule="auto"/>
        <w:ind w:firstLine="4305" w:firstLineChars="20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23209776">
      <w:pPr>
        <w:snapToGrid w:val="0"/>
        <w:spacing w:before="50" w:after="165" w:afterLines="50" w:line="360" w:lineRule="auto"/>
        <w:jc w:val="left"/>
        <w:rPr>
          <w:rFonts w:hint="eastAsia" w:ascii="Times New Roman" w:hAnsi="Times New Roman"/>
          <w:color w:val="auto"/>
          <w:sz w:val="20"/>
          <w:szCs w:val="24"/>
          <w:highlight w:val="none"/>
        </w:rPr>
      </w:pPr>
      <w:r>
        <w:rPr>
          <w:rFonts w:hint="eastAsia" w:ascii="宋体" w:hAnsi="宋体"/>
          <w:b/>
          <w:color w:val="auto"/>
          <w:szCs w:val="21"/>
          <w:highlight w:val="none"/>
        </w:rPr>
        <w:br w:type="page"/>
      </w:r>
    </w:p>
    <w:p w14:paraId="3AB7ECD0">
      <w:pPr>
        <w:tabs>
          <w:tab w:val="left" w:pos="2472"/>
        </w:tabs>
        <w:spacing w:line="460" w:lineRule="exact"/>
        <w:jc w:val="center"/>
        <w:rPr>
          <w:rFonts w:ascii="Times New Roman" w:hAnsi="Times New Roman"/>
          <w:b/>
          <w:color w:val="auto"/>
          <w:sz w:val="36"/>
          <w:szCs w:val="20"/>
          <w:highlight w:val="none"/>
        </w:rPr>
      </w:pPr>
    </w:p>
    <w:p w14:paraId="2D5D5B7A">
      <w:pPr>
        <w:tabs>
          <w:tab w:val="left" w:pos="2472"/>
        </w:tabs>
        <w:spacing w:line="460" w:lineRule="exact"/>
        <w:jc w:val="center"/>
        <w:rPr>
          <w:rFonts w:ascii="Times New Roman" w:hAnsi="Times New Roman"/>
          <w:b/>
          <w:color w:val="auto"/>
          <w:sz w:val="36"/>
          <w:szCs w:val="20"/>
          <w:highlight w:val="none"/>
        </w:rPr>
      </w:pPr>
    </w:p>
    <w:p w14:paraId="5C2D73C2">
      <w:pPr>
        <w:tabs>
          <w:tab w:val="left" w:pos="2472"/>
        </w:tabs>
        <w:spacing w:line="460" w:lineRule="exact"/>
        <w:jc w:val="center"/>
        <w:rPr>
          <w:rFonts w:ascii="Times New Roman" w:hAnsi="Times New Roman"/>
          <w:b/>
          <w:color w:val="auto"/>
          <w:sz w:val="36"/>
          <w:szCs w:val="20"/>
          <w:highlight w:val="none"/>
        </w:rPr>
      </w:pPr>
    </w:p>
    <w:p w14:paraId="67112EA2">
      <w:pPr>
        <w:tabs>
          <w:tab w:val="left" w:pos="2472"/>
        </w:tabs>
        <w:spacing w:line="460" w:lineRule="exact"/>
        <w:jc w:val="center"/>
        <w:rPr>
          <w:rFonts w:ascii="Times New Roman" w:hAnsi="Times New Roman"/>
          <w:b/>
          <w:color w:val="auto"/>
          <w:sz w:val="36"/>
          <w:szCs w:val="20"/>
          <w:highlight w:val="none"/>
        </w:rPr>
      </w:pPr>
    </w:p>
    <w:p w14:paraId="0F173742">
      <w:pPr>
        <w:tabs>
          <w:tab w:val="left" w:pos="2472"/>
        </w:tabs>
        <w:spacing w:line="460" w:lineRule="exact"/>
        <w:jc w:val="center"/>
        <w:rPr>
          <w:rFonts w:ascii="Times New Roman" w:hAnsi="Times New Roman"/>
          <w:b/>
          <w:color w:val="auto"/>
          <w:sz w:val="36"/>
          <w:szCs w:val="20"/>
          <w:highlight w:val="none"/>
        </w:rPr>
      </w:pPr>
    </w:p>
    <w:p w14:paraId="6EAD2C09">
      <w:pPr>
        <w:tabs>
          <w:tab w:val="left" w:pos="2472"/>
        </w:tabs>
        <w:spacing w:line="460" w:lineRule="exact"/>
        <w:jc w:val="center"/>
        <w:rPr>
          <w:rFonts w:ascii="Times New Roman" w:hAnsi="Times New Roman"/>
          <w:b/>
          <w:color w:val="auto"/>
          <w:sz w:val="36"/>
          <w:szCs w:val="20"/>
          <w:highlight w:val="none"/>
        </w:rPr>
      </w:pPr>
    </w:p>
    <w:p w14:paraId="6997ADAE">
      <w:pPr>
        <w:tabs>
          <w:tab w:val="left" w:pos="2472"/>
        </w:tabs>
        <w:spacing w:line="460" w:lineRule="exact"/>
        <w:jc w:val="center"/>
        <w:rPr>
          <w:rFonts w:ascii="Times New Roman" w:hAnsi="Times New Roman"/>
          <w:b/>
          <w:color w:val="auto"/>
          <w:sz w:val="36"/>
          <w:szCs w:val="20"/>
          <w:highlight w:val="none"/>
        </w:rPr>
      </w:pPr>
    </w:p>
    <w:p w14:paraId="3B0D9302">
      <w:pPr>
        <w:tabs>
          <w:tab w:val="left" w:pos="2472"/>
        </w:tabs>
        <w:spacing w:line="460" w:lineRule="exact"/>
        <w:jc w:val="center"/>
        <w:rPr>
          <w:rFonts w:ascii="Times New Roman" w:hAnsi="Times New Roman"/>
          <w:b/>
          <w:color w:val="auto"/>
          <w:sz w:val="36"/>
          <w:szCs w:val="20"/>
          <w:highlight w:val="none"/>
        </w:rPr>
      </w:pPr>
    </w:p>
    <w:p w14:paraId="0C58270F">
      <w:pPr>
        <w:tabs>
          <w:tab w:val="left" w:pos="2472"/>
        </w:tabs>
        <w:spacing w:line="460" w:lineRule="exact"/>
        <w:jc w:val="center"/>
        <w:rPr>
          <w:rFonts w:ascii="Times New Roman" w:hAnsi="Times New Roman"/>
          <w:b/>
          <w:color w:val="auto"/>
          <w:sz w:val="36"/>
          <w:szCs w:val="20"/>
          <w:highlight w:val="none"/>
        </w:rPr>
      </w:pPr>
    </w:p>
    <w:p w14:paraId="7631305F">
      <w:pPr>
        <w:tabs>
          <w:tab w:val="left" w:pos="2472"/>
        </w:tabs>
        <w:spacing w:line="460" w:lineRule="exact"/>
        <w:jc w:val="center"/>
        <w:rPr>
          <w:rFonts w:ascii="Times New Roman" w:hAnsi="Times New Roman"/>
          <w:b/>
          <w:color w:val="auto"/>
          <w:sz w:val="36"/>
          <w:szCs w:val="20"/>
          <w:highlight w:val="none"/>
        </w:rPr>
      </w:pPr>
    </w:p>
    <w:p w14:paraId="0627492D">
      <w:pPr>
        <w:tabs>
          <w:tab w:val="left" w:pos="2472"/>
        </w:tabs>
        <w:spacing w:line="460" w:lineRule="exact"/>
        <w:jc w:val="center"/>
        <w:rPr>
          <w:rFonts w:ascii="Times New Roman" w:hAnsi="Times New Roman"/>
          <w:b/>
          <w:color w:val="auto"/>
          <w:sz w:val="36"/>
          <w:szCs w:val="20"/>
          <w:highlight w:val="none"/>
        </w:rPr>
      </w:pPr>
    </w:p>
    <w:p w14:paraId="4EFB5ADC">
      <w:pPr>
        <w:tabs>
          <w:tab w:val="left" w:pos="2472"/>
        </w:tabs>
        <w:spacing w:line="460" w:lineRule="exact"/>
        <w:jc w:val="center"/>
        <w:outlineLvl w:val="0"/>
        <w:rPr>
          <w:rFonts w:ascii="Times New Roman" w:hAnsi="Times New Roman"/>
          <w:b/>
          <w:color w:val="auto"/>
          <w:sz w:val="36"/>
          <w:szCs w:val="20"/>
          <w:highlight w:val="none"/>
        </w:rPr>
      </w:pPr>
      <w:bookmarkStart w:id="150" w:name="_Toc29334"/>
      <w:r>
        <w:rPr>
          <w:rFonts w:hint="eastAsia" w:ascii="Times New Roman" w:hAnsi="Times New Roman"/>
          <w:b/>
          <w:color w:val="auto"/>
          <w:sz w:val="36"/>
          <w:szCs w:val="20"/>
          <w:highlight w:val="none"/>
        </w:rPr>
        <w:t>第七章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质疑、投诉证明材料格式</w:t>
      </w:r>
      <w:bookmarkEnd w:id="150"/>
    </w:p>
    <w:p w14:paraId="153D62FC">
      <w:pPr>
        <w:widowControl/>
        <w:spacing w:line="360" w:lineRule="auto"/>
        <w:jc w:val="left"/>
        <w:rPr>
          <w:rFonts w:ascii="Times New Roman" w:hAnsi="Times New Roman"/>
          <w:color w:val="auto"/>
          <w:sz w:val="20"/>
          <w:szCs w:val="24"/>
          <w:highlight w:val="none"/>
        </w:rPr>
        <w:sectPr>
          <w:pgSz w:w="11906" w:h="16838"/>
          <w:pgMar w:top="1134" w:right="1134" w:bottom="1134" w:left="1134" w:header="720" w:footer="720" w:gutter="0"/>
          <w:pgNumType w:fmt="decimal"/>
          <w:cols w:space="720" w:num="1"/>
          <w:docGrid w:type="lines" w:linePitch="331" w:charSpace="0"/>
        </w:sectPr>
      </w:pPr>
    </w:p>
    <w:p w14:paraId="6EA82DF9">
      <w:pPr>
        <w:widowControl/>
        <w:shd w:val="clear" w:color="auto" w:fill="FFFFFF"/>
        <w:spacing w:line="260" w:lineRule="exact"/>
        <w:jc w:val="left"/>
        <w:rPr>
          <w:rFonts w:ascii="宋体" w:hAnsi="宋体"/>
          <w:b/>
          <w:bCs/>
          <w:color w:val="auto"/>
          <w:sz w:val="28"/>
          <w:szCs w:val="28"/>
          <w:highlight w:val="none"/>
        </w:rPr>
      </w:pPr>
    </w:p>
    <w:p w14:paraId="2A4F57D7">
      <w:pPr>
        <w:keepNext/>
        <w:keepLines/>
        <w:spacing w:before="260" w:after="260" w:line="413" w:lineRule="auto"/>
        <w:jc w:val="center"/>
        <w:outlineLvl w:val="1"/>
        <w:rPr>
          <w:rFonts w:hint="eastAsia" w:ascii="宋体" w:hAnsi="宋体" w:eastAsia="黑体"/>
          <w:color w:val="auto"/>
          <w:sz w:val="32"/>
          <w:szCs w:val="32"/>
          <w:highlight w:val="none"/>
        </w:rPr>
      </w:pPr>
      <w:bookmarkStart w:id="151" w:name="_Toc10679"/>
      <w:r>
        <w:rPr>
          <w:rFonts w:hint="eastAsia" w:ascii="宋体" w:hAnsi="宋体" w:eastAsia="黑体"/>
          <w:color w:val="auto"/>
          <w:sz w:val="32"/>
          <w:szCs w:val="32"/>
          <w:highlight w:val="none"/>
        </w:rPr>
        <w:t>第一节 质疑函（格式）</w:t>
      </w:r>
      <w:bookmarkEnd w:id="151"/>
    </w:p>
    <w:p w14:paraId="7F2B431A">
      <w:pPr>
        <w:jc w:val="center"/>
        <w:rPr>
          <w:rFonts w:hint="eastAsia" w:ascii="宋体" w:hAnsi="宋体" w:cs="仿宋"/>
          <w:b/>
          <w:bCs/>
          <w:color w:val="auto"/>
          <w:sz w:val="30"/>
          <w:szCs w:val="30"/>
          <w:highlight w:val="none"/>
        </w:rPr>
      </w:pPr>
      <w:r>
        <w:rPr>
          <w:rFonts w:hint="eastAsia" w:ascii="宋体" w:hAnsi="宋体" w:cs="仿宋"/>
          <w:b/>
          <w:bCs/>
          <w:color w:val="auto"/>
          <w:sz w:val="30"/>
          <w:szCs w:val="30"/>
          <w:highlight w:val="none"/>
        </w:rPr>
        <w:t>质疑函范本</w:t>
      </w:r>
    </w:p>
    <w:p w14:paraId="37ED787E">
      <w:pPr>
        <w:adjustRightInd w:val="0"/>
        <w:snapToGrid w:val="0"/>
        <w:spacing w:before="331" w:beforeLines="100"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一、质疑供应商基本信息</w:t>
      </w:r>
    </w:p>
    <w:p w14:paraId="1BD635F4">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质疑供应商：</w:t>
      </w:r>
      <w:r>
        <w:rPr>
          <w:rFonts w:hint="eastAsia" w:ascii="宋体" w:hAnsi="宋体" w:cs="仿宋"/>
          <w:color w:val="auto"/>
          <w:szCs w:val="21"/>
          <w:highlight w:val="none"/>
          <w:u w:val="dotted"/>
        </w:rPr>
        <w:t xml:space="preserve">                                        </w:t>
      </w:r>
    </w:p>
    <w:p w14:paraId="036D7368">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地址：</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邮编：</w:t>
      </w:r>
      <w:r>
        <w:rPr>
          <w:rFonts w:hint="eastAsia" w:ascii="宋体" w:hAnsi="宋体" w:cs="仿宋"/>
          <w:color w:val="auto"/>
          <w:szCs w:val="21"/>
          <w:highlight w:val="none"/>
          <w:u w:val="dotted"/>
        </w:rPr>
        <w:t xml:space="preserve">                                                   </w:t>
      </w:r>
    </w:p>
    <w:p w14:paraId="024EF197">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联系人：</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联系电话：</w:t>
      </w:r>
      <w:r>
        <w:rPr>
          <w:rFonts w:hint="eastAsia" w:ascii="宋体" w:hAnsi="宋体" w:cs="仿宋"/>
          <w:color w:val="auto"/>
          <w:szCs w:val="21"/>
          <w:highlight w:val="none"/>
          <w:u w:val="dotted"/>
        </w:rPr>
        <w:t xml:space="preserve">                              </w:t>
      </w:r>
    </w:p>
    <w:p w14:paraId="7E01C0D6">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授权代表：</w:t>
      </w:r>
      <w:r>
        <w:rPr>
          <w:rFonts w:hint="eastAsia" w:ascii="宋体" w:hAnsi="宋体" w:cs="仿宋"/>
          <w:color w:val="auto"/>
          <w:szCs w:val="21"/>
          <w:highlight w:val="none"/>
          <w:u w:val="dotted"/>
        </w:rPr>
        <w:t xml:space="preserve">                                          </w:t>
      </w:r>
    </w:p>
    <w:p w14:paraId="032921C1">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联系电话：</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 xml:space="preserve"> </w:t>
      </w:r>
    </w:p>
    <w:p w14:paraId="62E4B6AA">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 xml:space="preserve">地址： </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邮编：</w:t>
      </w:r>
      <w:r>
        <w:rPr>
          <w:rFonts w:hint="eastAsia" w:ascii="宋体" w:hAnsi="宋体" w:cs="仿宋"/>
          <w:color w:val="auto"/>
          <w:szCs w:val="21"/>
          <w:highlight w:val="none"/>
          <w:u w:val="dotted"/>
        </w:rPr>
        <w:t xml:space="preserve">                                                </w:t>
      </w:r>
    </w:p>
    <w:p w14:paraId="3A77D3DF">
      <w:pPr>
        <w:adjustRightInd w:val="0"/>
        <w:snapToGrid w:val="0"/>
        <w:spacing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二、质疑项目基本情况</w:t>
      </w:r>
    </w:p>
    <w:p w14:paraId="026D2D47">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质疑项目的名称：</w:t>
      </w:r>
      <w:r>
        <w:rPr>
          <w:rFonts w:hint="eastAsia" w:ascii="宋体" w:hAnsi="宋体" w:cs="仿宋"/>
          <w:color w:val="auto"/>
          <w:szCs w:val="21"/>
          <w:highlight w:val="none"/>
          <w:u w:val="dotted"/>
        </w:rPr>
        <w:t xml:space="preserve"> </w:t>
      </w:r>
      <w:r>
        <w:rPr>
          <w:rFonts w:hint="eastAsia"/>
          <w:color w:val="auto"/>
          <w:highlight w:val="none"/>
          <w:u w:val="single"/>
          <w:lang w:val="en-US" w:eastAsia="zh-CN"/>
        </w:rPr>
        <w:t xml:space="preserve">                                                   </w:t>
      </w:r>
      <w:r>
        <w:rPr>
          <w:rFonts w:hint="eastAsia" w:ascii="宋体" w:hAnsi="宋体" w:cs="仿宋"/>
          <w:color w:val="auto"/>
          <w:szCs w:val="21"/>
          <w:highlight w:val="none"/>
          <w:u w:val="dotted"/>
        </w:rPr>
        <w:t xml:space="preserve">     </w:t>
      </w:r>
    </w:p>
    <w:p w14:paraId="309AB473">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质疑项目的编号：</w:t>
      </w:r>
      <w:bookmarkStart w:id="152" w:name="PO_3000001866_PM001_13"/>
      <w:r>
        <w:rPr>
          <w:rFonts w:hint="eastAsia"/>
          <w:color w:val="auto"/>
          <w:highlight w:val="none"/>
          <w:u w:val="single"/>
          <w:lang w:val="en-US" w:eastAsia="zh-CN"/>
        </w:rPr>
        <w:t xml:space="preserve">                                               </w:t>
      </w:r>
      <w:r>
        <w:rPr>
          <w:rFonts w:ascii="宋体" w:hAnsi="宋体" w:cs="仿宋"/>
          <w:color w:val="auto"/>
          <w:szCs w:val="21"/>
          <w:highlight w:val="none"/>
          <w:u w:val="dotted"/>
        </w:rPr>
        <w:t xml:space="preserve"> </w:t>
      </w:r>
      <w:bookmarkEnd w:id="152"/>
      <w:r>
        <w:rPr>
          <w:rFonts w:hint="eastAsia" w:ascii="宋体" w:hAnsi="宋体" w:cs="仿宋"/>
          <w:color w:val="auto"/>
          <w:szCs w:val="21"/>
          <w:highlight w:val="none"/>
          <w:u w:val="dotted"/>
        </w:rPr>
        <w:t xml:space="preserve">   </w:t>
      </w:r>
    </w:p>
    <w:p w14:paraId="7F8287A6">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采购人名称：</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u w:val="dotted"/>
          <w:lang w:val="en-US" w:eastAsia="zh-CN"/>
        </w:rPr>
        <w:t xml:space="preserve">           </w:t>
      </w:r>
      <w:r>
        <w:rPr>
          <w:rFonts w:hint="eastAsia" w:ascii="宋体" w:hAnsi="宋体" w:cs="仿宋"/>
          <w:color w:val="auto"/>
          <w:szCs w:val="21"/>
          <w:highlight w:val="none"/>
          <w:u w:val="dotted"/>
        </w:rPr>
        <w:t xml:space="preserve">  </w:t>
      </w:r>
    </w:p>
    <w:p w14:paraId="334C477B">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采购文件获取日期：</w:t>
      </w:r>
      <w:r>
        <w:rPr>
          <w:rFonts w:hint="eastAsia" w:ascii="宋体" w:hAnsi="宋体" w:cs="仿宋"/>
          <w:color w:val="auto"/>
          <w:szCs w:val="21"/>
          <w:highlight w:val="none"/>
          <w:u w:val="dotted"/>
        </w:rPr>
        <w:t xml:space="preserve">                                           </w:t>
      </w:r>
    </w:p>
    <w:p w14:paraId="5FD963F6">
      <w:pPr>
        <w:adjustRightInd w:val="0"/>
        <w:snapToGrid w:val="0"/>
        <w:spacing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三、质疑事项具体内容</w:t>
      </w:r>
    </w:p>
    <w:p w14:paraId="736ABF3C">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质疑事项1：</w:t>
      </w:r>
      <w:r>
        <w:rPr>
          <w:rFonts w:hint="eastAsia" w:ascii="宋体" w:hAnsi="宋体" w:cs="仿宋"/>
          <w:color w:val="auto"/>
          <w:szCs w:val="21"/>
          <w:highlight w:val="none"/>
          <w:u w:val="dotted"/>
        </w:rPr>
        <w:t xml:space="preserve">                                         </w:t>
      </w:r>
    </w:p>
    <w:p w14:paraId="720A9BF1">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事实依据：</w:t>
      </w:r>
      <w:r>
        <w:rPr>
          <w:rFonts w:hint="eastAsia" w:ascii="宋体" w:hAnsi="宋体" w:cs="仿宋"/>
          <w:color w:val="auto"/>
          <w:szCs w:val="21"/>
          <w:highlight w:val="none"/>
          <w:u w:val="dotted"/>
        </w:rPr>
        <w:t xml:space="preserve">                                          </w:t>
      </w:r>
    </w:p>
    <w:p w14:paraId="2257618C">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u w:val="dotted"/>
        </w:rPr>
        <w:t xml:space="preserve">                                                       </w:t>
      </w:r>
    </w:p>
    <w:p w14:paraId="665626B6">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法律依据：</w:t>
      </w:r>
      <w:r>
        <w:rPr>
          <w:rFonts w:hint="eastAsia" w:ascii="宋体" w:hAnsi="宋体" w:cs="仿宋"/>
          <w:color w:val="auto"/>
          <w:szCs w:val="21"/>
          <w:highlight w:val="none"/>
          <w:u w:val="dotted"/>
        </w:rPr>
        <w:t xml:space="preserve">                                          </w:t>
      </w:r>
    </w:p>
    <w:p w14:paraId="3F25B74A">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u w:val="dotted"/>
        </w:rPr>
        <w:t xml:space="preserve">                                                     </w:t>
      </w:r>
    </w:p>
    <w:p w14:paraId="2A0CEBB1">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质疑事项2</w:t>
      </w:r>
    </w:p>
    <w:p w14:paraId="27C6D986">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w:t>
      </w:r>
    </w:p>
    <w:p w14:paraId="6D9B974A">
      <w:pPr>
        <w:adjustRightInd w:val="0"/>
        <w:snapToGrid w:val="0"/>
        <w:spacing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四、与质疑事项相关的质疑请求</w:t>
      </w:r>
    </w:p>
    <w:p w14:paraId="53A10E51">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请求：</w:t>
      </w:r>
      <w:r>
        <w:rPr>
          <w:rFonts w:hint="eastAsia" w:ascii="宋体" w:hAnsi="宋体" w:cs="仿宋"/>
          <w:color w:val="auto"/>
          <w:szCs w:val="21"/>
          <w:highlight w:val="none"/>
          <w:u w:val="dotted"/>
        </w:rPr>
        <w:t xml:space="preserve">                                               </w:t>
      </w:r>
    </w:p>
    <w:p w14:paraId="27566DF4">
      <w:pPr>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40399D80">
      <w:pPr>
        <w:rPr>
          <w:rFonts w:hint="eastAsia" w:ascii="宋体" w:hAnsi="宋体"/>
          <w:color w:val="auto"/>
          <w:szCs w:val="21"/>
          <w:highlight w:val="none"/>
        </w:rPr>
      </w:pPr>
      <w:r>
        <w:rPr>
          <w:rFonts w:hint="eastAsia" w:ascii="宋体" w:hAnsi="宋体"/>
          <w:color w:val="auto"/>
          <w:szCs w:val="21"/>
          <w:highlight w:val="none"/>
        </w:rPr>
        <w:t xml:space="preserve">日期：    </w:t>
      </w:r>
    </w:p>
    <w:p w14:paraId="2A54BF93">
      <w:pPr>
        <w:adjustRightInd w:val="0"/>
        <w:snapToGrid w:val="0"/>
        <w:spacing w:line="360" w:lineRule="auto"/>
        <w:rPr>
          <w:rFonts w:hint="eastAsia" w:ascii="宋体" w:hAnsi="宋体" w:cs="仿宋"/>
          <w:color w:val="auto"/>
          <w:szCs w:val="21"/>
          <w:highlight w:val="none"/>
        </w:rPr>
      </w:pPr>
    </w:p>
    <w:p w14:paraId="1FD0A2E6">
      <w:pPr>
        <w:adjustRightInd w:val="0"/>
        <w:snapToGrid w:val="0"/>
        <w:spacing w:line="360" w:lineRule="auto"/>
        <w:rPr>
          <w:rFonts w:hint="eastAsia" w:ascii="宋体" w:hAnsi="宋体" w:cs="仿宋"/>
          <w:color w:val="auto"/>
          <w:szCs w:val="21"/>
          <w:highlight w:val="none"/>
        </w:rPr>
      </w:pPr>
    </w:p>
    <w:p w14:paraId="4C62B46E">
      <w:pPr>
        <w:jc w:val="center"/>
        <w:rPr>
          <w:rFonts w:hint="eastAsia" w:ascii="宋体" w:hAnsi="宋体" w:cs="仿宋"/>
          <w:b/>
          <w:bCs/>
          <w:color w:val="auto"/>
          <w:szCs w:val="21"/>
          <w:highlight w:val="none"/>
        </w:rPr>
      </w:pPr>
    </w:p>
    <w:p w14:paraId="0101E17A">
      <w:pPr>
        <w:jc w:val="center"/>
        <w:rPr>
          <w:rFonts w:hint="eastAsia" w:ascii="宋体" w:hAnsi="宋体" w:cs="仿宋"/>
          <w:b/>
          <w:bCs/>
          <w:color w:val="auto"/>
          <w:szCs w:val="21"/>
          <w:highlight w:val="none"/>
        </w:rPr>
      </w:pPr>
    </w:p>
    <w:p w14:paraId="41890EB0">
      <w:pPr>
        <w:jc w:val="center"/>
        <w:rPr>
          <w:rFonts w:hint="eastAsia" w:ascii="宋体" w:hAnsi="宋体" w:cs="仿宋"/>
          <w:b/>
          <w:bCs/>
          <w:color w:val="auto"/>
          <w:szCs w:val="21"/>
          <w:highlight w:val="none"/>
        </w:rPr>
      </w:pPr>
    </w:p>
    <w:p w14:paraId="6EB3EFF1">
      <w:pPr>
        <w:jc w:val="center"/>
        <w:rPr>
          <w:rFonts w:hint="eastAsia" w:ascii="宋体" w:hAnsi="宋体" w:cs="仿宋"/>
          <w:b/>
          <w:bCs/>
          <w:color w:val="auto"/>
          <w:szCs w:val="21"/>
          <w:highlight w:val="none"/>
        </w:rPr>
      </w:pPr>
    </w:p>
    <w:p w14:paraId="76688DF5">
      <w:pPr>
        <w:jc w:val="center"/>
        <w:rPr>
          <w:rFonts w:hint="eastAsia" w:ascii="宋体" w:hAnsi="宋体" w:cs="仿宋"/>
          <w:b/>
          <w:bCs/>
          <w:color w:val="auto"/>
          <w:szCs w:val="21"/>
          <w:highlight w:val="none"/>
        </w:rPr>
      </w:pPr>
    </w:p>
    <w:p w14:paraId="4C4E7712">
      <w:pPr>
        <w:jc w:val="center"/>
        <w:rPr>
          <w:rFonts w:hint="eastAsia" w:ascii="宋体" w:hAnsi="宋体" w:cs="仿宋"/>
          <w:b/>
          <w:bCs/>
          <w:color w:val="auto"/>
          <w:szCs w:val="21"/>
          <w:highlight w:val="none"/>
        </w:rPr>
      </w:pPr>
    </w:p>
    <w:p w14:paraId="6E2B4A03">
      <w:pPr>
        <w:rPr>
          <w:rFonts w:hint="eastAsia" w:ascii="宋体" w:hAnsi="宋体"/>
          <w:b/>
          <w:color w:val="auto"/>
          <w:szCs w:val="21"/>
          <w:highlight w:val="none"/>
        </w:rPr>
      </w:pPr>
    </w:p>
    <w:p w14:paraId="3CED283E">
      <w:pPr>
        <w:rPr>
          <w:rFonts w:hint="eastAsia" w:ascii="宋体" w:hAnsi="宋体"/>
          <w:b/>
          <w:color w:val="auto"/>
          <w:szCs w:val="21"/>
          <w:highlight w:val="none"/>
        </w:rPr>
      </w:pPr>
      <w:r>
        <w:rPr>
          <w:rFonts w:hint="eastAsia" w:ascii="宋体" w:hAnsi="宋体"/>
          <w:b/>
          <w:color w:val="auto"/>
          <w:szCs w:val="21"/>
          <w:highlight w:val="none"/>
        </w:rPr>
        <w:t>质疑函制作说明：</w:t>
      </w:r>
    </w:p>
    <w:p w14:paraId="4C3C1C5E">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27C10F62">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4E9EC548">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2C2E37F7">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401D8B6D">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5.质疑函的质疑请求应与质疑事项相关。</w:t>
      </w:r>
    </w:p>
    <w:p w14:paraId="68C8449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5D2EAF4">
      <w:pPr>
        <w:widowControl/>
        <w:ind w:firstLine="420" w:firstLineChars="200"/>
        <w:jc w:val="left"/>
        <w:rPr>
          <w:rFonts w:hint="eastAsia" w:ascii="宋体" w:hAnsi="宋体"/>
          <w:color w:val="auto"/>
          <w:szCs w:val="21"/>
          <w:highlight w:val="none"/>
        </w:rPr>
      </w:pPr>
    </w:p>
    <w:p w14:paraId="27891257">
      <w:pPr>
        <w:widowControl/>
        <w:spacing w:line="360" w:lineRule="auto"/>
        <w:jc w:val="left"/>
        <w:rPr>
          <w:rFonts w:ascii="ˎ̥" w:hAnsi="ˎ̥" w:cs="宋体"/>
          <w:color w:val="auto"/>
          <w:kern w:val="0"/>
          <w:sz w:val="24"/>
          <w:szCs w:val="24"/>
          <w:highlight w:val="none"/>
        </w:rPr>
        <w:sectPr>
          <w:pgSz w:w="11906" w:h="16838"/>
          <w:pgMar w:top="1134" w:right="1134" w:bottom="1134" w:left="1134" w:header="720" w:footer="720" w:gutter="0"/>
          <w:pgNumType w:fmt="decimal"/>
          <w:cols w:space="720" w:num="1"/>
          <w:docGrid w:type="lines" w:linePitch="331" w:charSpace="0"/>
        </w:sectPr>
      </w:pPr>
    </w:p>
    <w:p w14:paraId="4431F606">
      <w:pPr>
        <w:keepNext/>
        <w:keepLines/>
        <w:spacing w:before="260" w:after="260" w:line="413" w:lineRule="auto"/>
        <w:jc w:val="center"/>
        <w:outlineLvl w:val="1"/>
        <w:rPr>
          <w:rFonts w:hint="eastAsia" w:ascii="宋体" w:hAnsi="宋体" w:eastAsia="黑体"/>
          <w:color w:val="auto"/>
          <w:sz w:val="32"/>
          <w:szCs w:val="32"/>
          <w:highlight w:val="none"/>
        </w:rPr>
      </w:pPr>
      <w:bookmarkStart w:id="153" w:name="_Toc7959"/>
      <w:r>
        <w:rPr>
          <w:rFonts w:hint="eastAsia" w:ascii="宋体" w:hAnsi="宋体" w:eastAsia="黑体"/>
          <w:color w:val="auto"/>
          <w:sz w:val="32"/>
          <w:szCs w:val="32"/>
          <w:highlight w:val="none"/>
        </w:rPr>
        <w:t>第二节 投诉书（格式）</w:t>
      </w:r>
      <w:bookmarkEnd w:id="153"/>
    </w:p>
    <w:p w14:paraId="77824F6A">
      <w:pPr>
        <w:jc w:val="center"/>
        <w:rPr>
          <w:rFonts w:hint="eastAsia" w:ascii="宋体" w:hAnsi="宋体"/>
          <w:b/>
          <w:color w:val="auto"/>
          <w:sz w:val="30"/>
          <w:szCs w:val="30"/>
          <w:highlight w:val="none"/>
        </w:rPr>
      </w:pPr>
      <w:r>
        <w:rPr>
          <w:rFonts w:hint="eastAsia" w:ascii="宋体" w:hAnsi="宋体"/>
          <w:b/>
          <w:color w:val="auto"/>
          <w:sz w:val="30"/>
          <w:szCs w:val="30"/>
          <w:highlight w:val="none"/>
        </w:rPr>
        <w:t>投诉书范本</w:t>
      </w:r>
    </w:p>
    <w:p w14:paraId="30426D3F">
      <w:pPr>
        <w:rPr>
          <w:rFonts w:hint="eastAsia" w:ascii="宋体" w:hAnsi="宋体"/>
          <w:b/>
          <w:color w:val="auto"/>
          <w:szCs w:val="21"/>
          <w:highlight w:val="none"/>
        </w:rPr>
      </w:pPr>
      <w:r>
        <w:rPr>
          <w:rFonts w:hint="eastAsia" w:ascii="宋体" w:hAnsi="宋体"/>
          <w:b/>
          <w:color w:val="auto"/>
          <w:szCs w:val="21"/>
          <w:highlight w:val="none"/>
        </w:rPr>
        <w:t>一、投诉相关主体基本情况</w:t>
      </w:r>
    </w:p>
    <w:p w14:paraId="74138F2C">
      <w:pPr>
        <w:rPr>
          <w:rFonts w:hint="eastAsia" w:ascii="宋体" w:hAnsi="宋体"/>
          <w:color w:val="auto"/>
          <w:szCs w:val="21"/>
          <w:highlight w:val="none"/>
          <w:u w:val="dotted"/>
        </w:rPr>
      </w:pPr>
      <w:r>
        <w:rPr>
          <w:rFonts w:hint="eastAsia" w:ascii="宋体" w:hAnsi="宋体"/>
          <w:color w:val="auto"/>
          <w:szCs w:val="21"/>
          <w:highlight w:val="none"/>
        </w:rPr>
        <w:t>投诉人：</w:t>
      </w:r>
      <w:r>
        <w:rPr>
          <w:rFonts w:hint="eastAsia" w:ascii="宋体" w:hAnsi="宋体"/>
          <w:color w:val="auto"/>
          <w:szCs w:val="21"/>
          <w:highlight w:val="none"/>
          <w:u w:val="dotted"/>
        </w:rPr>
        <w:t xml:space="preserve">                                               </w:t>
      </w:r>
    </w:p>
    <w:p w14:paraId="25348567">
      <w:pPr>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720E755C">
      <w:pPr>
        <w:tabs>
          <w:tab w:val="left" w:pos="6510"/>
        </w:tabs>
        <w:jc w:val="left"/>
        <w:rPr>
          <w:rFonts w:hint="eastAsia" w:ascii="宋体" w:hAnsi="宋体"/>
          <w:color w:val="auto"/>
          <w:szCs w:val="21"/>
          <w:highlight w:val="none"/>
        </w:rPr>
      </w:pPr>
      <w:r>
        <w:rPr>
          <w:rFonts w:hint="eastAsia" w:ascii="宋体" w:hAnsi="宋体"/>
          <w:color w:val="auto"/>
          <w:szCs w:val="21"/>
          <w:highlight w:val="none"/>
        </w:rPr>
        <w:t>法定代表人/主要负责人：</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13B71D01">
      <w:pPr>
        <w:tabs>
          <w:tab w:val="left" w:pos="6510"/>
        </w:tabs>
        <w:rPr>
          <w:rFonts w:hint="eastAsia" w:ascii="宋体" w:hAnsi="宋体"/>
          <w:color w:val="auto"/>
          <w:szCs w:val="21"/>
          <w:highlight w:val="none"/>
          <w:u w:val="dotted"/>
        </w:rPr>
      </w:pP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535802D5">
      <w:pPr>
        <w:rPr>
          <w:rFonts w:hint="eastAsia" w:ascii="宋体" w:hAnsi="宋体"/>
          <w:color w:val="auto"/>
          <w:szCs w:val="21"/>
          <w:highlight w:val="none"/>
          <w:u w:val="dotted"/>
        </w:rPr>
      </w:pPr>
      <w:r>
        <w:rPr>
          <w:rFonts w:hint="eastAsia" w:ascii="宋体" w:hAnsi="宋体"/>
          <w:color w:val="auto"/>
          <w:szCs w:val="21"/>
          <w:highlight w:val="none"/>
        </w:rPr>
        <w:t>授权代表：</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54CBE528">
      <w:pPr>
        <w:rPr>
          <w:rFonts w:hint="eastAsia" w:ascii="宋体" w:hAnsi="宋体"/>
          <w:color w:val="auto"/>
          <w:szCs w:val="21"/>
          <w:highlight w:val="none"/>
          <w:u w:val="dotted"/>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dotted"/>
        </w:rPr>
        <w:t xml:space="preserve">                   </w:t>
      </w:r>
    </w:p>
    <w:p w14:paraId="6337A0B8">
      <w:pPr>
        <w:rPr>
          <w:rFonts w:hint="eastAsia" w:ascii="宋体" w:hAnsi="宋体"/>
          <w:color w:val="auto"/>
          <w:szCs w:val="21"/>
          <w:highlight w:val="none"/>
          <w:u w:val="single"/>
        </w:rPr>
      </w:pPr>
      <w:r>
        <w:rPr>
          <w:rFonts w:hint="eastAsia" w:ascii="宋体" w:hAnsi="宋体"/>
          <w:color w:val="auto"/>
          <w:szCs w:val="21"/>
          <w:highlight w:val="none"/>
        </w:rPr>
        <w:t>被投诉人1：</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303FAB9D">
      <w:pPr>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3B558576">
      <w:pPr>
        <w:rPr>
          <w:rFonts w:hint="eastAsia"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79867881">
      <w:pPr>
        <w:rPr>
          <w:rFonts w:hint="eastAsia" w:ascii="宋体" w:hAnsi="宋体"/>
          <w:color w:val="auto"/>
          <w:szCs w:val="21"/>
          <w:highlight w:val="none"/>
        </w:rPr>
      </w:pPr>
      <w:r>
        <w:rPr>
          <w:rFonts w:hint="eastAsia" w:ascii="宋体" w:hAnsi="宋体"/>
          <w:color w:val="auto"/>
          <w:szCs w:val="21"/>
          <w:highlight w:val="none"/>
        </w:rPr>
        <w:t>被投诉人2</w:t>
      </w:r>
    </w:p>
    <w:p w14:paraId="1FE017F8">
      <w:pPr>
        <w:rPr>
          <w:rFonts w:hint="eastAsia" w:ascii="宋体" w:hAnsi="宋体"/>
          <w:color w:val="auto"/>
          <w:szCs w:val="21"/>
          <w:highlight w:val="none"/>
          <w:u w:val="dotted"/>
        </w:rPr>
      </w:pPr>
      <w:r>
        <w:rPr>
          <w:rFonts w:hint="eastAsia" w:ascii="宋体" w:hAnsi="宋体"/>
          <w:color w:val="auto"/>
          <w:szCs w:val="21"/>
          <w:highlight w:val="none"/>
        </w:rPr>
        <w:t>……</w:t>
      </w:r>
    </w:p>
    <w:p w14:paraId="78889E5D">
      <w:pPr>
        <w:rPr>
          <w:rFonts w:hint="eastAsia" w:ascii="宋体" w:hAnsi="宋体"/>
          <w:color w:val="auto"/>
          <w:szCs w:val="21"/>
          <w:highlight w:val="none"/>
          <w:u w:val="single"/>
        </w:rPr>
      </w:pPr>
      <w:r>
        <w:rPr>
          <w:rFonts w:hint="eastAsia" w:ascii="宋体" w:hAnsi="宋体"/>
          <w:color w:val="auto"/>
          <w:szCs w:val="21"/>
          <w:highlight w:val="none"/>
        </w:rPr>
        <w:t>相关供应商：</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6F822ADC">
      <w:pPr>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0FF1F0A1">
      <w:pPr>
        <w:rPr>
          <w:rFonts w:hint="eastAsia"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126DA9B5">
      <w:pPr>
        <w:rPr>
          <w:rFonts w:hint="eastAsia" w:ascii="宋体" w:hAnsi="宋体"/>
          <w:b/>
          <w:color w:val="auto"/>
          <w:szCs w:val="21"/>
          <w:highlight w:val="none"/>
        </w:rPr>
      </w:pPr>
      <w:r>
        <w:rPr>
          <w:rFonts w:hint="eastAsia" w:ascii="宋体" w:hAnsi="宋体"/>
          <w:b/>
          <w:color w:val="auto"/>
          <w:szCs w:val="21"/>
          <w:highlight w:val="none"/>
        </w:rPr>
        <w:t>二、投诉项目基本情况</w:t>
      </w:r>
    </w:p>
    <w:p w14:paraId="1FEFAFC1">
      <w:pPr>
        <w:rPr>
          <w:rFonts w:hint="eastAsia" w:ascii="宋体" w:hAnsi="宋体"/>
          <w:color w:val="auto"/>
          <w:szCs w:val="21"/>
          <w:highlight w:val="none"/>
          <w:u w:val="dotted"/>
        </w:rPr>
      </w:pPr>
      <w:r>
        <w:rPr>
          <w:rFonts w:hint="eastAsia" w:ascii="宋体" w:hAnsi="宋体"/>
          <w:color w:val="auto"/>
          <w:szCs w:val="21"/>
          <w:highlight w:val="none"/>
        </w:rPr>
        <w:t>采购项目名称：</w:t>
      </w:r>
      <w:r>
        <w:rPr>
          <w:rFonts w:hint="eastAsia" w:ascii="宋体" w:hAnsi="宋体"/>
          <w:color w:val="auto"/>
          <w:szCs w:val="21"/>
          <w:highlight w:val="none"/>
          <w:u w:val="dotted"/>
        </w:rPr>
        <w:t xml:space="preserve"> </w:t>
      </w:r>
      <w:r>
        <w:rPr>
          <w:rFonts w:hint="eastAsia"/>
          <w:color w:val="auto"/>
          <w:highlight w:val="none"/>
          <w:u w:val="single"/>
          <w:lang w:val="en-US" w:eastAsia="zh-CN"/>
        </w:rPr>
        <w:t xml:space="preserve">                              </w:t>
      </w:r>
      <w:r>
        <w:rPr>
          <w:rFonts w:hint="eastAsia" w:ascii="宋体" w:hAnsi="宋体"/>
          <w:color w:val="auto"/>
          <w:szCs w:val="21"/>
          <w:highlight w:val="none"/>
          <w:u w:val="dotted"/>
        </w:rPr>
        <w:t xml:space="preserve">  </w:t>
      </w:r>
    </w:p>
    <w:p w14:paraId="3E1285E2">
      <w:pPr>
        <w:rPr>
          <w:rFonts w:hint="eastAsia" w:ascii="宋体" w:hAnsi="宋体"/>
          <w:color w:val="auto"/>
          <w:szCs w:val="21"/>
          <w:highlight w:val="none"/>
        </w:rPr>
      </w:pPr>
      <w:r>
        <w:rPr>
          <w:rFonts w:hint="eastAsia" w:ascii="宋体" w:hAnsi="宋体"/>
          <w:color w:val="auto"/>
          <w:szCs w:val="21"/>
          <w:highlight w:val="none"/>
        </w:rPr>
        <w:t>采购项目编号：</w:t>
      </w:r>
      <w:r>
        <w:rPr>
          <w:rFonts w:hint="eastAsia"/>
          <w:color w:val="auto"/>
          <w:highlight w:val="none"/>
          <w:u w:val="single"/>
        </w:rPr>
        <w:t xml:space="preserve"> </w:t>
      </w:r>
      <w:bookmarkStart w:id="154" w:name="PO_3000001866_PM001_14"/>
      <w:r>
        <w:rPr>
          <w:rFonts w:hint="eastAsia"/>
          <w:color w:val="auto"/>
          <w:highlight w:val="none"/>
          <w:u w:val="single"/>
          <w:lang w:val="en-US" w:eastAsia="zh-CN"/>
        </w:rPr>
        <w:t xml:space="preserve">                                </w:t>
      </w:r>
      <w:r>
        <w:rPr>
          <w:rFonts w:ascii="宋体" w:hAnsi="宋体"/>
          <w:color w:val="auto"/>
          <w:szCs w:val="21"/>
          <w:highlight w:val="none"/>
          <w:u w:val="dotted"/>
        </w:rPr>
        <w:t xml:space="preserve"> </w:t>
      </w:r>
      <w:bookmarkEnd w:id="154"/>
      <w:r>
        <w:rPr>
          <w:rFonts w:hint="eastAsia" w:ascii="宋体" w:hAnsi="宋体"/>
          <w:color w:val="auto"/>
          <w:szCs w:val="21"/>
          <w:highlight w:val="none"/>
          <w:u w:val="dotted"/>
        </w:rPr>
        <w:t xml:space="preserve"> </w:t>
      </w:r>
    </w:p>
    <w:p w14:paraId="45790AF4">
      <w:pPr>
        <w:rPr>
          <w:rFonts w:hint="eastAsia"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25570C0D">
      <w:pPr>
        <w:rPr>
          <w:rFonts w:hint="eastAsia" w:ascii="宋体" w:hAnsi="宋体"/>
          <w:color w:val="auto"/>
          <w:szCs w:val="21"/>
          <w:highlight w:val="none"/>
          <w:u w:val="single"/>
        </w:rPr>
      </w:pPr>
      <w:r>
        <w:rPr>
          <w:rFonts w:hint="eastAsia" w:ascii="宋体" w:hAnsi="宋体"/>
          <w:color w:val="auto"/>
          <w:szCs w:val="21"/>
          <w:highlight w:val="none"/>
        </w:rPr>
        <w:t>代理机构名称：</w:t>
      </w:r>
      <w:r>
        <w:rPr>
          <w:rFonts w:hint="eastAsia" w:ascii="宋体" w:hAnsi="宋体"/>
          <w:color w:val="auto"/>
          <w:szCs w:val="21"/>
          <w:highlight w:val="none"/>
          <w:u w:val="dotted"/>
        </w:rPr>
        <w:t xml:space="preserve">                                         </w:t>
      </w:r>
    </w:p>
    <w:p w14:paraId="7964F286">
      <w:pPr>
        <w:rPr>
          <w:rFonts w:hint="eastAsia" w:ascii="宋体" w:hAnsi="宋体"/>
          <w:color w:val="auto"/>
          <w:szCs w:val="21"/>
          <w:highlight w:val="none"/>
          <w:u w:val="dotted"/>
        </w:rPr>
      </w:pPr>
      <w:r>
        <w:rPr>
          <w:rFonts w:hint="eastAsia" w:ascii="宋体" w:hAnsi="宋体"/>
          <w:color w:val="auto"/>
          <w:szCs w:val="21"/>
          <w:highlight w:val="none"/>
        </w:rPr>
        <w:t>采购文件公告:</w:t>
      </w:r>
      <w:r>
        <w:rPr>
          <w:rFonts w:hint="eastAsia" w:ascii="宋体" w:hAnsi="宋体"/>
          <w:color w:val="auto"/>
          <w:szCs w:val="21"/>
          <w:highlight w:val="none"/>
          <w:u w:val="dotted"/>
        </w:rPr>
        <w:t xml:space="preserve">是/否 </w:t>
      </w:r>
      <w:r>
        <w:rPr>
          <w:rFonts w:hint="eastAsia" w:ascii="宋体" w:hAnsi="宋体"/>
          <w:color w:val="auto"/>
          <w:szCs w:val="21"/>
          <w:highlight w:val="none"/>
        </w:rPr>
        <w:t>公告期限：</w:t>
      </w:r>
      <w:r>
        <w:rPr>
          <w:rFonts w:hint="eastAsia" w:ascii="宋体" w:hAnsi="宋体"/>
          <w:color w:val="auto"/>
          <w:szCs w:val="21"/>
          <w:highlight w:val="none"/>
          <w:u w:val="dotted"/>
        </w:rPr>
        <w:t xml:space="preserve">                                 </w:t>
      </w:r>
    </w:p>
    <w:p w14:paraId="6A73DB29">
      <w:pPr>
        <w:rPr>
          <w:rFonts w:hint="eastAsia" w:ascii="宋体" w:hAnsi="宋体"/>
          <w:color w:val="auto"/>
          <w:szCs w:val="21"/>
          <w:highlight w:val="none"/>
          <w:u w:val="single"/>
        </w:rPr>
      </w:pPr>
      <w:r>
        <w:rPr>
          <w:rFonts w:hint="eastAsia" w:ascii="宋体" w:hAnsi="宋体"/>
          <w:color w:val="auto"/>
          <w:szCs w:val="21"/>
          <w:highlight w:val="none"/>
        </w:rPr>
        <w:t>采购结果公告:</w:t>
      </w:r>
      <w:r>
        <w:rPr>
          <w:rFonts w:hint="eastAsia" w:ascii="宋体" w:hAnsi="宋体"/>
          <w:color w:val="auto"/>
          <w:szCs w:val="21"/>
          <w:highlight w:val="none"/>
          <w:u w:val="dotted"/>
        </w:rPr>
        <w:t xml:space="preserve">是/否 </w:t>
      </w:r>
      <w:r>
        <w:rPr>
          <w:rFonts w:hint="eastAsia" w:ascii="宋体" w:hAnsi="宋体"/>
          <w:color w:val="auto"/>
          <w:szCs w:val="21"/>
          <w:highlight w:val="none"/>
        </w:rPr>
        <w:t>公告期限：</w:t>
      </w:r>
      <w:r>
        <w:rPr>
          <w:rFonts w:hint="eastAsia" w:ascii="宋体" w:hAnsi="宋体"/>
          <w:color w:val="auto"/>
          <w:szCs w:val="21"/>
          <w:highlight w:val="none"/>
          <w:u w:val="dotted"/>
        </w:rPr>
        <w:t xml:space="preserve">                        </w:t>
      </w:r>
    </w:p>
    <w:p w14:paraId="2C50168A">
      <w:pPr>
        <w:rPr>
          <w:rFonts w:hint="eastAsia" w:ascii="宋体" w:hAnsi="宋体"/>
          <w:b/>
          <w:color w:val="auto"/>
          <w:szCs w:val="21"/>
          <w:highlight w:val="none"/>
        </w:rPr>
      </w:pPr>
      <w:r>
        <w:rPr>
          <w:rFonts w:hint="eastAsia" w:ascii="宋体" w:hAnsi="宋体"/>
          <w:b/>
          <w:color w:val="auto"/>
          <w:szCs w:val="21"/>
          <w:highlight w:val="none"/>
        </w:rPr>
        <w:t>三、质疑基本情况</w:t>
      </w:r>
    </w:p>
    <w:p w14:paraId="3A8640C7">
      <w:pPr>
        <w:ind w:firstLine="420" w:firstLineChars="200"/>
        <w:rPr>
          <w:rFonts w:hint="eastAsia" w:ascii="宋体" w:hAnsi="宋体"/>
          <w:color w:val="auto"/>
          <w:szCs w:val="21"/>
          <w:highlight w:val="none"/>
          <w:u w:val="dotted"/>
        </w:rPr>
      </w:pPr>
      <w:r>
        <w:rPr>
          <w:rFonts w:hint="eastAsia" w:ascii="宋体" w:hAnsi="宋体"/>
          <w:color w:val="auto"/>
          <w:szCs w:val="21"/>
          <w:highlight w:val="none"/>
        </w:rPr>
        <w:t>投诉人于</w:t>
      </w:r>
      <w:r>
        <w:rPr>
          <w:rFonts w:hint="eastAsia" w:ascii="宋体" w:hAnsi="宋体"/>
          <w:color w:val="auto"/>
          <w:szCs w:val="21"/>
          <w:highlight w:val="none"/>
          <w:u w:val="dotted"/>
        </w:rPr>
        <w:t xml:space="preserve">   </w:t>
      </w:r>
      <w:r>
        <w:rPr>
          <w:rFonts w:hint="eastAsia" w:ascii="宋体" w:hAnsi="宋体"/>
          <w:color w:val="auto"/>
          <w:szCs w:val="21"/>
          <w:highlight w:val="none"/>
        </w:rPr>
        <w:t>年</w:t>
      </w:r>
      <w:r>
        <w:rPr>
          <w:rFonts w:hint="eastAsia" w:ascii="宋体" w:hAnsi="宋体"/>
          <w:color w:val="auto"/>
          <w:szCs w:val="21"/>
          <w:highlight w:val="none"/>
          <w:u w:val="dotted"/>
        </w:rPr>
        <w:t xml:space="preserve">   </w:t>
      </w:r>
      <w:r>
        <w:rPr>
          <w:rFonts w:hint="eastAsia" w:ascii="宋体" w:hAnsi="宋体"/>
          <w:color w:val="auto"/>
          <w:szCs w:val="21"/>
          <w:highlight w:val="none"/>
        </w:rPr>
        <w:t>月</w:t>
      </w:r>
      <w:r>
        <w:rPr>
          <w:rFonts w:hint="eastAsia" w:ascii="宋体" w:hAnsi="宋体"/>
          <w:color w:val="auto"/>
          <w:szCs w:val="21"/>
          <w:highlight w:val="none"/>
          <w:u w:val="dotted"/>
        </w:rPr>
        <w:t xml:space="preserve">  </w:t>
      </w:r>
      <w:r>
        <w:rPr>
          <w:rFonts w:hint="eastAsia" w:ascii="宋体" w:hAnsi="宋体"/>
          <w:color w:val="auto"/>
          <w:szCs w:val="21"/>
          <w:highlight w:val="none"/>
        </w:rPr>
        <w:t>日,向</w:t>
      </w:r>
      <w:r>
        <w:rPr>
          <w:rFonts w:hint="eastAsia" w:ascii="宋体" w:hAnsi="宋体"/>
          <w:color w:val="auto"/>
          <w:szCs w:val="21"/>
          <w:highlight w:val="none"/>
          <w:u w:val="dotted"/>
        </w:rPr>
        <w:t xml:space="preserve">                   </w:t>
      </w:r>
      <w:r>
        <w:rPr>
          <w:rFonts w:hint="eastAsia" w:ascii="宋体" w:hAnsi="宋体"/>
          <w:color w:val="auto"/>
          <w:szCs w:val="21"/>
          <w:highlight w:val="none"/>
        </w:rPr>
        <w:t>提出质疑，质疑事项为：</w:t>
      </w:r>
      <w:r>
        <w:rPr>
          <w:rFonts w:hint="eastAsia" w:ascii="宋体" w:hAnsi="宋体"/>
          <w:color w:val="auto"/>
          <w:szCs w:val="21"/>
          <w:highlight w:val="none"/>
          <w:u w:val="dotted"/>
        </w:rPr>
        <w:t xml:space="preserve">                                </w:t>
      </w:r>
    </w:p>
    <w:p w14:paraId="554A84C3">
      <w:pPr>
        <w:rPr>
          <w:rFonts w:hint="eastAsia" w:ascii="宋体" w:hAnsi="宋体"/>
          <w:color w:val="auto"/>
          <w:szCs w:val="21"/>
          <w:highlight w:val="none"/>
          <w:u w:val="dotted"/>
        </w:rPr>
      </w:pP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117ECBFA">
      <w:pPr>
        <w:ind w:firstLine="315" w:firstLineChars="150"/>
        <w:rPr>
          <w:rFonts w:hint="eastAsia" w:ascii="宋体" w:hAnsi="宋体"/>
          <w:color w:val="auto"/>
          <w:szCs w:val="21"/>
          <w:highlight w:val="none"/>
        </w:rPr>
      </w:pPr>
      <w:r>
        <w:rPr>
          <w:rFonts w:hint="eastAsia" w:ascii="宋体" w:hAnsi="宋体"/>
          <w:color w:val="auto"/>
          <w:szCs w:val="21"/>
          <w:highlight w:val="none"/>
          <w:u w:val="dotted"/>
        </w:rPr>
        <w:t>采购人/代理机构</w:t>
      </w:r>
      <w:r>
        <w:rPr>
          <w:rFonts w:hint="eastAsia" w:ascii="宋体" w:hAnsi="宋体"/>
          <w:color w:val="auto"/>
          <w:szCs w:val="21"/>
          <w:highlight w:val="none"/>
        </w:rPr>
        <w:t>于</w:t>
      </w:r>
      <w:r>
        <w:rPr>
          <w:rFonts w:hint="eastAsia" w:ascii="宋体" w:hAnsi="宋体"/>
          <w:color w:val="auto"/>
          <w:szCs w:val="21"/>
          <w:highlight w:val="none"/>
          <w:u w:val="dotted"/>
        </w:rPr>
        <w:t xml:space="preserve">   </w:t>
      </w:r>
      <w:r>
        <w:rPr>
          <w:rFonts w:hint="eastAsia" w:ascii="宋体" w:hAnsi="宋体"/>
          <w:color w:val="auto"/>
          <w:szCs w:val="21"/>
          <w:highlight w:val="none"/>
        </w:rPr>
        <w:t>年</w:t>
      </w:r>
      <w:r>
        <w:rPr>
          <w:rFonts w:hint="eastAsia" w:ascii="宋体" w:hAnsi="宋体"/>
          <w:color w:val="auto"/>
          <w:szCs w:val="21"/>
          <w:highlight w:val="none"/>
          <w:u w:val="dotted"/>
        </w:rPr>
        <w:t xml:space="preserve">   </w:t>
      </w:r>
      <w:r>
        <w:rPr>
          <w:rFonts w:hint="eastAsia" w:ascii="宋体" w:hAnsi="宋体"/>
          <w:color w:val="auto"/>
          <w:szCs w:val="21"/>
          <w:highlight w:val="none"/>
        </w:rPr>
        <w:t>月</w:t>
      </w:r>
      <w:r>
        <w:rPr>
          <w:rFonts w:hint="eastAsia" w:ascii="宋体" w:hAnsi="宋体"/>
          <w:color w:val="auto"/>
          <w:szCs w:val="21"/>
          <w:highlight w:val="none"/>
          <w:u w:val="dotted"/>
        </w:rPr>
        <w:t xml:space="preserve">   </w:t>
      </w:r>
      <w:r>
        <w:rPr>
          <w:rFonts w:hint="eastAsia" w:ascii="宋体" w:hAnsi="宋体"/>
          <w:color w:val="auto"/>
          <w:szCs w:val="21"/>
          <w:highlight w:val="none"/>
        </w:rPr>
        <w:t>日,就质疑事项作出了答复/没有在法定期限内作出答复。</w:t>
      </w:r>
    </w:p>
    <w:p w14:paraId="3F257046">
      <w:pPr>
        <w:rPr>
          <w:rFonts w:hint="eastAsia" w:ascii="宋体" w:hAnsi="宋体"/>
          <w:b/>
          <w:color w:val="auto"/>
          <w:szCs w:val="21"/>
          <w:highlight w:val="none"/>
        </w:rPr>
      </w:pPr>
      <w:r>
        <w:rPr>
          <w:rFonts w:hint="eastAsia" w:ascii="宋体" w:hAnsi="宋体"/>
          <w:b/>
          <w:color w:val="auto"/>
          <w:szCs w:val="21"/>
          <w:highlight w:val="none"/>
        </w:rPr>
        <w:t>四、投诉事项具体内容</w:t>
      </w:r>
    </w:p>
    <w:p w14:paraId="42DFC988">
      <w:pPr>
        <w:rPr>
          <w:rFonts w:hint="eastAsia" w:ascii="宋体" w:hAnsi="宋体"/>
          <w:color w:val="auto"/>
          <w:szCs w:val="21"/>
          <w:highlight w:val="none"/>
          <w:u w:val="single"/>
        </w:rPr>
      </w:pPr>
      <w:r>
        <w:rPr>
          <w:rFonts w:hint="eastAsia" w:ascii="宋体" w:hAnsi="宋体"/>
          <w:color w:val="auto"/>
          <w:szCs w:val="21"/>
          <w:highlight w:val="none"/>
        </w:rPr>
        <w:t>投诉事项 1：</w:t>
      </w:r>
      <w:r>
        <w:rPr>
          <w:rFonts w:hint="eastAsia" w:ascii="宋体" w:hAnsi="宋体"/>
          <w:color w:val="auto"/>
          <w:szCs w:val="21"/>
          <w:highlight w:val="none"/>
          <w:u w:val="dotted"/>
        </w:rPr>
        <w:t xml:space="preserve">                                       </w:t>
      </w:r>
    </w:p>
    <w:p w14:paraId="5F1C0386">
      <w:pPr>
        <w:rPr>
          <w:rFonts w:hint="eastAsia" w:ascii="宋体" w:hAns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dotted"/>
        </w:rPr>
        <w:t xml:space="preserve">                                         </w:t>
      </w:r>
    </w:p>
    <w:p w14:paraId="51D328E3">
      <w:pPr>
        <w:rPr>
          <w:rFonts w:hint="eastAsia" w:ascii="宋体" w:hAnsi="宋体"/>
          <w:color w:val="auto"/>
          <w:szCs w:val="21"/>
          <w:highlight w:val="none"/>
          <w:u w:val="single"/>
        </w:rPr>
      </w:pPr>
      <w:r>
        <w:rPr>
          <w:rFonts w:hint="eastAsia" w:ascii="宋体" w:hAnsi="宋体"/>
          <w:color w:val="auto"/>
          <w:szCs w:val="21"/>
          <w:highlight w:val="none"/>
        </w:rPr>
        <w:t>法律依据：</w:t>
      </w:r>
      <w:r>
        <w:rPr>
          <w:rFonts w:hint="eastAsia" w:ascii="宋体" w:hAnsi="宋体"/>
          <w:color w:val="auto"/>
          <w:szCs w:val="21"/>
          <w:highlight w:val="none"/>
          <w:u w:val="dotted"/>
        </w:rPr>
        <w:t xml:space="preserve">                                          </w:t>
      </w:r>
    </w:p>
    <w:p w14:paraId="1B30C890">
      <w:pPr>
        <w:rPr>
          <w:rFonts w:hint="eastAsia" w:ascii="宋体" w:hAnsi="宋体"/>
          <w:color w:val="auto"/>
          <w:szCs w:val="21"/>
          <w:highlight w:val="none"/>
        </w:rPr>
      </w:pPr>
      <w:r>
        <w:rPr>
          <w:rFonts w:hint="eastAsia" w:ascii="宋体" w:hAnsi="宋体"/>
          <w:color w:val="auto"/>
          <w:szCs w:val="21"/>
          <w:highlight w:val="none"/>
        </w:rPr>
        <w:t>投诉事项2</w:t>
      </w:r>
    </w:p>
    <w:p w14:paraId="52741182">
      <w:pPr>
        <w:rPr>
          <w:rFonts w:hint="eastAsia" w:ascii="宋体" w:hAnsi="宋体"/>
          <w:color w:val="auto"/>
          <w:szCs w:val="21"/>
          <w:highlight w:val="none"/>
          <w:u w:val="dotted"/>
        </w:rPr>
      </w:pPr>
      <w:r>
        <w:rPr>
          <w:rFonts w:hint="eastAsia" w:ascii="宋体" w:hAnsi="宋体"/>
          <w:color w:val="auto"/>
          <w:szCs w:val="21"/>
          <w:highlight w:val="none"/>
        </w:rPr>
        <w:t>……</w:t>
      </w:r>
    </w:p>
    <w:p w14:paraId="7DC639DB">
      <w:pPr>
        <w:rPr>
          <w:rFonts w:hint="eastAsia" w:ascii="宋体" w:hAnsi="宋体"/>
          <w:b/>
          <w:color w:val="auto"/>
          <w:szCs w:val="21"/>
          <w:highlight w:val="none"/>
        </w:rPr>
      </w:pPr>
      <w:r>
        <w:rPr>
          <w:rFonts w:hint="eastAsia" w:ascii="宋体" w:hAnsi="宋体"/>
          <w:b/>
          <w:color w:val="auto"/>
          <w:szCs w:val="21"/>
          <w:highlight w:val="none"/>
        </w:rPr>
        <w:t>五、与投诉事项相关的投诉请求</w:t>
      </w:r>
    </w:p>
    <w:p w14:paraId="6EBF5DFA">
      <w:pPr>
        <w:rPr>
          <w:rFonts w:hint="eastAsia" w:ascii="宋体" w:hAnsi="宋体"/>
          <w:color w:val="auto"/>
          <w:szCs w:val="21"/>
          <w:highlight w:val="none"/>
        </w:rPr>
      </w:pPr>
      <w:r>
        <w:rPr>
          <w:rFonts w:hint="eastAsia" w:ascii="宋体" w:hAnsi="宋体"/>
          <w:color w:val="auto"/>
          <w:szCs w:val="21"/>
          <w:highlight w:val="none"/>
        </w:rPr>
        <w:t>请求：</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1AEFA859">
      <w:pPr>
        <w:rPr>
          <w:rFonts w:hint="eastAsia" w:ascii="宋体" w:hAnsi="宋体"/>
          <w:color w:val="auto"/>
          <w:szCs w:val="21"/>
          <w:highlight w:val="none"/>
          <w:u w:val="single"/>
        </w:rPr>
      </w:pPr>
      <w:r>
        <w:rPr>
          <w:rFonts w:hint="eastAsia" w:ascii="宋体" w:hAnsi="宋体"/>
          <w:color w:val="auto"/>
          <w:szCs w:val="21"/>
          <w:highlight w:val="none"/>
        </w:rPr>
        <w:t xml:space="preserve">                                                                                                    </w:t>
      </w:r>
    </w:p>
    <w:p w14:paraId="32D646CE">
      <w:pPr>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4ED94887">
      <w:pPr>
        <w:rPr>
          <w:rFonts w:hint="eastAsia" w:ascii="宋体" w:hAnsi="宋体"/>
          <w:color w:val="auto"/>
          <w:szCs w:val="21"/>
          <w:highlight w:val="none"/>
        </w:rPr>
      </w:pPr>
      <w:r>
        <w:rPr>
          <w:rFonts w:hint="eastAsia" w:ascii="宋体" w:hAnsi="宋体"/>
          <w:color w:val="auto"/>
          <w:szCs w:val="21"/>
          <w:highlight w:val="none"/>
        </w:rPr>
        <w:t xml:space="preserve">日期：    </w:t>
      </w:r>
    </w:p>
    <w:p w14:paraId="6B7D9A62">
      <w:pPr>
        <w:rPr>
          <w:rFonts w:hint="eastAsia" w:ascii="宋体" w:hAnsi="宋体"/>
          <w:b/>
          <w:color w:val="auto"/>
          <w:szCs w:val="21"/>
          <w:highlight w:val="none"/>
        </w:rPr>
      </w:pPr>
    </w:p>
    <w:p w14:paraId="5F13EAF2">
      <w:pPr>
        <w:rPr>
          <w:rFonts w:hint="eastAsia" w:ascii="宋体" w:hAnsi="宋体"/>
          <w:b/>
          <w:color w:val="auto"/>
          <w:szCs w:val="21"/>
          <w:highlight w:val="none"/>
        </w:rPr>
      </w:pPr>
      <w:r>
        <w:rPr>
          <w:rFonts w:hint="eastAsia" w:ascii="宋体" w:hAnsi="宋体"/>
          <w:b/>
          <w:color w:val="auto"/>
          <w:szCs w:val="21"/>
          <w:highlight w:val="none"/>
        </w:rPr>
        <w:t>投诉书制作说明：</w:t>
      </w:r>
    </w:p>
    <w:p w14:paraId="62DCB914">
      <w:pPr>
        <w:widowControl/>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1.投诉人提起投诉时，应当提交投诉书和必要的证明材料，并按照被投诉人和与投诉事项有关的供应商数量提供投诉书副本。</w:t>
      </w:r>
    </w:p>
    <w:p w14:paraId="3DF3354A">
      <w:pPr>
        <w:widowControl/>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07359882">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3.投诉人若对项目的某一分包进行投诉，投诉书应列明具体分包号。</w:t>
      </w:r>
    </w:p>
    <w:p w14:paraId="383A32F6">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4.投诉书应简要列明质疑事项，质疑函、质疑答复等作为附件材料提供。</w:t>
      </w:r>
    </w:p>
    <w:p w14:paraId="45076A3E">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5.投诉书的投诉事项应具体、明确，并有必要的事实依据和法律依据。</w:t>
      </w:r>
    </w:p>
    <w:p w14:paraId="629A861D">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6.投诉书的投诉请求应与投诉事项相关。</w:t>
      </w:r>
    </w:p>
    <w:p w14:paraId="528FD0E6">
      <w:pPr>
        <w:widowControl/>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7D7804A9">
      <w:pPr>
        <w:snapToGrid w:val="0"/>
        <w:spacing w:before="50" w:after="165" w:afterLines="50" w:line="360" w:lineRule="auto"/>
        <w:ind w:firstLine="420" w:firstLineChars="200"/>
        <w:jc w:val="left"/>
        <w:rPr>
          <w:rFonts w:hint="eastAsia" w:ascii="宋体" w:hAnsi="宋体"/>
          <w:color w:val="auto"/>
          <w:szCs w:val="21"/>
          <w:highlight w:val="none"/>
        </w:rPr>
      </w:pPr>
    </w:p>
    <w:p w14:paraId="2DB62F9F">
      <w:pPr>
        <w:rPr>
          <w:rFonts w:hint="eastAsia" w:ascii="宋体" w:hAnsi="宋体"/>
          <w:color w:val="auto"/>
          <w:szCs w:val="21"/>
          <w:highlight w:val="none"/>
        </w:rPr>
      </w:pPr>
    </w:p>
    <w:p w14:paraId="37660906">
      <w:pPr>
        <w:rPr>
          <w:rFonts w:ascii="宋体" w:hAnsi="宋体"/>
          <w:color w:val="auto"/>
          <w:szCs w:val="21"/>
          <w:highlight w:val="none"/>
        </w:rPr>
      </w:pPr>
    </w:p>
    <w:p w14:paraId="0BDA9EA8">
      <w:pPr>
        <w:rPr>
          <w:color w:val="auto"/>
          <w:highlight w:val="none"/>
        </w:rPr>
      </w:pPr>
    </w:p>
    <w:sectPr>
      <w:footerReference r:id="rId16" w:type="first"/>
      <w:headerReference r:id="rId13" w:type="default"/>
      <w:footerReference r:id="rId14" w:type="default"/>
      <w:footerReference r:id="rId15"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S Gothic">
    <w:panose1 w:val="020B0609070205080204"/>
    <w:charset w:val="80"/>
    <w:family w:val="modern"/>
    <w:pitch w:val="default"/>
    <w:sig w:usb0="E00002FF" w:usb1="6AC7FDFB" w:usb2="08000012" w:usb3="00000000" w:csb0="4002009F" w:csb1="DFD70000"/>
  </w:font>
  <w:font w:name="Helvetica">
    <w:altName w:val="Arial"/>
    <w:panose1 w:val="020B0504020202030204"/>
    <w:charset w:val="00"/>
    <w:family w:val="swiss"/>
    <w:pitch w:val="default"/>
    <w:sig w:usb0="00000000" w:usb1="00000000" w:usb2="00000000" w:usb3="00000000" w:csb0="00000093" w:csb1="00000000"/>
  </w:font>
  <w:font w:name="ˎ̥">
    <w:altName w:val="Times New Roman"/>
    <w:panose1 w:val="00000000000000000000"/>
    <w:charset w:val="00"/>
    <w:family w:val="roman"/>
    <w:pitch w:val="default"/>
    <w:sig w:usb0="00000000"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63E1">
    <w:pPr>
      <w:pStyle w:val="18"/>
      <w:jc w:val="center"/>
    </w:pPr>
    <w:r>
      <w:fldChar w:fldCharType="begin"/>
    </w:r>
    <w:r>
      <w:instrText xml:space="preserve"> PAGE   \* MERGEFORMAT </w:instrText>
    </w:r>
    <w:r>
      <w:fldChar w:fldCharType="separate"/>
    </w:r>
    <w:r>
      <w:rPr>
        <w:lang w:val="zh-CN"/>
      </w:rPr>
      <w:t>6</w:t>
    </w:r>
    <w:r>
      <w:fldChar w:fldCharType="end"/>
    </w:r>
  </w:p>
  <w:p w14:paraId="2A805E2C">
    <w:pPr>
      <w:pStyle w:val="1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3DA">
    <w:pPr>
      <w:pStyle w:val="18"/>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11B60330">
    <w:pPr>
      <w:pStyle w:val="18"/>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705D">
    <w:pPr>
      <w:pStyle w:val="18"/>
      <w:framePr w:wrap="around" w:vAnchor="text" w:hAnchor="margin" w:xAlign="center" w:y="1"/>
      <w:rPr>
        <w:rStyle w:val="28"/>
        <w:sz w:val="21"/>
      </w:rPr>
    </w:pPr>
    <w:r>
      <w:rPr>
        <w:sz w:val="21"/>
      </w:rPr>
      <w:fldChar w:fldCharType="begin"/>
    </w:r>
    <w:r>
      <w:rPr>
        <w:rStyle w:val="28"/>
        <w:sz w:val="21"/>
      </w:rPr>
      <w:instrText xml:space="preserve">PAGE  </w:instrText>
    </w:r>
    <w:r>
      <w:rPr>
        <w:sz w:val="21"/>
      </w:rPr>
      <w:fldChar w:fldCharType="separate"/>
    </w:r>
    <w:r>
      <w:rPr>
        <w:rStyle w:val="28"/>
        <w:sz w:val="21"/>
      </w:rPr>
      <w:t>0</w:t>
    </w:r>
    <w:r>
      <w:rPr>
        <w:sz w:val="21"/>
      </w:rPr>
      <w:fldChar w:fldCharType="end"/>
    </w:r>
  </w:p>
  <w:p w14:paraId="655B4626">
    <w:pPr>
      <w:pStyle w:val="18"/>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9E08">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1042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01042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516C">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50E46">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C50E46">
                    <w:pPr>
                      <w:pStyle w:val="18"/>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4790" cy="2152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4790" cy="215265"/>
                      </a:xfrm>
                      <a:prstGeom prst="rect">
                        <a:avLst/>
                      </a:prstGeom>
                      <a:noFill/>
                      <a:ln w="9525">
                        <a:noFill/>
                      </a:ln>
                      <a:effectLst/>
                    </wps:spPr>
                    <wps:txbx>
                      <w:txbxContent>
                        <w:p w14:paraId="5C418FC6">
                          <w:pPr>
                            <w:pStyle w:val="18"/>
                            <w:rPr>
                              <w:b/>
                              <w:bCs/>
                              <w:sz w:val="21"/>
                              <w:szCs w:val="21"/>
                            </w:rPr>
                          </w:pPr>
                        </w:p>
                      </w:txbxContent>
                    </wps:txbx>
                    <wps:bodyPr vert="horz" wrap="square" lIns="0" tIns="0" rIns="0" bIns="0" anchor="t"/>
                  </wps:wsp>
                </a:graphicData>
              </a:graphic>
            </wp:anchor>
          </w:drawing>
        </mc:Choice>
        <mc:Fallback>
          <w:pict>
            <v:shape id="_x0000_s1026" o:spid="_x0000_s1026" o:spt="202" type="#_x0000_t202" style="position:absolute;left:0pt;margin-top:0pt;height:16.95pt;width:17.7pt;mso-position-horizontal:center;mso-position-horizontal-relative:margin;z-index:251659264;mso-width-relative:page;mso-height-relative:page;" filled="f" stroked="f" coordsize="21600,21600" o:gfxdata="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TN/9QAAAADAQAADwAAAAAAAAABACAA&#10;AAAiAAAAZHJzL2Rvd25yZXYueG1sUEsBAhQAFAAAAAgAh07iQCejfLjYAQAAoQMAAA4AAAAAAAAA&#10;AQAgAAAAIwEAAGRycy9lMm9Eb2MueG1sUEsFBgAAAAAGAAYAWQEAAG0FAAAAAA==&#10;">
              <v:fill on="f" focussize="0,0"/>
              <v:stroke on="f"/>
              <v:imagedata o:title=""/>
              <o:lock v:ext="edit" aspectratio="f"/>
              <v:textbox inset="0mm,0mm,0mm,0mm">
                <w:txbxContent>
                  <w:p w14:paraId="5C418FC6">
                    <w:pPr>
                      <w:pStyle w:val="18"/>
                      <w:rPr>
                        <w:b/>
                        <w:bCs/>
                        <w:sz w:val="21"/>
                        <w:szCs w:val="2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FA42">
    <w:pPr>
      <w:pStyle w:val="1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CAE4C">
                          <w:pPr>
                            <w:pStyle w:val="1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A3CAE4C">
                    <w:pPr>
                      <w:pStyle w:val="18"/>
                    </w:pPr>
                    <w:r>
                      <w:fldChar w:fldCharType="begin"/>
                    </w:r>
                    <w:r>
                      <w:instrText xml:space="preserve"> PAGE  \* MERGEFORMAT </w:instrText>
                    </w:r>
                    <w:r>
                      <w:fldChar w:fldCharType="separate"/>
                    </w:r>
                    <w:r>
                      <w:t>69</w:t>
                    </w:r>
                    <w:r>
                      <w:fldChar w:fldCharType="end"/>
                    </w:r>
                  </w:p>
                </w:txbxContent>
              </v:textbox>
            </v:shape>
          </w:pict>
        </mc:Fallback>
      </mc:AlternateContent>
    </w:r>
  </w:p>
  <w:p w14:paraId="014543A7">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845A">
    <w:pPr>
      <w:pStyle w:val="18"/>
      <w:framePr w:wrap="around" w:vAnchor="text" w:hAnchor="margin" w:xAlign="center" w:y="1"/>
      <w:rPr>
        <w:rStyle w:val="28"/>
      </w:rPr>
    </w:pPr>
    <w:r>
      <w:fldChar w:fldCharType="begin"/>
    </w:r>
    <w:r>
      <w:rPr>
        <w:rStyle w:val="28"/>
      </w:rPr>
      <w:instrText xml:space="preserve">PAGE  </w:instrText>
    </w:r>
    <w:r>
      <w:fldChar w:fldCharType="end"/>
    </w:r>
  </w:p>
  <w:p w14:paraId="2D0A74D4">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812C">
    <w:pPr>
      <w:pStyle w:val="18"/>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6019BE29">
    <w:pPr>
      <w:pStyle w:val="18"/>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50DF6">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DE24E">
                          <w:pPr>
                            <w:pStyle w:val="1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48DE24E">
                    <w:pPr>
                      <w:pStyle w:val="18"/>
                    </w:pPr>
                    <w:r>
                      <w:fldChar w:fldCharType="begin"/>
                    </w:r>
                    <w:r>
                      <w:instrText xml:space="preserve"> PAGE  \* MERGEFORMAT </w:instrText>
                    </w:r>
                    <w:r>
                      <w:fldChar w:fldCharType="separate"/>
                    </w:r>
                    <w:r>
                      <w:t>86</w:t>
                    </w:r>
                    <w:r>
                      <w:fldChar w:fldCharType="end"/>
                    </w:r>
                  </w:p>
                </w:txbxContent>
              </v:textbox>
            </v:shape>
          </w:pict>
        </mc:Fallback>
      </mc:AlternateContent>
    </w:r>
  </w:p>
  <w:p w14:paraId="35F18F04">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B8991">
    <w:pPr>
      <w:pStyle w:val="18"/>
      <w:framePr w:wrap="around" w:vAnchor="text" w:hAnchor="margin" w:xAlign="center" w:y="1"/>
      <w:rPr>
        <w:rStyle w:val="28"/>
      </w:rPr>
    </w:pPr>
    <w:r>
      <w:fldChar w:fldCharType="begin"/>
    </w:r>
    <w:r>
      <w:rPr>
        <w:rStyle w:val="28"/>
      </w:rPr>
      <w:instrText xml:space="preserve">PAGE  </w:instrText>
    </w:r>
    <w:r>
      <w:fldChar w:fldCharType="end"/>
    </w:r>
  </w:p>
  <w:p w14:paraId="12A9C4A9">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0615D">
    <w:pPr>
      <w:pStyle w:val="19"/>
      <w:tabs>
        <w:tab w:val="center" w:pos="0"/>
        <w:tab w:val="clear" w:pos="4153"/>
      </w:tabs>
    </w:pPr>
    <w:r>
      <w:rPr>
        <w:rFonts w:hint="eastAsia"/>
        <w:lang w:eastAsia="zh-CN"/>
      </w:rPr>
      <w:t>2023-2025年东兴市车辆维修和保养服务框架协议采购</w:t>
    </w:r>
    <w:r>
      <w:rPr>
        <w:rFonts w:hint="eastAsia"/>
        <w:lang w:val="en-US" w:eastAsia="zh-CN"/>
      </w:rPr>
      <w:t xml:space="preserve">           </w:t>
    </w:r>
    <w:r>
      <w:rPr>
        <w:rFonts w:hint="eastAsia"/>
      </w:rPr>
      <w:t>（项目编号：</w:t>
    </w:r>
    <w:r>
      <w:rPr>
        <w:rFonts w:hint="eastAsia"/>
        <w:lang w:eastAsia="zh-CN"/>
      </w:rPr>
      <w:t xml:space="preserve">FCZC2025-K3-810087-JGJD </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B135">
    <w:pPr>
      <w:pStyle w:val="19"/>
    </w:pPr>
    <w:r>
      <w:rPr>
        <w:rFonts w:hint="eastAsia" w:ascii="宋体" w:hAnsi="宋体"/>
        <w:color w:val="auto"/>
        <w:szCs w:val="21"/>
        <w:highlight w:val="none"/>
        <w:lang w:eastAsia="zh-CN"/>
      </w:rPr>
      <w:t>2025-2027年度东兴市车辆维修和保养服务框架协议</w:t>
    </w:r>
    <w:r>
      <w:rPr>
        <w:rFonts w:hint="eastAsia"/>
      </w:rPr>
      <w:t>征集文件（项目编号：</w:t>
    </w:r>
    <w:r>
      <w:rPr>
        <w:rFonts w:hint="eastAsia"/>
        <w:lang w:eastAsia="zh-CN"/>
      </w:rPr>
      <w:t>FCZC2025-K3-810087-JGJD</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56EF">
    <w:pPr>
      <w:pStyle w:val="19"/>
    </w:pPr>
    <w:r>
      <w:rPr>
        <w:rFonts w:hint="eastAsia"/>
        <w:lang w:eastAsia="zh-CN"/>
      </w:rPr>
      <w:t>东兴市本级</w:t>
    </w:r>
    <w:r>
      <w:rPr>
        <w:rFonts w:hint="eastAsia"/>
      </w:rPr>
      <w:t>政府采购框架协议征集文件（项目编号：NNZC2025-K3-100070-NNSW）</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5ADD8">
    <w:pPr>
      <w:pStyle w:val="19"/>
      <w:rPr>
        <w:rFonts w:hint="default"/>
        <w:lang w:val="en-US" w:eastAsia="zh-CN"/>
      </w:rPr>
    </w:pPr>
    <w:r>
      <w:rPr>
        <w:rFonts w:hint="eastAsia"/>
        <w:lang w:eastAsia="zh-CN"/>
      </w:rPr>
      <w:t>东兴市本级</w:t>
    </w:r>
    <w:r>
      <w:rPr>
        <w:rFonts w:hint="eastAsia"/>
      </w:rPr>
      <w:t>政府采购框架协议征集文件（项目编号：NNZC2025-K3-100070-NNSW）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5930A"/>
    <w:multiLevelType w:val="singleLevel"/>
    <w:tmpl w:val="E2B5930A"/>
    <w:lvl w:ilvl="0" w:tentative="0">
      <w:start w:val="6"/>
      <w:numFmt w:val="chineseCounting"/>
      <w:suff w:val="space"/>
      <w:lvlText w:val="第%1条"/>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723684"/>
    <w:multiLevelType w:val="multilevel"/>
    <w:tmpl w:val="00723684"/>
    <w:lvl w:ilvl="0" w:tentative="0">
      <w:start w:val="1"/>
      <w:numFmt w:val="decimal"/>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F29391B"/>
    <w:multiLevelType w:val="singleLevel"/>
    <w:tmpl w:val="0F29391B"/>
    <w:lvl w:ilvl="0" w:tentative="0">
      <w:start w:val="1"/>
      <w:numFmt w:val="chineseCounting"/>
      <w:suff w:val="nothing"/>
      <w:lvlText w:val="（%1）"/>
      <w:lvlJc w:val="left"/>
      <w:pPr>
        <w:ind w:left="525" w:leftChars="0" w:firstLine="0" w:firstLineChars="0"/>
      </w:pPr>
      <w:rPr>
        <w:rFonts w:hint="eastAsia"/>
      </w:rPr>
    </w:lvl>
  </w:abstractNum>
  <w:abstractNum w:abstractNumId="5">
    <w:nsid w:val="2E3DCA9D"/>
    <w:multiLevelType w:val="singleLevel"/>
    <w:tmpl w:val="2E3DCA9D"/>
    <w:lvl w:ilvl="0" w:tentative="0">
      <w:start w:val="1"/>
      <w:numFmt w:val="chineseCounting"/>
      <w:suff w:val="space"/>
      <w:lvlText w:val="第%1条"/>
      <w:lvlJc w:val="left"/>
      <w:rPr>
        <w:rFonts w:hint="eastAsia"/>
      </w:rPr>
    </w:lvl>
  </w:abstractNum>
  <w:abstractNum w:abstractNumId="6">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7">
    <w:nsid w:val="3BCC59F5"/>
    <w:multiLevelType w:val="singleLevel"/>
    <w:tmpl w:val="3BCC59F5"/>
    <w:lvl w:ilvl="0" w:tentative="0">
      <w:start w:val="8"/>
      <w:numFmt w:val="chineseCounting"/>
      <w:suff w:val="nothing"/>
      <w:lvlText w:val="%1、"/>
      <w:lvlJc w:val="left"/>
      <w:rPr>
        <w:rFonts w:hint="eastAsia"/>
      </w:rPr>
    </w:lvl>
  </w:abstractNum>
  <w:abstractNum w:abstractNumId="8">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8"/>
  </w:num>
  <w:num w:numId="3">
    <w:abstractNumId w:val="5"/>
    <w:lvlOverride w:ilvl="0">
      <w:startOverride w:val="1"/>
    </w:lvlOverride>
  </w:num>
  <w:num w:numId="4">
    <w:abstractNumId w:val="0"/>
    <w:lvlOverride w:ilvl="0">
      <w:startOverride w:val="6"/>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NTU4NjgyZDJjYmI5Y2FjYzkyZTAwMjJmZWMyMGQifQ=="/>
  </w:docVars>
  <w:rsids>
    <w:rsidRoot w:val="00172A27"/>
    <w:rsid w:val="00013654"/>
    <w:rsid w:val="00522102"/>
    <w:rsid w:val="00674912"/>
    <w:rsid w:val="0075194C"/>
    <w:rsid w:val="00867410"/>
    <w:rsid w:val="00A959C7"/>
    <w:rsid w:val="00C603FA"/>
    <w:rsid w:val="00D01278"/>
    <w:rsid w:val="00D70859"/>
    <w:rsid w:val="00FE7B94"/>
    <w:rsid w:val="01017684"/>
    <w:rsid w:val="01303AC5"/>
    <w:rsid w:val="0157021D"/>
    <w:rsid w:val="0163105C"/>
    <w:rsid w:val="01823E16"/>
    <w:rsid w:val="01965109"/>
    <w:rsid w:val="01B008D3"/>
    <w:rsid w:val="01F67E7C"/>
    <w:rsid w:val="01FD42EF"/>
    <w:rsid w:val="02145195"/>
    <w:rsid w:val="02160F0D"/>
    <w:rsid w:val="027345B1"/>
    <w:rsid w:val="02936A01"/>
    <w:rsid w:val="02A732D1"/>
    <w:rsid w:val="02B04EBD"/>
    <w:rsid w:val="02B80216"/>
    <w:rsid w:val="02BE71D3"/>
    <w:rsid w:val="02D71503"/>
    <w:rsid w:val="02D970B4"/>
    <w:rsid w:val="02E75384"/>
    <w:rsid w:val="02E81CE7"/>
    <w:rsid w:val="02EF1E8A"/>
    <w:rsid w:val="02F6716B"/>
    <w:rsid w:val="030D40BE"/>
    <w:rsid w:val="03206E0E"/>
    <w:rsid w:val="03265180"/>
    <w:rsid w:val="032B670D"/>
    <w:rsid w:val="0331619D"/>
    <w:rsid w:val="033D5E0F"/>
    <w:rsid w:val="034943AC"/>
    <w:rsid w:val="03634626"/>
    <w:rsid w:val="03734C21"/>
    <w:rsid w:val="03906A9D"/>
    <w:rsid w:val="03942A31"/>
    <w:rsid w:val="03A66E23"/>
    <w:rsid w:val="03B46C2F"/>
    <w:rsid w:val="03B5144B"/>
    <w:rsid w:val="03CD1A9F"/>
    <w:rsid w:val="03ED22B0"/>
    <w:rsid w:val="03F90AE6"/>
    <w:rsid w:val="03FF434E"/>
    <w:rsid w:val="04245B63"/>
    <w:rsid w:val="043266EC"/>
    <w:rsid w:val="043A7135"/>
    <w:rsid w:val="04461F7D"/>
    <w:rsid w:val="048F6CC6"/>
    <w:rsid w:val="049820AD"/>
    <w:rsid w:val="04A15406"/>
    <w:rsid w:val="04B115CF"/>
    <w:rsid w:val="04D330E5"/>
    <w:rsid w:val="04D70E27"/>
    <w:rsid w:val="04E86B91"/>
    <w:rsid w:val="04EA29DB"/>
    <w:rsid w:val="04EE6171"/>
    <w:rsid w:val="050F15EC"/>
    <w:rsid w:val="05353DA0"/>
    <w:rsid w:val="0538025F"/>
    <w:rsid w:val="05402E4B"/>
    <w:rsid w:val="054160C5"/>
    <w:rsid w:val="054B711F"/>
    <w:rsid w:val="054C2F3C"/>
    <w:rsid w:val="054F4E62"/>
    <w:rsid w:val="05551D4C"/>
    <w:rsid w:val="056106F1"/>
    <w:rsid w:val="05704DD8"/>
    <w:rsid w:val="0571302A"/>
    <w:rsid w:val="05AC22B4"/>
    <w:rsid w:val="05C21607"/>
    <w:rsid w:val="0607573C"/>
    <w:rsid w:val="060C2D53"/>
    <w:rsid w:val="062A142B"/>
    <w:rsid w:val="064303C3"/>
    <w:rsid w:val="06471D99"/>
    <w:rsid w:val="0651509F"/>
    <w:rsid w:val="06583B7F"/>
    <w:rsid w:val="067C5E67"/>
    <w:rsid w:val="0680104B"/>
    <w:rsid w:val="06C10E68"/>
    <w:rsid w:val="06C76C7A"/>
    <w:rsid w:val="06CC603E"/>
    <w:rsid w:val="06D7510F"/>
    <w:rsid w:val="06E261F5"/>
    <w:rsid w:val="06F537E7"/>
    <w:rsid w:val="07043A2A"/>
    <w:rsid w:val="0708351A"/>
    <w:rsid w:val="07097292"/>
    <w:rsid w:val="070C287B"/>
    <w:rsid w:val="07167E42"/>
    <w:rsid w:val="073C3988"/>
    <w:rsid w:val="07524795"/>
    <w:rsid w:val="076170CE"/>
    <w:rsid w:val="076F4858"/>
    <w:rsid w:val="07756781"/>
    <w:rsid w:val="07762B7A"/>
    <w:rsid w:val="07B2792A"/>
    <w:rsid w:val="07B45450"/>
    <w:rsid w:val="07BC589D"/>
    <w:rsid w:val="07D1251D"/>
    <w:rsid w:val="07E73DCE"/>
    <w:rsid w:val="07FC0BA5"/>
    <w:rsid w:val="08161C67"/>
    <w:rsid w:val="08346591"/>
    <w:rsid w:val="08397703"/>
    <w:rsid w:val="083D71F3"/>
    <w:rsid w:val="0849203C"/>
    <w:rsid w:val="0854278F"/>
    <w:rsid w:val="08723071"/>
    <w:rsid w:val="08741249"/>
    <w:rsid w:val="08BD19AF"/>
    <w:rsid w:val="08BF4690"/>
    <w:rsid w:val="08C07E24"/>
    <w:rsid w:val="08DD09D6"/>
    <w:rsid w:val="08FE32C5"/>
    <w:rsid w:val="090441B5"/>
    <w:rsid w:val="09184470"/>
    <w:rsid w:val="092F6FCD"/>
    <w:rsid w:val="098971D2"/>
    <w:rsid w:val="098A0731"/>
    <w:rsid w:val="098D41AA"/>
    <w:rsid w:val="09AB619A"/>
    <w:rsid w:val="09B47989"/>
    <w:rsid w:val="09BC4A90"/>
    <w:rsid w:val="09BE25B6"/>
    <w:rsid w:val="09C676BC"/>
    <w:rsid w:val="09C91CD1"/>
    <w:rsid w:val="09D05E45"/>
    <w:rsid w:val="09D3200E"/>
    <w:rsid w:val="09D65B51"/>
    <w:rsid w:val="09E244F6"/>
    <w:rsid w:val="09F673EE"/>
    <w:rsid w:val="0A067AB9"/>
    <w:rsid w:val="0A1026E6"/>
    <w:rsid w:val="0A430D0D"/>
    <w:rsid w:val="0A641F21"/>
    <w:rsid w:val="0A742C74"/>
    <w:rsid w:val="0A7809B7"/>
    <w:rsid w:val="0A8A2498"/>
    <w:rsid w:val="0A901572"/>
    <w:rsid w:val="0A9A6B7F"/>
    <w:rsid w:val="0AAC0660"/>
    <w:rsid w:val="0AC775F6"/>
    <w:rsid w:val="0AE0655C"/>
    <w:rsid w:val="0AE41BA8"/>
    <w:rsid w:val="0AEB5429"/>
    <w:rsid w:val="0B2B77D7"/>
    <w:rsid w:val="0B380146"/>
    <w:rsid w:val="0B386FF8"/>
    <w:rsid w:val="0B3D0003"/>
    <w:rsid w:val="0B550CF8"/>
    <w:rsid w:val="0B8E7D66"/>
    <w:rsid w:val="0B901D30"/>
    <w:rsid w:val="0BB65208"/>
    <w:rsid w:val="0BD0037E"/>
    <w:rsid w:val="0BE04A65"/>
    <w:rsid w:val="0BE264E0"/>
    <w:rsid w:val="0BF26547"/>
    <w:rsid w:val="0BF3242F"/>
    <w:rsid w:val="0BF40511"/>
    <w:rsid w:val="0C3B1426"/>
    <w:rsid w:val="0C5B233E"/>
    <w:rsid w:val="0C792F95"/>
    <w:rsid w:val="0C8223B1"/>
    <w:rsid w:val="0C874EE1"/>
    <w:rsid w:val="0C876F2B"/>
    <w:rsid w:val="0C994C14"/>
    <w:rsid w:val="0CA85607"/>
    <w:rsid w:val="0CAF61E6"/>
    <w:rsid w:val="0CB657C6"/>
    <w:rsid w:val="0CD21ED4"/>
    <w:rsid w:val="0CFF53BF"/>
    <w:rsid w:val="0D0E3617"/>
    <w:rsid w:val="0D1B1ACD"/>
    <w:rsid w:val="0D2C5A88"/>
    <w:rsid w:val="0D4E2C3A"/>
    <w:rsid w:val="0D4E2DF0"/>
    <w:rsid w:val="0D921D8F"/>
    <w:rsid w:val="0DA47D15"/>
    <w:rsid w:val="0DA668CA"/>
    <w:rsid w:val="0DB31D06"/>
    <w:rsid w:val="0DDF1A07"/>
    <w:rsid w:val="0DE00E6C"/>
    <w:rsid w:val="0E077146"/>
    <w:rsid w:val="0E2A646C"/>
    <w:rsid w:val="0E6C36EA"/>
    <w:rsid w:val="0E785533"/>
    <w:rsid w:val="0E982123"/>
    <w:rsid w:val="0EA7186A"/>
    <w:rsid w:val="0EAD2BF9"/>
    <w:rsid w:val="0EB05B48"/>
    <w:rsid w:val="0EB46E08"/>
    <w:rsid w:val="0EE6189F"/>
    <w:rsid w:val="0EF3685E"/>
    <w:rsid w:val="0EF716A8"/>
    <w:rsid w:val="0F024967"/>
    <w:rsid w:val="0F040A6B"/>
    <w:rsid w:val="0F0A004B"/>
    <w:rsid w:val="0F0A1DF9"/>
    <w:rsid w:val="0F0E3698"/>
    <w:rsid w:val="0F0F11BE"/>
    <w:rsid w:val="0F130CAE"/>
    <w:rsid w:val="0F220E5A"/>
    <w:rsid w:val="0F2509E1"/>
    <w:rsid w:val="0F407E58"/>
    <w:rsid w:val="0F503CB0"/>
    <w:rsid w:val="0F735BF1"/>
    <w:rsid w:val="0F7554C5"/>
    <w:rsid w:val="0F790AE0"/>
    <w:rsid w:val="0F987405"/>
    <w:rsid w:val="0FC21198"/>
    <w:rsid w:val="0FDC5544"/>
    <w:rsid w:val="0FE64614"/>
    <w:rsid w:val="101A606C"/>
    <w:rsid w:val="10206F5D"/>
    <w:rsid w:val="1025513D"/>
    <w:rsid w:val="1061626A"/>
    <w:rsid w:val="10765998"/>
    <w:rsid w:val="107A6B0B"/>
    <w:rsid w:val="108247E3"/>
    <w:rsid w:val="108C6F6A"/>
    <w:rsid w:val="10A342B4"/>
    <w:rsid w:val="10CD7582"/>
    <w:rsid w:val="10D206F5"/>
    <w:rsid w:val="10DE7A09"/>
    <w:rsid w:val="10E24DDC"/>
    <w:rsid w:val="10E33DE5"/>
    <w:rsid w:val="10E36DA6"/>
    <w:rsid w:val="110424CC"/>
    <w:rsid w:val="110E5BD1"/>
    <w:rsid w:val="11146F5F"/>
    <w:rsid w:val="11203B56"/>
    <w:rsid w:val="11230F50"/>
    <w:rsid w:val="112E6273"/>
    <w:rsid w:val="113A4C18"/>
    <w:rsid w:val="11592BC4"/>
    <w:rsid w:val="118440E5"/>
    <w:rsid w:val="11D87F8D"/>
    <w:rsid w:val="11DD37F5"/>
    <w:rsid w:val="11E44B84"/>
    <w:rsid w:val="11F34DC7"/>
    <w:rsid w:val="120400C3"/>
    <w:rsid w:val="12211934"/>
    <w:rsid w:val="123125E3"/>
    <w:rsid w:val="123A0C48"/>
    <w:rsid w:val="123E24E6"/>
    <w:rsid w:val="12411FD6"/>
    <w:rsid w:val="12485D96"/>
    <w:rsid w:val="12555A81"/>
    <w:rsid w:val="12797F73"/>
    <w:rsid w:val="127E0B34"/>
    <w:rsid w:val="12843C71"/>
    <w:rsid w:val="12B427A8"/>
    <w:rsid w:val="12BE3CC4"/>
    <w:rsid w:val="12C0739F"/>
    <w:rsid w:val="12E80327"/>
    <w:rsid w:val="12EF726C"/>
    <w:rsid w:val="130A499C"/>
    <w:rsid w:val="131119A8"/>
    <w:rsid w:val="13315BA7"/>
    <w:rsid w:val="133B4C77"/>
    <w:rsid w:val="133B6A25"/>
    <w:rsid w:val="133F0B55"/>
    <w:rsid w:val="13545D39"/>
    <w:rsid w:val="137B1518"/>
    <w:rsid w:val="137D2B9A"/>
    <w:rsid w:val="13926254"/>
    <w:rsid w:val="139D4FEA"/>
    <w:rsid w:val="13A75E69"/>
    <w:rsid w:val="13B62550"/>
    <w:rsid w:val="13D03611"/>
    <w:rsid w:val="13DA7FEC"/>
    <w:rsid w:val="13E0137B"/>
    <w:rsid w:val="14292D22"/>
    <w:rsid w:val="142E0338"/>
    <w:rsid w:val="143C2A55"/>
    <w:rsid w:val="143E3253"/>
    <w:rsid w:val="14485BD0"/>
    <w:rsid w:val="14720225"/>
    <w:rsid w:val="14733D6D"/>
    <w:rsid w:val="14A83164"/>
    <w:rsid w:val="14CE0A60"/>
    <w:rsid w:val="15115C90"/>
    <w:rsid w:val="153953A6"/>
    <w:rsid w:val="153A7565"/>
    <w:rsid w:val="154D5EA7"/>
    <w:rsid w:val="157F52EF"/>
    <w:rsid w:val="15997A33"/>
    <w:rsid w:val="159B19FD"/>
    <w:rsid w:val="15AD5E36"/>
    <w:rsid w:val="15B86D74"/>
    <w:rsid w:val="15BF56EC"/>
    <w:rsid w:val="15C543F3"/>
    <w:rsid w:val="15D62B87"/>
    <w:rsid w:val="16017613"/>
    <w:rsid w:val="160F7CF5"/>
    <w:rsid w:val="16345AA1"/>
    <w:rsid w:val="16443E4D"/>
    <w:rsid w:val="16470C1C"/>
    <w:rsid w:val="16556050"/>
    <w:rsid w:val="166E7112"/>
    <w:rsid w:val="16D43419"/>
    <w:rsid w:val="16EF0253"/>
    <w:rsid w:val="171B1048"/>
    <w:rsid w:val="171E4694"/>
    <w:rsid w:val="17465999"/>
    <w:rsid w:val="175C6F6A"/>
    <w:rsid w:val="175E2CE2"/>
    <w:rsid w:val="176302F9"/>
    <w:rsid w:val="178D35C8"/>
    <w:rsid w:val="17B74335"/>
    <w:rsid w:val="17CF3BE0"/>
    <w:rsid w:val="17EC6540"/>
    <w:rsid w:val="18037E87"/>
    <w:rsid w:val="1807337A"/>
    <w:rsid w:val="181405F5"/>
    <w:rsid w:val="182A0E16"/>
    <w:rsid w:val="183A4A8E"/>
    <w:rsid w:val="1852042B"/>
    <w:rsid w:val="186D58D3"/>
    <w:rsid w:val="18700F1F"/>
    <w:rsid w:val="18710E80"/>
    <w:rsid w:val="187A1186"/>
    <w:rsid w:val="1880313C"/>
    <w:rsid w:val="18934C0E"/>
    <w:rsid w:val="18A41246"/>
    <w:rsid w:val="18B2778A"/>
    <w:rsid w:val="18C969BD"/>
    <w:rsid w:val="18CB084B"/>
    <w:rsid w:val="18F757DF"/>
    <w:rsid w:val="19042174"/>
    <w:rsid w:val="19526877"/>
    <w:rsid w:val="19762565"/>
    <w:rsid w:val="19792055"/>
    <w:rsid w:val="199B021E"/>
    <w:rsid w:val="199D2B82"/>
    <w:rsid w:val="19B337B9"/>
    <w:rsid w:val="19B92ECB"/>
    <w:rsid w:val="19C06CBF"/>
    <w:rsid w:val="19C77265"/>
    <w:rsid w:val="19E742B7"/>
    <w:rsid w:val="19E80F89"/>
    <w:rsid w:val="19F66F6A"/>
    <w:rsid w:val="1A02700B"/>
    <w:rsid w:val="1A050BD0"/>
    <w:rsid w:val="1A0C7662"/>
    <w:rsid w:val="1A4A39F2"/>
    <w:rsid w:val="1A7F18ED"/>
    <w:rsid w:val="1AD5524C"/>
    <w:rsid w:val="1AEF7B30"/>
    <w:rsid w:val="1AF070C2"/>
    <w:rsid w:val="1AF35E37"/>
    <w:rsid w:val="1B0167A6"/>
    <w:rsid w:val="1B244243"/>
    <w:rsid w:val="1B2B55D1"/>
    <w:rsid w:val="1B301674"/>
    <w:rsid w:val="1B37013D"/>
    <w:rsid w:val="1B3E3557"/>
    <w:rsid w:val="1B444488"/>
    <w:rsid w:val="1B481CDF"/>
    <w:rsid w:val="1B522B5E"/>
    <w:rsid w:val="1B5C39DD"/>
    <w:rsid w:val="1B616581"/>
    <w:rsid w:val="1B6C0338"/>
    <w:rsid w:val="1B8B42C2"/>
    <w:rsid w:val="1BA5551F"/>
    <w:rsid w:val="1BB032C9"/>
    <w:rsid w:val="1BB142DA"/>
    <w:rsid w:val="1BBC447B"/>
    <w:rsid w:val="1BC81C32"/>
    <w:rsid w:val="1BE22134"/>
    <w:rsid w:val="1BE539D2"/>
    <w:rsid w:val="1BE55780"/>
    <w:rsid w:val="1BE85270"/>
    <w:rsid w:val="1BF6798D"/>
    <w:rsid w:val="1BFC2ACA"/>
    <w:rsid w:val="1C113F74"/>
    <w:rsid w:val="1C1E3C86"/>
    <w:rsid w:val="1C2269D4"/>
    <w:rsid w:val="1C4050AC"/>
    <w:rsid w:val="1C4C1CA3"/>
    <w:rsid w:val="1C7F3E27"/>
    <w:rsid w:val="1C8054A9"/>
    <w:rsid w:val="1C8B617A"/>
    <w:rsid w:val="1C8C6544"/>
    <w:rsid w:val="1C907DE2"/>
    <w:rsid w:val="1C922D83"/>
    <w:rsid w:val="1CA67605"/>
    <w:rsid w:val="1CB6536F"/>
    <w:rsid w:val="1CD04682"/>
    <w:rsid w:val="1CE617B0"/>
    <w:rsid w:val="1CFC7225"/>
    <w:rsid w:val="1D156539"/>
    <w:rsid w:val="1D2F2065"/>
    <w:rsid w:val="1D3F5364"/>
    <w:rsid w:val="1D4913F0"/>
    <w:rsid w:val="1D767107"/>
    <w:rsid w:val="1D7E536E"/>
    <w:rsid w:val="1D7E5E8C"/>
    <w:rsid w:val="1D884D9E"/>
    <w:rsid w:val="1D8B2357"/>
    <w:rsid w:val="1D9C36FA"/>
    <w:rsid w:val="1DB22340"/>
    <w:rsid w:val="1DB46B7E"/>
    <w:rsid w:val="1DE877AA"/>
    <w:rsid w:val="1DE91D86"/>
    <w:rsid w:val="1DED3012"/>
    <w:rsid w:val="1DF223D6"/>
    <w:rsid w:val="1E4470D6"/>
    <w:rsid w:val="1E592455"/>
    <w:rsid w:val="1E6037E4"/>
    <w:rsid w:val="1E643A6E"/>
    <w:rsid w:val="1E733667"/>
    <w:rsid w:val="1E831280"/>
    <w:rsid w:val="1EB458DE"/>
    <w:rsid w:val="1ECE002B"/>
    <w:rsid w:val="1F026649"/>
    <w:rsid w:val="1F176598"/>
    <w:rsid w:val="1F1F544D"/>
    <w:rsid w:val="1F264A2D"/>
    <w:rsid w:val="1F282554"/>
    <w:rsid w:val="1F5642FC"/>
    <w:rsid w:val="1F6B7C4E"/>
    <w:rsid w:val="1F7F413E"/>
    <w:rsid w:val="1F817EB6"/>
    <w:rsid w:val="1F8452B0"/>
    <w:rsid w:val="1F923E71"/>
    <w:rsid w:val="1F973235"/>
    <w:rsid w:val="1F9757DB"/>
    <w:rsid w:val="1FBD4464"/>
    <w:rsid w:val="1FEA194A"/>
    <w:rsid w:val="1FFE1506"/>
    <w:rsid w:val="200738CC"/>
    <w:rsid w:val="200A7EAB"/>
    <w:rsid w:val="200C59D1"/>
    <w:rsid w:val="20210D51"/>
    <w:rsid w:val="202820DF"/>
    <w:rsid w:val="203B1E13"/>
    <w:rsid w:val="20482300"/>
    <w:rsid w:val="207D242B"/>
    <w:rsid w:val="209F6845"/>
    <w:rsid w:val="20A153AC"/>
    <w:rsid w:val="20B54FBA"/>
    <w:rsid w:val="20B87907"/>
    <w:rsid w:val="20D858B3"/>
    <w:rsid w:val="20EB1A8B"/>
    <w:rsid w:val="21042B4C"/>
    <w:rsid w:val="2111387D"/>
    <w:rsid w:val="21117017"/>
    <w:rsid w:val="21182154"/>
    <w:rsid w:val="2135718E"/>
    <w:rsid w:val="21357E35"/>
    <w:rsid w:val="21493402"/>
    <w:rsid w:val="21555156"/>
    <w:rsid w:val="21617F9F"/>
    <w:rsid w:val="21640A8A"/>
    <w:rsid w:val="216B2BCB"/>
    <w:rsid w:val="217328CB"/>
    <w:rsid w:val="219567C1"/>
    <w:rsid w:val="21A05C02"/>
    <w:rsid w:val="21D173FB"/>
    <w:rsid w:val="2210107D"/>
    <w:rsid w:val="22411081"/>
    <w:rsid w:val="2247495C"/>
    <w:rsid w:val="225D38CF"/>
    <w:rsid w:val="22791318"/>
    <w:rsid w:val="22851A6B"/>
    <w:rsid w:val="2296628B"/>
    <w:rsid w:val="22BA5BB9"/>
    <w:rsid w:val="22D84291"/>
    <w:rsid w:val="22EC00EB"/>
    <w:rsid w:val="22EE7610"/>
    <w:rsid w:val="22F97D63"/>
    <w:rsid w:val="23344974"/>
    <w:rsid w:val="234F4F38"/>
    <w:rsid w:val="23671171"/>
    <w:rsid w:val="237C266D"/>
    <w:rsid w:val="23827D58"/>
    <w:rsid w:val="23865A9B"/>
    <w:rsid w:val="238D507B"/>
    <w:rsid w:val="2398757C"/>
    <w:rsid w:val="239A7798"/>
    <w:rsid w:val="23C14D25"/>
    <w:rsid w:val="23CB5BA3"/>
    <w:rsid w:val="23D36806"/>
    <w:rsid w:val="23E10F23"/>
    <w:rsid w:val="23E40A13"/>
    <w:rsid w:val="24172B97"/>
    <w:rsid w:val="242157C3"/>
    <w:rsid w:val="243279D1"/>
    <w:rsid w:val="243674C1"/>
    <w:rsid w:val="24390D5F"/>
    <w:rsid w:val="24536778"/>
    <w:rsid w:val="24647CF6"/>
    <w:rsid w:val="24947500"/>
    <w:rsid w:val="24B403E6"/>
    <w:rsid w:val="24F829C8"/>
    <w:rsid w:val="25140E84"/>
    <w:rsid w:val="252B5B2A"/>
    <w:rsid w:val="2536704D"/>
    <w:rsid w:val="25506FCE"/>
    <w:rsid w:val="25583467"/>
    <w:rsid w:val="25706A02"/>
    <w:rsid w:val="25C32FD6"/>
    <w:rsid w:val="25DA4F02"/>
    <w:rsid w:val="25EE7927"/>
    <w:rsid w:val="25F0369F"/>
    <w:rsid w:val="25F67DC6"/>
    <w:rsid w:val="25F95B2B"/>
    <w:rsid w:val="2607261F"/>
    <w:rsid w:val="260F621B"/>
    <w:rsid w:val="2619074E"/>
    <w:rsid w:val="26256302"/>
    <w:rsid w:val="262B0B7B"/>
    <w:rsid w:val="263A491A"/>
    <w:rsid w:val="26574DB8"/>
    <w:rsid w:val="267E0CCD"/>
    <w:rsid w:val="268362C1"/>
    <w:rsid w:val="26914E82"/>
    <w:rsid w:val="26977FBF"/>
    <w:rsid w:val="26C54B2C"/>
    <w:rsid w:val="26CC7C68"/>
    <w:rsid w:val="26D1527F"/>
    <w:rsid w:val="26F64CE5"/>
    <w:rsid w:val="271138CD"/>
    <w:rsid w:val="27114611"/>
    <w:rsid w:val="271E423C"/>
    <w:rsid w:val="275163C0"/>
    <w:rsid w:val="27606603"/>
    <w:rsid w:val="27716A62"/>
    <w:rsid w:val="27751E74"/>
    <w:rsid w:val="278A3680"/>
    <w:rsid w:val="27A42993"/>
    <w:rsid w:val="27AC1848"/>
    <w:rsid w:val="27D17500"/>
    <w:rsid w:val="27E92C02"/>
    <w:rsid w:val="28060F58"/>
    <w:rsid w:val="282B09BF"/>
    <w:rsid w:val="2859068C"/>
    <w:rsid w:val="28597AC9"/>
    <w:rsid w:val="286471A2"/>
    <w:rsid w:val="28A65964"/>
    <w:rsid w:val="28B766F6"/>
    <w:rsid w:val="28D21EDC"/>
    <w:rsid w:val="29057462"/>
    <w:rsid w:val="291853E7"/>
    <w:rsid w:val="29231FDE"/>
    <w:rsid w:val="29431FF9"/>
    <w:rsid w:val="294E0E09"/>
    <w:rsid w:val="295757E3"/>
    <w:rsid w:val="295E6B72"/>
    <w:rsid w:val="29605C39"/>
    <w:rsid w:val="297D1482"/>
    <w:rsid w:val="29C6459A"/>
    <w:rsid w:val="29DA1670"/>
    <w:rsid w:val="29E76B67"/>
    <w:rsid w:val="29F15C38"/>
    <w:rsid w:val="29F55CE0"/>
    <w:rsid w:val="29FD24BB"/>
    <w:rsid w:val="29FF0355"/>
    <w:rsid w:val="2A21416C"/>
    <w:rsid w:val="2A307BE9"/>
    <w:rsid w:val="2A3C5105"/>
    <w:rsid w:val="2A3F3084"/>
    <w:rsid w:val="2A502B30"/>
    <w:rsid w:val="2A5A03AF"/>
    <w:rsid w:val="2A7E3970"/>
    <w:rsid w:val="2A8A2D28"/>
    <w:rsid w:val="2A9137CD"/>
    <w:rsid w:val="2AAB5DE7"/>
    <w:rsid w:val="2AC24A4E"/>
    <w:rsid w:val="2AE412F9"/>
    <w:rsid w:val="2AEF03C9"/>
    <w:rsid w:val="2AF01219"/>
    <w:rsid w:val="2B00656C"/>
    <w:rsid w:val="2B245389"/>
    <w:rsid w:val="2B3D3E53"/>
    <w:rsid w:val="2B522706"/>
    <w:rsid w:val="2B6761B2"/>
    <w:rsid w:val="2B960048"/>
    <w:rsid w:val="2B9B40AD"/>
    <w:rsid w:val="2BF33EE9"/>
    <w:rsid w:val="2BF5596C"/>
    <w:rsid w:val="2C353425"/>
    <w:rsid w:val="2C387B4E"/>
    <w:rsid w:val="2C42277B"/>
    <w:rsid w:val="2C5B55EB"/>
    <w:rsid w:val="2C5D5807"/>
    <w:rsid w:val="2C631759"/>
    <w:rsid w:val="2C673F8F"/>
    <w:rsid w:val="2C6E471E"/>
    <w:rsid w:val="2C721027"/>
    <w:rsid w:val="2CA3146B"/>
    <w:rsid w:val="2CAD22EA"/>
    <w:rsid w:val="2CAD4098"/>
    <w:rsid w:val="2CC338BC"/>
    <w:rsid w:val="2CC80ED2"/>
    <w:rsid w:val="2CD21D51"/>
    <w:rsid w:val="2CD86C3B"/>
    <w:rsid w:val="2CE24EDC"/>
    <w:rsid w:val="2CEA709A"/>
    <w:rsid w:val="2CF42E5C"/>
    <w:rsid w:val="2D1839CC"/>
    <w:rsid w:val="2D3442AE"/>
    <w:rsid w:val="2D4C1B03"/>
    <w:rsid w:val="2D4C5FB8"/>
    <w:rsid w:val="2D71156A"/>
    <w:rsid w:val="2D810489"/>
    <w:rsid w:val="2D855015"/>
    <w:rsid w:val="2D8C0151"/>
    <w:rsid w:val="2DAD1E76"/>
    <w:rsid w:val="2DAF2092"/>
    <w:rsid w:val="2DC2352D"/>
    <w:rsid w:val="2DDB2E87"/>
    <w:rsid w:val="2DF86FE5"/>
    <w:rsid w:val="2E047BD1"/>
    <w:rsid w:val="2E187C37"/>
    <w:rsid w:val="2E56075F"/>
    <w:rsid w:val="2E5C75C9"/>
    <w:rsid w:val="2E6E3CFB"/>
    <w:rsid w:val="2E992FC2"/>
    <w:rsid w:val="2EA92857"/>
    <w:rsid w:val="2EB21E3A"/>
    <w:rsid w:val="2EB52D65"/>
    <w:rsid w:val="2EBA06F2"/>
    <w:rsid w:val="2EC41B6D"/>
    <w:rsid w:val="2EDC0C65"/>
    <w:rsid w:val="2EF07F65"/>
    <w:rsid w:val="2F1C5505"/>
    <w:rsid w:val="2F2A7C22"/>
    <w:rsid w:val="2F3A1040"/>
    <w:rsid w:val="2F5E167A"/>
    <w:rsid w:val="2F634EE2"/>
    <w:rsid w:val="2F6724D1"/>
    <w:rsid w:val="2FA1792D"/>
    <w:rsid w:val="2FC64215"/>
    <w:rsid w:val="2FCF07C9"/>
    <w:rsid w:val="2FD7142C"/>
    <w:rsid w:val="2FDC6A42"/>
    <w:rsid w:val="2FEF6776"/>
    <w:rsid w:val="300551AF"/>
    <w:rsid w:val="300D1C89"/>
    <w:rsid w:val="301C3A83"/>
    <w:rsid w:val="301D1535"/>
    <w:rsid w:val="302428C3"/>
    <w:rsid w:val="305A62E5"/>
    <w:rsid w:val="305C3852"/>
    <w:rsid w:val="30C65728"/>
    <w:rsid w:val="31086BDE"/>
    <w:rsid w:val="312D1C4B"/>
    <w:rsid w:val="31374D51"/>
    <w:rsid w:val="313F372D"/>
    <w:rsid w:val="31725198"/>
    <w:rsid w:val="317F6DF5"/>
    <w:rsid w:val="318A49A8"/>
    <w:rsid w:val="319C46DB"/>
    <w:rsid w:val="31A812D2"/>
    <w:rsid w:val="31BD5D04"/>
    <w:rsid w:val="31F90508"/>
    <w:rsid w:val="32116E77"/>
    <w:rsid w:val="323B3EF4"/>
    <w:rsid w:val="325356E2"/>
    <w:rsid w:val="325C3658"/>
    <w:rsid w:val="3273368E"/>
    <w:rsid w:val="32901F78"/>
    <w:rsid w:val="32A210B9"/>
    <w:rsid w:val="32A221C5"/>
    <w:rsid w:val="32AF0F68"/>
    <w:rsid w:val="32F26CF2"/>
    <w:rsid w:val="32FA3DAF"/>
    <w:rsid w:val="32FF4F22"/>
    <w:rsid w:val="33254432"/>
    <w:rsid w:val="332930F1"/>
    <w:rsid w:val="33353039"/>
    <w:rsid w:val="33447797"/>
    <w:rsid w:val="33863895"/>
    <w:rsid w:val="33D22636"/>
    <w:rsid w:val="33D75BD7"/>
    <w:rsid w:val="33D95773"/>
    <w:rsid w:val="340A6274"/>
    <w:rsid w:val="342C0E9C"/>
    <w:rsid w:val="342D4BDB"/>
    <w:rsid w:val="343E1A7A"/>
    <w:rsid w:val="344332F6"/>
    <w:rsid w:val="34452E08"/>
    <w:rsid w:val="345841E4"/>
    <w:rsid w:val="345B6AD0"/>
    <w:rsid w:val="346B00EF"/>
    <w:rsid w:val="346C4839"/>
    <w:rsid w:val="34AE6BFF"/>
    <w:rsid w:val="34BD5279"/>
    <w:rsid w:val="34DB19BE"/>
    <w:rsid w:val="34E268A9"/>
    <w:rsid w:val="34E41468"/>
    <w:rsid w:val="34E46AC5"/>
    <w:rsid w:val="34EB1C02"/>
    <w:rsid w:val="34EE34A0"/>
    <w:rsid w:val="34F42637"/>
    <w:rsid w:val="34FD4E2A"/>
    <w:rsid w:val="35076310"/>
    <w:rsid w:val="351275CF"/>
    <w:rsid w:val="352B0250"/>
    <w:rsid w:val="352E5F92"/>
    <w:rsid w:val="354A022C"/>
    <w:rsid w:val="355C5974"/>
    <w:rsid w:val="35881675"/>
    <w:rsid w:val="358B3C32"/>
    <w:rsid w:val="358F1EEB"/>
    <w:rsid w:val="35B5358B"/>
    <w:rsid w:val="35C0308E"/>
    <w:rsid w:val="35DB7EC8"/>
    <w:rsid w:val="35FB40C6"/>
    <w:rsid w:val="35FF348B"/>
    <w:rsid w:val="36041CBE"/>
    <w:rsid w:val="360D3DFA"/>
    <w:rsid w:val="360D5BA8"/>
    <w:rsid w:val="361B06AD"/>
    <w:rsid w:val="362353CB"/>
    <w:rsid w:val="36321AB2"/>
    <w:rsid w:val="3634307A"/>
    <w:rsid w:val="364D2448"/>
    <w:rsid w:val="36835265"/>
    <w:rsid w:val="36853990"/>
    <w:rsid w:val="369B5418"/>
    <w:rsid w:val="36E83F1F"/>
    <w:rsid w:val="36FC0D23"/>
    <w:rsid w:val="371F2036"/>
    <w:rsid w:val="371F710E"/>
    <w:rsid w:val="373830F8"/>
    <w:rsid w:val="3744384B"/>
    <w:rsid w:val="374B4BD9"/>
    <w:rsid w:val="376F1D79"/>
    <w:rsid w:val="37BA58BB"/>
    <w:rsid w:val="37D746BF"/>
    <w:rsid w:val="38010D7E"/>
    <w:rsid w:val="382F0057"/>
    <w:rsid w:val="38373B2B"/>
    <w:rsid w:val="383C09C6"/>
    <w:rsid w:val="38547ABE"/>
    <w:rsid w:val="386A5533"/>
    <w:rsid w:val="38731C98"/>
    <w:rsid w:val="387E6AA8"/>
    <w:rsid w:val="3885236D"/>
    <w:rsid w:val="388D4D7E"/>
    <w:rsid w:val="38BE6E96"/>
    <w:rsid w:val="38CF183A"/>
    <w:rsid w:val="38F512A1"/>
    <w:rsid w:val="39237490"/>
    <w:rsid w:val="393C6ED0"/>
    <w:rsid w:val="395A7356"/>
    <w:rsid w:val="396106E4"/>
    <w:rsid w:val="396631A1"/>
    <w:rsid w:val="39673821"/>
    <w:rsid w:val="399003FF"/>
    <w:rsid w:val="39B80A3E"/>
    <w:rsid w:val="39BA2406"/>
    <w:rsid w:val="39FE23D7"/>
    <w:rsid w:val="3A0A215A"/>
    <w:rsid w:val="3A126110"/>
    <w:rsid w:val="3A2C2CB0"/>
    <w:rsid w:val="3A371445"/>
    <w:rsid w:val="3A405BBE"/>
    <w:rsid w:val="3A4122C4"/>
    <w:rsid w:val="3A4C6F6C"/>
    <w:rsid w:val="3A6A35C8"/>
    <w:rsid w:val="3A8D6884"/>
    <w:rsid w:val="3A922B1F"/>
    <w:rsid w:val="3AB74334"/>
    <w:rsid w:val="3AD44EE6"/>
    <w:rsid w:val="3ADA2CB0"/>
    <w:rsid w:val="3AF5301B"/>
    <w:rsid w:val="3B0B695B"/>
    <w:rsid w:val="3B2714BA"/>
    <w:rsid w:val="3B4C6B7D"/>
    <w:rsid w:val="3B626996"/>
    <w:rsid w:val="3B6444BC"/>
    <w:rsid w:val="3B803E4E"/>
    <w:rsid w:val="3B824942"/>
    <w:rsid w:val="3B8B04F4"/>
    <w:rsid w:val="3B90705F"/>
    <w:rsid w:val="3B925D0A"/>
    <w:rsid w:val="3B9308FD"/>
    <w:rsid w:val="3BA230A0"/>
    <w:rsid w:val="3BAD0F9B"/>
    <w:rsid w:val="3BDA5D03"/>
    <w:rsid w:val="3BDE455E"/>
    <w:rsid w:val="3BF910A8"/>
    <w:rsid w:val="3C0B4DD9"/>
    <w:rsid w:val="3C0C42A9"/>
    <w:rsid w:val="3C396AE8"/>
    <w:rsid w:val="3C3D4818"/>
    <w:rsid w:val="3C4C78BA"/>
    <w:rsid w:val="3C6F136A"/>
    <w:rsid w:val="3C77021F"/>
    <w:rsid w:val="3C8A7F52"/>
    <w:rsid w:val="3CA8662A"/>
    <w:rsid w:val="3CB72D11"/>
    <w:rsid w:val="3CCF005B"/>
    <w:rsid w:val="3CF03B2D"/>
    <w:rsid w:val="3CF360A7"/>
    <w:rsid w:val="3CF47AC1"/>
    <w:rsid w:val="3D29776B"/>
    <w:rsid w:val="3D402D06"/>
    <w:rsid w:val="3D5F318D"/>
    <w:rsid w:val="3D7217AC"/>
    <w:rsid w:val="3DD376D7"/>
    <w:rsid w:val="3DD86A9B"/>
    <w:rsid w:val="3DEA337D"/>
    <w:rsid w:val="3E2C4A1C"/>
    <w:rsid w:val="3E344619"/>
    <w:rsid w:val="3E3F09AD"/>
    <w:rsid w:val="3E5C147A"/>
    <w:rsid w:val="3E907376"/>
    <w:rsid w:val="3E927592"/>
    <w:rsid w:val="3E9926CE"/>
    <w:rsid w:val="3EA11583"/>
    <w:rsid w:val="3EA3354D"/>
    <w:rsid w:val="3EB07A18"/>
    <w:rsid w:val="3EB968CD"/>
    <w:rsid w:val="3EBB0897"/>
    <w:rsid w:val="3ED656D0"/>
    <w:rsid w:val="3EE576C2"/>
    <w:rsid w:val="3EFC4A0B"/>
    <w:rsid w:val="3F0F2990"/>
    <w:rsid w:val="3F475797"/>
    <w:rsid w:val="3F5860E5"/>
    <w:rsid w:val="3F740A45"/>
    <w:rsid w:val="3F7647BE"/>
    <w:rsid w:val="3F791C7D"/>
    <w:rsid w:val="3F7C43CA"/>
    <w:rsid w:val="3F830C89"/>
    <w:rsid w:val="3F9904AC"/>
    <w:rsid w:val="3F9A4950"/>
    <w:rsid w:val="3FA51CB3"/>
    <w:rsid w:val="3FD37F43"/>
    <w:rsid w:val="3FD55988"/>
    <w:rsid w:val="3FD87226"/>
    <w:rsid w:val="3FDA2F9E"/>
    <w:rsid w:val="3FE07E89"/>
    <w:rsid w:val="3FFB252B"/>
    <w:rsid w:val="400C6902"/>
    <w:rsid w:val="401144E6"/>
    <w:rsid w:val="40167D4F"/>
    <w:rsid w:val="4038111F"/>
    <w:rsid w:val="403D352D"/>
    <w:rsid w:val="404B79F8"/>
    <w:rsid w:val="404C551E"/>
    <w:rsid w:val="406F3AF4"/>
    <w:rsid w:val="409C0254"/>
    <w:rsid w:val="40A4348B"/>
    <w:rsid w:val="40AE5771"/>
    <w:rsid w:val="40B732E0"/>
    <w:rsid w:val="40B74E3E"/>
    <w:rsid w:val="40CC2626"/>
    <w:rsid w:val="41061B71"/>
    <w:rsid w:val="410E3FFA"/>
    <w:rsid w:val="411249BA"/>
    <w:rsid w:val="4127567E"/>
    <w:rsid w:val="412F10C8"/>
    <w:rsid w:val="417B255F"/>
    <w:rsid w:val="41A76EB0"/>
    <w:rsid w:val="41B43F9D"/>
    <w:rsid w:val="41BD0482"/>
    <w:rsid w:val="41C757A4"/>
    <w:rsid w:val="41CC4B1E"/>
    <w:rsid w:val="41CC707C"/>
    <w:rsid w:val="41E55C2A"/>
    <w:rsid w:val="42075BA1"/>
    <w:rsid w:val="420E33D3"/>
    <w:rsid w:val="420F4A55"/>
    <w:rsid w:val="42100EF9"/>
    <w:rsid w:val="422972BE"/>
    <w:rsid w:val="427A2D60"/>
    <w:rsid w:val="42A04A24"/>
    <w:rsid w:val="42A96C58"/>
    <w:rsid w:val="42CE0819"/>
    <w:rsid w:val="42E06533"/>
    <w:rsid w:val="42FC61A4"/>
    <w:rsid w:val="432B3B11"/>
    <w:rsid w:val="43324E9F"/>
    <w:rsid w:val="434652D4"/>
    <w:rsid w:val="439B2A45"/>
    <w:rsid w:val="439D42E3"/>
    <w:rsid w:val="43B44C06"/>
    <w:rsid w:val="43B753A5"/>
    <w:rsid w:val="43C80BE7"/>
    <w:rsid w:val="43CA157C"/>
    <w:rsid w:val="43E048FB"/>
    <w:rsid w:val="440305EA"/>
    <w:rsid w:val="442E06CB"/>
    <w:rsid w:val="44476729"/>
    <w:rsid w:val="444E3F5B"/>
    <w:rsid w:val="4484797D"/>
    <w:rsid w:val="44872FC9"/>
    <w:rsid w:val="44BC2C73"/>
    <w:rsid w:val="44DF1865"/>
    <w:rsid w:val="44F10728"/>
    <w:rsid w:val="44F468B0"/>
    <w:rsid w:val="450665E4"/>
    <w:rsid w:val="450C6BE5"/>
    <w:rsid w:val="450E5498"/>
    <w:rsid w:val="45442C68"/>
    <w:rsid w:val="454A4722"/>
    <w:rsid w:val="45795008"/>
    <w:rsid w:val="459040FF"/>
    <w:rsid w:val="45997458"/>
    <w:rsid w:val="459A6699"/>
    <w:rsid w:val="45AC0F39"/>
    <w:rsid w:val="45C86836"/>
    <w:rsid w:val="45D16ABB"/>
    <w:rsid w:val="45D45DCF"/>
    <w:rsid w:val="45F81342"/>
    <w:rsid w:val="461F4288"/>
    <w:rsid w:val="46645115"/>
    <w:rsid w:val="467F03FC"/>
    <w:rsid w:val="468772B0"/>
    <w:rsid w:val="46C405BF"/>
    <w:rsid w:val="46E75FA1"/>
    <w:rsid w:val="47017063"/>
    <w:rsid w:val="472F7EC6"/>
    <w:rsid w:val="4743767B"/>
    <w:rsid w:val="47485997"/>
    <w:rsid w:val="47501D98"/>
    <w:rsid w:val="47573126"/>
    <w:rsid w:val="47887784"/>
    <w:rsid w:val="47B265C4"/>
    <w:rsid w:val="47CB5D32"/>
    <w:rsid w:val="481334F1"/>
    <w:rsid w:val="482379D2"/>
    <w:rsid w:val="48277F71"/>
    <w:rsid w:val="48360F8E"/>
    <w:rsid w:val="4839282C"/>
    <w:rsid w:val="484F599D"/>
    <w:rsid w:val="48710218"/>
    <w:rsid w:val="488600F6"/>
    <w:rsid w:val="489932CB"/>
    <w:rsid w:val="48AC74A2"/>
    <w:rsid w:val="48DD3AFF"/>
    <w:rsid w:val="48EA3B26"/>
    <w:rsid w:val="490177EE"/>
    <w:rsid w:val="49137521"/>
    <w:rsid w:val="4968161B"/>
    <w:rsid w:val="496C1203"/>
    <w:rsid w:val="49746212"/>
    <w:rsid w:val="49755AE6"/>
    <w:rsid w:val="497955D6"/>
    <w:rsid w:val="498B5309"/>
    <w:rsid w:val="49A5461D"/>
    <w:rsid w:val="49AE2DA6"/>
    <w:rsid w:val="49B6261E"/>
    <w:rsid w:val="49DC7913"/>
    <w:rsid w:val="49E8275C"/>
    <w:rsid w:val="4A0A0924"/>
    <w:rsid w:val="4A33416A"/>
    <w:rsid w:val="4A462381"/>
    <w:rsid w:val="4A477482"/>
    <w:rsid w:val="4A5C2802"/>
    <w:rsid w:val="4A5F709C"/>
    <w:rsid w:val="4A8404A0"/>
    <w:rsid w:val="4A930919"/>
    <w:rsid w:val="4AA67BEC"/>
    <w:rsid w:val="4AA85A47"/>
    <w:rsid w:val="4AB10DA0"/>
    <w:rsid w:val="4AC47CAC"/>
    <w:rsid w:val="4ACB1901"/>
    <w:rsid w:val="4AE55058"/>
    <w:rsid w:val="4AE61C97"/>
    <w:rsid w:val="4AEC1DD8"/>
    <w:rsid w:val="4AF13892"/>
    <w:rsid w:val="4AFA4594"/>
    <w:rsid w:val="4B133808"/>
    <w:rsid w:val="4B15132F"/>
    <w:rsid w:val="4B1D01E3"/>
    <w:rsid w:val="4B3C2D5F"/>
    <w:rsid w:val="4B410375"/>
    <w:rsid w:val="4B431B4A"/>
    <w:rsid w:val="4B6978CC"/>
    <w:rsid w:val="4B831C8E"/>
    <w:rsid w:val="4BA92BA5"/>
    <w:rsid w:val="4BAD5A0B"/>
    <w:rsid w:val="4BB723E6"/>
    <w:rsid w:val="4BB9615E"/>
    <w:rsid w:val="4BBF74EC"/>
    <w:rsid w:val="4BF058F8"/>
    <w:rsid w:val="4BF7788F"/>
    <w:rsid w:val="4BFE6267"/>
    <w:rsid w:val="4C2757BD"/>
    <w:rsid w:val="4C286E40"/>
    <w:rsid w:val="4C340F72"/>
    <w:rsid w:val="4C3E2B07"/>
    <w:rsid w:val="4C8D4534"/>
    <w:rsid w:val="4C942727"/>
    <w:rsid w:val="4CBB4158"/>
    <w:rsid w:val="4CE01414"/>
    <w:rsid w:val="4D0745D0"/>
    <w:rsid w:val="4D1B0752"/>
    <w:rsid w:val="4D21045F"/>
    <w:rsid w:val="4D2515D1"/>
    <w:rsid w:val="4D330508"/>
    <w:rsid w:val="4D550108"/>
    <w:rsid w:val="4D896004"/>
    <w:rsid w:val="4D9A5B1B"/>
    <w:rsid w:val="4DA4699A"/>
    <w:rsid w:val="4DAC584E"/>
    <w:rsid w:val="4DB148AE"/>
    <w:rsid w:val="4DBC0187"/>
    <w:rsid w:val="4DC86B2C"/>
    <w:rsid w:val="4DDA7116"/>
    <w:rsid w:val="4DE82D2A"/>
    <w:rsid w:val="4E056C19"/>
    <w:rsid w:val="4E1753BE"/>
    <w:rsid w:val="4E606D65"/>
    <w:rsid w:val="4E7445BE"/>
    <w:rsid w:val="4E8D742E"/>
    <w:rsid w:val="4E915170"/>
    <w:rsid w:val="4E922C96"/>
    <w:rsid w:val="4E966638"/>
    <w:rsid w:val="4EA12ED9"/>
    <w:rsid w:val="4EA330F5"/>
    <w:rsid w:val="4EA60109"/>
    <w:rsid w:val="4EE47996"/>
    <w:rsid w:val="4EF13E61"/>
    <w:rsid w:val="4EF86F9D"/>
    <w:rsid w:val="4EFB4CDF"/>
    <w:rsid w:val="4F0469A4"/>
    <w:rsid w:val="4F1B2C8C"/>
    <w:rsid w:val="4F702FD7"/>
    <w:rsid w:val="4F840831"/>
    <w:rsid w:val="4F905428"/>
    <w:rsid w:val="4F98252E"/>
    <w:rsid w:val="4FBE01E7"/>
    <w:rsid w:val="4FC652ED"/>
    <w:rsid w:val="4FD33566"/>
    <w:rsid w:val="4FD70883"/>
    <w:rsid w:val="50243DC2"/>
    <w:rsid w:val="50245B70"/>
    <w:rsid w:val="503201EC"/>
    <w:rsid w:val="505C355C"/>
    <w:rsid w:val="507408A5"/>
    <w:rsid w:val="50744D49"/>
    <w:rsid w:val="50874A7C"/>
    <w:rsid w:val="508A6944"/>
    <w:rsid w:val="50A05B3E"/>
    <w:rsid w:val="50A078EC"/>
    <w:rsid w:val="50A8054F"/>
    <w:rsid w:val="50B909AE"/>
    <w:rsid w:val="50E579F5"/>
    <w:rsid w:val="510B5015"/>
    <w:rsid w:val="510F4A72"/>
    <w:rsid w:val="51167BFA"/>
    <w:rsid w:val="511E4CB5"/>
    <w:rsid w:val="51215E2C"/>
    <w:rsid w:val="51295B34"/>
    <w:rsid w:val="51380E48"/>
    <w:rsid w:val="51600E2A"/>
    <w:rsid w:val="518260BE"/>
    <w:rsid w:val="51A1708F"/>
    <w:rsid w:val="51BA49DE"/>
    <w:rsid w:val="51BF39D2"/>
    <w:rsid w:val="51C07B1A"/>
    <w:rsid w:val="51C25640"/>
    <w:rsid w:val="51C32DEB"/>
    <w:rsid w:val="51C770FB"/>
    <w:rsid w:val="51D04201"/>
    <w:rsid w:val="51ED4A3B"/>
    <w:rsid w:val="51F12145"/>
    <w:rsid w:val="52064FFB"/>
    <w:rsid w:val="52181704"/>
    <w:rsid w:val="522B006F"/>
    <w:rsid w:val="52765B1A"/>
    <w:rsid w:val="52862B12"/>
    <w:rsid w:val="52C33D66"/>
    <w:rsid w:val="52C8312A"/>
    <w:rsid w:val="52FA72EF"/>
    <w:rsid w:val="52FE3AF1"/>
    <w:rsid w:val="53000B16"/>
    <w:rsid w:val="5322283B"/>
    <w:rsid w:val="53283BC9"/>
    <w:rsid w:val="536757CC"/>
    <w:rsid w:val="538F5D77"/>
    <w:rsid w:val="53A5521A"/>
    <w:rsid w:val="53B92A73"/>
    <w:rsid w:val="53C07004"/>
    <w:rsid w:val="53DF6122"/>
    <w:rsid w:val="53EA6E0C"/>
    <w:rsid w:val="54176CC7"/>
    <w:rsid w:val="5420625B"/>
    <w:rsid w:val="546450D5"/>
    <w:rsid w:val="546649A9"/>
    <w:rsid w:val="546C144D"/>
    <w:rsid w:val="54705828"/>
    <w:rsid w:val="547C5186"/>
    <w:rsid w:val="548E5CAE"/>
    <w:rsid w:val="549A4653"/>
    <w:rsid w:val="54C65448"/>
    <w:rsid w:val="54DA747E"/>
    <w:rsid w:val="551663CF"/>
    <w:rsid w:val="55306D65"/>
    <w:rsid w:val="553B7BE4"/>
    <w:rsid w:val="554E3DBB"/>
    <w:rsid w:val="556C2D2C"/>
    <w:rsid w:val="557C303F"/>
    <w:rsid w:val="559E63C4"/>
    <w:rsid w:val="55A21A11"/>
    <w:rsid w:val="55A54882"/>
    <w:rsid w:val="55C20305"/>
    <w:rsid w:val="55C220B3"/>
    <w:rsid w:val="55DF0EB7"/>
    <w:rsid w:val="55FC6F38"/>
    <w:rsid w:val="560C579B"/>
    <w:rsid w:val="560D7DDD"/>
    <w:rsid w:val="561F561F"/>
    <w:rsid w:val="5621502B"/>
    <w:rsid w:val="56270168"/>
    <w:rsid w:val="562C39D0"/>
    <w:rsid w:val="56327239"/>
    <w:rsid w:val="56A812A9"/>
    <w:rsid w:val="56D77DE0"/>
    <w:rsid w:val="574216FD"/>
    <w:rsid w:val="574249AC"/>
    <w:rsid w:val="574F7976"/>
    <w:rsid w:val="575F7626"/>
    <w:rsid w:val="577235CD"/>
    <w:rsid w:val="57882013"/>
    <w:rsid w:val="578F2469"/>
    <w:rsid w:val="579105CB"/>
    <w:rsid w:val="579B705F"/>
    <w:rsid w:val="57B51761"/>
    <w:rsid w:val="57B570EE"/>
    <w:rsid w:val="58040BF9"/>
    <w:rsid w:val="581B1F4E"/>
    <w:rsid w:val="5822508B"/>
    <w:rsid w:val="583848AE"/>
    <w:rsid w:val="5839655C"/>
    <w:rsid w:val="585B140E"/>
    <w:rsid w:val="58670CF0"/>
    <w:rsid w:val="587753D7"/>
    <w:rsid w:val="587F03CD"/>
    <w:rsid w:val="58B56458"/>
    <w:rsid w:val="58C24B9F"/>
    <w:rsid w:val="58EB36CF"/>
    <w:rsid w:val="58FE1654"/>
    <w:rsid w:val="58FF201C"/>
    <w:rsid w:val="59172716"/>
    <w:rsid w:val="5923730C"/>
    <w:rsid w:val="592B7F6F"/>
    <w:rsid w:val="59407EBE"/>
    <w:rsid w:val="59480B21"/>
    <w:rsid w:val="595601D4"/>
    <w:rsid w:val="596B1A25"/>
    <w:rsid w:val="59814033"/>
    <w:rsid w:val="5991071A"/>
    <w:rsid w:val="5999312B"/>
    <w:rsid w:val="59A71CEC"/>
    <w:rsid w:val="59B44408"/>
    <w:rsid w:val="59B91A1F"/>
    <w:rsid w:val="59BB5797"/>
    <w:rsid w:val="59BE24BA"/>
    <w:rsid w:val="59C81C62"/>
    <w:rsid w:val="59D5242F"/>
    <w:rsid w:val="59DD570D"/>
    <w:rsid w:val="5A011A11"/>
    <w:rsid w:val="5A0F163F"/>
    <w:rsid w:val="5A3E5A0E"/>
    <w:rsid w:val="5A5C48E0"/>
    <w:rsid w:val="5A692DFE"/>
    <w:rsid w:val="5A7274BD"/>
    <w:rsid w:val="5A78650C"/>
    <w:rsid w:val="5A81078E"/>
    <w:rsid w:val="5A9102A6"/>
    <w:rsid w:val="5A93401E"/>
    <w:rsid w:val="5AC63083"/>
    <w:rsid w:val="5AD1079A"/>
    <w:rsid w:val="5B182775"/>
    <w:rsid w:val="5B1860B4"/>
    <w:rsid w:val="5B1A029B"/>
    <w:rsid w:val="5B1B05A3"/>
    <w:rsid w:val="5B266C40"/>
    <w:rsid w:val="5B2B24A8"/>
    <w:rsid w:val="5B50350A"/>
    <w:rsid w:val="5B647768"/>
    <w:rsid w:val="5B6977A5"/>
    <w:rsid w:val="5B6F4A8B"/>
    <w:rsid w:val="5B751975"/>
    <w:rsid w:val="5B793214"/>
    <w:rsid w:val="5BD04920"/>
    <w:rsid w:val="5BFB00CD"/>
    <w:rsid w:val="5BFE2350"/>
    <w:rsid w:val="5C357B6A"/>
    <w:rsid w:val="5C3655A9"/>
    <w:rsid w:val="5C3E76E6"/>
    <w:rsid w:val="5C3F26AF"/>
    <w:rsid w:val="5C403D31"/>
    <w:rsid w:val="5C41566A"/>
    <w:rsid w:val="5C4C6B7A"/>
    <w:rsid w:val="5C71213D"/>
    <w:rsid w:val="5C7F2AAC"/>
    <w:rsid w:val="5C875E04"/>
    <w:rsid w:val="5CCE3A33"/>
    <w:rsid w:val="5CF33610"/>
    <w:rsid w:val="5D0D42C6"/>
    <w:rsid w:val="5D132D4F"/>
    <w:rsid w:val="5D144A17"/>
    <w:rsid w:val="5D3870FE"/>
    <w:rsid w:val="5D443CF5"/>
    <w:rsid w:val="5D4635C9"/>
    <w:rsid w:val="5D4B0BE0"/>
    <w:rsid w:val="5D6D0B56"/>
    <w:rsid w:val="5D8660BC"/>
    <w:rsid w:val="5D867E6A"/>
    <w:rsid w:val="5DA327CA"/>
    <w:rsid w:val="5E127950"/>
    <w:rsid w:val="5E1C432A"/>
    <w:rsid w:val="5E3A0268"/>
    <w:rsid w:val="5E3A1C45"/>
    <w:rsid w:val="5E421FE3"/>
    <w:rsid w:val="5E542C00"/>
    <w:rsid w:val="5E5568B4"/>
    <w:rsid w:val="5EC647D8"/>
    <w:rsid w:val="5ECF26F0"/>
    <w:rsid w:val="5ED66BCF"/>
    <w:rsid w:val="5EDC2437"/>
    <w:rsid w:val="5EDF5A84"/>
    <w:rsid w:val="5F061262"/>
    <w:rsid w:val="5F1A1554"/>
    <w:rsid w:val="5F264979"/>
    <w:rsid w:val="5F4E6765"/>
    <w:rsid w:val="5F574EE8"/>
    <w:rsid w:val="5F5C0E82"/>
    <w:rsid w:val="5F716BC3"/>
    <w:rsid w:val="5F85487D"/>
    <w:rsid w:val="5FBE3BF4"/>
    <w:rsid w:val="5FCA35B8"/>
    <w:rsid w:val="5FE377F5"/>
    <w:rsid w:val="60170067"/>
    <w:rsid w:val="604162CA"/>
    <w:rsid w:val="604F09E7"/>
    <w:rsid w:val="606A26FC"/>
    <w:rsid w:val="60996056"/>
    <w:rsid w:val="609C20E7"/>
    <w:rsid w:val="60BB7E2A"/>
    <w:rsid w:val="60D333C6"/>
    <w:rsid w:val="60E71CA1"/>
    <w:rsid w:val="60E94998"/>
    <w:rsid w:val="60F24707"/>
    <w:rsid w:val="610304D9"/>
    <w:rsid w:val="611A0EA3"/>
    <w:rsid w:val="611E1553"/>
    <w:rsid w:val="6120147F"/>
    <w:rsid w:val="6136629E"/>
    <w:rsid w:val="614D245F"/>
    <w:rsid w:val="615362B5"/>
    <w:rsid w:val="61A40626"/>
    <w:rsid w:val="61AD3C17"/>
    <w:rsid w:val="61C16FEA"/>
    <w:rsid w:val="61E0223F"/>
    <w:rsid w:val="61ED495B"/>
    <w:rsid w:val="61F71336"/>
    <w:rsid w:val="622F0AD0"/>
    <w:rsid w:val="624C1682"/>
    <w:rsid w:val="62594AB7"/>
    <w:rsid w:val="62595D16"/>
    <w:rsid w:val="62943029"/>
    <w:rsid w:val="62B337E3"/>
    <w:rsid w:val="62C03E1E"/>
    <w:rsid w:val="62EF43CA"/>
    <w:rsid w:val="63091CD0"/>
    <w:rsid w:val="630A7F9A"/>
    <w:rsid w:val="6315416A"/>
    <w:rsid w:val="63452C99"/>
    <w:rsid w:val="63521C8A"/>
    <w:rsid w:val="63601317"/>
    <w:rsid w:val="636E387A"/>
    <w:rsid w:val="6372336A"/>
    <w:rsid w:val="6377272F"/>
    <w:rsid w:val="63927568"/>
    <w:rsid w:val="63A021A6"/>
    <w:rsid w:val="63A454EE"/>
    <w:rsid w:val="63A4729C"/>
    <w:rsid w:val="63AE1EC8"/>
    <w:rsid w:val="63B33D8B"/>
    <w:rsid w:val="63B76FCF"/>
    <w:rsid w:val="63B7728A"/>
    <w:rsid w:val="63D53D2B"/>
    <w:rsid w:val="63DE16B9"/>
    <w:rsid w:val="63E91153"/>
    <w:rsid w:val="6401192F"/>
    <w:rsid w:val="642D7291"/>
    <w:rsid w:val="64460174"/>
    <w:rsid w:val="644F681B"/>
    <w:rsid w:val="64584715"/>
    <w:rsid w:val="645E6B37"/>
    <w:rsid w:val="64637862"/>
    <w:rsid w:val="64805613"/>
    <w:rsid w:val="648A29EC"/>
    <w:rsid w:val="648F1CFA"/>
    <w:rsid w:val="649B069F"/>
    <w:rsid w:val="64A07A63"/>
    <w:rsid w:val="64A36185"/>
    <w:rsid w:val="64A55079"/>
    <w:rsid w:val="64A6459D"/>
    <w:rsid w:val="64B534AF"/>
    <w:rsid w:val="64C61090"/>
    <w:rsid w:val="64CC6AAA"/>
    <w:rsid w:val="6508076A"/>
    <w:rsid w:val="656E7B61"/>
    <w:rsid w:val="659375C8"/>
    <w:rsid w:val="659A6BA8"/>
    <w:rsid w:val="65AE7F5E"/>
    <w:rsid w:val="65B512EC"/>
    <w:rsid w:val="65BC6B1F"/>
    <w:rsid w:val="65C92FEA"/>
    <w:rsid w:val="65CC6636"/>
    <w:rsid w:val="65D81B4D"/>
    <w:rsid w:val="65F04A1A"/>
    <w:rsid w:val="65F657B5"/>
    <w:rsid w:val="66100C18"/>
    <w:rsid w:val="66106E6A"/>
    <w:rsid w:val="66415276"/>
    <w:rsid w:val="664D59C9"/>
    <w:rsid w:val="66802EDD"/>
    <w:rsid w:val="66C832A1"/>
    <w:rsid w:val="66D20E22"/>
    <w:rsid w:val="66D470B2"/>
    <w:rsid w:val="66DC6107"/>
    <w:rsid w:val="66E14AF4"/>
    <w:rsid w:val="670D5158"/>
    <w:rsid w:val="67327CB8"/>
    <w:rsid w:val="67452B44"/>
    <w:rsid w:val="674E3EB8"/>
    <w:rsid w:val="675039C2"/>
    <w:rsid w:val="67672ABA"/>
    <w:rsid w:val="676C6991"/>
    <w:rsid w:val="678F3DBF"/>
    <w:rsid w:val="679A55E3"/>
    <w:rsid w:val="679E1E0E"/>
    <w:rsid w:val="67D8638F"/>
    <w:rsid w:val="68071BA7"/>
    <w:rsid w:val="68347D07"/>
    <w:rsid w:val="684B418A"/>
    <w:rsid w:val="685945FD"/>
    <w:rsid w:val="685A68BE"/>
    <w:rsid w:val="685D1486"/>
    <w:rsid w:val="686C372F"/>
    <w:rsid w:val="68773BBF"/>
    <w:rsid w:val="687C7414"/>
    <w:rsid w:val="68866F70"/>
    <w:rsid w:val="68B5103C"/>
    <w:rsid w:val="68BC67E4"/>
    <w:rsid w:val="68BE2BAE"/>
    <w:rsid w:val="68C901BB"/>
    <w:rsid w:val="68CA15ED"/>
    <w:rsid w:val="68D97E4F"/>
    <w:rsid w:val="68DC522B"/>
    <w:rsid w:val="68ED5241"/>
    <w:rsid w:val="68FC7232"/>
    <w:rsid w:val="6907588C"/>
    <w:rsid w:val="692844CB"/>
    <w:rsid w:val="693C63AF"/>
    <w:rsid w:val="69432F0E"/>
    <w:rsid w:val="695E1C9B"/>
    <w:rsid w:val="69842796"/>
    <w:rsid w:val="698C6808"/>
    <w:rsid w:val="698E2580"/>
    <w:rsid w:val="699007BD"/>
    <w:rsid w:val="699456BD"/>
    <w:rsid w:val="69A9560C"/>
    <w:rsid w:val="69B16532"/>
    <w:rsid w:val="69BE2739"/>
    <w:rsid w:val="69C42446"/>
    <w:rsid w:val="69CF3553"/>
    <w:rsid w:val="69E8366B"/>
    <w:rsid w:val="69EB1E27"/>
    <w:rsid w:val="69FC398E"/>
    <w:rsid w:val="6A0942FC"/>
    <w:rsid w:val="6A154A4F"/>
    <w:rsid w:val="6A244C92"/>
    <w:rsid w:val="6A28622F"/>
    <w:rsid w:val="6A287F49"/>
    <w:rsid w:val="6A292C10"/>
    <w:rsid w:val="6A524C0E"/>
    <w:rsid w:val="6A527A52"/>
    <w:rsid w:val="6A696B49"/>
    <w:rsid w:val="6A6E5F0E"/>
    <w:rsid w:val="6A6E67DD"/>
    <w:rsid w:val="6A773014"/>
    <w:rsid w:val="6AA70C73"/>
    <w:rsid w:val="6AA933EA"/>
    <w:rsid w:val="6AB204F0"/>
    <w:rsid w:val="6ABA73A5"/>
    <w:rsid w:val="6AC326FD"/>
    <w:rsid w:val="6AD246EE"/>
    <w:rsid w:val="6AE61F48"/>
    <w:rsid w:val="6AE76A24"/>
    <w:rsid w:val="6B016D82"/>
    <w:rsid w:val="6B2667E8"/>
    <w:rsid w:val="6B4D2A2F"/>
    <w:rsid w:val="6B855C05"/>
    <w:rsid w:val="6BB0448F"/>
    <w:rsid w:val="6BC038C2"/>
    <w:rsid w:val="6BC36AA3"/>
    <w:rsid w:val="6BC73B27"/>
    <w:rsid w:val="6BCC7390"/>
    <w:rsid w:val="6BD149A6"/>
    <w:rsid w:val="6C07661A"/>
    <w:rsid w:val="6C0B7E9A"/>
    <w:rsid w:val="6C1238A1"/>
    <w:rsid w:val="6C2471CC"/>
    <w:rsid w:val="6C276CBC"/>
    <w:rsid w:val="6C423AF6"/>
    <w:rsid w:val="6C6B0957"/>
    <w:rsid w:val="6C74274F"/>
    <w:rsid w:val="6C7D698A"/>
    <w:rsid w:val="6C7F38E2"/>
    <w:rsid w:val="6C922387"/>
    <w:rsid w:val="6CD97FB6"/>
    <w:rsid w:val="6CDC3602"/>
    <w:rsid w:val="6CF748E0"/>
    <w:rsid w:val="6CFE5C6F"/>
    <w:rsid w:val="6D020144"/>
    <w:rsid w:val="6D2B3E12"/>
    <w:rsid w:val="6D464F20"/>
    <w:rsid w:val="6D627EDC"/>
    <w:rsid w:val="6D6535F8"/>
    <w:rsid w:val="6D657A9C"/>
    <w:rsid w:val="6D8343C6"/>
    <w:rsid w:val="6D8D0DA1"/>
    <w:rsid w:val="6DB079B5"/>
    <w:rsid w:val="6DB620A5"/>
    <w:rsid w:val="6DC02F24"/>
    <w:rsid w:val="6DC81DD9"/>
    <w:rsid w:val="6DD864CF"/>
    <w:rsid w:val="6DF64B98"/>
    <w:rsid w:val="6DFF1C9E"/>
    <w:rsid w:val="6E22773B"/>
    <w:rsid w:val="6E2A4841"/>
    <w:rsid w:val="6E2D4DE6"/>
    <w:rsid w:val="6E331945"/>
    <w:rsid w:val="6E4D06DE"/>
    <w:rsid w:val="6E6B7334"/>
    <w:rsid w:val="6E712470"/>
    <w:rsid w:val="6E755BDC"/>
    <w:rsid w:val="6E9F2B3A"/>
    <w:rsid w:val="6EB56977"/>
    <w:rsid w:val="6EB8009F"/>
    <w:rsid w:val="6ECE341F"/>
    <w:rsid w:val="6ECF2622"/>
    <w:rsid w:val="6EDA0016"/>
    <w:rsid w:val="6EE60768"/>
    <w:rsid w:val="6EE669BA"/>
    <w:rsid w:val="6EEB5D7F"/>
    <w:rsid w:val="6EED5F9B"/>
    <w:rsid w:val="6EF015E7"/>
    <w:rsid w:val="6F167708"/>
    <w:rsid w:val="6F4B0F13"/>
    <w:rsid w:val="6F4F0424"/>
    <w:rsid w:val="6F5002D8"/>
    <w:rsid w:val="6F51652A"/>
    <w:rsid w:val="6F7264A0"/>
    <w:rsid w:val="6F8561D3"/>
    <w:rsid w:val="6F977CB5"/>
    <w:rsid w:val="6FA7439C"/>
    <w:rsid w:val="6FAA6DD6"/>
    <w:rsid w:val="6FB31B6B"/>
    <w:rsid w:val="6FE256F3"/>
    <w:rsid w:val="701632CF"/>
    <w:rsid w:val="70180DF5"/>
    <w:rsid w:val="701E3F32"/>
    <w:rsid w:val="705A4699"/>
    <w:rsid w:val="705F6A24"/>
    <w:rsid w:val="70765B1C"/>
    <w:rsid w:val="70786C79"/>
    <w:rsid w:val="707A362B"/>
    <w:rsid w:val="709F32C5"/>
    <w:rsid w:val="70A850F6"/>
    <w:rsid w:val="70EE7DA8"/>
    <w:rsid w:val="70F57389"/>
    <w:rsid w:val="71031AA6"/>
    <w:rsid w:val="712D6B22"/>
    <w:rsid w:val="713464E8"/>
    <w:rsid w:val="715B3690"/>
    <w:rsid w:val="71600CA6"/>
    <w:rsid w:val="7164006A"/>
    <w:rsid w:val="71770865"/>
    <w:rsid w:val="717C1104"/>
    <w:rsid w:val="71BB4365"/>
    <w:rsid w:val="71C34D91"/>
    <w:rsid w:val="71DE606F"/>
    <w:rsid w:val="71E371E1"/>
    <w:rsid w:val="71F56214"/>
    <w:rsid w:val="71F87130"/>
    <w:rsid w:val="720C094E"/>
    <w:rsid w:val="72111EC2"/>
    <w:rsid w:val="721A47FB"/>
    <w:rsid w:val="722E1DAB"/>
    <w:rsid w:val="7235622E"/>
    <w:rsid w:val="72440A10"/>
    <w:rsid w:val="724A7260"/>
    <w:rsid w:val="72541E8D"/>
    <w:rsid w:val="72550E67"/>
    <w:rsid w:val="729A1F96"/>
    <w:rsid w:val="729F135A"/>
    <w:rsid w:val="72BA2638"/>
    <w:rsid w:val="72C07522"/>
    <w:rsid w:val="72C726E5"/>
    <w:rsid w:val="72EC0317"/>
    <w:rsid w:val="72F21DD2"/>
    <w:rsid w:val="73092C77"/>
    <w:rsid w:val="731E15B1"/>
    <w:rsid w:val="73395FA4"/>
    <w:rsid w:val="737427E7"/>
    <w:rsid w:val="737A3B75"/>
    <w:rsid w:val="73836ECE"/>
    <w:rsid w:val="73866295"/>
    <w:rsid w:val="73927CFE"/>
    <w:rsid w:val="73A33B75"/>
    <w:rsid w:val="73A34E7A"/>
    <w:rsid w:val="73A429A0"/>
    <w:rsid w:val="73A806E2"/>
    <w:rsid w:val="73C647E8"/>
    <w:rsid w:val="73C919E7"/>
    <w:rsid w:val="73CA68AB"/>
    <w:rsid w:val="73F908F5"/>
    <w:rsid w:val="740B2A1F"/>
    <w:rsid w:val="74130252"/>
    <w:rsid w:val="742C044F"/>
    <w:rsid w:val="742D0C4A"/>
    <w:rsid w:val="74535C68"/>
    <w:rsid w:val="74597C2E"/>
    <w:rsid w:val="745D7266"/>
    <w:rsid w:val="745E6FF3"/>
    <w:rsid w:val="746A1E3C"/>
    <w:rsid w:val="7471513E"/>
    <w:rsid w:val="74822CE1"/>
    <w:rsid w:val="74A26F4A"/>
    <w:rsid w:val="74BF3F35"/>
    <w:rsid w:val="74C4183A"/>
    <w:rsid w:val="74DA0D6F"/>
    <w:rsid w:val="74DC2C2C"/>
    <w:rsid w:val="74F10857"/>
    <w:rsid w:val="7519746E"/>
    <w:rsid w:val="75243D99"/>
    <w:rsid w:val="7533222E"/>
    <w:rsid w:val="753F5076"/>
    <w:rsid w:val="75504B8E"/>
    <w:rsid w:val="756357C0"/>
    <w:rsid w:val="756B5E6B"/>
    <w:rsid w:val="75746737"/>
    <w:rsid w:val="75A629FF"/>
    <w:rsid w:val="75B4336E"/>
    <w:rsid w:val="75B55338"/>
    <w:rsid w:val="75C80BC8"/>
    <w:rsid w:val="75D02172"/>
    <w:rsid w:val="75DC0B17"/>
    <w:rsid w:val="75E874BC"/>
    <w:rsid w:val="75F61BD9"/>
    <w:rsid w:val="760342F6"/>
    <w:rsid w:val="760C31AA"/>
    <w:rsid w:val="762B73A9"/>
    <w:rsid w:val="7668312F"/>
    <w:rsid w:val="766F54E7"/>
    <w:rsid w:val="76855409"/>
    <w:rsid w:val="768C6099"/>
    <w:rsid w:val="76CD04E1"/>
    <w:rsid w:val="76CE0460"/>
    <w:rsid w:val="76E063E5"/>
    <w:rsid w:val="76E40BD9"/>
    <w:rsid w:val="77260CAD"/>
    <w:rsid w:val="772D2C40"/>
    <w:rsid w:val="7730186D"/>
    <w:rsid w:val="774249AA"/>
    <w:rsid w:val="775E5C88"/>
    <w:rsid w:val="777D0953"/>
    <w:rsid w:val="77A25449"/>
    <w:rsid w:val="77B6645B"/>
    <w:rsid w:val="77CB2BF1"/>
    <w:rsid w:val="77CD4BBB"/>
    <w:rsid w:val="77DE0CEA"/>
    <w:rsid w:val="77F02658"/>
    <w:rsid w:val="77F55EC0"/>
    <w:rsid w:val="77FC0FFD"/>
    <w:rsid w:val="783267CC"/>
    <w:rsid w:val="78370287"/>
    <w:rsid w:val="784F5123"/>
    <w:rsid w:val="7851759A"/>
    <w:rsid w:val="787A48A7"/>
    <w:rsid w:val="78827754"/>
    <w:rsid w:val="78857244"/>
    <w:rsid w:val="78994A9D"/>
    <w:rsid w:val="78A27DF6"/>
    <w:rsid w:val="78BE4504"/>
    <w:rsid w:val="78F148D9"/>
    <w:rsid w:val="793D7B1F"/>
    <w:rsid w:val="794964C4"/>
    <w:rsid w:val="794C1B10"/>
    <w:rsid w:val="794F06AD"/>
    <w:rsid w:val="79524C77"/>
    <w:rsid w:val="79740C89"/>
    <w:rsid w:val="797572B9"/>
    <w:rsid w:val="799A23E8"/>
    <w:rsid w:val="79AE02B1"/>
    <w:rsid w:val="79B80F53"/>
    <w:rsid w:val="79D11EE0"/>
    <w:rsid w:val="79F006ED"/>
    <w:rsid w:val="7A2D1941"/>
    <w:rsid w:val="7A3A405E"/>
    <w:rsid w:val="7A3A5E0C"/>
    <w:rsid w:val="7A574C10"/>
    <w:rsid w:val="7A7E219D"/>
    <w:rsid w:val="7AAF4B04"/>
    <w:rsid w:val="7AB57A01"/>
    <w:rsid w:val="7AC51B7A"/>
    <w:rsid w:val="7AC676A0"/>
    <w:rsid w:val="7AD225DE"/>
    <w:rsid w:val="7AD973D3"/>
    <w:rsid w:val="7AEA338E"/>
    <w:rsid w:val="7AEC5316"/>
    <w:rsid w:val="7AFB37ED"/>
    <w:rsid w:val="7B0F33A4"/>
    <w:rsid w:val="7B181AC8"/>
    <w:rsid w:val="7B31395C"/>
    <w:rsid w:val="7B4E7DC1"/>
    <w:rsid w:val="7B542EFE"/>
    <w:rsid w:val="7B5851C5"/>
    <w:rsid w:val="7B62386D"/>
    <w:rsid w:val="7B694BFB"/>
    <w:rsid w:val="7B854078"/>
    <w:rsid w:val="7B8557BC"/>
    <w:rsid w:val="7B9A6B62"/>
    <w:rsid w:val="7BAB5214"/>
    <w:rsid w:val="7C18217D"/>
    <w:rsid w:val="7C2E19A1"/>
    <w:rsid w:val="7C350F81"/>
    <w:rsid w:val="7C523627"/>
    <w:rsid w:val="7C6B5045"/>
    <w:rsid w:val="7C6F4493"/>
    <w:rsid w:val="7C703D67"/>
    <w:rsid w:val="7C7D01BB"/>
    <w:rsid w:val="7C8B294F"/>
    <w:rsid w:val="7C924A77"/>
    <w:rsid w:val="7CA73C2D"/>
    <w:rsid w:val="7CC55973"/>
    <w:rsid w:val="7D012C11"/>
    <w:rsid w:val="7D256900"/>
    <w:rsid w:val="7D515947"/>
    <w:rsid w:val="7D5C0BC6"/>
    <w:rsid w:val="7D64201B"/>
    <w:rsid w:val="7D853842"/>
    <w:rsid w:val="7D913F95"/>
    <w:rsid w:val="7D9F2B56"/>
    <w:rsid w:val="7DAA5057"/>
    <w:rsid w:val="7DB557A2"/>
    <w:rsid w:val="7DD30A52"/>
    <w:rsid w:val="7DE40569"/>
    <w:rsid w:val="7DE642E1"/>
    <w:rsid w:val="7E0601DD"/>
    <w:rsid w:val="7E0808FE"/>
    <w:rsid w:val="7E0B3D48"/>
    <w:rsid w:val="7E235535"/>
    <w:rsid w:val="7E4B4A8C"/>
    <w:rsid w:val="7E602EE5"/>
    <w:rsid w:val="7E8871F1"/>
    <w:rsid w:val="7E991353"/>
    <w:rsid w:val="7EAD12A3"/>
    <w:rsid w:val="7ED21F55"/>
    <w:rsid w:val="7F8061DA"/>
    <w:rsid w:val="7FA51D95"/>
    <w:rsid w:val="7FB235BA"/>
    <w:rsid w:val="7FB83A5B"/>
    <w:rsid w:val="7FC9210C"/>
    <w:rsid w:val="7FD10FC1"/>
    <w:rsid w:val="7FDF723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line="600" w:lineRule="exact"/>
      <w:ind w:firstLine="643" w:firstLineChars="200"/>
      <w:outlineLvl w:val="2"/>
    </w:pPr>
    <w:rPr>
      <w:rFonts w:ascii="Times New Roman" w:hAnsi="Times New Roman"/>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9"/>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qFormat/>
    <w:uiPriority w:val="0"/>
    <w:pPr>
      <w:wordWrap w:val="0"/>
      <w:spacing w:after="160"/>
      <w:ind w:left="2000" w:hanging="400"/>
      <w:outlineLvl w:val="5"/>
    </w:pPr>
    <w:rPr>
      <w:b/>
    </w:rPr>
  </w:style>
  <w:style w:type="paragraph" w:styleId="8">
    <w:name w:val="heading 8"/>
    <w:basedOn w:val="1"/>
    <w:next w:val="1"/>
    <w:qFormat/>
    <w:uiPriority w:val="1"/>
    <w:pPr>
      <w:ind w:left="1365" w:hanging="364"/>
      <w:outlineLvl w:val="7"/>
    </w:pPr>
    <w:rPr>
      <w:rFonts w:ascii="宋体" w:hAnsi="宋体" w:eastAsia="宋体" w:cs="宋体"/>
      <w:b/>
      <w:bCs/>
      <w:sz w:val="24"/>
      <w:szCs w:val="24"/>
    </w:rPr>
  </w:style>
  <w:style w:type="paragraph" w:styleId="9">
    <w:name w:val="heading 9"/>
    <w:basedOn w:val="1"/>
    <w:next w:val="1"/>
    <w:qFormat/>
    <w:uiPriority w:val="1"/>
    <w:pPr>
      <w:ind w:left="581"/>
      <w:outlineLvl w:val="8"/>
    </w:pPr>
    <w:rPr>
      <w:rFonts w:ascii="宋体" w:hAnsi="宋体" w:eastAsia="宋体" w:cs="宋体"/>
      <w:sz w:val="24"/>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10">
    <w:name w:val="Normal Indent"/>
    <w:basedOn w:val="1"/>
    <w:qFormat/>
    <w:uiPriority w:val="0"/>
    <w:pPr>
      <w:ind w:firstLine="420"/>
    </w:pPr>
    <w:rPr>
      <w:szCs w:val="20"/>
    </w:rPr>
  </w:style>
  <w:style w:type="paragraph" w:styleId="11">
    <w:name w:val="annotation text"/>
    <w:basedOn w:val="1"/>
    <w:qFormat/>
    <w:uiPriority w:val="0"/>
    <w:pPr>
      <w:jc w:val="left"/>
    </w:pPr>
  </w:style>
  <w:style w:type="paragraph" w:styleId="12">
    <w:name w:val="Body Text"/>
    <w:basedOn w:val="1"/>
    <w:next w:val="1"/>
    <w:link w:val="39"/>
    <w:unhideWhenUsed/>
    <w:qFormat/>
    <w:uiPriority w:val="99"/>
    <w:pPr>
      <w:spacing w:after="120"/>
    </w:pPr>
  </w:style>
  <w:style w:type="paragraph" w:styleId="13">
    <w:name w:val="Body Text Indent"/>
    <w:basedOn w:val="1"/>
    <w:next w:val="10"/>
    <w:qFormat/>
    <w:uiPriority w:val="99"/>
    <w:pPr>
      <w:ind w:firstLine="830" w:firstLineChars="352"/>
    </w:pPr>
    <w:rPr>
      <w:rFonts w:ascii="仿宋_GB2312" w:eastAsia="仿宋_GB2312"/>
      <w:sz w:val="32"/>
      <w:szCs w:val="20"/>
    </w:rPr>
  </w:style>
  <w:style w:type="paragraph" w:styleId="14">
    <w:name w:val="toc 3"/>
    <w:basedOn w:val="1"/>
    <w:next w:val="1"/>
    <w:unhideWhenUsed/>
    <w:qFormat/>
    <w:uiPriority w:val="39"/>
    <w:pPr>
      <w:jc w:val="left"/>
    </w:pPr>
    <w:rPr>
      <w:rFonts w:ascii="Calibri" w:hAnsi="Calibri" w:eastAsia="宋体" w:cs="Times New Roman"/>
      <w:smallCaps/>
      <w:sz w:val="22"/>
    </w:rPr>
  </w:style>
  <w:style w:type="paragraph" w:styleId="15">
    <w:name w:val="Plain Text"/>
    <w:basedOn w:val="1"/>
    <w:next w:val="1"/>
    <w:qFormat/>
    <w:uiPriority w:val="0"/>
    <w:rPr>
      <w:rFonts w:ascii="宋体" w:hAnsi="Courier New"/>
      <w:kern w:val="0"/>
      <w:sz w:val="20"/>
      <w:szCs w:val="20"/>
    </w:rPr>
  </w:style>
  <w:style w:type="paragraph" w:styleId="16">
    <w:name w:val="Date"/>
    <w:basedOn w:val="1"/>
    <w:next w:val="1"/>
    <w:qFormat/>
    <w:uiPriority w:val="0"/>
    <w:pPr>
      <w:ind w:left="100" w:leftChars="2500"/>
    </w:pPr>
    <w:rPr>
      <w:rFonts w:ascii="Times New Roman" w:hAnsi="Times New Roman"/>
      <w:kern w:val="0"/>
      <w:sz w:val="20"/>
      <w:szCs w:val="24"/>
    </w:rPr>
  </w:style>
  <w:style w:type="paragraph" w:styleId="17">
    <w:name w:val="Body Text Indent 2"/>
    <w:basedOn w:val="1"/>
    <w:qFormat/>
    <w:uiPriority w:val="99"/>
    <w:pPr>
      <w:ind w:firstLine="630"/>
    </w:pPr>
    <w:rPr>
      <w:sz w:val="32"/>
      <w:szCs w:val="20"/>
    </w:rPr>
  </w:style>
  <w:style w:type="paragraph" w:styleId="18">
    <w:name w:val="footer"/>
    <w:basedOn w:val="1"/>
    <w:next w:val="1"/>
    <w:unhideWhenUsed/>
    <w:qFormat/>
    <w:uiPriority w:val="0"/>
    <w:pPr>
      <w:tabs>
        <w:tab w:val="center" w:pos="4153"/>
        <w:tab w:val="right" w:pos="8306"/>
      </w:tabs>
      <w:snapToGrid w:val="0"/>
      <w:jc w:val="left"/>
    </w:pPr>
    <w:rPr>
      <w:kern w:val="0"/>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pPr>
      <w:spacing w:before="360" w:after="360"/>
      <w:jc w:val="left"/>
    </w:pPr>
    <w:rPr>
      <w:rFonts w:ascii="Calibri" w:hAnsi="Calibri" w:eastAsia="宋体" w:cs="Times New Roman"/>
      <w:b/>
      <w:bCs/>
      <w:caps/>
      <w:sz w:val="22"/>
      <w:u w:val="single"/>
    </w:rPr>
  </w:style>
  <w:style w:type="paragraph" w:styleId="21">
    <w:name w:val="List"/>
    <w:basedOn w:val="1"/>
    <w:unhideWhenUsed/>
    <w:qFormat/>
    <w:uiPriority w:val="99"/>
    <w:pPr>
      <w:ind w:left="200" w:hanging="200" w:hangingChars="200"/>
    </w:pPr>
    <w:rPr>
      <w:sz w:val="28"/>
    </w:rPr>
  </w:style>
  <w:style w:type="paragraph" w:styleId="22">
    <w:name w:val="toc 2"/>
    <w:basedOn w:val="1"/>
    <w:next w:val="1"/>
    <w:qFormat/>
    <w:uiPriority w:val="39"/>
    <w:pPr>
      <w:jc w:val="left"/>
    </w:pPr>
    <w:rPr>
      <w:rFonts w:ascii="Calibri" w:hAnsi="Calibri" w:eastAsia="宋体" w:cs="Times New Roman"/>
      <w:b/>
      <w:bCs/>
      <w:smallCaps/>
      <w:sz w:val="22"/>
    </w:rPr>
  </w:style>
  <w:style w:type="paragraph" w:styleId="2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4">
    <w:name w:val="Body Text First Indent 2"/>
    <w:basedOn w:val="13"/>
    <w:next w:val="1"/>
    <w:qFormat/>
    <w:uiPriority w:val="0"/>
    <w:pPr>
      <w:spacing w:after="120"/>
      <w:ind w:left="420" w:leftChars="200" w:firstLine="420" w:firstLineChars="200"/>
    </w:pPr>
    <w:rPr>
      <w:rFonts w:ascii="Times New Roman" w:eastAsia="宋体"/>
      <w:kern w:val="0"/>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Hyperlink"/>
    <w:qFormat/>
    <w:uiPriority w:val="99"/>
    <w:rPr>
      <w:color w:val="0000FF"/>
      <w:u w:val="single"/>
    </w:rPr>
  </w:style>
  <w:style w:type="character" w:styleId="30">
    <w:name w:val="HTML Sample"/>
    <w:basedOn w:val="27"/>
    <w:uiPriority w:val="0"/>
    <w:rPr>
      <w:rFonts w:ascii="Courier New" w:hAnsi="Courier New"/>
    </w:rPr>
  </w:style>
  <w:style w:type="paragraph" w:customStyle="1" w:styleId="3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2">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3">
    <w:name w:val="正文2"/>
    <w:basedOn w:val="1"/>
    <w:qFormat/>
    <w:uiPriority w:val="0"/>
    <w:pPr>
      <w:adjustRightInd w:val="0"/>
      <w:spacing w:before="156" w:line="360" w:lineRule="auto"/>
      <w:ind w:firstLine="510" w:firstLineChars="200"/>
    </w:pPr>
    <w:rPr>
      <w:kern w:val="0"/>
      <w:sz w:val="24"/>
      <w:szCs w:val="20"/>
    </w:rPr>
  </w:style>
  <w:style w:type="paragraph" w:customStyle="1" w:styleId="34">
    <w:name w:val="Normal_0"/>
    <w:qFormat/>
    <w:uiPriority w:val="0"/>
    <w:rPr>
      <w:rFonts w:ascii="Times New Roman" w:hAnsi="Times New Roman" w:eastAsia="Times New Roman" w:cs="Times New Roman"/>
      <w:sz w:val="24"/>
      <w:szCs w:val="24"/>
      <w:lang w:bidi="ar-SA"/>
    </w:rPr>
  </w:style>
  <w:style w:type="paragraph" w:customStyle="1" w:styleId="3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pPr>
      <w:jc w:val="left"/>
    </w:pPr>
    <w:rPr>
      <w:rFonts w:ascii="Calibri" w:hAnsi="Calibri"/>
      <w:kern w:val="0"/>
      <w:sz w:val="22"/>
      <w:szCs w:val="22"/>
      <w:lang w:eastAsia="en-US"/>
    </w:rPr>
  </w:style>
  <w:style w:type="paragraph" w:customStyle="1" w:styleId="3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8">
    <w:name w:val="p15"/>
    <w:basedOn w:val="1"/>
    <w:qFormat/>
    <w:uiPriority w:val="0"/>
    <w:pPr>
      <w:widowControl/>
    </w:pPr>
    <w:rPr>
      <w:rFonts w:ascii="宋体" w:hAnsi="宋体" w:cs="宋体"/>
      <w:kern w:val="0"/>
      <w:szCs w:val="21"/>
    </w:rPr>
  </w:style>
  <w:style w:type="character" w:customStyle="1" w:styleId="39">
    <w:name w:val="正文文本 Char"/>
    <w:link w:val="12"/>
    <w:qFormat/>
    <w:uiPriority w:val="99"/>
  </w:style>
  <w:style w:type="character" w:customStyle="1" w:styleId="40">
    <w:name w:val="bookmark-item uuid-1589194982864 code-31006 addword multi-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45077</Words>
  <Characters>47111</Characters>
  <Lines>0</Lines>
  <Paragraphs>0</Paragraphs>
  <TotalTime>278</TotalTime>
  <ScaleCrop>false</ScaleCrop>
  <LinksUpToDate>false</LinksUpToDate>
  <CharactersWithSpaces>54370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2023-05-22T00:50:00Z</dcterms:created>
  <dc:creator>HP</dc:creator>
  <cp:lastModifiedBy>admin</cp:lastModifiedBy>
  <cp:lastPrinted>2025-06-24T02:45:00Z</cp:lastPrinted>
  <dcterms:modified xsi:type="dcterms:W3CDTF">2025-10-21T08:25:44Z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BAFA63E51FF0415DADA991E05F328100_13</vt:lpwstr>
  </property>
  <property fmtid="{D5CDD505-2E9C-101B-9397-08002B2CF9AE}" pid="4" name="KSOTemplateDocerSaveRecord">
    <vt:lpwstr>eyJoZGlkIjoiMjczZDhjOWEyNjU2ZjgxYWNiZjBlYTc2NGMzZWFmZWEiLCJ1c2VySWQiOiI3MDU4MzI3MjMifQ==</vt:lpwstr>
  </property>
</Properties>
</file>