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66960">
      <w:pPr>
        <w:spacing w:before="120" w:beforeLines="50" w:line="360" w:lineRule="auto"/>
        <w:jc w:val="center"/>
        <w:rPr>
          <w:rFonts w:hint="eastAsia" w:ascii="宋体" w:hAnsi="宋体" w:eastAsia="宋体" w:cs="宋体"/>
          <w:color w:val="000000"/>
          <w:sz w:val="52"/>
          <w:szCs w:val="52"/>
          <w:highlight w:val="none"/>
        </w:rPr>
      </w:pPr>
      <w:r>
        <w:rPr>
          <w:rFonts w:hint="eastAsia" w:ascii="宋体" w:hAnsi="宋体" w:eastAsia="宋体" w:cs="宋体"/>
          <w:color w:val="000000"/>
          <w:sz w:val="52"/>
          <w:szCs w:val="52"/>
          <w:highlight w:val="none"/>
        </w:rPr>
        <w:t>广西正海招标有限公司</w:t>
      </w:r>
    </w:p>
    <w:p w14:paraId="53E721B6">
      <w:pPr>
        <w:spacing w:before="120" w:beforeLines="50" w:line="360" w:lineRule="auto"/>
        <w:jc w:val="center"/>
        <w:rPr>
          <w:rFonts w:hint="eastAsia" w:ascii="宋体" w:hAnsi="宋体" w:eastAsia="宋体" w:cs="宋体"/>
          <w:color w:val="000000"/>
          <w:sz w:val="52"/>
          <w:szCs w:val="52"/>
          <w:highlight w:val="none"/>
        </w:rPr>
      </w:pPr>
    </w:p>
    <w:p w14:paraId="4FF34EB7">
      <w:pPr>
        <w:pStyle w:val="123"/>
        <w:spacing w:after="120"/>
        <w:ind w:firstLine="480"/>
        <w:rPr>
          <w:rFonts w:hint="eastAsia" w:ascii="宋体" w:hAnsi="宋体" w:eastAsia="宋体" w:cs="宋体"/>
          <w:highlight w:val="none"/>
        </w:rPr>
      </w:pPr>
    </w:p>
    <w:p w14:paraId="041B88AB">
      <w:pPr>
        <w:snapToGrid w:val="0"/>
        <w:spacing w:before="120" w:beforeLines="50" w:line="360" w:lineRule="auto"/>
        <w:jc w:val="center"/>
        <w:rPr>
          <w:rFonts w:hint="eastAsia" w:ascii="宋体" w:hAnsi="宋体" w:eastAsia="宋体" w:cs="宋体"/>
          <w:color w:val="000000"/>
          <w:sz w:val="120"/>
          <w:szCs w:val="120"/>
          <w:highlight w:val="none"/>
        </w:rPr>
      </w:pPr>
      <w:r>
        <w:rPr>
          <w:rFonts w:hint="eastAsia" w:ascii="宋体" w:hAnsi="宋体" w:eastAsia="宋体" w:cs="宋体"/>
          <w:color w:val="000000"/>
          <w:sz w:val="120"/>
          <w:szCs w:val="120"/>
          <w:highlight w:val="none"/>
        </w:rPr>
        <w:t>招 标 文 件</w:t>
      </w:r>
    </w:p>
    <w:p w14:paraId="7FCA86AA">
      <w:pPr>
        <w:snapToGrid w:val="0"/>
        <w:spacing w:before="120" w:beforeLines="50"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（全流程电子化采购）</w:t>
      </w:r>
    </w:p>
    <w:p w14:paraId="3D764F16">
      <w:pPr>
        <w:snapToGrid w:val="0"/>
        <w:spacing w:line="360" w:lineRule="auto"/>
        <w:rPr>
          <w:rFonts w:hint="eastAsia" w:ascii="宋体" w:hAnsi="宋体" w:eastAsia="宋体" w:cs="宋体"/>
          <w:color w:val="000000"/>
          <w:sz w:val="30"/>
          <w:szCs w:val="72"/>
          <w:highlight w:val="none"/>
        </w:rPr>
      </w:pPr>
    </w:p>
    <w:p w14:paraId="4B474810">
      <w:pPr>
        <w:pStyle w:val="26"/>
        <w:snapToGrid w:val="0"/>
        <w:spacing w:line="360" w:lineRule="auto"/>
        <w:ind w:left="2702" w:leftChars="568" w:hanging="1509" w:hangingChars="501"/>
        <w:rPr>
          <w:rFonts w:hint="eastAsia" w:ascii="宋体" w:hAnsi="宋体" w:eastAsia="宋体" w:cs="宋体"/>
          <w:b/>
          <w:bCs/>
          <w:color w:val="000000"/>
          <w:sz w:val="30"/>
          <w:szCs w:val="30"/>
          <w:highlight w:val="none"/>
          <w:lang w:val="en-US"/>
        </w:rPr>
      </w:pPr>
      <w:r>
        <w:rPr>
          <w:rFonts w:hint="eastAsia" w:ascii="宋体" w:hAnsi="宋体" w:eastAsia="宋体" w:cs="宋体"/>
          <w:b/>
          <w:bCs/>
          <w:color w:val="000000"/>
          <w:sz w:val="30"/>
          <w:szCs w:val="30"/>
          <w:highlight w:val="none"/>
        </w:rPr>
        <w:t>项目</w:t>
      </w:r>
      <w:r>
        <w:rPr>
          <w:rFonts w:hint="eastAsia" w:ascii="宋体" w:hAnsi="宋体" w:eastAsia="宋体" w:cs="宋体"/>
          <w:b/>
          <w:bCs/>
          <w:color w:val="000000"/>
          <w:w w:val="95"/>
          <w:sz w:val="30"/>
          <w:szCs w:val="30"/>
          <w:highlight w:val="none"/>
        </w:rPr>
        <w:t>名称</w:t>
      </w:r>
      <w:r>
        <w:rPr>
          <w:rFonts w:hint="eastAsia" w:ascii="宋体" w:hAnsi="宋体" w:eastAsia="宋体" w:cs="宋体"/>
          <w:b/>
          <w:bCs/>
          <w:color w:val="000000"/>
          <w:sz w:val="30"/>
          <w:szCs w:val="30"/>
          <w:highlight w:val="none"/>
        </w:rPr>
        <w:t>：</w:t>
      </w:r>
      <w:r>
        <w:rPr>
          <w:rFonts w:hint="eastAsia" w:ascii="宋体" w:hAnsi="宋体" w:eastAsia="宋体" w:cs="宋体"/>
          <w:b/>
          <w:bCs/>
          <w:color w:val="000000"/>
          <w:sz w:val="30"/>
          <w:szCs w:val="30"/>
          <w:highlight w:val="none"/>
          <w:lang w:val="en-US"/>
        </w:rPr>
        <w:t>广西制造工程职业技术学院2025年微电子实</w:t>
      </w:r>
    </w:p>
    <w:p w14:paraId="7AE43719">
      <w:pPr>
        <w:pStyle w:val="26"/>
        <w:keepNext w:val="0"/>
        <w:keepLines w:val="0"/>
        <w:pageBreakBefore w:val="0"/>
        <w:widowControl w:val="0"/>
        <w:kinsoku/>
        <w:wordWrap/>
        <w:overflowPunct/>
        <w:topLinePunct w:val="0"/>
        <w:autoSpaceDE/>
        <w:autoSpaceDN/>
        <w:bidi w:val="0"/>
        <w:adjustRightInd/>
        <w:snapToGrid w:val="0"/>
        <w:spacing w:line="360" w:lineRule="auto"/>
        <w:ind w:left="0" w:leftChars="0" w:firstLine="2711" w:firstLineChars="900"/>
        <w:textAlignment w:val="auto"/>
        <w:rPr>
          <w:rFonts w:hint="eastAsia" w:ascii="宋体" w:hAnsi="宋体" w:eastAsia="宋体" w:cs="宋体"/>
          <w:b/>
          <w:bCs/>
          <w:color w:val="000000"/>
          <w:sz w:val="30"/>
          <w:szCs w:val="30"/>
          <w:highlight w:val="none"/>
          <w:lang w:val="en-US"/>
        </w:rPr>
      </w:pPr>
      <w:r>
        <w:rPr>
          <w:rFonts w:hint="eastAsia" w:ascii="宋体" w:hAnsi="宋体" w:eastAsia="宋体" w:cs="宋体"/>
          <w:b/>
          <w:bCs/>
          <w:color w:val="000000"/>
          <w:sz w:val="30"/>
          <w:szCs w:val="30"/>
          <w:highlight w:val="none"/>
          <w:lang w:val="en-US"/>
        </w:rPr>
        <w:t>训室及数智技术平台建设项目</w:t>
      </w:r>
    </w:p>
    <w:p w14:paraId="3076414F">
      <w:pPr>
        <w:snapToGrid w:val="0"/>
        <w:spacing w:line="360" w:lineRule="auto"/>
        <w:ind w:firstLine="1145" w:firstLineChars="400"/>
        <w:rPr>
          <w:rFonts w:hint="eastAsia" w:ascii="宋体" w:hAnsi="宋体" w:eastAsia="宋体" w:cs="宋体"/>
          <w:b/>
          <w:bCs/>
          <w:color w:val="000000"/>
          <w:w w:val="95"/>
          <w:sz w:val="30"/>
          <w:szCs w:val="30"/>
          <w:highlight w:val="none"/>
        </w:rPr>
      </w:pPr>
    </w:p>
    <w:p w14:paraId="400D9F48">
      <w:pPr>
        <w:snapToGrid w:val="0"/>
        <w:spacing w:line="360" w:lineRule="auto"/>
        <w:ind w:firstLine="1145" w:firstLineChars="400"/>
        <w:rPr>
          <w:rFonts w:hint="eastAsia" w:ascii="宋体" w:hAnsi="宋体" w:eastAsia="宋体" w:cs="宋体"/>
          <w:color w:val="000000"/>
          <w:sz w:val="30"/>
          <w:szCs w:val="72"/>
          <w:highlight w:val="none"/>
          <w:lang w:val="en-US" w:eastAsia="zh-CN"/>
        </w:rPr>
      </w:pPr>
      <w:r>
        <w:rPr>
          <w:rFonts w:hint="eastAsia" w:ascii="宋体" w:hAnsi="宋体" w:eastAsia="宋体" w:cs="宋体"/>
          <w:b/>
          <w:bCs/>
          <w:color w:val="000000"/>
          <w:w w:val="95"/>
          <w:sz w:val="30"/>
          <w:szCs w:val="30"/>
          <w:highlight w:val="none"/>
        </w:rPr>
        <w:t>项目</w:t>
      </w:r>
      <w:r>
        <w:rPr>
          <w:rFonts w:hint="eastAsia" w:ascii="宋体" w:hAnsi="宋体" w:eastAsia="宋体" w:cs="宋体"/>
          <w:b/>
          <w:bCs/>
          <w:color w:val="000000"/>
          <w:sz w:val="30"/>
          <w:szCs w:val="30"/>
          <w:highlight w:val="none"/>
        </w:rPr>
        <w:t>编号</w:t>
      </w:r>
      <w:r>
        <w:rPr>
          <w:rFonts w:hint="eastAsia" w:ascii="宋体" w:hAnsi="宋体" w:eastAsia="宋体" w:cs="宋体"/>
          <w:b/>
          <w:bCs/>
          <w:color w:val="000000"/>
          <w:w w:val="95"/>
          <w:sz w:val="30"/>
          <w:szCs w:val="30"/>
          <w:highlight w:val="none"/>
        </w:rPr>
        <w:t>：</w:t>
      </w:r>
      <w:r>
        <w:rPr>
          <w:rFonts w:hint="eastAsia" w:ascii="宋体" w:hAnsi="宋体" w:eastAsia="宋体" w:cs="宋体"/>
          <w:b/>
          <w:color w:val="000000"/>
          <w:sz w:val="30"/>
          <w:szCs w:val="48"/>
          <w:highlight w:val="none"/>
          <w:lang w:val="en-US" w:eastAsia="zh-CN"/>
        </w:rPr>
        <w:t xml:space="preserve"> GXZC2025-G1-001262-ZHZB</w:t>
      </w:r>
    </w:p>
    <w:p w14:paraId="1BA4E336">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p>
    <w:p w14:paraId="57C76F06">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r>
        <w:rPr>
          <w:rFonts w:hint="eastAsia" w:ascii="宋体" w:hAnsi="宋体" w:eastAsia="宋体" w:cs="宋体"/>
          <w:b/>
          <w:bCs/>
          <w:color w:val="000000"/>
          <w:w w:val="95"/>
          <w:sz w:val="30"/>
          <w:szCs w:val="30"/>
          <w:highlight w:val="none"/>
        </w:rPr>
        <w:t>采 购 人：广西制造工程职业技术学院</w:t>
      </w:r>
    </w:p>
    <w:p w14:paraId="02048550">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p>
    <w:p w14:paraId="28B1847C">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r>
        <w:rPr>
          <w:rFonts w:hint="eastAsia" w:ascii="宋体" w:hAnsi="宋体" w:eastAsia="宋体" w:cs="宋体"/>
          <w:b/>
          <w:bCs/>
          <w:color w:val="000000"/>
          <w:w w:val="95"/>
          <w:sz w:val="30"/>
          <w:szCs w:val="30"/>
          <w:highlight w:val="none"/>
        </w:rPr>
        <w:t xml:space="preserve">采购代理机构：广西正海招标有限公司              </w:t>
      </w:r>
    </w:p>
    <w:p w14:paraId="04B9C846">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p>
    <w:p w14:paraId="796AE22B">
      <w:pPr>
        <w:pStyle w:val="26"/>
        <w:snapToGrid w:val="0"/>
        <w:spacing w:line="360" w:lineRule="auto"/>
        <w:ind w:firstLine="1125" w:firstLineChars="393"/>
        <w:rPr>
          <w:rFonts w:hint="eastAsia" w:ascii="宋体" w:hAnsi="宋体" w:eastAsia="宋体" w:cs="宋体"/>
          <w:b/>
          <w:bCs/>
          <w:color w:val="000000"/>
          <w:w w:val="95"/>
          <w:sz w:val="30"/>
          <w:szCs w:val="30"/>
          <w:highlight w:val="none"/>
        </w:rPr>
      </w:pPr>
    </w:p>
    <w:p w14:paraId="62A8D012">
      <w:pPr>
        <w:pStyle w:val="26"/>
        <w:snapToGrid w:val="0"/>
        <w:spacing w:line="360" w:lineRule="auto"/>
        <w:ind w:firstLine="2862" w:firstLineChars="1000"/>
        <w:rPr>
          <w:rFonts w:hint="eastAsia" w:ascii="宋体" w:hAnsi="宋体" w:eastAsia="宋体" w:cs="宋体"/>
          <w:b/>
          <w:bCs/>
          <w:w w:val="95"/>
          <w:sz w:val="30"/>
          <w:szCs w:val="30"/>
          <w:highlight w:val="none"/>
        </w:rPr>
      </w:pPr>
      <w:r>
        <w:rPr>
          <w:rFonts w:hint="eastAsia" w:ascii="宋体" w:hAnsi="宋体" w:eastAsia="宋体" w:cs="宋体"/>
          <w:b/>
          <w:bCs/>
          <w:w w:val="95"/>
          <w:sz w:val="30"/>
          <w:szCs w:val="30"/>
          <w:highlight w:val="none"/>
        </w:rPr>
        <w:t>20</w:t>
      </w:r>
      <w:r>
        <w:rPr>
          <w:rFonts w:hint="eastAsia" w:ascii="宋体" w:hAnsi="宋体" w:eastAsia="宋体" w:cs="宋体"/>
          <w:b/>
          <w:bCs/>
          <w:w w:val="95"/>
          <w:sz w:val="30"/>
          <w:szCs w:val="30"/>
          <w:highlight w:val="none"/>
          <w:lang w:val="en-US" w:eastAsia="zh-CN"/>
        </w:rPr>
        <w:t>25</w:t>
      </w:r>
      <w:r>
        <w:rPr>
          <w:rFonts w:hint="eastAsia" w:ascii="宋体" w:hAnsi="宋体" w:eastAsia="宋体" w:cs="宋体"/>
          <w:b/>
          <w:bCs/>
          <w:w w:val="95"/>
          <w:sz w:val="30"/>
          <w:szCs w:val="30"/>
          <w:highlight w:val="none"/>
        </w:rPr>
        <w:t>年 5月</w:t>
      </w:r>
    </w:p>
    <w:p w14:paraId="689C4667">
      <w:pPr>
        <w:pStyle w:val="26"/>
        <w:snapToGrid w:val="0"/>
        <w:spacing w:line="360" w:lineRule="auto"/>
        <w:ind w:firstLine="841" w:firstLineChars="294"/>
        <w:rPr>
          <w:rFonts w:ascii="仿宋_GB2312" w:hAnsi="宋体" w:eastAsia="仿宋_GB2312"/>
          <w:b/>
          <w:bCs/>
          <w:color w:val="000000"/>
          <w:w w:val="95"/>
          <w:sz w:val="30"/>
          <w:szCs w:val="30"/>
          <w:highlight w:val="none"/>
        </w:rPr>
        <w:sectPr>
          <w:footerReference r:id="rId5" w:type="first"/>
          <w:headerReference r:id="rId3" w:type="default"/>
          <w:footerReference r:id="rId4" w:type="even"/>
          <w:pgSz w:w="11906" w:h="16838"/>
          <w:pgMar w:top="1701" w:right="1701" w:bottom="1701" w:left="1701" w:header="851" w:footer="992" w:gutter="0"/>
          <w:cols w:space="720" w:num="1"/>
          <w:titlePg/>
          <w:docGrid w:linePitch="312" w:charSpace="0"/>
        </w:sectPr>
      </w:pPr>
    </w:p>
    <w:p w14:paraId="3DC43130">
      <w:pPr>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目  录</w:t>
      </w:r>
    </w:p>
    <w:p w14:paraId="452C55A4">
      <w:pPr>
        <w:pStyle w:val="34"/>
        <w:spacing w:before="0" w:after="0" w:line="360" w:lineRule="auto"/>
        <w:rPr>
          <w:rFonts w:cs="宋体"/>
          <w:b w:val="0"/>
          <w:bCs w:val="0"/>
          <w:caps w:val="0"/>
          <w:color w:val="000000"/>
          <w:highlight w:val="none"/>
        </w:rPr>
      </w:pPr>
      <w:r>
        <w:rPr>
          <w:rFonts w:hint="eastAsia" w:cs="宋体"/>
          <w:b w:val="0"/>
          <w:color w:val="000000"/>
          <w:highlight w:val="none"/>
        </w:rPr>
        <w:fldChar w:fldCharType="begin"/>
      </w:r>
      <w:r>
        <w:rPr>
          <w:rFonts w:hint="eastAsia" w:cs="宋体"/>
          <w:b w:val="0"/>
          <w:color w:val="000000"/>
          <w:highlight w:val="none"/>
        </w:rPr>
        <w:instrText xml:space="preserve"> TOC \o "1-2" \h \z \u </w:instrText>
      </w:r>
      <w:r>
        <w:rPr>
          <w:rFonts w:hint="eastAsia" w:cs="宋体"/>
          <w:b w:val="0"/>
          <w:color w:val="000000"/>
          <w:highlight w:val="none"/>
        </w:rPr>
        <w:fldChar w:fldCharType="separate"/>
      </w:r>
      <w:r>
        <w:rPr>
          <w:highlight w:val="none"/>
        </w:rPr>
        <w:fldChar w:fldCharType="begin"/>
      </w:r>
      <w:r>
        <w:rPr>
          <w:highlight w:val="none"/>
        </w:rPr>
        <w:instrText xml:space="preserve"> HYPERLINK \l "_Toc74320800" </w:instrText>
      </w:r>
      <w:r>
        <w:rPr>
          <w:highlight w:val="none"/>
        </w:rPr>
        <w:fldChar w:fldCharType="separate"/>
      </w:r>
      <w:r>
        <w:rPr>
          <w:rStyle w:val="56"/>
          <w:rFonts w:hint="eastAsia" w:cs="宋体"/>
          <w:color w:val="000000"/>
          <w:highlight w:val="none"/>
        </w:rPr>
        <w:t>第一章  招标公告</w:t>
      </w:r>
      <w:r>
        <w:rPr>
          <w:rFonts w:hint="eastAsia" w:cs="宋体"/>
          <w:color w:val="000000"/>
          <w:highlight w:val="none"/>
        </w:rPr>
        <w:tab/>
      </w:r>
      <w:r>
        <w:rPr>
          <w:rFonts w:hint="eastAsia" w:cs="宋体"/>
          <w:color w:val="000000"/>
          <w:highlight w:val="none"/>
        </w:rPr>
        <w:fldChar w:fldCharType="begin"/>
      </w:r>
      <w:r>
        <w:rPr>
          <w:rFonts w:hint="eastAsia" w:cs="宋体"/>
          <w:color w:val="000000"/>
          <w:highlight w:val="none"/>
        </w:rPr>
        <w:instrText xml:space="preserve"> PAGEREF _Toc74320800 \h </w:instrText>
      </w:r>
      <w:r>
        <w:rPr>
          <w:rFonts w:hint="eastAsia" w:cs="宋体"/>
          <w:color w:val="000000"/>
          <w:highlight w:val="none"/>
        </w:rPr>
        <w:fldChar w:fldCharType="separate"/>
      </w:r>
      <w:r>
        <w:rPr>
          <w:rFonts w:hint="eastAsia" w:cs="宋体"/>
          <w:color w:val="000000"/>
          <w:highlight w:val="none"/>
        </w:rPr>
        <w:t>2</w:t>
      </w:r>
      <w:r>
        <w:rPr>
          <w:rFonts w:hint="eastAsia" w:cs="宋体"/>
          <w:color w:val="000000"/>
          <w:highlight w:val="none"/>
        </w:rPr>
        <w:fldChar w:fldCharType="end"/>
      </w:r>
      <w:r>
        <w:rPr>
          <w:rFonts w:hint="eastAsia" w:cs="宋体"/>
          <w:color w:val="000000"/>
          <w:highlight w:val="none"/>
        </w:rPr>
        <w:fldChar w:fldCharType="end"/>
      </w:r>
    </w:p>
    <w:p w14:paraId="6A6F2025">
      <w:pPr>
        <w:pStyle w:val="34"/>
        <w:spacing w:before="0" w:after="0" w:line="360" w:lineRule="auto"/>
        <w:ind w:firstLine="241"/>
        <w:rPr>
          <w:rFonts w:cs="宋体"/>
          <w:b w:val="0"/>
          <w:bCs w:val="0"/>
          <w:caps w:val="0"/>
          <w:color w:val="000000"/>
          <w:highlight w:val="none"/>
        </w:rPr>
      </w:pPr>
      <w:r>
        <w:rPr>
          <w:highlight w:val="none"/>
        </w:rPr>
        <w:fldChar w:fldCharType="begin"/>
      </w:r>
      <w:r>
        <w:rPr>
          <w:highlight w:val="none"/>
        </w:rPr>
        <w:instrText xml:space="preserve"> HYPERLINK \l "_Toc74320801" </w:instrText>
      </w:r>
      <w:r>
        <w:rPr>
          <w:highlight w:val="none"/>
        </w:rPr>
        <w:fldChar w:fldCharType="separate"/>
      </w:r>
      <w:r>
        <w:rPr>
          <w:rStyle w:val="56"/>
          <w:rFonts w:hint="eastAsia" w:cs="宋体"/>
          <w:color w:val="000000"/>
          <w:highlight w:val="none"/>
        </w:rPr>
        <w:t>第二章  采购需求</w:t>
      </w:r>
      <w:bookmarkStart w:id="0" w:name="_Hlt89854608"/>
      <w:r>
        <w:rPr>
          <w:rFonts w:hint="eastAsia" w:cs="宋体"/>
          <w:color w:val="000000"/>
          <w:highlight w:val="none"/>
        </w:rPr>
        <w:tab/>
      </w:r>
      <w:bookmarkEnd w:id="0"/>
      <w:r>
        <w:rPr>
          <w:rFonts w:hint="eastAsia" w:cs="宋体"/>
          <w:color w:val="000000"/>
          <w:highlight w:val="none"/>
        </w:rPr>
        <w:fldChar w:fldCharType="begin"/>
      </w:r>
      <w:r>
        <w:rPr>
          <w:rFonts w:hint="eastAsia" w:cs="宋体"/>
          <w:color w:val="000000"/>
          <w:highlight w:val="none"/>
        </w:rPr>
        <w:instrText xml:space="preserve"> PAGEREF _Toc74320801 \h </w:instrText>
      </w:r>
      <w:r>
        <w:rPr>
          <w:rFonts w:hint="eastAsia" w:cs="宋体"/>
          <w:color w:val="000000"/>
          <w:highlight w:val="none"/>
        </w:rPr>
        <w:fldChar w:fldCharType="separate"/>
      </w:r>
      <w:r>
        <w:rPr>
          <w:rFonts w:hint="eastAsia" w:cs="宋体"/>
          <w:color w:val="000000"/>
          <w:highlight w:val="none"/>
        </w:rPr>
        <w:t>4</w:t>
      </w:r>
      <w:r>
        <w:rPr>
          <w:rFonts w:hint="eastAsia" w:cs="宋体"/>
          <w:color w:val="000000"/>
          <w:highlight w:val="none"/>
        </w:rPr>
        <w:fldChar w:fldCharType="end"/>
      </w:r>
      <w:r>
        <w:rPr>
          <w:rFonts w:hint="eastAsia" w:cs="宋体"/>
          <w:color w:val="000000"/>
          <w:highlight w:val="none"/>
        </w:rPr>
        <w:fldChar w:fldCharType="end"/>
      </w:r>
    </w:p>
    <w:p w14:paraId="4E4616FE">
      <w:pPr>
        <w:pStyle w:val="34"/>
        <w:spacing w:before="0" w:after="0" w:line="360" w:lineRule="auto"/>
        <w:ind w:firstLine="241"/>
        <w:rPr>
          <w:rFonts w:cs="宋体"/>
          <w:b w:val="0"/>
          <w:bCs w:val="0"/>
          <w:caps w:val="0"/>
          <w:color w:val="000000"/>
          <w:highlight w:val="none"/>
        </w:rPr>
      </w:pPr>
      <w:r>
        <w:rPr>
          <w:highlight w:val="none"/>
        </w:rPr>
        <w:fldChar w:fldCharType="begin"/>
      </w:r>
      <w:r>
        <w:rPr>
          <w:highlight w:val="none"/>
        </w:rPr>
        <w:instrText xml:space="preserve"> HYPERLINK \l "_Toc74320802" </w:instrText>
      </w:r>
      <w:r>
        <w:rPr>
          <w:highlight w:val="none"/>
        </w:rPr>
        <w:fldChar w:fldCharType="separate"/>
      </w:r>
      <w:r>
        <w:rPr>
          <w:rStyle w:val="56"/>
          <w:rFonts w:hint="eastAsia" w:cs="宋体"/>
          <w:color w:val="000000"/>
          <w:highlight w:val="none"/>
        </w:rPr>
        <w:t>第三章  投标人</w:t>
      </w:r>
      <w:bookmarkStart w:id="1" w:name="_Hlt89854620"/>
      <w:r>
        <w:rPr>
          <w:rStyle w:val="56"/>
          <w:rFonts w:hint="eastAsia" w:cs="宋体"/>
          <w:color w:val="000000"/>
          <w:highlight w:val="none"/>
        </w:rPr>
        <w:t>须</w:t>
      </w:r>
      <w:bookmarkEnd w:id="1"/>
      <w:bookmarkStart w:id="2" w:name="_Hlt79572745"/>
      <w:bookmarkStart w:id="3" w:name="_Hlt79572744"/>
      <w:r>
        <w:rPr>
          <w:rStyle w:val="56"/>
          <w:rFonts w:hint="eastAsia" w:cs="宋体"/>
          <w:color w:val="000000"/>
          <w:highlight w:val="none"/>
        </w:rPr>
        <w:t>知</w:t>
      </w:r>
      <w:bookmarkEnd w:id="2"/>
      <w:bookmarkEnd w:id="3"/>
      <w:r>
        <w:rPr>
          <w:rFonts w:hint="eastAsia" w:cs="宋体"/>
          <w:color w:val="000000"/>
          <w:highlight w:val="none"/>
        </w:rPr>
        <w:tab/>
      </w:r>
      <w:r>
        <w:rPr>
          <w:rFonts w:hint="eastAsia" w:cs="宋体"/>
          <w:color w:val="000000"/>
          <w:highlight w:val="none"/>
        </w:rPr>
        <w:fldChar w:fldCharType="begin"/>
      </w:r>
      <w:r>
        <w:rPr>
          <w:rFonts w:hint="eastAsia" w:cs="宋体"/>
          <w:color w:val="000000"/>
          <w:highlight w:val="none"/>
        </w:rPr>
        <w:instrText xml:space="preserve"> PAGEREF _Toc74320802 \h </w:instrText>
      </w:r>
      <w:r>
        <w:rPr>
          <w:rFonts w:hint="eastAsia" w:cs="宋体"/>
          <w:color w:val="000000"/>
          <w:highlight w:val="none"/>
        </w:rPr>
        <w:fldChar w:fldCharType="separate"/>
      </w:r>
      <w:r>
        <w:rPr>
          <w:rFonts w:hint="eastAsia" w:cs="宋体"/>
          <w:color w:val="000000"/>
          <w:highlight w:val="none"/>
        </w:rPr>
        <w:t>100</w:t>
      </w:r>
      <w:r>
        <w:rPr>
          <w:rFonts w:hint="eastAsia" w:cs="宋体"/>
          <w:color w:val="000000"/>
          <w:highlight w:val="none"/>
        </w:rPr>
        <w:fldChar w:fldCharType="end"/>
      </w:r>
      <w:r>
        <w:rPr>
          <w:rFonts w:hint="eastAsia" w:cs="宋体"/>
          <w:color w:val="000000"/>
          <w:highlight w:val="none"/>
        </w:rPr>
        <w:fldChar w:fldCharType="end"/>
      </w:r>
    </w:p>
    <w:p w14:paraId="787CDCA3">
      <w:pPr>
        <w:pStyle w:val="34"/>
        <w:spacing w:before="0" w:after="0" w:line="360" w:lineRule="auto"/>
        <w:ind w:firstLine="241"/>
        <w:rPr>
          <w:rFonts w:cs="宋体"/>
          <w:b w:val="0"/>
          <w:bCs w:val="0"/>
          <w:caps w:val="0"/>
          <w:color w:val="000000"/>
          <w:highlight w:val="none"/>
        </w:rPr>
      </w:pPr>
      <w:r>
        <w:rPr>
          <w:highlight w:val="none"/>
        </w:rPr>
        <w:fldChar w:fldCharType="begin"/>
      </w:r>
      <w:r>
        <w:rPr>
          <w:highlight w:val="none"/>
        </w:rPr>
        <w:instrText xml:space="preserve"> HYPERLINK \l "_Toc74320803" </w:instrText>
      </w:r>
      <w:r>
        <w:rPr>
          <w:highlight w:val="none"/>
        </w:rPr>
        <w:fldChar w:fldCharType="separate"/>
      </w:r>
      <w:r>
        <w:rPr>
          <w:rStyle w:val="56"/>
          <w:rFonts w:hint="eastAsia" w:cs="宋体"/>
          <w:color w:val="000000"/>
          <w:highlight w:val="none"/>
        </w:rPr>
        <w:t>第四章  评标方</w:t>
      </w:r>
      <w:bookmarkStart w:id="4" w:name="_Hlt82186273"/>
      <w:bookmarkStart w:id="5" w:name="_Hlt82186274"/>
      <w:r>
        <w:rPr>
          <w:rStyle w:val="56"/>
          <w:rFonts w:hint="eastAsia" w:cs="宋体"/>
          <w:color w:val="000000"/>
          <w:highlight w:val="none"/>
        </w:rPr>
        <w:t>法</w:t>
      </w:r>
      <w:bookmarkEnd w:id="4"/>
      <w:bookmarkEnd w:id="5"/>
      <w:r>
        <w:rPr>
          <w:rStyle w:val="56"/>
          <w:rFonts w:hint="eastAsia" w:cs="宋体"/>
          <w:color w:val="000000"/>
          <w:highlight w:val="none"/>
        </w:rPr>
        <w:t>及评标标准</w:t>
      </w:r>
      <w:r>
        <w:rPr>
          <w:rFonts w:hint="eastAsia" w:cs="宋体"/>
          <w:color w:val="000000"/>
          <w:highlight w:val="none"/>
        </w:rPr>
        <w:tab/>
      </w:r>
      <w:r>
        <w:rPr>
          <w:rFonts w:hint="eastAsia" w:cs="宋体"/>
          <w:color w:val="000000"/>
          <w:highlight w:val="none"/>
        </w:rPr>
        <w:fldChar w:fldCharType="begin"/>
      </w:r>
      <w:r>
        <w:rPr>
          <w:rFonts w:hint="eastAsia" w:cs="宋体"/>
          <w:color w:val="000000"/>
          <w:highlight w:val="none"/>
        </w:rPr>
        <w:instrText xml:space="preserve"> PAGEREF _Toc74320803 \h </w:instrText>
      </w:r>
      <w:r>
        <w:rPr>
          <w:rFonts w:hint="eastAsia" w:cs="宋体"/>
          <w:color w:val="000000"/>
          <w:highlight w:val="none"/>
        </w:rPr>
        <w:fldChar w:fldCharType="separate"/>
      </w:r>
      <w:r>
        <w:rPr>
          <w:rFonts w:hint="eastAsia" w:cs="宋体"/>
          <w:color w:val="000000"/>
          <w:highlight w:val="none"/>
        </w:rPr>
        <w:t>125</w:t>
      </w:r>
      <w:r>
        <w:rPr>
          <w:rFonts w:hint="eastAsia" w:cs="宋体"/>
          <w:color w:val="000000"/>
          <w:highlight w:val="none"/>
        </w:rPr>
        <w:fldChar w:fldCharType="end"/>
      </w:r>
      <w:r>
        <w:rPr>
          <w:rFonts w:hint="eastAsia" w:cs="宋体"/>
          <w:color w:val="000000"/>
          <w:highlight w:val="none"/>
        </w:rPr>
        <w:fldChar w:fldCharType="end"/>
      </w:r>
    </w:p>
    <w:p w14:paraId="02FA81C9">
      <w:pPr>
        <w:pStyle w:val="34"/>
        <w:spacing w:before="0" w:after="0" w:line="360" w:lineRule="auto"/>
        <w:ind w:firstLine="241"/>
        <w:rPr>
          <w:rFonts w:cs="宋体"/>
          <w:b w:val="0"/>
          <w:bCs w:val="0"/>
          <w:caps w:val="0"/>
          <w:color w:val="000000"/>
          <w:highlight w:val="none"/>
        </w:rPr>
      </w:pPr>
      <w:r>
        <w:rPr>
          <w:highlight w:val="none"/>
        </w:rPr>
        <w:fldChar w:fldCharType="begin"/>
      </w:r>
      <w:r>
        <w:rPr>
          <w:highlight w:val="none"/>
        </w:rPr>
        <w:instrText xml:space="preserve"> HYPERLINK \l "_Toc74320804" </w:instrText>
      </w:r>
      <w:r>
        <w:rPr>
          <w:highlight w:val="none"/>
        </w:rPr>
        <w:fldChar w:fldCharType="separate"/>
      </w:r>
      <w:r>
        <w:rPr>
          <w:rStyle w:val="56"/>
          <w:rFonts w:hint="eastAsia" w:cs="宋体"/>
          <w:color w:val="000000"/>
          <w:highlight w:val="none"/>
        </w:rPr>
        <w:t>第五章  拟签订的合同文本</w:t>
      </w:r>
      <w:r>
        <w:rPr>
          <w:rFonts w:hint="eastAsia" w:cs="宋体"/>
          <w:color w:val="000000"/>
          <w:highlight w:val="none"/>
        </w:rPr>
        <w:tab/>
      </w:r>
      <w:r>
        <w:rPr>
          <w:rFonts w:hint="eastAsia" w:cs="宋体"/>
          <w:color w:val="000000"/>
          <w:highlight w:val="none"/>
        </w:rPr>
        <w:fldChar w:fldCharType="begin"/>
      </w:r>
      <w:r>
        <w:rPr>
          <w:rFonts w:hint="eastAsia" w:cs="宋体"/>
          <w:color w:val="000000"/>
          <w:highlight w:val="none"/>
        </w:rPr>
        <w:instrText xml:space="preserve"> PAGEREF _Toc74320804 \h </w:instrText>
      </w:r>
      <w:r>
        <w:rPr>
          <w:rFonts w:hint="eastAsia" w:cs="宋体"/>
          <w:color w:val="000000"/>
          <w:highlight w:val="none"/>
        </w:rPr>
        <w:fldChar w:fldCharType="separate"/>
      </w:r>
      <w:r>
        <w:rPr>
          <w:rFonts w:hint="eastAsia" w:cs="宋体"/>
          <w:color w:val="000000"/>
          <w:highlight w:val="none"/>
        </w:rPr>
        <w:t>152</w:t>
      </w:r>
      <w:r>
        <w:rPr>
          <w:rFonts w:hint="eastAsia" w:cs="宋体"/>
          <w:color w:val="000000"/>
          <w:highlight w:val="none"/>
        </w:rPr>
        <w:fldChar w:fldCharType="end"/>
      </w:r>
      <w:r>
        <w:rPr>
          <w:rFonts w:hint="eastAsia" w:cs="宋体"/>
          <w:color w:val="000000"/>
          <w:highlight w:val="none"/>
        </w:rPr>
        <w:fldChar w:fldCharType="end"/>
      </w:r>
    </w:p>
    <w:p w14:paraId="6A3DF8E8">
      <w:pPr>
        <w:pStyle w:val="34"/>
        <w:spacing w:before="0" w:after="0" w:line="360" w:lineRule="auto"/>
        <w:ind w:firstLine="241"/>
        <w:rPr>
          <w:rFonts w:cs="宋体"/>
          <w:b w:val="0"/>
          <w:bCs w:val="0"/>
          <w:caps w:val="0"/>
          <w:color w:val="000000"/>
          <w:highlight w:val="none"/>
        </w:rPr>
      </w:pPr>
      <w:r>
        <w:rPr>
          <w:highlight w:val="none"/>
        </w:rPr>
        <w:fldChar w:fldCharType="begin"/>
      </w:r>
      <w:r>
        <w:rPr>
          <w:highlight w:val="none"/>
        </w:rPr>
        <w:instrText xml:space="preserve"> HYPERLINK \l "_Toc74320805" </w:instrText>
      </w:r>
      <w:r>
        <w:rPr>
          <w:highlight w:val="none"/>
        </w:rPr>
        <w:fldChar w:fldCharType="separate"/>
      </w:r>
      <w:r>
        <w:rPr>
          <w:rStyle w:val="56"/>
          <w:rFonts w:hint="eastAsia" w:cs="宋体"/>
          <w:color w:val="000000"/>
          <w:highlight w:val="none"/>
        </w:rPr>
        <w:t>第六章　投标文件格式</w:t>
      </w:r>
      <w:r>
        <w:rPr>
          <w:rFonts w:hint="eastAsia" w:cs="宋体"/>
          <w:color w:val="000000"/>
          <w:highlight w:val="none"/>
        </w:rPr>
        <w:tab/>
      </w:r>
      <w:r>
        <w:rPr>
          <w:rFonts w:hint="eastAsia" w:cs="宋体"/>
          <w:color w:val="000000"/>
          <w:highlight w:val="none"/>
        </w:rPr>
        <w:fldChar w:fldCharType="begin"/>
      </w:r>
      <w:r>
        <w:rPr>
          <w:rFonts w:hint="eastAsia" w:cs="宋体"/>
          <w:color w:val="000000"/>
          <w:highlight w:val="none"/>
        </w:rPr>
        <w:instrText xml:space="preserve"> PAGEREF _Toc74320805 \h </w:instrText>
      </w:r>
      <w:r>
        <w:rPr>
          <w:rFonts w:hint="eastAsia" w:cs="宋体"/>
          <w:color w:val="000000"/>
          <w:highlight w:val="none"/>
        </w:rPr>
        <w:fldChar w:fldCharType="separate"/>
      </w:r>
      <w:r>
        <w:rPr>
          <w:rFonts w:hint="eastAsia" w:cs="宋体"/>
          <w:color w:val="000000"/>
          <w:highlight w:val="none"/>
        </w:rPr>
        <w:t>161</w:t>
      </w:r>
      <w:r>
        <w:rPr>
          <w:rFonts w:hint="eastAsia" w:cs="宋体"/>
          <w:color w:val="000000"/>
          <w:highlight w:val="none"/>
        </w:rPr>
        <w:fldChar w:fldCharType="end"/>
      </w:r>
      <w:r>
        <w:rPr>
          <w:rFonts w:hint="eastAsia" w:cs="宋体"/>
          <w:color w:val="000000"/>
          <w:highlight w:val="none"/>
        </w:rPr>
        <w:fldChar w:fldCharType="end"/>
      </w:r>
    </w:p>
    <w:p w14:paraId="77337B5E">
      <w:pPr>
        <w:spacing w:line="360" w:lineRule="auto"/>
        <w:rPr>
          <w:rFonts w:ascii="仿宋_GB2312" w:hAnsi="宋体" w:eastAsia="仿宋_GB2312"/>
          <w:color w:val="000000"/>
          <w:sz w:val="24"/>
          <w:highlight w:val="none"/>
        </w:rPr>
      </w:pPr>
      <w:r>
        <w:rPr>
          <w:rFonts w:hint="eastAsia" w:ascii="宋体" w:hAnsi="宋体" w:cs="宋体"/>
          <w:b/>
          <w:color w:val="000000"/>
          <w:sz w:val="24"/>
          <w:highlight w:val="none"/>
        </w:rPr>
        <w:fldChar w:fldCharType="end"/>
      </w:r>
    </w:p>
    <w:p w14:paraId="3DD480CB">
      <w:pPr>
        <w:spacing w:before="120" w:beforeLines="50" w:line="480" w:lineRule="exact"/>
        <w:rPr>
          <w:rFonts w:ascii="仿宋_GB2312" w:hAnsi="宋体" w:eastAsia="仿宋_GB2312"/>
          <w:color w:val="000000"/>
          <w:sz w:val="30"/>
          <w:highlight w:val="none"/>
        </w:rPr>
      </w:pPr>
    </w:p>
    <w:p w14:paraId="105C385C">
      <w:pPr>
        <w:rPr>
          <w:color w:val="000000"/>
          <w:highlight w:val="none"/>
        </w:rPr>
      </w:pPr>
    </w:p>
    <w:p w14:paraId="747B51C6">
      <w:pPr>
        <w:spacing w:before="120" w:beforeLines="50" w:line="480" w:lineRule="exact"/>
        <w:rPr>
          <w:rFonts w:ascii="仿宋_GB2312" w:hAnsi="宋体" w:eastAsia="仿宋_GB2312"/>
          <w:color w:val="000000"/>
          <w:sz w:val="30"/>
          <w:highlight w:val="none"/>
        </w:rPr>
      </w:pPr>
    </w:p>
    <w:p w14:paraId="17257683">
      <w:pPr>
        <w:spacing w:before="120" w:beforeLines="50" w:line="480" w:lineRule="exact"/>
        <w:rPr>
          <w:rFonts w:ascii="仿宋_GB2312" w:hAnsi="宋体" w:eastAsia="仿宋_GB2312"/>
          <w:color w:val="000000"/>
          <w:sz w:val="30"/>
          <w:highlight w:val="none"/>
        </w:rPr>
      </w:pPr>
    </w:p>
    <w:p w14:paraId="6D9F25CF">
      <w:pPr>
        <w:pStyle w:val="17"/>
        <w:rPr>
          <w:rFonts w:ascii="宋体" w:hAnsi="宋体" w:cs="宋体"/>
          <w:b/>
          <w:bCs/>
          <w:color w:val="000000"/>
          <w:highlight w:val="none"/>
        </w:rPr>
      </w:pPr>
      <w:bookmarkStart w:id="6" w:name="_Toc254970489"/>
      <w:bookmarkStart w:id="7" w:name="_Toc254970630"/>
    </w:p>
    <w:p w14:paraId="74BB8F69">
      <w:pPr>
        <w:pStyle w:val="2"/>
        <w:keepNext w:val="0"/>
        <w:keepLines w:val="0"/>
        <w:tabs>
          <w:tab w:val="left" w:pos="0"/>
          <w:tab w:val="left" w:pos="3165"/>
          <w:tab w:val="center" w:pos="4153"/>
        </w:tabs>
        <w:autoSpaceDE w:val="0"/>
        <w:autoSpaceDN w:val="0"/>
        <w:adjustRightInd w:val="0"/>
        <w:spacing w:before="0" w:after="0" w:line="360" w:lineRule="auto"/>
        <w:jc w:val="center"/>
        <w:rPr>
          <w:color w:val="000000"/>
          <w:highlight w:val="none"/>
        </w:rPr>
        <w:sectPr>
          <w:footerReference r:id="rId7" w:type="first"/>
          <w:footerReference r:id="rId6" w:type="default"/>
          <w:pgSz w:w="11906" w:h="16838"/>
          <w:pgMar w:top="1701" w:right="1701" w:bottom="1701" w:left="1701" w:header="851" w:footer="992" w:gutter="0"/>
          <w:pgNumType w:start="1"/>
          <w:cols w:space="720" w:num="1"/>
          <w:docGrid w:linePitch="312" w:charSpace="0"/>
        </w:sectPr>
      </w:pPr>
      <w:bookmarkStart w:id="160" w:name="_GoBack"/>
      <w:bookmarkEnd w:id="160"/>
      <w:bookmarkStart w:id="8" w:name="_Toc74320800"/>
    </w:p>
    <w:p w14:paraId="4745B669">
      <w:pPr>
        <w:pStyle w:val="2"/>
        <w:keepNext w:val="0"/>
        <w:keepLines w:val="0"/>
        <w:tabs>
          <w:tab w:val="left" w:pos="0"/>
          <w:tab w:val="left" w:pos="3165"/>
          <w:tab w:val="center" w:pos="4153"/>
        </w:tabs>
        <w:autoSpaceDE w:val="0"/>
        <w:autoSpaceDN w:val="0"/>
        <w:adjustRightInd w:val="0"/>
        <w:spacing w:before="0" w:after="0" w:line="360" w:lineRule="auto"/>
        <w:jc w:val="center"/>
        <w:rPr>
          <w:color w:val="000000"/>
          <w:highlight w:val="none"/>
        </w:rPr>
      </w:pPr>
      <w:r>
        <w:rPr>
          <w:rFonts w:hint="eastAsia"/>
          <w:color w:val="000000"/>
          <w:highlight w:val="none"/>
        </w:rPr>
        <w:t>第一章</w:t>
      </w:r>
      <w:bookmarkEnd w:id="6"/>
      <w:bookmarkEnd w:id="7"/>
      <w:bookmarkStart w:id="9" w:name="_Toc28359001"/>
      <w:bookmarkStart w:id="10" w:name="_Toc35393789"/>
      <w:r>
        <w:rPr>
          <w:rFonts w:hint="eastAsia"/>
          <w:color w:val="000000"/>
          <w:highlight w:val="none"/>
        </w:rPr>
        <w:t xml:space="preserve"> 招标公告</w:t>
      </w:r>
      <w:bookmarkEnd w:id="8"/>
      <w:bookmarkEnd w:id="9"/>
      <w:bookmarkEnd w:id="10"/>
    </w:p>
    <w:p w14:paraId="074D7EFF">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90" w:lineRule="exact"/>
        <w:textAlignment w:val="auto"/>
        <w:rPr>
          <w:rFonts w:ascii="宋体" w:hAnsi="宋体" w:cs="宋体"/>
          <w:color w:val="000000"/>
          <w:szCs w:val="21"/>
          <w:highlight w:val="none"/>
        </w:rPr>
      </w:pPr>
      <w:r>
        <w:rPr>
          <w:rFonts w:hint="eastAsia" w:ascii="宋体" w:hAnsi="宋体" w:cs="宋体"/>
          <w:color w:val="000000"/>
          <w:szCs w:val="21"/>
          <w:highlight w:val="none"/>
        </w:rPr>
        <w:t>项目概况</w:t>
      </w:r>
    </w:p>
    <w:p w14:paraId="0E723BA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default" w:ascii="宋体" w:hAnsi="宋体" w:cs="宋体"/>
          <w:color w:val="000000"/>
          <w:szCs w:val="21"/>
          <w:highlight w:val="none"/>
          <w:u w:val="single"/>
          <w:lang w:val="en-US"/>
        </w:rPr>
        <w:t>广西制造工程职业技术学院2025年微电子实训室及数智技术平台建设项目</w:t>
      </w:r>
      <w:r>
        <w:rPr>
          <w:rFonts w:hint="eastAsia" w:ascii="宋体" w:hAnsi="宋体" w:cs="宋体"/>
          <w:color w:val="000000"/>
          <w:szCs w:val="21"/>
          <w:highlight w:val="none"/>
        </w:rPr>
        <w:t>招标项目的潜在投标人应在</w:t>
      </w:r>
      <w:r>
        <w:rPr>
          <w:rFonts w:hint="eastAsia" w:ascii="宋体" w:hAnsi="宋体"/>
          <w:color w:val="000000"/>
          <w:szCs w:val="21"/>
          <w:highlight w:val="none"/>
        </w:rPr>
        <w:t>广西政府采购云平台</w:t>
      </w:r>
      <w:r>
        <w:rPr>
          <w:rFonts w:hint="eastAsia" w:ascii="宋体" w:hAnsi="宋体" w:cs="宋体"/>
          <w:color w:val="000000"/>
          <w:szCs w:val="21"/>
          <w:highlight w:val="none"/>
        </w:rPr>
        <w:t>（</w:t>
      </w:r>
      <w:r>
        <w:rPr>
          <w:rFonts w:hint="eastAsia" w:ascii="宋体" w:hAnsi="宋体" w:cs="宋体"/>
          <w:bCs/>
          <w:kern w:val="0"/>
          <w:szCs w:val="21"/>
          <w:highlight w:val="none"/>
        </w:rPr>
        <w:t>https://www.gcy.zfcg.gxzf.gov.cn/</w:t>
      </w:r>
      <w:r>
        <w:rPr>
          <w:rFonts w:hint="eastAsia" w:ascii="宋体" w:hAnsi="宋体" w:cs="宋体"/>
          <w:color w:val="000000"/>
          <w:szCs w:val="21"/>
          <w:highlight w:val="none"/>
        </w:rPr>
        <w:t>）获取（下载）招标文件，并于</w:t>
      </w:r>
      <w:r>
        <w:rPr>
          <w:rFonts w:hint="eastAsia" w:ascii="宋体" w:hAnsi="宋体" w:cs="宋体"/>
          <w:color w:val="000000"/>
          <w:szCs w:val="21"/>
          <w:highlight w:val="none"/>
          <w:u w:val="single"/>
        </w:rPr>
        <w:t>20</w:t>
      </w:r>
      <w:r>
        <w:rPr>
          <w:rFonts w:hint="default" w:ascii="宋体" w:hAnsi="宋体" w:cs="宋体"/>
          <w:color w:val="000000"/>
          <w:szCs w:val="21"/>
          <w:highlight w:val="none"/>
          <w:u w:val="single"/>
          <w:lang w:val="en-US"/>
        </w:rPr>
        <w:t>25</w:t>
      </w:r>
      <w:r>
        <w:rPr>
          <w:rFonts w:hint="eastAsia" w:ascii="宋体" w:hAnsi="宋体" w:cs="宋体"/>
          <w:color w:val="000000"/>
          <w:szCs w:val="21"/>
          <w:highlight w:val="none"/>
          <w:u w:val="single"/>
        </w:rPr>
        <w:t>年</w:t>
      </w:r>
      <w:r>
        <w:rPr>
          <w:rFonts w:hint="eastAsia" w:ascii="宋体" w:hAnsi="宋体" w:cs="宋体"/>
          <w:color w:val="000000"/>
          <w:szCs w:val="21"/>
          <w:highlight w:val="none"/>
          <w:u w:val="single"/>
          <w:lang w:val="en-US" w:eastAsia="zh-CN"/>
        </w:rPr>
        <w:t>6月17日</w:t>
      </w:r>
      <w:r>
        <w:rPr>
          <w:rFonts w:hint="eastAsia" w:ascii="宋体" w:hAnsi="宋体" w:cs="宋体"/>
          <w:color w:val="000000"/>
          <w:szCs w:val="21"/>
          <w:highlight w:val="none"/>
          <w:u w:val="single"/>
        </w:rPr>
        <w:t>9时30分</w:t>
      </w:r>
      <w:r>
        <w:rPr>
          <w:rFonts w:hint="eastAsia" w:ascii="宋体" w:hAnsi="宋体" w:cs="宋体"/>
          <w:bCs/>
          <w:color w:val="000000"/>
          <w:szCs w:val="21"/>
          <w:highlight w:val="none"/>
          <w:u w:val="single"/>
        </w:rPr>
        <w:t>（</w:t>
      </w:r>
      <w:r>
        <w:rPr>
          <w:rFonts w:hint="eastAsia" w:ascii="宋体" w:hAnsi="宋体" w:cs="宋体"/>
          <w:bCs/>
          <w:color w:val="000000"/>
          <w:szCs w:val="21"/>
          <w:highlight w:val="none"/>
        </w:rPr>
        <w:t>北京时间）前按要求递交（上传）投标文件</w:t>
      </w:r>
      <w:r>
        <w:rPr>
          <w:rFonts w:hint="eastAsia" w:ascii="宋体" w:hAnsi="宋体" w:cs="宋体"/>
          <w:color w:val="000000"/>
          <w:szCs w:val="21"/>
          <w:highlight w:val="none"/>
        </w:rPr>
        <w:t>。</w:t>
      </w:r>
    </w:p>
    <w:p w14:paraId="6BB96F57">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bookmarkStart w:id="11" w:name="_Toc35393790"/>
      <w:bookmarkStart w:id="12" w:name="_Toc28359079"/>
      <w:bookmarkStart w:id="13" w:name="_Toc28359002"/>
      <w:bookmarkStart w:id="14" w:name="_Toc35393621"/>
      <w:bookmarkStart w:id="15" w:name="_Hlk24379207"/>
      <w:r>
        <w:rPr>
          <w:rFonts w:hint="eastAsia" w:ascii="宋体" w:hAnsi="宋体" w:cs="宋体"/>
          <w:b/>
          <w:bCs/>
          <w:color w:val="000000"/>
          <w:sz w:val="24"/>
          <w:highlight w:val="none"/>
        </w:rPr>
        <w:t>一、项目基本情况</w:t>
      </w:r>
      <w:bookmarkEnd w:id="11"/>
      <w:bookmarkEnd w:id="12"/>
      <w:bookmarkEnd w:id="13"/>
      <w:bookmarkEnd w:id="14"/>
    </w:p>
    <w:p w14:paraId="5637B778">
      <w:pPr>
        <w:pageBreakBefore w:val="0"/>
        <w:kinsoku/>
        <w:wordWrap/>
        <w:overflowPunct/>
        <w:topLinePunct w:val="0"/>
        <w:autoSpaceDE/>
        <w:autoSpaceDN/>
        <w:bidi w:val="0"/>
        <w:adjustRightInd/>
        <w:spacing w:line="390" w:lineRule="exact"/>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项目编号：</w:t>
      </w:r>
      <w:r>
        <w:rPr>
          <w:rFonts w:hint="eastAsia" w:ascii="宋体" w:hAnsi="宋体" w:cs="宋体"/>
          <w:color w:val="000000"/>
          <w:szCs w:val="21"/>
          <w:highlight w:val="none"/>
          <w:lang w:val="en-US" w:eastAsia="zh-CN"/>
        </w:rPr>
        <w:t>GXZC2025-G1-001262-ZHZB</w:t>
      </w:r>
    </w:p>
    <w:p w14:paraId="262F0B02">
      <w:pPr>
        <w:pageBreakBefore w:val="0"/>
        <w:kinsoku/>
        <w:wordWrap/>
        <w:overflowPunct/>
        <w:topLinePunct w:val="0"/>
        <w:autoSpaceDE/>
        <w:autoSpaceDN/>
        <w:bidi w:val="0"/>
        <w:adjustRightInd/>
        <w:spacing w:line="390" w:lineRule="exact"/>
        <w:ind w:firstLine="420" w:firstLineChars="200"/>
        <w:textAlignment w:val="auto"/>
        <w:rPr>
          <w:rFonts w:hint="default" w:ascii="宋体" w:hAnsi="宋体" w:cs="宋体"/>
          <w:color w:val="000000"/>
          <w:szCs w:val="21"/>
          <w:highlight w:val="none"/>
          <w:lang w:val="en-US"/>
        </w:rPr>
      </w:pPr>
      <w:r>
        <w:rPr>
          <w:rFonts w:hint="eastAsia" w:ascii="宋体" w:hAnsi="宋体" w:cs="宋体"/>
          <w:color w:val="000000"/>
          <w:szCs w:val="21"/>
          <w:highlight w:val="none"/>
        </w:rPr>
        <w:t>项目名称：</w:t>
      </w:r>
      <w:r>
        <w:rPr>
          <w:rFonts w:hint="default" w:ascii="宋体" w:hAnsi="宋体" w:cs="宋体"/>
          <w:color w:val="000000"/>
          <w:szCs w:val="21"/>
          <w:highlight w:val="none"/>
          <w:lang w:val="en-US"/>
        </w:rPr>
        <w:t>广西制造工程职业技术学院2025年微电子实训室及数智技术平台建设项目</w:t>
      </w:r>
    </w:p>
    <w:bookmarkEnd w:id="15"/>
    <w:p w14:paraId="67251DCF">
      <w:pPr>
        <w:pageBreakBefore w:val="0"/>
        <w:kinsoku/>
        <w:wordWrap/>
        <w:overflowPunct/>
        <w:topLinePunct w:val="0"/>
        <w:autoSpaceDE/>
        <w:autoSpaceDN/>
        <w:bidi w:val="0"/>
        <w:adjustRightInd/>
        <w:spacing w:line="390" w:lineRule="exact"/>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预算金额：</w:t>
      </w:r>
      <w:r>
        <w:rPr>
          <w:rFonts w:hint="eastAsia" w:ascii="宋体" w:hAnsi="宋体" w:cs="宋体"/>
          <w:color w:val="000000"/>
          <w:szCs w:val="21"/>
          <w:highlight w:val="none"/>
          <w:lang w:val="en-US" w:eastAsia="zh-CN"/>
        </w:rPr>
        <w:t>叁佰贰拾肆万捌仟伍佰叁拾贰</w:t>
      </w:r>
      <w:r>
        <w:rPr>
          <w:rFonts w:hint="eastAsia" w:ascii="宋体" w:hAnsi="宋体" w:cs="宋体"/>
          <w:color w:val="000000"/>
          <w:szCs w:val="21"/>
          <w:highlight w:val="none"/>
          <w:lang w:eastAsia="zh-CN"/>
        </w:rPr>
        <w:t>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3248532.00</w:t>
      </w:r>
      <w:r>
        <w:rPr>
          <w:rFonts w:hint="default" w:ascii="宋体" w:hAnsi="宋体" w:cs="宋体"/>
          <w:color w:val="000000"/>
          <w:szCs w:val="21"/>
          <w:highlight w:val="none"/>
          <w:lang w:val="en-US"/>
        </w:rPr>
        <w:t>)</w:t>
      </w:r>
      <w:r>
        <w:rPr>
          <w:rFonts w:hint="eastAsia" w:ascii="宋体" w:hAnsi="宋体" w:cs="宋体"/>
          <w:color w:val="000000"/>
          <w:szCs w:val="21"/>
          <w:highlight w:val="none"/>
        </w:rPr>
        <w:t>，其中</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lang w:eastAsia="zh-CN"/>
        </w:rPr>
        <w:t>分标</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壹佰零陆万贰仟陆佰壹拾贰</w:t>
      </w:r>
      <w:r>
        <w:rPr>
          <w:rFonts w:hint="eastAsia" w:ascii="宋体" w:hAnsi="宋体" w:cs="宋体"/>
          <w:color w:val="000000"/>
          <w:szCs w:val="21"/>
          <w:highlight w:val="none"/>
          <w:lang w:eastAsia="zh-CN"/>
        </w:rPr>
        <w:t>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1062612</w:t>
      </w:r>
      <w:r>
        <w:rPr>
          <w:rFonts w:hint="default" w:ascii="宋体" w:hAnsi="宋体" w:cs="宋体"/>
          <w:color w:val="000000"/>
          <w:szCs w:val="21"/>
          <w:highlight w:val="none"/>
          <w:lang w:val="en-US" w:eastAsia="zh-CN"/>
        </w:rPr>
        <w:t>.00</w:t>
      </w:r>
      <w:r>
        <w:rPr>
          <w:rFonts w:hint="default" w:ascii="宋体" w:hAnsi="宋体" w:cs="宋体"/>
          <w:color w:val="000000"/>
          <w:szCs w:val="21"/>
          <w:highlight w:val="none"/>
          <w:lang w:val="en-US"/>
        </w:rPr>
        <w:t>)</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B分标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捌拾万零肆仟元整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804000.00</w:t>
      </w:r>
      <w:r>
        <w:rPr>
          <w:rFonts w:hint="default" w:ascii="宋体" w:hAnsi="宋体" w:cs="宋体"/>
          <w:color w:val="000000"/>
          <w:szCs w:val="21"/>
          <w:highlight w:val="none"/>
          <w:lang w:val="en-US"/>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C分标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贰拾柒万壹仟元整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271000.00</w:t>
      </w:r>
      <w:r>
        <w:rPr>
          <w:rFonts w:hint="default" w:ascii="宋体" w:hAnsi="宋体" w:cs="宋体"/>
          <w:color w:val="000000"/>
          <w:szCs w:val="21"/>
          <w:highlight w:val="none"/>
          <w:lang w:val="en-US"/>
        </w:rPr>
        <w:t>)</w:t>
      </w:r>
      <w:r>
        <w:rPr>
          <w:rFonts w:hint="eastAsia" w:ascii="宋体" w:hAnsi="宋体" w:cs="宋体"/>
          <w:color w:val="000000"/>
          <w:szCs w:val="21"/>
          <w:highlight w:val="none"/>
          <w:lang w:val="en-US" w:eastAsia="zh-CN"/>
        </w:rPr>
        <w:t>；D分标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贰拾陆万玖仟玖佰贰拾元整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269920.00</w:t>
      </w:r>
      <w:r>
        <w:rPr>
          <w:rFonts w:hint="default" w:ascii="宋体" w:hAnsi="宋体" w:cs="宋体"/>
          <w:color w:val="000000"/>
          <w:szCs w:val="21"/>
          <w:highlight w:val="none"/>
          <w:lang w:val="en-US"/>
        </w:rPr>
        <w:t>)</w:t>
      </w:r>
      <w:r>
        <w:rPr>
          <w:rFonts w:hint="eastAsia" w:ascii="宋体" w:hAnsi="宋体" w:cs="宋体"/>
          <w:color w:val="000000"/>
          <w:szCs w:val="21"/>
          <w:highlight w:val="none"/>
          <w:lang w:val="en-US" w:eastAsia="zh-CN"/>
        </w:rPr>
        <w:t>；E分标：</w:t>
      </w:r>
      <w:r>
        <w:rPr>
          <w:rFonts w:hint="eastAsia" w:ascii="宋体" w:hAnsi="宋体" w:cs="宋体"/>
          <w:color w:val="000000"/>
          <w:szCs w:val="21"/>
          <w:highlight w:val="none"/>
          <w:lang w:eastAsia="zh-CN"/>
        </w:rPr>
        <w:t>捌拾肆万壹仟元整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841000.00</w:t>
      </w:r>
      <w:r>
        <w:rPr>
          <w:rFonts w:hint="default" w:ascii="宋体" w:hAnsi="宋体" w:cs="宋体"/>
          <w:color w:val="000000"/>
          <w:szCs w:val="21"/>
          <w:highlight w:val="none"/>
          <w:lang w:val="en-US"/>
        </w:rPr>
        <w:t>)</w:t>
      </w:r>
    </w:p>
    <w:p w14:paraId="1E7F6789">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最高限价：</w:t>
      </w:r>
      <w:r>
        <w:rPr>
          <w:rFonts w:hint="eastAsia" w:ascii="宋体" w:hAnsi="宋体" w:cs="宋体"/>
          <w:color w:val="000000"/>
          <w:szCs w:val="21"/>
          <w:highlight w:val="none"/>
          <w:lang w:val="en-US" w:eastAsia="zh-CN"/>
        </w:rPr>
        <w:t>叁佰贰拾肆万捌仟伍佰叁拾贰</w:t>
      </w:r>
      <w:r>
        <w:rPr>
          <w:rFonts w:hint="eastAsia" w:ascii="宋体" w:hAnsi="宋体" w:cs="宋体"/>
          <w:color w:val="000000"/>
          <w:szCs w:val="21"/>
          <w:highlight w:val="none"/>
          <w:lang w:eastAsia="zh-CN"/>
        </w:rPr>
        <w:t>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3248532.00</w:t>
      </w:r>
      <w:r>
        <w:rPr>
          <w:rFonts w:hint="default" w:ascii="宋体" w:hAnsi="宋体" w:cs="宋体"/>
          <w:color w:val="000000"/>
          <w:szCs w:val="21"/>
          <w:highlight w:val="none"/>
          <w:lang w:val="en-US"/>
        </w:rPr>
        <w:t>)</w:t>
      </w:r>
      <w:r>
        <w:rPr>
          <w:rFonts w:hint="eastAsia" w:ascii="宋体" w:hAnsi="宋体" w:cs="宋体"/>
          <w:color w:val="000000"/>
          <w:szCs w:val="21"/>
          <w:highlight w:val="none"/>
        </w:rPr>
        <w:t>，其中</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lang w:eastAsia="zh-CN"/>
        </w:rPr>
        <w:t>分标</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壹佰零陆万贰仟陆佰壹拾贰</w:t>
      </w:r>
      <w:r>
        <w:rPr>
          <w:rFonts w:hint="eastAsia" w:ascii="宋体" w:hAnsi="宋体" w:cs="宋体"/>
          <w:color w:val="000000"/>
          <w:szCs w:val="21"/>
          <w:highlight w:val="none"/>
          <w:lang w:eastAsia="zh-CN"/>
        </w:rPr>
        <w:t>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1062612</w:t>
      </w:r>
      <w:r>
        <w:rPr>
          <w:rFonts w:hint="default" w:ascii="宋体" w:hAnsi="宋体" w:cs="宋体"/>
          <w:color w:val="000000"/>
          <w:szCs w:val="21"/>
          <w:highlight w:val="none"/>
          <w:lang w:val="en-US" w:eastAsia="zh-CN"/>
        </w:rPr>
        <w:t>.00</w:t>
      </w:r>
      <w:r>
        <w:rPr>
          <w:rFonts w:hint="default" w:ascii="宋体" w:hAnsi="宋体" w:cs="宋体"/>
          <w:color w:val="000000"/>
          <w:szCs w:val="21"/>
          <w:highlight w:val="none"/>
          <w:lang w:val="en-US"/>
        </w:rPr>
        <w:t>)</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B分标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捌拾万零肆仟元整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804000.00</w:t>
      </w:r>
      <w:r>
        <w:rPr>
          <w:rFonts w:hint="default" w:ascii="宋体" w:hAnsi="宋体" w:cs="宋体"/>
          <w:color w:val="000000"/>
          <w:szCs w:val="21"/>
          <w:highlight w:val="none"/>
          <w:lang w:val="en-US"/>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C分标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贰拾柒万壹仟元整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271000.00</w:t>
      </w:r>
      <w:r>
        <w:rPr>
          <w:rFonts w:hint="default" w:ascii="宋体" w:hAnsi="宋体" w:cs="宋体"/>
          <w:color w:val="000000"/>
          <w:szCs w:val="21"/>
          <w:highlight w:val="none"/>
          <w:lang w:val="en-US"/>
        </w:rPr>
        <w:t>)</w:t>
      </w:r>
      <w:r>
        <w:rPr>
          <w:rFonts w:hint="eastAsia" w:ascii="宋体" w:hAnsi="宋体" w:cs="宋体"/>
          <w:color w:val="000000"/>
          <w:szCs w:val="21"/>
          <w:highlight w:val="none"/>
          <w:lang w:val="en-US" w:eastAsia="zh-CN"/>
        </w:rPr>
        <w:t>；D分标</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贰拾陆万玖仟玖佰贰拾元整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269920.00</w:t>
      </w:r>
      <w:r>
        <w:rPr>
          <w:rFonts w:hint="default" w:ascii="宋体" w:hAnsi="宋体" w:cs="宋体"/>
          <w:color w:val="000000"/>
          <w:szCs w:val="21"/>
          <w:highlight w:val="none"/>
          <w:lang w:val="en-US"/>
        </w:rPr>
        <w:t>)</w:t>
      </w:r>
      <w:r>
        <w:rPr>
          <w:rFonts w:hint="eastAsia" w:ascii="宋体" w:hAnsi="宋体" w:cs="宋体"/>
          <w:color w:val="000000"/>
          <w:szCs w:val="21"/>
          <w:highlight w:val="none"/>
          <w:lang w:val="en-US" w:eastAsia="zh-CN"/>
        </w:rPr>
        <w:t>；E分标：</w:t>
      </w:r>
      <w:r>
        <w:rPr>
          <w:rFonts w:hint="eastAsia" w:ascii="宋体" w:hAnsi="宋体" w:cs="宋体"/>
          <w:color w:val="000000"/>
          <w:szCs w:val="21"/>
          <w:highlight w:val="none"/>
          <w:lang w:eastAsia="zh-CN"/>
        </w:rPr>
        <w:t>捌拾肆万壹仟元整</w:t>
      </w:r>
      <w:r>
        <w:rPr>
          <w:rFonts w:hint="default" w:ascii="宋体" w:hAnsi="宋体" w:cs="宋体"/>
          <w:color w:val="000000"/>
          <w:szCs w:val="21"/>
          <w:highlight w:val="none"/>
          <w:lang w:val="en-US"/>
        </w:rPr>
        <w:t>(</w:t>
      </w:r>
      <w:r>
        <w:rPr>
          <w:rFonts w:ascii="Arial" w:hAnsi="Arial" w:cs="Arial"/>
          <w:color w:val="000000"/>
          <w:szCs w:val="21"/>
          <w:highlight w:val="none"/>
        </w:rPr>
        <w:t>¥</w:t>
      </w:r>
      <w:r>
        <w:rPr>
          <w:rFonts w:hint="eastAsia" w:ascii="宋体" w:hAnsi="宋体" w:cs="宋体"/>
          <w:color w:val="000000"/>
          <w:szCs w:val="21"/>
          <w:highlight w:val="none"/>
          <w:lang w:val="en-US" w:eastAsia="zh-CN"/>
        </w:rPr>
        <w:t>841000.00</w:t>
      </w:r>
      <w:r>
        <w:rPr>
          <w:rFonts w:hint="default" w:ascii="宋体" w:hAnsi="宋体" w:cs="宋体"/>
          <w:color w:val="000000"/>
          <w:szCs w:val="21"/>
          <w:highlight w:val="none"/>
          <w:lang w:val="en-US"/>
        </w:rPr>
        <w:t>)</w:t>
      </w:r>
    </w:p>
    <w:p w14:paraId="1E85E7DE">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 xml:space="preserve">采购需求： </w:t>
      </w:r>
    </w:p>
    <w:tbl>
      <w:tblPr>
        <w:tblStyle w:val="48"/>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438"/>
        <w:gridCol w:w="1475"/>
        <w:gridCol w:w="3025"/>
      </w:tblGrid>
      <w:tr w14:paraId="2396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17" w:type="dxa"/>
            <w:tcBorders>
              <w:top w:val="single" w:color="auto" w:sz="4" w:space="0"/>
              <w:left w:val="single" w:color="auto" w:sz="4" w:space="0"/>
              <w:bottom w:val="single" w:color="auto" w:sz="4" w:space="0"/>
              <w:right w:val="single" w:color="auto" w:sz="4" w:space="0"/>
            </w:tcBorders>
            <w:vAlign w:val="center"/>
          </w:tcPr>
          <w:p w14:paraId="1A1B210C">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标项</w:t>
            </w:r>
          </w:p>
        </w:tc>
        <w:tc>
          <w:tcPr>
            <w:tcW w:w="3438" w:type="dxa"/>
            <w:tcBorders>
              <w:top w:val="single" w:color="auto" w:sz="4" w:space="0"/>
              <w:left w:val="single" w:color="auto" w:sz="4" w:space="0"/>
              <w:bottom w:val="single" w:color="auto" w:sz="4" w:space="0"/>
              <w:right w:val="single" w:color="auto" w:sz="4" w:space="0"/>
            </w:tcBorders>
            <w:vAlign w:val="center"/>
          </w:tcPr>
          <w:p w14:paraId="24A6E547">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标项名称</w:t>
            </w:r>
          </w:p>
        </w:tc>
        <w:tc>
          <w:tcPr>
            <w:tcW w:w="1475" w:type="dxa"/>
            <w:tcBorders>
              <w:top w:val="single" w:color="auto" w:sz="4" w:space="0"/>
              <w:left w:val="single" w:color="auto" w:sz="4" w:space="0"/>
              <w:bottom w:val="single" w:color="auto" w:sz="4" w:space="0"/>
              <w:right w:val="single" w:color="auto" w:sz="4" w:space="0"/>
            </w:tcBorders>
            <w:vAlign w:val="center"/>
          </w:tcPr>
          <w:p w14:paraId="6976FE70">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数量及单位</w:t>
            </w:r>
          </w:p>
        </w:tc>
        <w:tc>
          <w:tcPr>
            <w:tcW w:w="3025" w:type="dxa"/>
            <w:tcBorders>
              <w:top w:val="single" w:color="auto" w:sz="4" w:space="0"/>
              <w:left w:val="single" w:color="auto" w:sz="4" w:space="0"/>
              <w:bottom w:val="single" w:color="auto" w:sz="4" w:space="0"/>
              <w:right w:val="single" w:color="auto" w:sz="4" w:space="0"/>
            </w:tcBorders>
            <w:vAlign w:val="center"/>
          </w:tcPr>
          <w:p w14:paraId="05ACB8BA">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简要技术需求或者服务要求</w:t>
            </w:r>
          </w:p>
        </w:tc>
      </w:tr>
      <w:tr w14:paraId="72CBD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96D1D23">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A分标</w:t>
            </w:r>
          </w:p>
        </w:tc>
        <w:tc>
          <w:tcPr>
            <w:tcW w:w="3438" w:type="dxa"/>
            <w:tcBorders>
              <w:top w:val="single" w:color="auto" w:sz="4" w:space="0"/>
              <w:left w:val="single" w:color="auto" w:sz="4" w:space="0"/>
              <w:bottom w:val="single" w:color="auto" w:sz="4" w:space="0"/>
              <w:right w:val="single" w:color="auto" w:sz="4" w:space="0"/>
            </w:tcBorders>
            <w:vAlign w:val="center"/>
          </w:tcPr>
          <w:p w14:paraId="46225400">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微电子技术实训室建设项目</w:t>
            </w:r>
          </w:p>
        </w:tc>
        <w:tc>
          <w:tcPr>
            <w:tcW w:w="1475" w:type="dxa"/>
            <w:tcBorders>
              <w:top w:val="single" w:color="auto" w:sz="4" w:space="0"/>
              <w:left w:val="single" w:color="auto" w:sz="4" w:space="0"/>
              <w:bottom w:val="single" w:color="auto" w:sz="4" w:space="0"/>
              <w:right w:val="single" w:color="auto" w:sz="4" w:space="0"/>
            </w:tcBorders>
            <w:vAlign w:val="center"/>
          </w:tcPr>
          <w:p w14:paraId="31A11611">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1批</w:t>
            </w:r>
          </w:p>
        </w:tc>
        <w:tc>
          <w:tcPr>
            <w:tcW w:w="3025" w:type="dxa"/>
            <w:tcBorders>
              <w:top w:val="single" w:color="auto" w:sz="4" w:space="0"/>
              <w:left w:val="single" w:color="auto" w:sz="4" w:space="0"/>
              <w:bottom w:val="single" w:color="auto" w:sz="4" w:space="0"/>
              <w:right w:val="single" w:color="auto" w:sz="4" w:space="0"/>
            </w:tcBorders>
            <w:vAlign w:val="center"/>
          </w:tcPr>
          <w:p w14:paraId="7E8066AA">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详见《采购需求》</w:t>
            </w:r>
          </w:p>
        </w:tc>
      </w:tr>
      <w:tr w14:paraId="0C52F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09AF43">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B分标</w:t>
            </w:r>
          </w:p>
        </w:tc>
        <w:tc>
          <w:tcPr>
            <w:tcW w:w="3438" w:type="dxa"/>
            <w:tcBorders>
              <w:top w:val="single" w:color="auto" w:sz="4" w:space="0"/>
              <w:left w:val="single" w:color="auto" w:sz="4" w:space="0"/>
              <w:bottom w:val="single" w:color="auto" w:sz="4" w:space="0"/>
              <w:right w:val="single" w:color="auto" w:sz="4" w:space="0"/>
            </w:tcBorders>
            <w:vAlign w:val="center"/>
          </w:tcPr>
          <w:p w14:paraId="05035459">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5G网络部署与优化</w:t>
            </w:r>
          </w:p>
        </w:tc>
        <w:tc>
          <w:tcPr>
            <w:tcW w:w="1475" w:type="dxa"/>
            <w:tcBorders>
              <w:top w:val="single" w:color="auto" w:sz="4" w:space="0"/>
              <w:left w:val="single" w:color="auto" w:sz="4" w:space="0"/>
              <w:bottom w:val="single" w:color="auto" w:sz="4" w:space="0"/>
              <w:right w:val="single" w:color="auto" w:sz="4" w:space="0"/>
            </w:tcBorders>
            <w:vAlign w:val="center"/>
          </w:tcPr>
          <w:p w14:paraId="3415738B">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1批</w:t>
            </w:r>
          </w:p>
        </w:tc>
        <w:tc>
          <w:tcPr>
            <w:tcW w:w="3025" w:type="dxa"/>
            <w:tcBorders>
              <w:top w:val="single" w:color="auto" w:sz="4" w:space="0"/>
              <w:left w:val="single" w:color="auto" w:sz="4" w:space="0"/>
              <w:bottom w:val="single" w:color="auto" w:sz="4" w:space="0"/>
              <w:right w:val="single" w:color="auto" w:sz="4" w:space="0"/>
            </w:tcBorders>
            <w:vAlign w:val="center"/>
          </w:tcPr>
          <w:p w14:paraId="66E19E90">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详见《采购需求》</w:t>
            </w:r>
          </w:p>
        </w:tc>
      </w:tr>
      <w:tr w14:paraId="77DF7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9AC9B4B">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C分标</w:t>
            </w:r>
          </w:p>
        </w:tc>
        <w:tc>
          <w:tcPr>
            <w:tcW w:w="3438" w:type="dxa"/>
            <w:tcBorders>
              <w:top w:val="single" w:color="auto" w:sz="4" w:space="0"/>
              <w:left w:val="single" w:color="auto" w:sz="4" w:space="0"/>
              <w:bottom w:val="single" w:color="auto" w:sz="4" w:space="0"/>
              <w:right w:val="single" w:color="auto" w:sz="4" w:space="0"/>
            </w:tcBorders>
            <w:vAlign w:val="center"/>
          </w:tcPr>
          <w:p w14:paraId="6B75B3CD">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多维视觉交互平台项目</w:t>
            </w:r>
          </w:p>
        </w:tc>
        <w:tc>
          <w:tcPr>
            <w:tcW w:w="1475" w:type="dxa"/>
            <w:tcBorders>
              <w:top w:val="single" w:color="auto" w:sz="4" w:space="0"/>
              <w:left w:val="single" w:color="auto" w:sz="4" w:space="0"/>
              <w:bottom w:val="single" w:color="auto" w:sz="4" w:space="0"/>
              <w:right w:val="single" w:color="auto" w:sz="4" w:space="0"/>
            </w:tcBorders>
            <w:vAlign w:val="center"/>
          </w:tcPr>
          <w:p w14:paraId="3376CF78">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1批</w:t>
            </w:r>
          </w:p>
        </w:tc>
        <w:tc>
          <w:tcPr>
            <w:tcW w:w="3025" w:type="dxa"/>
            <w:tcBorders>
              <w:top w:val="single" w:color="auto" w:sz="4" w:space="0"/>
              <w:left w:val="single" w:color="auto" w:sz="4" w:space="0"/>
              <w:bottom w:val="single" w:color="auto" w:sz="4" w:space="0"/>
              <w:right w:val="single" w:color="auto" w:sz="4" w:space="0"/>
            </w:tcBorders>
            <w:vAlign w:val="center"/>
          </w:tcPr>
          <w:p w14:paraId="4F9AD01E">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详见《采购需求》</w:t>
            </w:r>
          </w:p>
        </w:tc>
      </w:tr>
      <w:tr w14:paraId="383A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7EC8AE">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D分标</w:t>
            </w:r>
          </w:p>
        </w:tc>
        <w:tc>
          <w:tcPr>
            <w:tcW w:w="3438" w:type="dxa"/>
            <w:tcBorders>
              <w:top w:val="single" w:color="auto" w:sz="4" w:space="0"/>
              <w:left w:val="single" w:color="auto" w:sz="4" w:space="0"/>
              <w:bottom w:val="single" w:color="auto" w:sz="4" w:space="0"/>
              <w:right w:val="single" w:color="auto" w:sz="4" w:space="0"/>
            </w:tcBorders>
            <w:vAlign w:val="center"/>
          </w:tcPr>
          <w:p w14:paraId="65A57843">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5G数字工坊</w:t>
            </w:r>
          </w:p>
        </w:tc>
        <w:tc>
          <w:tcPr>
            <w:tcW w:w="1475" w:type="dxa"/>
            <w:tcBorders>
              <w:top w:val="single" w:color="auto" w:sz="4" w:space="0"/>
              <w:left w:val="single" w:color="auto" w:sz="4" w:space="0"/>
              <w:bottom w:val="single" w:color="auto" w:sz="4" w:space="0"/>
              <w:right w:val="single" w:color="auto" w:sz="4" w:space="0"/>
            </w:tcBorders>
            <w:vAlign w:val="center"/>
          </w:tcPr>
          <w:p w14:paraId="4F03154D">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1批</w:t>
            </w:r>
          </w:p>
        </w:tc>
        <w:tc>
          <w:tcPr>
            <w:tcW w:w="3025" w:type="dxa"/>
            <w:tcBorders>
              <w:top w:val="single" w:color="auto" w:sz="4" w:space="0"/>
              <w:left w:val="single" w:color="auto" w:sz="4" w:space="0"/>
              <w:bottom w:val="single" w:color="auto" w:sz="4" w:space="0"/>
              <w:right w:val="single" w:color="auto" w:sz="4" w:space="0"/>
            </w:tcBorders>
            <w:vAlign w:val="center"/>
          </w:tcPr>
          <w:p w14:paraId="068F3BBC">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详见《采购需求》</w:t>
            </w:r>
          </w:p>
        </w:tc>
      </w:tr>
      <w:tr w14:paraId="2239C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FC499A7">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E分标</w:t>
            </w:r>
          </w:p>
        </w:tc>
        <w:tc>
          <w:tcPr>
            <w:tcW w:w="3438" w:type="dxa"/>
            <w:tcBorders>
              <w:top w:val="single" w:color="auto" w:sz="4" w:space="0"/>
              <w:left w:val="single" w:color="auto" w:sz="4" w:space="0"/>
              <w:bottom w:val="single" w:color="auto" w:sz="4" w:space="0"/>
              <w:right w:val="single" w:color="auto" w:sz="4" w:space="0"/>
            </w:tcBorders>
            <w:vAlign w:val="center"/>
          </w:tcPr>
          <w:p w14:paraId="2B116D62">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数智技术通识实验实训平台建设项目</w:t>
            </w:r>
          </w:p>
        </w:tc>
        <w:tc>
          <w:tcPr>
            <w:tcW w:w="1475" w:type="dxa"/>
            <w:tcBorders>
              <w:top w:val="single" w:color="auto" w:sz="4" w:space="0"/>
              <w:left w:val="single" w:color="auto" w:sz="4" w:space="0"/>
              <w:bottom w:val="single" w:color="auto" w:sz="4" w:space="0"/>
              <w:right w:val="single" w:color="auto" w:sz="4" w:space="0"/>
            </w:tcBorders>
            <w:vAlign w:val="center"/>
          </w:tcPr>
          <w:p w14:paraId="129EE001">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1批</w:t>
            </w:r>
          </w:p>
        </w:tc>
        <w:tc>
          <w:tcPr>
            <w:tcW w:w="3025" w:type="dxa"/>
            <w:tcBorders>
              <w:top w:val="single" w:color="auto" w:sz="4" w:space="0"/>
              <w:left w:val="single" w:color="auto" w:sz="4" w:space="0"/>
              <w:bottom w:val="single" w:color="auto" w:sz="4" w:space="0"/>
              <w:right w:val="single" w:color="auto" w:sz="4" w:space="0"/>
            </w:tcBorders>
            <w:vAlign w:val="center"/>
          </w:tcPr>
          <w:p w14:paraId="0E689B5D">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详见《采购需求》</w:t>
            </w:r>
          </w:p>
        </w:tc>
      </w:tr>
    </w:tbl>
    <w:p w14:paraId="692E1FC7">
      <w:pPr>
        <w:pageBreakBefore w:val="0"/>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strike/>
          <w:dstrike w:val="0"/>
          <w:szCs w:val="21"/>
          <w:highlight w:val="none"/>
          <w:lang w:eastAsia="zh-CN"/>
        </w:rPr>
      </w:pPr>
      <w:r>
        <w:rPr>
          <w:rFonts w:hint="eastAsia" w:ascii="宋体" w:hAnsi="宋体" w:cs="宋体"/>
          <w:szCs w:val="21"/>
          <w:highlight w:val="none"/>
        </w:rPr>
        <w:t>合同履行期限：</w:t>
      </w:r>
      <w:r>
        <w:rPr>
          <w:rFonts w:hint="eastAsia" w:ascii="宋体" w:hAnsi="宋体" w:cs="宋体"/>
          <w:szCs w:val="21"/>
          <w:highlight w:val="none"/>
          <w:lang w:val="en-US" w:eastAsia="zh-CN"/>
        </w:rPr>
        <w:t>A/B/C/D/E分标：自签订合同之日起 30 日历日内全部交货安装完成并经采购人验收合格</w:t>
      </w:r>
      <w:r>
        <w:rPr>
          <w:rFonts w:hint="eastAsia" w:ascii="宋体" w:hAnsi="宋体" w:cs="宋体"/>
          <w:strike w:val="0"/>
          <w:dstrike w:val="0"/>
          <w:szCs w:val="21"/>
          <w:highlight w:val="none"/>
          <w:lang w:eastAsia="zh-CN"/>
        </w:rPr>
        <w:t>。</w:t>
      </w:r>
    </w:p>
    <w:p w14:paraId="6BD0EC23">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本项目不接受联合体投标。</w:t>
      </w:r>
    </w:p>
    <w:p w14:paraId="18942DDD">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bookmarkStart w:id="16" w:name="_Toc28359080"/>
      <w:bookmarkStart w:id="17" w:name="_Toc28359003"/>
      <w:bookmarkStart w:id="18" w:name="_Toc35393622"/>
      <w:bookmarkStart w:id="19" w:name="_Toc35393791"/>
      <w:r>
        <w:rPr>
          <w:rFonts w:hint="eastAsia" w:ascii="宋体" w:hAnsi="宋体" w:cs="宋体"/>
          <w:b/>
          <w:bCs/>
          <w:color w:val="000000"/>
          <w:sz w:val="24"/>
          <w:highlight w:val="none"/>
        </w:rPr>
        <w:t>二、申请人的资格要求：</w:t>
      </w:r>
      <w:bookmarkEnd w:id="16"/>
      <w:bookmarkEnd w:id="17"/>
      <w:bookmarkEnd w:id="18"/>
      <w:bookmarkEnd w:id="19"/>
    </w:p>
    <w:p w14:paraId="07CA7219">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bookmarkStart w:id="20" w:name="_Hlk51746371"/>
      <w:r>
        <w:rPr>
          <w:rFonts w:hint="eastAsia" w:ascii="宋体" w:hAnsi="宋体" w:cs="宋体"/>
          <w:color w:val="000000"/>
          <w:szCs w:val="21"/>
          <w:highlight w:val="none"/>
        </w:rPr>
        <w:t>1.满足《中华人民共和国政府采购法》第二十二条规定；</w:t>
      </w:r>
    </w:p>
    <w:p w14:paraId="1C09F8B5">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bookmarkStart w:id="21" w:name="_Toc28359004"/>
      <w:bookmarkStart w:id="22" w:name="_Toc28359081"/>
      <w:r>
        <w:rPr>
          <w:rFonts w:hint="eastAsia" w:ascii="宋体" w:hAnsi="宋体" w:cs="宋体"/>
          <w:color w:val="000000"/>
          <w:szCs w:val="21"/>
          <w:highlight w:val="none"/>
        </w:rPr>
        <w:t>2.落实政府采购政策需满足的资格要求：</w:t>
      </w:r>
      <w:r>
        <w:rPr>
          <w:rFonts w:hint="eastAsia" w:ascii="宋体" w:hAnsi="宋体" w:cs="宋体"/>
          <w:color w:val="000000"/>
          <w:szCs w:val="21"/>
          <w:highlight w:val="none"/>
          <w:u w:val="single"/>
        </w:rPr>
        <w:t>无</w:t>
      </w:r>
      <w:r>
        <w:rPr>
          <w:rFonts w:hint="eastAsia" w:ascii="宋体" w:hAnsi="宋体" w:cs="宋体"/>
          <w:color w:val="000000"/>
          <w:szCs w:val="21"/>
          <w:highlight w:val="none"/>
        </w:rPr>
        <w:t>；</w:t>
      </w:r>
    </w:p>
    <w:p w14:paraId="602F0B80">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3.本项目的特定资格要求：</w:t>
      </w:r>
      <w:r>
        <w:rPr>
          <w:rFonts w:hint="eastAsia" w:ascii="宋体" w:hAnsi="宋体" w:cs="宋体"/>
          <w:color w:val="000000"/>
          <w:szCs w:val="21"/>
          <w:highlight w:val="none"/>
          <w:u w:val="single"/>
        </w:rPr>
        <w:t>无</w:t>
      </w:r>
      <w:r>
        <w:rPr>
          <w:rFonts w:hint="eastAsia" w:ascii="宋体" w:hAnsi="宋体" w:cs="宋体"/>
          <w:color w:val="000000"/>
          <w:szCs w:val="21"/>
          <w:highlight w:val="none"/>
        </w:rPr>
        <w:t>。</w:t>
      </w:r>
    </w:p>
    <w:bookmarkEnd w:id="20"/>
    <w:p w14:paraId="54B4EF50">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bookmarkStart w:id="23" w:name="_Toc35393623"/>
      <w:bookmarkStart w:id="24" w:name="_Toc35393792"/>
      <w:r>
        <w:rPr>
          <w:rFonts w:hint="eastAsia" w:ascii="宋体" w:hAnsi="宋体" w:cs="宋体"/>
          <w:b/>
          <w:bCs/>
          <w:color w:val="000000"/>
          <w:sz w:val="24"/>
          <w:highlight w:val="none"/>
        </w:rPr>
        <w:t>三、获取招标文件</w:t>
      </w:r>
      <w:bookmarkEnd w:id="21"/>
      <w:bookmarkEnd w:id="22"/>
      <w:bookmarkEnd w:id="23"/>
      <w:bookmarkEnd w:id="24"/>
    </w:p>
    <w:p w14:paraId="5CE9B2C0">
      <w:pPr>
        <w:pageBreakBefore w:val="0"/>
        <w:kinsoku/>
        <w:wordWrap/>
        <w:overflowPunct/>
        <w:topLinePunct w:val="0"/>
        <w:autoSpaceDE/>
        <w:autoSpaceDN/>
        <w:bidi w:val="0"/>
        <w:adjustRightInd/>
        <w:spacing w:line="390" w:lineRule="exact"/>
        <w:ind w:firstLine="426"/>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时间：202</w:t>
      </w:r>
      <w:r>
        <w:rPr>
          <w:rFonts w:hint="eastAsia" w:ascii="宋体" w:hAnsi="宋体" w:cs="宋体"/>
          <w:bCs/>
          <w:color w:val="000000"/>
          <w:kern w:val="0"/>
          <w:szCs w:val="21"/>
          <w:highlight w:val="none"/>
          <w:lang w:val="en-US" w:eastAsia="zh-CN"/>
        </w:rPr>
        <w:t>5</w:t>
      </w:r>
      <w:r>
        <w:rPr>
          <w:rFonts w:hint="eastAsia" w:ascii="宋体" w:hAnsi="宋体" w:cs="宋体"/>
          <w:bCs/>
          <w:color w:val="000000"/>
          <w:kern w:val="0"/>
          <w:szCs w:val="21"/>
          <w:highlight w:val="none"/>
        </w:rPr>
        <w:t>年</w:t>
      </w:r>
      <w:r>
        <w:rPr>
          <w:rFonts w:hint="eastAsia" w:ascii="宋体" w:hAnsi="宋体" w:cs="宋体"/>
          <w:bCs/>
          <w:color w:val="000000"/>
          <w:kern w:val="0"/>
          <w:szCs w:val="21"/>
          <w:highlight w:val="none"/>
          <w:lang w:val="en-US" w:eastAsia="zh-CN"/>
        </w:rPr>
        <w:t>5</w:t>
      </w:r>
      <w:r>
        <w:rPr>
          <w:rFonts w:hint="eastAsia" w:ascii="宋体" w:hAnsi="宋体" w:cs="宋体"/>
          <w:bCs/>
          <w:color w:val="000000"/>
          <w:kern w:val="0"/>
          <w:szCs w:val="21"/>
          <w:highlight w:val="none"/>
        </w:rPr>
        <w:t>月</w:t>
      </w:r>
      <w:r>
        <w:rPr>
          <w:rFonts w:hint="eastAsia" w:ascii="宋体" w:hAnsi="宋体" w:cs="宋体"/>
          <w:bCs/>
          <w:color w:val="000000"/>
          <w:kern w:val="0"/>
          <w:szCs w:val="21"/>
          <w:highlight w:val="none"/>
          <w:lang w:val="en-US" w:eastAsia="zh-CN"/>
        </w:rPr>
        <w:t>27</w:t>
      </w:r>
      <w:r>
        <w:rPr>
          <w:rFonts w:hint="eastAsia" w:ascii="宋体" w:hAnsi="宋体" w:cs="宋体"/>
          <w:bCs/>
          <w:color w:val="000000"/>
          <w:kern w:val="0"/>
          <w:szCs w:val="21"/>
          <w:highlight w:val="none"/>
        </w:rPr>
        <w:t>日至20</w:t>
      </w:r>
      <w:r>
        <w:rPr>
          <w:rFonts w:hint="eastAsia" w:ascii="宋体" w:hAnsi="宋体" w:cs="宋体"/>
          <w:bCs/>
          <w:color w:val="000000"/>
          <w:kern w:val="0"/>
          <w:szCs w:val="21"/>
          <w:highlight w:val="none"/>
          <w:lang w:val="en-US" w:eastAsia="zh-CN"/>
        </w:rPr>
        <w:t>25</w:t>
      </w:r>
      <w:r>
        <w:rPr>
          <w:rFonts w:hint="eastAsia" w:ascii="宋体" w:hAnsi="宋体" w:cs="宋体"/>
          <w:bCs/>
          <w:color w:val="000000"/>
          <w:kern w:val="0"/>
          <w:szCs w:val="21"/>
          <w:highlight w:val="none"/>
        </w:rPr>
        <w:t>年</w:t>
      </w:r>
      <w:r>
        <w:rPr>
          <w:rFonts w:hint="eastAsia" w:ascii="宋体" w:hAnsi="宋体" w:cs="宋体"/>
          <w:bCs/>
          <w:color w:val="000000"/>
          <w:kern w:val="0"/>
          <w:szCs w:val="21"/>
          <w:highlight w:val="none"/>
          <w:lang w:val="en-US" w:eastAsia="zh-CN"/>
        </w:rPr>
        <w:t>6</w:t>
      </w:r>
      <w:r>
        <w:rPr>
          <w:rFonts w:hint="eastAsia" w:ascii="宋体" w:hAnsi="宋体" w:cs="宋体"/>
          <w:bCs/>
          <w:color w:val="000000"/>
          <w:kern w:val="0"/>
          <w:szCs w:val="21"/>
          <w:highlight w:val="none"/>
        </w:rPr>
        <w:t>月</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日，</w:t>
      </w:r>
      <w:r>
        <w:rPr>
          <w:rFonts w:hint="eastAsia" w:ascii="宋体" w:hAnsi="宋体" w:cs="宋体"/>
          <w:bCs/>
          <w:kern w:val="0"/>
          <w:szCs w:val="21"/>
          <w:highlight w:val="none"/>
        </w:rPr>
        <w:t>每天00:00至11:59，12:00至23:59（北京时间，法定节假日除外）</w:t>
      </w:r>
    </w:p>
    <w:p w14:paraId="2434C0D6">
      <w:pPr>
        <w:pageBreakBefore w:val="0"/>
        <w:kinsoku/>
        <w:wordWrap/>
        <w:overflowPunct/>
        <w:topLinePunct w:val="0"/>
        <w:autoSpaceDE/>
        <w:autoSpaceDN/>
        <w:bidi w:val="0"/>
        <w:adjustRightInd/>
        <w:spacing w:line="390" w:lineRule="exact"/>
        <w:ind w:firstLine="426"/>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地点：广西政府采购云平台（https://www.gcy.zfcg.gxzf.gov.cn/）</w:t>
      </w:r>
    </w:p>
    <w:p w14:paraId="76E1B521">
      <w:pPr>
        <w:pageBreakBefore w:val="0"/>
        <w:kinsoku/>
        <w:wordWrap/>
        <w:overflowPunct/>
        <w:topLinePunct w:val="0"/>
        <w:autoSpaceDE/>
        <w:autoSpaceDN/>
        <w:bidi w:val="0"/>
        <w:adjustRightInd/>
        <w:spacing w:line="390" w:lineRule="exact"/>
        <w:ind w:firstLine="426"/>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方式：</w:t>
      </w:r>
      <w:r>
        <w:rPr>
          <w:rFonts w:hint="eastAsia" w:ascii="宋体" w:hAnsi="宋体"/>
          <w:szCs w:val="21"/>
          <w:highlight w:val="none"/>
        </w:rPr>
        <w:t>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5CE6A159">
      <w:pPr>
        <w:pageBreakBefore w:val="0"/>
        <w:kinsoku/>
        <w:wordWrap/>
        <w:overflowPunct/>
        <w:topLinePunct w:val="0"/>
        <w:autoSpaceDE/>
        <w:autoSpaceDN/>
        <w:bidi w:val="0"/>
        <w:adjustRightInd/>
        <w:spacing w:line="390" w:lineRule="exact"/>
        <w:ind w:firstLine="426"/>
        <w:textAlignment w:val="auto"/>
        <w:rPr>
          <w:rFonts w:ascii="宋体" w:hAnsi="宋体" w:cs="宋体"/>
          <w:color w:val="000000"/>
          <w:highlight w:val="none"/>
        </w:rPr>
      </w:pPr>
      <w:r>
        <w:rPr>
          <w:rFonts w:hint="eastAsia" w:ascii="宋体" w:hAnsi="宋体" w:cs="宋体"/>
          <w:bCs/>
          <w:color w:val="000000"/>
          <w:kern w:val="0"/>
          <w:szCs w:val="21"/>
          <w:highlight w:val="none"/>
        </w:rPr>
        <w:t>售价：</w:t>
      </w:r>
      <w:r>
        <w:rPr>
          <w:rFonts w:hint="eastAsia" w:ascii="宋体" w:hAnsi="宋体" w:cs="宋体"/>
          <w:bCs/>
          <w:color w:val="000000"/>
          <w:kern w:val="0"/>
          <w:szCs w:val="21"/>
          <w:highlight w:val="none"/>
          <w:u w:val="single"/>
        </w:rPr>
        <w:t>0</w:t>
      </w:r>
      <w:r>
        <w:rPr>
          <w:rFonts w:hint="eastAsia" w:ascii="宋体" w:hAnsi="宋体" w:cs="宋体"/>
          <w:color w:val="000000"/>
          <w:szCs w:val="21"/>
          <w:highlight w:val="none"/>
        </w:rPr>
        <w:t>元</w:t>
      </w:r>
    </w:p>
    <w:p w14:paraId="0BA8DE6E">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bookmarkStart w:id="25" w:name="_Toc28359082"/>
      <w:bookmarkStart w:id="26" w:name="_Toc28359005"/>
      <w:bookmarkStart w:id="27" w:name="_Toc35393624"/>
      <w:bookmarkStart w:id="28" w:name="_Toc35393793"/>
      <w:r>
        <w:rPr>
          <w:rFonts w:hint="eastAsia" w:ascii="宋体" w:hAnsi="宋体" w:cs="宋体"/>
          <w:b/>
          <w:bCs/>
          <w:color w:val="000000"/>
          <w:sz w:val="24"/>
          <w:highlight w:val="none"/>
        </w:rPr>
        <w:t>四、提交投标文件</w:t>
      </w:r>
      <w:bookmarkEnd w:id="25"/>
      <w:bookmarkEnd w:id="26"/>
      <w:r>
        <w:rPr>
          <w:rFonts w:hint="eastAsia" w:ascii="宋体" w:hAnsi="宋体" w:cs="宋体"/>
          <w:b/>
          <w:bCs/>
          <w:color w:val="000000"/>
          <w:sz w:val="24"/>
          <w:highlight w:val="none"/>
        </w:rPr>
        <w:t>截止时间、开标时间和地点</w:t>
      </w:r>
      <w:bookmarkEnd w:id="27"/>
      <w:bookmarkEnd w:id="28"/>
    </w:p>
    <w:p w14:paraId="35F2F294">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u w:val="single"/>
        </w:rPr>
      </w:pPr>
      <w:bookmarkStart w:id="29" w:name="_Toc35393794"/>
      <w:bookmarkStart w:id="30" w:name="_Toc28359084"/>
      <w:bookmarkStart w:id="31" w:name="_Toc28359007"/>
      <w:bookmarkStart w:id="32" w:name="_Toc35393625"/>
      <w:r>
        <w:rPr>
          <w:rFonts w:hint="eastAsia" w:ascii="宋体" w:hAnsi="宋体" w:cs="宋体"/>
          <w:bCs/>
          <w:color w:val="000000"/>
          <w:szCs w:val="21"/>
          <w:highlight w:val="none"/>
        </w:rPr>
        <w:t>时间：</w:t>
      </w:r>
      <w:r>
        <w:rPr>
          <w:rFonts w:hint="eastAsia" w:ascii="宋体" w:hAnsi="宋体" w:cs="宋体"/>
          <w:color w:val="000000"/>
          <w:szCs w:val="21"/>
          <w:highlight w:val="none"/>
          <w:u w:val="single"/>
        </w:rPr>
        <w:t>20</w:t>
      </w:r>
      <w:r>
        <w:rPr>
          <w:rFonts w:hint="eastAsia" w:ascii="宋体" w:hAnsi="宋体" w:cs="宋体"/>
          <w:color w:val="000000"/>
          <w:szCs w:val="21"/>
          <w:highlight w:val="none"/>
          <w:u w:val="single"/>
          <w:lang w:val="en-US" w:eastAsia="zh-CN"/>
        </w:rPr>
        <w:t>25</w:t>
      </w:r>
      <w:r>
        <w:rPr>
          <w:rFonts w:hint="eastAsia" w:ascii="宋体" w:hAnsi="宋体" w:cs="宋体"/>
          <w:color w:val="000000"/>
          <w:szCs w:val="21"/>
          <w:highlight w:val="none"/>
          <w:u w:val="single"/>
        </w:rPr>
        <w:t>年</w:t>
      </w:r>
      <w:r>
        <w:rPr>
          <w:rFonts w:hint="eastAsia" w:ascii="宋体" w:hAnsi="宋体" w:cs="宋体"/>
          <w:color w:val="000000"/>
          <w:szCs w:val="21"/>
          <w:highlight w:val="none"/>
          <w:u w:val="single"/>
          <w:lang w:val="en-US" w:eastAsia="zh-CN"/>
        </w:rPr>
        <w:t>6月17日</w:t>
      </w:r>
      <w:r>
        <w:rPr>
          <w:rFonts w:hint="eastAsia" w:ascii="宋体" w:hAnsi="宋体" w:cs="宋体"/>
          <w:color w:val="000000"/>
          <w:szCs w:val="21"/>
          <w:highlight w:val="none"/>
          <w:u w:val="single"/>
        </w:rPr>
        <w:t>9时30分</w:t>
      </w:r>
      <w:r>
        <w:rPr>
          <w:rFonts w:hint="eastAsia" w:ascii="宋体" w:hAnsi="宋体" w:cs="宋体"/>
          <w:bCs/>
          <w:color w:val="000000"/>
          <w:szCs w:val="21"/>
          <w:highlight w:val="none"/>
        </w:rPr>
        <w:t>（北京时间）</w:t>
      </w:r>
    </w:p>
    <w:p w14:paraId="2218C8BF">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投标地点：</w:t>
      </w:r>
      <w:r>
        <w:rPr>
          <w:rFonts w:hint="eastAsia" w:ascii="宋体" w:hAnsi="宋体" w:cs="宋体"/>
          <w:bCs/>
          <w:kern w:val="0"/>
          <w:szCs w:val="21"/>
          <w:highlight w:val="none"/>
        </w:rPr>
        <w:t xml:space="preserve">广西政府采购云平台（https://www.gcy.zfcg.gxzf.gov.cn/） </w:t>
      </w:r>
    </w:p>
    <w:p w14:paraId="58C41E6D">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开标地点：</w:t>
      </w:r>
      <w:r>
        <w:rPr>
          <w:rFonts w:hint="eastAsia" w:ascii="宋体" w:hAnsi="宋体" w:cs="宋体"/>
          <w:bCs/>
          <w:kern w:val="0"/>
          <w:szCs w:val="21"/>
          <w:highlight w:val="none"/>
        </w:rPr>
        <w:t xml:space="preserve">广西政府采购云平台（https://www.gcy.zfcg.gxzf.gov.cn/） </w:t>
      </w:r>
    </w:p>
    <w:p w14:paraId="40AE37F2">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r>
        <w:rPr>
          <w:rFonts w:hint="eastAsia" w:ascii="宋体" w:hAnsi="宋体" w:cs="宋体"/>
          <w:b/>
          <w:bCs/>
          <w:color w:val="000000"/>
          <w:sz w:val="24"/>
          <w:highlight w:val="none"/>
        </w:rPr>
        <w:t>五、公告期限</w:t>
      </w:r>
      <w:bookmarkEnd w:id="29"/>
      <w:bookmarkEnd w:id="30"/>
      <w:bookmarkEnd w:id="31"/>
      <w:bookmarkEnd w:id="32"/>
    </w:p>
    <w:p w14:paraId="5F688525">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14:paraId="49CDAF1E">
      <w:pPr>
        <w:pageBreakBefore w:val="0"/>
        <w:kinsoku/>
        <w:wordWrap/>
        <w:overflowPunct/>
        <w:topLinePunct w:val="0"/>
        <w:autoSpaceDE/>
        <w:autoSpaceDN/>
        <w:bidi w:val="0"/>
        <w:adjustRightInd/>
        <w:spacing w:line="390" w:lineRule="exact"/>
        <w:textAlignment w:val="auto"/>
        <w:rPr>
          <w:rFonts w:ascii="宋体" w:hAnsi="宋体" w:cs="宋体"/>
          <w:b/>
          <w:bCs/>
          <w:color w:val="000000"/>
          <w:sz w:val="24"/>
          <w:highlight w:val="none"/>
        </w:rPr>
      </w:pPr>
      <w:bookmarkStart w:id="33" w:name="_Toc35393795"/>
      <w:bookmarkStart w:id="34" w:name="_Toc35393626"/>
      <w:r>
        <w:rPr>
          <w:rFonts w:hint="eastAsia" w:ascii="宋体" w:hAnsi="宋体" w:cs="宋体"/>
          <w:b/>
          <w:bCs/>
          <w:color w:val="000000"/>
          <w:sz w:val="24"/>
          <w:highlight w:val="none"/>
        </w:rPr>
        <w:t>六、其他补充事宜</w:t>
      </w:r>
      <w:bookmarkEnd w:id="33"/>
      <w:bookmarkEnd w:id="34"/>
    </w:p>
    <w:p w14:paraId="59B435A0">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bookmarkStart w:id="35" w:name="_Hlk37429585"/>
      <w:bookmarkStart w:id="36" w:name="_Hlk37429595"/>
      <w:r>
        <w:rPr>
          <w:rFonts w:hint="eastAsia" w:ascii="宋体" w:hAnsi="宋体" w:cs="宋体"/>
          <w:color w:val="000000"/>
          <w:kern w:val="0"/>
          <w:szCs w:val="21"/>
          <w:highlight w:val="none"/>
        </w:rPr>
        <w:t>1.网上查询地址</w:t>
      </w:r>
    </w:p>
    <w:p w14:paraId="2C09668A">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中国政府采购网、广西壮族自治区政府采购网、</w:t>
      </w:r>
      <w:bookmarkEnd w:id="35"/>
      <w:r>
        <w:rPr>
          <w:rFonts w:hint="eastAsia" w:ascii="宋体" w:hAnsi="宋体" w:cs="宋体"/>
          <w:color w:val="000000"/>
          <w:szCs w:val="21"/>
          <w:highlight w:val="none"/>
        </w:rPr>
        <w:t>广西壮族自治区公共资源交易中心网、广西正海招标有限公司网。</w:t>
      </w:r>
    </w:p>
    <w:bookmarkEnd w:id="36"/>
    <w:p w14:paraId="3A02286F">
      <w:pPr>
        <w:pageBreakBefore w:val="0"/>
        <w:kinsoku/>
        <w:wordWrap/>
        <w:overflowPunct/>
        <w:topLinePunct w:val="0"/>
        <w:autoSpaceDE/>
        <w:autoSpaceDN/>
        <w:bidi w:val="0"/>
        <w:adjustRightInd/>
        <w:spacing w:line="390" w:lineRule="exact"/>
        <w:ind w:firstLine="424" w:firstLineChars="202"/>
        <w:textAlignment w:val="auto"/>
        <w:rPr>
          <w:rFonts w:ascii="宋体" w:hAnsi="宋体" w:cs="宋体"/>
          <w:color w:val="000000"/>
          <w:kern w:val="0"/>
          <w:szCs w:val="21"/>
          <w:highlight w:val="none"/>
        </w:rPr>
      </w:pPr>
      <w:bookmarkStart w:id="37" w:name="_Hlk37429674"/>
      <w:r>
        <w:rPr>
          <w:rFonts w:hint="eastAsia" w:ascii="宋体" w:hAnsi="宋体" w:cs="宋体"/>
          <w:color w:val="000000"/>
          <w:szCs w:val="21"/>
          <w:highlight w:val="none"/>
        </w:rPr>
        <w:t>2.</w:t>
      </w:r>
      <w:r>
        <w:rPr>
          <w:rFonts w:hint="eastAsia" w:ascii="宋体" w:hAnsi="宋体" w:cs="宋体"/>
          <w:color w:val="000000"/>
          <w:kern w:val="0"/>
          <w:szCs w:val="21"/>
          <w:highlight w:val="none"/>
        </w:rPr>
        <w:t>本项目需要落实的政府采购政策</w:t>
      </w:r>
    </w:p>
    <w:p w14:paraId="58DCAE80">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（1）政府采购促进中小企业发展。</w:t>
      </w:r>
    </w:p>
    <w:p w14:paraId="25C3EC81">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（2）政府采购支持采用本国产品的政策。</w:t>
      </w:r>
    </w:p>
    <w:p w14:paraId="4D9BC3BC">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（3）强制采购节能产品；优先采购节能产品、环境标志产品。</w:t>
      </w:r>
    </w:p>
    <w:p w14:paraId="71B38C45">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（4）政府采购促进残疾人就业政策。</w:t>
      </w:r>
    </w:p>
    <w:p w14:paraId="4ED8C0B1">
      <w:pPr>
        <w:pageBreakBefore w:val="0"/>
        <w:kinsoku/>
        <w:wordWrap/>
        <w:overflowPunct/>
        <w:topLinePunct w:val="0"/>
        <w:autoSpaceDE/>
        <w:autoSpaceDN/>
        <w:bidi w:val="0"/>
        <w:adjustRightInd/>
        <w:spacing w:line="39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（5）政府采购支持监狱企业发展。</w:t>
      </w:r>
    </w:p>
    <w:bookmarkEnd w:id="37"/>
    <w:p w14:paraId="5C0BA164">
      <w:pPr>
        <w:pageBreakBefore w:val="0"/>
        <w:widowControl/>
        <w:kinsoku/>
        <w:wordWrap/>
        <w:overflowPunct/>
        <w:topLinePunct w:val="0"/>
        <w:autoSpaceDE/>
        <w:autoSpaceDN/>
        <w:bidi w:val="0"/>
        <w:adjustRightInd/>
        <w:spacing w:line="390" w:lineRule="exact"/>
        <w:ind w:firstLine="422" w:firstLineChars="200"/>
        <w:jc w:val="left"/>
        <w:textAlignment w:val="auto"/>
        <w:rPr>
          <w:rFonts w:ascii="宋体" w:hAnsi="宋体" w:cs="宋体"/>
          <w:b/>
          <w:color w:val="000000"/>
          <w:szCs w:val="21"/>
          <w:highlight w:val="none"/>
        </w:rPr>
      </w:pPr>
      <w:bookmarkStart w:id="38" w:name="_Toc35393627"/>
      <w:bookmarkStart w:id="39" w:name="_Toc35393796"/>
      <w:bookmarkStart w:id="40" w:name="_Toc28359008"/>
      <w:bookmarkStart w:id="41" w:name="_Toc28359085"/>
      <w:r>
        <w:rPr>
          <w:rFonts w:hint="eastAsia" w:ascii="宋体" w:hAnsi="宋体" w:cs="宋体"/>
          <w:b/>
          <w:color w:val="000000"/>
          <w:kern w:val="0"/>
          <w:szCs w:val="21"/>
          <w:highlight w:val="none"/>
        </w:rPr>
        <w:t>3.投标人</w:t>
      </w:r>
      <w:r>
        <w:rPr>
          <w:rFonts w:hint="eastAsia" w:ascii="宋体" w:hAnsi="宋体" w:cs="宋体"/>
          <w:b/>
          <w:color w:val="000000"/>
          <w:szCs w:val="21"/>
          <w:highlight w:val="none"/>
        </w:rPr>
        <w:t>投标注意事项</w:t>
      </w:r>
    </w:p>
    <w:p w14:paraId="3B1F90D7">
      <w:pPr>
        <w:pageBreakBefore w:val="0"/>
        <w:widowControl/>
        <w:kinsoku/>
        <w:wordWrap/>
        <w:overflowPunct/>
        <w:topLinePunct w:val="0"/>
        <w:autoSpaceDE/>
        <w:autoSpaceDN/>
        <w:bidi w:val="0"/>
        <w:adjustRightInd/>
        <w:spacing w:line="390" w:lineRule="exact"/>
        <w:ind w:firstLine="422" w:firstLineChars="200"/>
        <w:jc w:val="left"/>
        <w:textAlignment w:val="auto"/>
        <w:rPr>
          <w:rFonts w:ascii="宋体" w:hAnsi="宋体" w:cs="宋体"/>
          <w:b/>
          <w:color w:val="000000"/>
          <w:szCs w:val="21"/>
          <w:highlight w:val="none"/>
        </w:rPr>
      </w:pPr>
      <w:r>
        <w:rPr>
          <w:rFonts w:hint="eastAsia" w:ascii="宋体" w:hAnsi="宋体" w:cs="宋体"/>
          <w:b/>
          <w:color w:val="000000"/>
          <w:szCs w:val="21"/>
          <w:highlight w:val="none"/>
        </w:rPr>
        <w:t>（1）本项目为全流程电子化采购项目，通过广西政府采购云平台（https://www.gcy.zfcg.gxzf.gov.cn/）实行在线电子投标，投标人应先安装“广西政府采购云平台客户端”（请自行前往“广西政府采购云平台（https://www.gcy.zfcg.gxzf.gov.cn/）”平台进行下载），并按照本项目招标文件和广西政府采购云平台的要求编制、加密后在投标截止时间前通过网络上传至 广西政府采购云平台（</w:t>
      </w:r>
      <w:r>
        <w:rPr>
          <w:rFonts w:hint="eastAsia" w:ascii="宋体" w:hAnsi="宋体" w:cs="宋体"/>
          <w:b/>
          <w:color w:val="000000"/>
          <w:szCs w:val="21"/>
          <w:highlight w:val="none"/>
          <w:u w:val="single"/>
        </w:rPr>
        <w:t>加密的电子投标文件是指</w:t>
      </w:r>
      <w:r>
        <w:rPr>
          <w:rFonts w:hint="eastAsia" w:ascii="宋体" w:hAnsi="宋体" w:cs="宋体"/>
          <w:b/>
          <w:color w:val="000000"/>
          <w:highlight w:val="none"/>
          <w:u w:val="single"/>
        </w:rPr>
        <w:t>后缀名为“jmbs”的文件</w:t>
      </w:r>
      <w:r>
        <w:rPr>
          <w:rFonts w:hint="eastAsia" w:ascii="宋体" w:hAnsi="宋体" w:cs="宋体"/>
          <w:b/>
          <w:color w:val="000000"/>
          <w:szCs w:val="21"/>
          <w:highlight w:val="none"/>
        </w:rPr>
        <w:t>），投标人在广西政府采购云平台提交电子投标文件时，请填写参加远程开标活动经办人联系方式。电子投标具体操作流程参考《政府采购项目电子交易管理操作指南-供应商》（详见广西壮族自治区政府采购网—办事服务—下载专区-</w:t>
      </w:r>
      <w:r>
        <w:rPr>
          <w:highlight w:val="none"/>
        </w:rPr>
        <w:fldChar w:fldCharType="begin"/>
      </w:r>
      <w:r>
        <w:rPr>
          <w:highlight w:val="none"/>
        </w:rPr>
        <w:instrText xml:space="preserve"> HYPERLINK "http://zfcg.gxzf.gov.cn/site/detail?parentId=66479&amp;articleId=+06E5n62B1RzrGh0ew1OFg==" \t "http://zfcg.gxzf.gov.cn/site/_blank" \o "广西政府采购云平台新版客户端" </w:instrText>
      </w:r>
      <w:r>
        <w:rPr>
          <w:highlight w:val="none"/>
        </w:rPr>
        <w:fldChar w:fldCharType="separate"/>
      </w:r>
      <w:r>
        <w:rPr>
          <w:rFonts w:hint="eastAsia" w:ascii="宋体" w:hAnsi="宋体" w:cs="宋体"/>
          <w:b/>
          <w:color w:val="000000"/>
          <w:szCs w:val="21"/>
          <w:highlight w:val="none"/>
        </w:rPr>
        <w:t>广西政府采购云平台新版客户端</w:t>
      </w:r>
      <w:r>
        <w:rPr>
          <w:rFonts w:hint="eastAsia" w:ascii="宋体" w:hAnsi="宋体" w:cs="宋体"/>
          <w:b/>
          <w:color w:val="000000"/>
          <w:szCs w:val="21"/>
          <w:highlight w:val="none"/>
        </w:rPr>
        <w:fldChar w:fldCharType="end"/>
      </w:r>
      <w:r>
        <w:rPr>
          <w:rFonts w:hint="eastAsia" w:ascii="宋体" w:hAnsi="宋体" w:cs="宋体"/>
          <w:b/>
          <w:color w:val="000000"/>
          <w:szCs w:val="21"/>
          <w:highlight w:val="none"/>
        </w:rPr>
        <w:t>）。</w:t>
      </w:r>
    </w:p>
    <w:p w14:paraId="28133322">
      <w:pPr>
        <w:pageBreakBefore w:val="0"/>
        <w:widowControl/>
        <w:kinsoku/>
        <w:wordWrap/>
        <w:overflowPunct/>
        <w:topLinePunct w:val="0"/>
        <w:autoSpaceDE/>
        <w:autoSpaceDN/>
        <w:bidi w:val="0"/>
        <w:adjustRightInd/>
        <w:spacing w:line="390" w:lineRule="exact"/>
        <w:ind w:firstLine="422" w:firstLineChars="200"/>
        <w:jc w:val="left"/>
        <w:textAlignment w:val="auto"/>
        <w:rPr>
          <w:rFonts w:ascii="宋体" w:hAnsi="宋体" w:cs="宋体"/>
          <w:b/>
          <w:color w:val="000000"/>
          <w:szCs w:val="21"/>
          <w:highlight w:val="none"/>
        </w:rPr>
      </w:pPr>
      <w:r>
        <w:rPr>
          <w:rFonts w:hint="eastAsia" w:ascii="宋体" w:hAnsi="宋体" w:cs="宋体"/>
          <w:b/>
          <w:color w:val="00000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广西政府采购云平台</w:t>
      </w:r>
      <w:r>
        <w:rPr>
          <w:rFonts w:hint="eastAsia" w:ascii="宋体" w:hAnsi="宋体" w:cs="宋体"/>
          <w:b/>
          <w:color w:val="000000"/>
          <w:kern w:val="0"/>
          <w:szCs w:val="21"/>
          <w:highlight w:val="none"/>
        </w:rPr>
        <w:t>，</w:t>
      </w:r>
      <w:r>
        <w:rPr>
          <w:rFonts w:hint="eastAsia" w:ascii="宋体" w:hAnsi="宋体" w:cs="宋体"/>
          <w:b/>
          <w:color w:val="000000"/>
          <w:szCs w:val="21"/>
          <w:highlight w:val="none"/>
        </w:rPr>
        <w:t>依次进入“CA管理-申领CA”中查看CA数字证书办理操作流程。</w:t>
      </w:r>
      <w:r>
        <w:rPr>
          <w:rFonts w:hint="eastAsia" w:ascii="宋体" w:hAnsi="宋体" w:cs="宋体"/>
          <w:b/>
          <w:bCs/>
          <w:color w:val="000000"/>
          <w:kern w:val="0"/>
          <w:szCs w:val="21"/>
          <w:highlight w:val="none"/>
        </w:rPr>
        <w:t>如在操作过程中遇到问题或者需要技术支持，请致电客服热线：95763</w:t>
      </w:r>
      <w:r>
        <w:rPr>
          <w:rFonts w:hint="eastAsia" w:ascii="宋体" w:hAnsi="宋体" w:cs="宋体"/>
          <w:b/>
          <w:color w:val="000000"/>
          <w:szCs w:val="21"/>
          <w:highlight w:val="none"/>
        </w:rPr>
        <w:t>）。</w:t>
      </w:r>
    </w:p>
    <w:p w14:paraId="418BF7DC">
      <w:pPr>
        <w:pageBreakBefore w:val="0"/>
        <w:kinsoku/>
        <w:wordWrap/>
        <w:overflowPunct/>
        <w:topLinePunct w:val="0"/>
        <w:autoSpaceDE/>
        <w:autoSpaceDN/>
        <w:bidi w:val="0"/>
        <w:adjustRightInd/>
        <w:snapToGrid w:val="0"/>
        <w:spacing w:line="390" w:lineRule="exact"/>
        <w:ind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（3）CA证书在线解密：投标人投标时，需凭制作投标文件时用来加密的有效数字证书（CA认证）登录</w:t>
      </w:r>
      <w:r>
        <w:rPr>
          <w:rFonts w:hint="eastAsia" w:ascii="宋体" w:hAnsi="宋体" w:cs="宋体"/>
          <w:b/>
          <w:color w:val="000000"/>
          <w:szCs w:val="21"/>
          <w:highlight w:val="none"/>
        </w:rPr>
        <w:t>广西政府采购云平台</w:t>
      </w:r>
      <w:r>
        <w:rPr>
          <w:rFonts w:hint="eastAsia" w:ascii="宋体" w:hAnsi="宋体" w:cs="宋体"/>
          <w:b/>
          <w:color w:val="000000"/>
          <w:kern w:val="0"/>
          <w:szCs w:val="21"/>
          <w:highlight w:val="none"/>
        </w:rPr>
        <w:t>电子开标大厅现场按规定时间对加密的投标文件进行解密，否则后果自负。</w:t>
      </w:r>
    </w:p>
    <w:p w14:paraId="21000BE9">
      <w:pPr>
        <w:pageBreakBefore w:val="0"/>
        <w:kinsoku/>
        <w:wordWrap/>
        <w:overflowPunct/>
        <w:topLinePunct w:val="0"/>
        <w:autoSpaceDE/>
        <w:autoSpaceDN/>
        <w:bidi w:val="0"/>
        <w:adjustRightInd/>
        <w:spacing w:line="390" w:lineRule="exact"/>
        <w:ind w:firstLine="426" w:firstLineChars="202"/>
        <w:textAlignment w:val="auto"/>
        <w:rPr>
          <w:rFonts w:ascii="宋体" w:hAnsi="宋体" w:cs="宋体"/>
          <w:b/>
          <w:color w:val="000000"/>
          <w:szCs w:val="21"/>
          <w:highlight w:val="none"/>
        </w:rPr>
      </w:pPr>
      <w:r>
        <w:rPr>
          <w:rFonts w:hint="eastAsia" w:ascii="宋体" w:hAnsi="宋体" w:cs="宋体"/>
          <w:b/>
          <w:color w:val="000000"/>
          <w:szCs w:val="21"/>
          <w:highlight w:val="none"/>
        </w:rPr>
        <w:t>注：</w:t>
      </w:r>
    </w:p>
    <w:p w14:paraId="5F960AC6">
      <w:pPr>
        <w:pageBreakBefore w:val="0"/>
        <w:kinsoku/>
        <w:wordWrap/>
        <w:overflowPunct/>
        <w:topLinePunct w:val="0"/>
        <w:autoSpaceDE/>
        <w:autoSpaceDN/>
        <w:bidi w:val="0"/>
        <w:adjustRightInd/>
        <w:spacing w:line="390" w:lineRule="exact"/>
        <w:ind w:firstLine="426" w:firstLineChars="202"/>
        <w:textAlignment w:val="auto"/>
        <w:rPr>
          <w:rFonts w:ascii="宋体" w:hAnsi="宋体" w:cs="宋体"/>
          <w:b/>
          <w:color w:val="000000"/>
          <w:szCs w:val="21"/>
          <w:highlight w:val="none"/>
        </w:rPr>
      </w:pPr>
      <w:r>
        <w:rPr>
          <w:rFonts w:hint="eastAsia" w:ascii="宋体" w:hAnsi="宋体" w:cs="宋体"/>
          <w:b/>
          <w:color w:val="000000"/>
          <w:szCs w:val="21"/>
          <w:highlight w:val="none"/>
        </w:rPr>
        <w:fldChar w:fldCharType="begin"/>
      </w:r>
      <w:r>
        <w:rPr>
          <w:rFonts w:hint="eastAsia" w:ascii="宋体" w:hAnsi="宋体" w:cs="宋体"/>
          <w:b/>
          <w:color w:val="000000"/>
          <w:szCs w:val="21"/>
          <w:highlight w:val="none"/>
        </w:rPr>
        <w:instrText xml:space="preserve"> = 1 \* GB3 </w:instrText>
      </w:r>
      <w:r>
        <w:rPr>
          <w:rFonts w:hint="eastAsia" w:ascii="宋体" w:hAnsi="宋体" w:cs="宋体"/>
          <w:b/>
          <w:color w:val="000000"/>
          <w:szCs w:val="21"/>
          <w:highlight w:val="none"/>
        </w:rPr>
        <w:fldChar w:fldCharType="separate"/>
      </w:r>
      <w:r>
        <w:rPr>
          <w:rFonts w:hint="eastAsia" w:ascii="宋体" w:hAnsi="宋体" w:cs="宋体"/>
          <w:b/>
          <w:color w:val="000000"/>
          <w:szCs w:val="21"/>
          <w:highlight w:val="none"/>
        </w:rPr>
        <w:t>①</w:t>
      </w:r>
      <w:r>
        <w:rPr>
          <w:rFonts w:hint="eastAsia" w:ascii="宋体" w:hAnsi="宋体" w:cs="宋体"/>
          <w:b/>
          <w:color w:val="000000"/>
          <w:szCs w:val="21"/>
          <w:highlight w:val="none"/>
        </w:rPr>
        <w:fldChar w:fldCharType="end"/>
      </w:r>
      <w:r>
        <w:rPr>
          <w:rFonts w:hint="eastAsia" w:ascii="宋体" w:hAnsi="宋体" w:cs="宋体"/>
          <w:b/>
          <w:color w:val="000000"/>
          <w:szCs w:val="21"/>
          <w:highlight w:val="none"/>
        </w:rPr>
        <w:t>为确保网上操作合法、有效和安全，请投标人确保在电子投标过程中能够对相关数据电文进行加密和使用电子签章，妥善保管CA数字证书并使用有效的CA数字证书参与整个招标活动。</w:t>
      </w:r>
    </w:p>
    <w:p w14:paraId="767DD9C8">
      <w:pPr>
        <w:pageBreakBefore w:val="0"/>
        <w:kinsoku/>
        <w:wordWrap/>
        <w:overflowPunct/>
        <w:topLinePunct w:val="0"/>
        <w:autoSpaceDE/>
        <w:autoSpaceDN/>
        <w:bidi w:val="0"/>
        <w:adjustRightInd/>
        <w:spacing w:line="390" w:lineRule="exact"/>
        <w:ind w:firstLine="426" w:firstLineChars="202"/>
        <w:textAlignment w:val="auto"/>
        <w:rPr>
          <w:rFonts w:ascii="宋体" w:hAnsi="宋体" w:cs="宋体"/>
          <w:b/>
          <w:bCs/>
          <w:color w:val="000000"/>
          <w:szCs w:val="21"/>
          <w:highlight w:val="none"/>
        </w:rPr>
      </w:pPr>
      <w:r>
        <w:rPr>
          <w:rFonts w:hint="eastAsia" w:ascii="宋体" w:hAnsi="宋体" w:cs="宋体"/>
          <w:b/>
          <w:color w:val="000000"/>
          <w:szCs w:val="21"/>
          <w:highlight w:val="none"/>
        </w:rPr>
        <w:fldChar w:fldCharType="begin"/>
      </w:r>
      <w:r>
        <w:rPr>
          <w:rFonts w:hint="eastAsia" w:ascii="宋体" w:hAnsi="宋体" w:cs="宋体"/>
          <w:b/>
          <w:color w:val="000000"/>
          <w:szCs w:val="21"/>
          <w:highlight w:val="none"/>
        </w:rPr>
        <w:instrText xml:space="preserve"> = 2 \* GB3 </w:instrText>
      </w:r>
      <w:r>
        <w:rPr>
          <w:rFonts w:hint="eastAsia" w:ascii="宋体" w:hAnsi="宋体" w:cs="宋体"/>
          <w:b/>
          <w:color w:val="000000"/>
          <w:szCs w:val="21"/>
          <w:highlight w:val="none"/>
        </w:rPr>
        <w:fldChar w:fldCharType="separate"/>
      </w:r>
      <w:r>
        <w:rPr>
          <w:rFonts w:hint="eastAsia" w:ascii="宋体" w:hAnsi="宋体" w:cs="宋体"/>
          <w:b/>
          <w:color w:val="000000"/>
          <w:szCs w:val="21"/>
          <w:highlight w:val="none"/>
        </w:rPr>
        <w:t>②</w:t>
      </w:r>
      <w:r>
        <w:rPr>
          <w:rFonts w:hint="eastAsia" w:ascii="宋体" w:hAnsi="宋体" w:cs="宋体"/>
          <w:b/>
          <w:color w:val="000000"/>
          <w:szCs w:val="21"/>
          <w:highlight w:val="none"/>
        </w:rPr>
        <w:fldChar w:fldCharType="end"/>
      </w:r>
      <w:r>
        <w:rPr>
          <w:rFonts w:hint="eastAsia" w:ascii="宋体" w:hAnsi="宋体" w:cs="宋体"/>
          <w:b/>
          <w:bCs/>
          <w:color w:val="000000"/>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b/>
          <w:color w:val="000000"/>
          <w:szCs w:val="21"/>
          <w:highlight w:val="none"/>
        </w:rPr>
        <w:t>广西政府采购云平台</w:t>
      </w:r>
      <w:r>
        <w:rPr>
          <w:rFonts w:hint="eastAsia" w:ascii="宋体" w:hAnsi="宋体" w:cs="宋体"/>
          <w:b/>
          <w:bCs/>
          <w:color w:val="000000"/>
          <w:szCs w:val="21"/>
          <w:highlight w:val="none"/>
        </w:rPr>
        <w:t>将予以拒收。</w:t>
      </w:r>
    </w:p>
    <w:p w14:paraId="5D3DA3CC">
      <w:pPr>
        <w:pageBreakBefore w:val="0"/>
        <w:kinsoku/>
        <w:wordWrap/>
        <w:overflowPunct/>
        <w:topLinePunct w:val="0"/>
        <w:autoSpaceDE/>
        <w:autoSpaceDN/>
        <w:bidi w:val="0"/>
        <w:adjustRightInd/>
        <w:spacing w:line="390" w:lineRule="exact"/>
        <w:ind w:firstLine="426" w:firstLineChars="202"/>
        <w:textAlignment w:val="auto"/>
        <w:rPr>
          <w:rFonts w:ascii="宋体" w:hAnsi="宋体" w:cs="宋体"/>
          <w:b/>
          <w:bCs/>
          <w:color w:val="000000"/>
          <w:szCs w:val="21"/>
          <w:highlight w:val="none"/>
        </w:rPr>
      </w:pPr>
      <w:r>
        <w:rPr>
          <w:rFonts w:hint="eastAsia" w:ascii="宋体" w:hAnsi="宋体" w:cs="宋体"/>
          <w:b/>
          <w:bCs/>
          <w:color w:val="000000"/>
          <w:szCs w:val="21"/>
          <w:highlight w:val="none"/>
        </w:rPr>
        <w:t>（4）投标人需要在具备有摄像头及语音功能且互联网网络状况良好的电脑登录“广西政府采购云平台”远程开标大厅参与本次投标，否则后果自负。</w:t>
      </w:r>
    </w:p>
    <w:p w14:paraId="7BD3D3EB">
      <w:pPr>
        <w:pageBreakBefore w:val="0"/>
        <w:kinsoku/>
        <w:wordWrap/>
        <w:overflowPunct/>
        <w:topLinePunct w:val="0"/>
        <w:autoSpaceDE/>
        <w:autoSpaceDN/>
        <w:bidi w:val="0"/>
        <w:adjustRightInd/>
        <w:spacing w:line="390" w:lineRule="exact"/>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七、对本次招标提出询问，请按以下方式联系。</w:t>
      </w:r>
      <w:bookmarkEnd w:id="38"/>
      <w:bookmarkEnd w:id="39"/>
      <w:bookmarkEnd w:id="40"/>
      <w:bookmarkEnd w:id="41"/>
    </w:p>
    <w:p w14:paraId="7FF03A41">
      <w:pPr>
        <w:pageBreakBefore w:val="0"/>
        <w:kinsoku/>
        <w:wordWrap/>
        <w:overflowPunct/>
        <w:topLinePunct w:val="0"/>
        <w:autoSpaceDE/>
        <w:autoSpaceDN/>
        <w:bidi w:val="0"/>
        <w:adjustRightInd/>
        <w:spacing w:line="390" w:lineRule="exact"/>
        <w:ind w:firstLine="567" w:firstLineChars="270"/>
        <w:jc w:val="left"/>
        <w:textAlignment w:val="auto"/>
        <w:rPr>
          <w:rFonts w:ascii="宋体" w:hAnsi="宋体" w:cs="宋体"/>
          <w:color w:val="000000"/>
          <w:szCs w:val="21"/>
          <w:highlight w:val="none"/>
        </w:rPr>
      </w:pPr>
      <w:r>
        <w:rPr>
          <w:rFonts w:hint="eastAsia" w:ascii="宋体" w:hAnsi="宋体" w:cs="宋体"/>
          <w:color w:val="000000"/>
          <w:szCs w:val="21"/>
          <w:highlight w:val="none"/>
        </w:rPr>
        <w:t>1.采购人信息</w:t>
      </w:r>
    </w:p>
    <w:p w14:paraId="2DDD1B62">
      <w:pPr>
        <w:pageBreakBefore w:val="0"/>
        <w:kinsoku/>
        <w:wordWrap/>
        <w:overflowPunct/>
        <w:topLinePunct w:val="0"/>
        <w:autoSpaceDE/>
        <w:autoSpaceDN/>
        <w:bidi w:val="0"/>
        <w:adjustRightInd/>
        <w:spacing w:line="390" w:lineRule="exact"/>
        <w:ind w:firstLine="567" w:firstLineChars="270"/>
        <w:jc w:val="left"/>
        <w:textAlignment w:val="auto"/>
        <w:rPr>
          <w:rFonts w:ascii="宋体" w:hAnsi="宋体" w:cs="宋体"/>
          <w:color w:val="000000"/>
          <w:szCs w:val="21"/>
          <w:highlight w:val="none"/>
        </w:rPr>
      </w:pPr>
      <w:r>
        <w:rPr>
          <w:rFonts w:hint="eastAsia" w:ascii="宋体" w:hAnsi="宋体" w:cs="宋体"/>
          <w:color w:val="000000"/>
          <w:szCs w:val="21"/>
          <w:highlight w:val="none"/>
        </w:rPr>
        <w:t>名称：广西制造工程职业技术学院</w:t>
      </w:r>
    </w:p>
    <w:p w14:paraId="20BC9659">
      <w:pPr>
        <w:pageBreakBefore w:val="0"/>
        <w:kinsoku/>
        <w:wordWrap/>
        <w:overflowPunct/>
        <w:topLinePunct w:val="0"/>
        <w:autoSpaceDE/>
        <w:autoSpaceDN/>
        <w:bidi w:val="0"/>
        <w:adjustRightInd/>
        <w:spacing w:line="390" w:lineRule="exact"/>
        <w:ind w:firstLine="567" w:firstLineChars="270"/>
        <w:jc w:val="left"/>
        <w:textAlignment w:val="auto"/>
        <w:rPr>
          <w:rFonts w:ascii="宋体" w:hAnsi="宋体" w:cs="宋体"/>
          <w:color w:val="000000"/>
          <w:szCs w:val="21"/>
          <w:highlight w:val="none"/>
        </w:rPr>
      </w:pPr>
      <w:r>
        <w:rPr>
          <w:rFonts w:hint="eastAsia" w:ascii="宋体" w:hAnsi="宋体" w:cs="宋体"/>
          <w:color w:val="000000"/>
          <w:szCs w:val="21"/>
          <w:highlight w:val="none"/>
        </w:rPr>
        <w:t>地址：广西南宁市武鸣区（广西—东盟经济技术开发区）宝源南路29号</w:t>
      </w:r>
    </w:p>
    <w:p w14:paraId="1FBE9C3A">
      <w:pPr>
        <w:pageBreakBefore w:val="0"/>
        <w:kinsoku/>
        <w:wordWrap/>
        <w:overflowPunct/>
        <w:topLinePunct w:val="0"/>
        <w:autoSpaceDE/>
        <w:autoSpaceDN/>
        <w:bidi w:val="0"/>
        <w:adjustRightInd/>
        <w:spacing w:line="390" w:lineRule="exact"/>
        <w:ind w:firstLine="567" w:firstLineChars="270"/>
        <w:jc w:val="left"/>
        <w:textAlignment w:val="auto"/>
        <w:rPr>
          <w:rFonts w:hint="eastAsia" w:ascii="宋体" w:hAnsi="宋体" w:eastAsia="宋体" w:cs="宋体"/>
          <w:szCs w:val="21"/>
          <w:highlight w:val="none"/>
          <w:lang w:eastAsia="zh-CN"/>
        </w:rPr>
      </w:pPr>
      <w:r>
        <w:rPr>
          <w:rFonts w:hint="eastAsia" w:ascii="宋体" w:hAnsi="宋体" w:cs="宋体"/>
          <w:highlight w:val="none"/>
        </w:rPr>
        <w:t>项目联系人：</w:t>
      </w:r>
      <w:r>
        <w:rPr>
          <w:rFonts w:hint="eastAsia" w:ascii="宋体" w:hAnsi="宋体" w:cs="宋体"/>
          <w:highlight w:val="none"/>
          <w:lang w:eastAsia="zh-CN"/>
        </w:rPr>
        <w:t>龚小泳</w:t>
      </w:r>
    </w:p>
    <w:p w14:paraId="5A13309E">
      <w:pPr>
        <w:pageBreakBefore w:val="0"/>
        <w:kinsoku/>
        <w:wordWrap/>
        <w:overflowPunct/>
        <w:topLinePunct w:val="0"/>
        <w:autoSpaceDE/>
        <w:autoSpaceDN/>
        <w:bidi w:val="0"/>
        <w:adjustRightInd/>
        <w:spacing w:line="390" w:lineRule="exact"/>
        <w:ind w:firstLine="567" w:firstLineChars="270"/>
        <w:jc w:val="left"/>
        <w:textAlignment w:val="auto"/>
        <w:rPr>
          <w:rFonts w:ascii="宋体" w:hAnsi="宋体" w:cs="宋体"/>
          <w:szCs w:val="21"/>
          <w:highlight w:val="none"/>
        </w:rPr>
      </w:pPr>
      <w:r>
        <w:rPr>
          <w:rFonts w:hint="eastAsia" w:ascii="宋体" w:hAnsi="宋体" w:cs="宋体"/>
          <w:szCs w:val="21"/>
          <w:highlight w:val="none"/>
        </w:rPr>
        <w:t>联系方式：</w:t>
      </w:r>
      <w:bookmarkStart w:id="42" w:name="_Toc28359009"/>
      <w:bookmarkStart w:id="43" w:name="_Toc28359086"/>
      <w:r>
        <w:rPr>
          <w:rFonts w:hint="eastAsia" w:ascii="宋体" w:hAnsi="宋体" w:cs="宋体"/>
          <w:szCs w:val="21"/>
          <w:highlight w:val="none"/>
        </w:rPr>
        <w:t>0771-22062</w:t>
      </w:r>
      <w:r>
        <w:rPr>
          <w:rFonts w:ascii="宋体" w:hAnsi="宋体" w:cs="宋体"/>
          <w:szCs w:val="21"/>
          <w:highlight w:val="none"/>
        </w:rPr>
        <w:t>00</w:t>
      </w:r>
    </w:p>
    <w:p w14:paraId="23BD1E81">
      <w:pPr>
        <w:pageBreakBefore w:val="0"/>
        <w:kinsoku/>
        <w:wordWrap/>
        <w:overflowPunct/>
        <w:topLinePunct w:val="0"/>
        <w:autoSpaceDE/>
        <w:autoSpaceDN/>
        <w:bidi w:val="0"/>
        <w:adjustRightInd/>
        <w:spacing w:line="390" w:lineRule="exact"/>
        <w:ind w:firstLine="567" w:firstLineChars="270"/>
        <w:jc w:val="left"/>
        <w:textAlignment w:val="auto"/>
        <w:rPr>
          <w:rFonts w:ascii="宋体" w:hAnsi="宋体" w:cs="宋体"/>
          <w:color w:val="000000"/>
          <w:szCs w:val="21"/>
          <w:highlight w:val="none"/>
        </w:rPr>
      </w:pPr>
      <w:r>
        <w:rPr>
          <w:rFonts w:hint="eastAsia" w:ascii="宋体" w:hAnsi="宋体" w:cs="宋体"/>
          <w:color w:val="000000"/>
          <w:szCs w:val="21"/>
          <w:highlight w:val="none"/>
        </w:rPr>
        <w:t>2.采购代理机构信息</w:t>
      </w:r>
      <w:bookmarkEnd w:id="42"/>
      <w:bookmarkEnd w:id="43"/>
    </w:p>
    <w:p w14:paraId="3102F7F3">
      <w:pPr>
        <w:pageBreakBefore w:val="0"/>
        <w:kinsoku/>
        <w:wordWrap/>
        <w:overflowPunct/>
        <w:topLinePunct w:val="0"/>
        <w:autoSpaceDE/>
        <w:autoSpaceDN/>
        <w:bidi w:val="0"/>
        <w:adjustRightInd/>
        <w:spacing w:line="390" w:lineRule="exact"/>
        <w:ind w:firstLine="567" w:firstLineChars="270"/>
        <w:textAlignment w:val="auto"/>
        <w:rPr>
          <w:rFonts w:ascii="宋体" w:hAnsi="宋体" w:cs="宋体"/>
          <w:color w:val="000000"/>
          <w:szCs w:val="21"/>
          <w:highlight w:val="none"/>
        </w:rPr>
      </w:pPr>
      <w:r>
        <w:rPr>
          <w:rFonts w:hint="eastAsia" w:ascii="宋体" w:hAnsi="宋体" w:cs="宋体"/>
          <w:color w:val="000000"/>
          <w:szCs w:val="21"/>
          <w:highlight w:val="none"/>
        </w:rPr>
        <w:t>名 称：广西正海招标有限公司</w:t>
      </w:r>
    </w:p>
    <w:p w14:paraId="0BC4DA3D">
      <w:pPr>
        <w:pageBreakBefore w:val="0"/>
        <w:kinsoku/>
        <w:wordWrap/>
        <w:overflowPunct/>
        <w:topLinePunct w:val="0"/>
        <w:autoSpaceDE/>
        <w:autoSpaceDN/>
        <w:bidi w:val="0"/>
        <w:adjustRightInd/>
        <w:spacing w:line="390" w:lineRule="exact"/>
        <w:ind w:firstLine="567" w:firstLineChars="270"/>
        <w:textAlignment w:val="auto"/>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themeColor="text1"/>
          <w:szCs w:val="21"/>
          <w:highlight w:val="none"/>
          <w14:textFill>
            <w14:solidFill>
              <w14:schemeClr w14:val="tx1"/>
            </w14:solidFill>
          </w14:textFill>
        </w:rPr>
        <w:t>广西南宁市青秀区茅桥路2号习艺基地A栋1号电梯3楼</w:t>
      </w:r>
    </w:p>
    <w:p w14:paraId="6D509412">
      <w:pPr>
        <w:pageBreakBefore w:val="0"/>
        <w:kinsoku/>
        <w:wordWrap/>
        <w:overflowPunct/>
        <w:topLinePunct w:val="0"/>
        <w:autoSpaceDE/>
        <w:autoSpaceDN/>
        <w:bidi w:val="0"/>
        <w:adjustRightInd/>
        <w:spacing w:line="390" w:lineRule="exact"/>
        <w:ind w:firstLine="567" w:firstLineChars="270"/>
        <w:textAlignment w:val="auto"/>
        <w:rPr>
          <w:rFonts w:ascii="宋体" w:hAnsi="宋体" w:cs="宋体"/>
          <w:color w:val="000000"/>
          <w:szCs w:val="21"/>
          <w:highlight w:val="none"/>
        </w:rPr>
      </w:pPr>
      <w:r>
        <w:rPr>
          <w:rFonts w:hint="eastAsia" w:ascii="宋体" w:hAnsi="宋体" w:cs="宋体"/>
          <w:color w:val="000000"/>
          <w:szCs w:val="21"/>
          <w:highlight w:val="none"/>
        </w:rPr>
        <w:t>联系方式：</w:t>
      </w:r>
      <w:bookmarkStart w:id="44" w:name="_Toc28359087"/>
      <w:bookmarkStart w:id="45" w:name="_Toc28359010"/>
      <w:r>
        <w:rPr>
          <w:rFonts w:hint="eastAsia" w:ascii="宋体" w:hAnsi="宋体" w:cs="宋体"/>
          <w:color w:val="000000"/>
          <w:szCs w:val="21"/>
          <w:highlight w:val="none"/>
        </w:rPr>
        <w:t>0771-2865989</w:t>
      </w:r>
    </w:p>
    <w:p w14:paraId="07A4358E">
      <w:pPr>
        <w:pageBreakBefore w:val="0"/>
        <w:kinsoku/>
        <w:wordWrap/>
        <w:overflowPunct/>
        <w:topLinePunct w:val="0"/>
        <w:autoSpaceDE/>
        <w:autoSpaceDN/>
        <w:bidi w:val="0"/>
        <w:adjustRightInd/>
        <w:spacing w:line="390" w:lineRule="exact"/>
        <w:ind w:firstLine="567" w:firstLineChars="270"/>
        <w:textAlignment w:val="auto"/>
        <w:rPr>
          <w:rFonts w:ascii="宋体" w:hAnsi="宋体" w:cs="宋体"/>
          <w:color w:val="000000"/>
          <w:szCs w:val="21"/>
          <w:highlight w:val="none"/>
        </w:rPr>
      </w:pPr>
      <w:r>
        <w:rPr>
          <w:rFonts w:hint="eastAsia" w:ascii="宋体" w:hAnsi="宋体" w:cs="宋体"/>
          <w:color w:val="000000"/>
          <w:szCs w:val="21"/>
          <w:highlight w:val="none"/>
        </w:rPr>
        <w:t>3.项目联系方式</w:t>
      </w:r>
      <w:bookmarkEnd w:id="44"/>
      <w:bookmarkEnd w:id="45"/>
    </w:p>
    <w:p w14:paraId="7F998471">
      <w:pPr>
        <w:pStyle w:val="26"/>
        <w:pageBreakBefore w:val="0"/>
        <w:kinsoku/>
        <w:wordWrap/>
        <w:overflowPunct/>
        <w:topLinePunct w:val="0"/>
        <w:autoSpaceDE/>
        <w:autoSpaceDN/>
        <w:bidi w:val="0"/>
        <w:adjustRightInd/>
        <w:spacing w:line="390" w:lineRule="exact"/>
        <w:ind w:firstLine="567" w:firstLineChars="270"/>
        <w:textAlignment w:val="auto"/>
        <w:rPr>
          <w:rFonts w:hint="eastAsia" w:hAnsi="宋体" w:eastAsia="宋体" w:cs="宋体"/>
          <w:color w:val="000000"/>
          <w:sz w:val="21"/>
          <w:highlight w:val="none"/>
          <w:lang w:eastAsia="zh-CN"/>
        </w:rPr>
      </w:pPr>
      <w:r>
        <w:rPr>
          <w:rFonts w:hint="eastAsia" w:hAnsi="宋体" w:cs="宋体"/>
          <w:color w:val="000000"/>
          <w:sz w:val="21"/>
          <w:highlight w:val="none"/>
        </w:rPr>
        <w:t>项目联系人：覃旭理、谭斯少</w:t>
      </w:r>
      <w:r>
        <w:rPr>
          <w:rFonts w:hint="eastAsia" w:hAnsi="宋体" w:cs="宋体"/>
          <w:color w:val="000000"/>
          <w:sz w:val="21"/>
          <w:highlight w:val="none"/>
          <w:lang w:eastAsia="zh-CN"/>
        </w:rPr>
        <w:t>、王玉娇</w:t>
      </w:r>
    </w:p>
    <w:p w14:paraId="4AD7983C">
      <w:pPr>
        <w:pageBreakBefore w:val="0"/>
        <w:kinsoku/>
        <w:wordWrap/>
        <w:overflowPunct/>
        <w:topLinePunct w:val="0"/>
        <w:autoSpaceDE/>
        <w:autoSpaceDN/>
        <w:bidi w:val="0"/>
        <w:adjustRightInd/>
        <w:spacing w:line="390" w:lineRule="exact"/>
        <w:ind w:firstLine="567" w:firstLineChars="270"/>
        <w:textAlignment w:val="auto"/>
        <w:rPr>
          <w:color w:val="000000"/>
          <w:highlight w:val="none"/>
        </w:rPr>
      </w:pPr>
      <w:r>
        <w:rPr>
          <w:rFonts w:hint="eastAsia" w:ascii="宋体" w:hAnsi="宋体" w:cs="宋体"/>
          <w:color w:val="000000"/>
          <w:szCs w:val="21"/>
          <w:highlight w:val="none"/>
        </w:rPr>
        <w:t>电　话：0771-2865989</w:t>
      </w:r>
      <w:bookmarkStart w:id="46" w:name="_Toc74320801"/>
    </w:p>
    <w:p w14:paraId="44210E34">
      <w:pPr>
        <w:pStyle w:val="2"/>
        <w:pageBreakBefore w:val="0"/>
        <w:kinsoku/>
        <w:wordWrap/>
        <w:overflowPunct/>
        <w:topLinePunct w:val="0"/>
        <w:autoSpaceDE/>
        <w:autoSpaceDN/>
        <w:bidi w:val="0"/>
        <w:adjustRightInd/>
        <w:spacing w:before="0" w:after="0" w:line="390" w:lineRule="exact"/>
        <w:jc w:val="center"/>
        <w:textAlignment w:val="auto"/>
        <w:rPr>
          <w:rFonts w:ascii="宋体" w:hAnsi="宋体" w:cs="宋体"/>
          <w:b w:val="0"/>
          <w:bCs w:val="0"/>
          <w:color w:val="000000" w:themeColor="text1"/>
          <w:kern w:val="2"/>
          <w:sz w:val="21"/>
          <w:szCs w:val="21"/>
          <w:highlight w:val="none"/>
          <w14:textFill>
            <w14:solidFill>
              <w14:schemeClr w14:val="tx1"/>
            </w14:solidFill>
          </w14:textFill>
        </w:rPr>
      </w:pPr>
      <w:r>
        <w:rPr>
          <w:rFonts w:hint="eastAsia" w:ascii="宋体" w:hAnsi="宋体" w:cs="宋体"/>
          <w:b w:val="0"/>
          <w:bCs w:val="0"/>
          <w:color w:val="000000" w:themeColor="text1"/>
          <w:kern w:val="2"/>
          <w:sz w:val="21"/>
          <w:szCs w:val="21"/>
          <w:highlight w:val="none"/>
          <w14:textFill>
            <w14:solidFill>
              <w14:schemeClr w14:val="tx1"/>
            </w14:solidFill>
          </w14:textFill>
        </w:rPr>
        <w:t xml:space="preserve">                                              广西正海招标有限公司</w:t>
      </w:r>
    </w:p>
    <w:p w14:paraId="3526E734">
      <w:pPr>
        <w:pageBreakBefore w:val="0"/>
        <w:kinsoku/>
        <w:wordWrap/>
        <w:overflowPunct/>
        <w:topLinePunct w:val="0"/>
        <w:autoSpaceDE/>
        <w:autoSpaceDN/>
        <w:bidi w:val="0"/>
        <w:adjustRightInd/>
        <w:spacing w:line="39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20</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日</w:t>
      </w:r>
    </w:p>
    <w:p w14:paraId="6570DA18">
      <w:pPr>
        <w:pStyle w:val="59"/>
        <w:rPr>
          <w:rFonts w:hint="eastAsia" w:ascii="宋体" w:hAnsi="宋体" w:cs="宋体"/>
          <w:color w:val="000000" w:themeColor="text1"/>
          <w:szCs w:val="21"/>
          <w:highlight w:val="none"/>
          <w14:textFill>
            <w14:solidFill>
              <w14:schemeClr w14:val="tx1"/>
            </w14:solidFill>
          </w14:textFill>
        </w:rPr>
      </w:pPr>
    </w:p>
    <w:p w14:paraId="1DCA43E6">
      <w:pPr>
        <w:rPr>
          <w:rFonts w:hint="eastAsia" w:ascii="宋体" w:hAnsi="宋体" w:cs="宋体"/>
          <w:color w:val="000000" w:themeColor="text1"/>
          <w:szCs w:val="21"/>
          <w:highlight w:val="none"/>
          <w14:textFill>
            <w14:solidFill>
              <w14:schemeClr w14:val="tx1"/>
            </w14:solidFill>
          </w14:textFill>
        </w:rPr>
      </w:pPr>
    </w:p>
    <w:p w14:paraId="25FD3510">
      <w:pPr>
        <w:pStyle w:val="59"/>
        <w:rPr>
          <w:rFonts w:hint="eastAsia" w:ascii="宋体" w:hAnsi="宋体" w:cs="宋体"/>
          <w:color w:val="000000" w:themeColor="text1"/>
          <w:szCs w:val="21"/>
          <w:highlight w:val="none"/>
          <w14:textFill>
            <w14:solidFill>
              <w14:schemeClr w14:val="tx1"/>
            </w14:solidFill>
          </w14:textFill>
        </w:rPr>
      </w:pPr>
    </w:p>
    <w:p w14:paraId="0E4C1390">
      <w:pPr>
        <w:pStyle w:val="2"/>
        <w:spacing w:before="0" w:after="0" w:line="360" w:lineRule="auto"/>
        <w:jc w:val="center"/>
        <w:rPr>
          <w:color w:val="000000"/>
          <w:highlight w:val="none"/>
        </w:rPr>
      </w:pPr>
      <w:r>
        <w:rPr>
          <w:rFonts w:hint="eastAsia"/>
          <w:color w:val="000000"/>
          <w:highlight w:val="none"/>
        </w:rPr>
        <w:t>第二章  采购需求</w:t>
      </w:r>
      <w:bookmarkEnd w:id="46"/>
    </w:p>
    <w:p w14:paraId="035AF011">
      <w:pPr>
        <w:spacing w:line="360" w:lineRule="auto"/>
        <w:jc w:val="left"/>
        <w:rPr>
          <w:rFonts w:ascii="宋体" w:hAnsi="宋体" w:cs="宋体"/>
          <w:color w:val="000000"/>
          <w:szCs w:val="21"/>
          <w:highlight w:val="none"/>
        </w:rPr>
      </w:pPr>
      <w:bookmarkStart w:id="47" w:name="_Toc254970490"/>
      <w:bookmarkStart w:id="48" w:name="_Toc254970631"/>
      <w:r>
        <w:rPr>
          <w:rFonts w:hint="eastAsia" w:ascii="宋体" w:hAnsi="宋体" w:cs="宋体"/>
          <w:color w:val="000000"/>
          <w:szCs w:val="21"/>
          <w:highlight w:val="none"/>
        </w:rPr>
        <w:t>说明：</w:t>
      </w:r>
    </w:p>
    <w:p w14:paraId="31C591D7">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highlight w:val="none"/>
        </w:rPr>
        <w:t>1. 为落实政府采购政策需满足的要求（根据项目实际情况填写内容）</w:t>
      </w:r>
    </w:p>
    <w:p w14:paraId="61686FCA">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（1）本招标文件所称中小企业必须符合《政府采购促进中小企业发展管理办法》（财库〔2020〕46号）的规定。</w:t>
      </w:r>
    </w:p>
    <w:p w14:paraId="26DDF10F">
      <w:pPr>
        <w:spacing w:line="360" w:lineRule="auto"/>
        <w:ind w:firstLine="424" w:firstLineChars="202"/>
        <w:jc w:val="left"/>
        <w:rPr>
          <w:rFonts w:ascii="宋体" w:hAnsi="宋体" w:cs="宋体"/>
          <w:color w:val="000000"/>
          <w:szCs w:val="21"/>
          <w:highlight w:val="none"/>
        </w:rPr>
      </w:pPr>
      <w:r>
        <w:rPr>
          <w:rFonts w:hint="eastAsia" w:ascii="宋体" w:hAnsi="宋体" w:cs="宋体"/>
          <w:color w:val="000000"/>
          <w:szCs w:val="21"/>
          <w:highlight w:val="none"/>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p w14:paraId="262BEE3F">
      <w:pPr>
        <w:spacing w:line="360" w:lineRule="auto"/>
        <w:ind w:firstLine="424" w:firstLineChars="202"/>
        <w:jc w:val="left"/>
        <w:rPr>
          <w:rFonts w:ascii="宋体" w:hAnsi="宋体" w:cs="宋体"/>
          <w:color w:val="000000"/>
          <w:szCs w:val="21"/>
          <w:highlight w:val="none"/>
        </w:rPr>
      </w:pPr>
      <w:r>
        <w:rPr>
          <w:rFonts w:hint="eastAsia" w:ascii="宋体" w:hAnsi="宋体" w:cs="宋体"/>
          <w:color w:val="000000"/>
          <w:szCs w:val="21"/>
          <w:highlight w:val="none"/>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1B21335B">
      <w:pPr>
        <w:spacing w:line="360" w:lineRule="auto"/>
        <w:ind w:firstLine="426" w:firstLineChars="202"/>
        <w:jc w:val="left"/>
        <w:rPr>
          <w:rFonts w:ascii="宋体" w:hAnsi="宋体" w:cs="宋体"/>
          <w:b/>
          <w:bCs/>
          <w:szCs w:val="21"/>
          <w:highlight w:val="none"/>
        </w:rPr>
      </w:pPr>
      <w:r>
        <w:rPr>
          <w:rFonts w:hint="eastAsia" w:ascii="宋体" w:hAnsi="宋体" w:cs="宋体"/>
          <w:b/>
          <w:bCs/>
          <w:color w:val="000000"/>
          <w:szCs w:val="21"/>
          <w:highlight w:val="none"/>
        </w:rPr>
        <w:t>4.</w:t>
      </w:r>
      <w:r>
        <w:rPr>
          <w:rFonts w:hint="eastAsia" w:ascii="宋体" w:hAnsi="宋体" w:cs="宋体"/>
          <w:b/>
          <w:bCs/>
          <w:szCs w:val="21"/>
          <w:highlight w:val="none"/>
        </w:rPr>
        <w:t>“实质性要求”是指招标文件中已经指明不满足则投标无效的条款，或者不能偏离的条款，或者采购需求中带“▲”的条款</w:t>
      </w:r>
      <w:r>
        <w:rPr>
          <w:rFonts w:hint="eastAsia" w:ascii="宋体" w:hAnsi="宋体" w:cs="宋体"/>
          <w:b/>
          <w:bCs/>
          <w:szCs w:val="21"/>
          <w:highlight w:val="none"/>
          <w:lang w:eastAsia="zh-CN"/>
        </w:rPr>
        <w:t>，标注“◆”、“●”的服务内容为演示及加分项，供应商应尽量满足。</w:t>
      </w:r>
    </w:p>
    <w:p w14:paraId="78276A27">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8A075E6">
      <w:pPr>
        <w:spacing w:line="360" w:lineRule="auto"/>
        <w:ind w:firstLine="424" w:firstLineChars="202"/>
        <w:jc w:val="left"/>
        <w:rPr>
          <w:rStyle w:val="57"/>
          <w:rFonts w:ascii="宋体" w:hAnsi="宋体" w:cs="宋体"/>
          <w:highlight w:val="none"/>
        </w:rPr>
      </w:pPr>
      <w:r>
        <w:rPr>
          <w:rFonts w:hint="eastAsia" w:ascii="宋体" w:hAnsi="宋体" w:cs="宋体"/>
          <w:szCs w:val="21"/>
          <w:highlight w:val="none"/>
        </w:rPr>
        <w:t>6.</w:t>
      </w:r>
      <w:bookmarkStart w:id="49" w:name="_Hlk65055179"/>
      <w:r>
        <w:rPr>
          <w:rFonts w:hint="eastAsia" w:ascii="宋体" w:hAnsi="宋体" w:cs="宋体"/>
          <w:szCs w:val="21"/>
          <w:highlight w:val="none"/>
        </w:rPr>
        <w:t>投标人应根据自身实际情况如实响应招标文件，不得仅将招标文件内容简单复制粘贴作为投标响应，还应当提供相关证明材料，</w:t>
      </w:r>
      <w:r>
        <w:rPr>
          <w:rFonts w:hint="eastAsia" w:ascii="宋体" w:hAnsi="宋体" w:cs="宋体"/>
          <w:b/>
          <w:bCs/>
          <w:szCs w:val="21"/>
          <w:highlight w:val="none"/>
        </w:rPr>
        <w:t>否则将作无效响应处理</w:t>
      </w:r>
      <w:r>
        <w:rPr>
          <w:rFonts w:hint="eastAsia" w:ascii="宋体" w:hAnsi="宋体" w:cs="宋体"/>
          <w:szCs w:val="21"/>
          <w:highlight w:val="none"/>
        </w:rPr>
        <w:t>（定制采购不适用本条款）。</w:t>
      </w:r>
      <w:r>
        <w:rPr>
          <w:rFonts w:hint="eastAsia" w:ascii="宋体" w:hAnsi="宋体" w:cs="宋体"/>
          <w:highlight w:val="none"/>
        </w:rPr>
        <w:t>对于重要技术条款或技术参数应当在投标文件中提供技术支持资料，技术支持资料以招标文件中规定的形式为准，</w:t>
      </w:r>
      <w:r>
        <w:rPr>
          <w:rFonts w:hint="eastAsia" w:ascii="宋体" w:hAnsi="宋体" w:cs="宋体"/>
          <w:b/>
          <w:bCs/>
          <w:highlight w:val="none"/>
        </w:rPr>
        <w:t>否则将视为无效技术支持资料</w:t>
      </w:r>
      <w:r>
        <w:rPr>
          <w:rFonts w:hint="eastAsia" w:ascii="宋体" w:hAnsi="宋体" w:cs="宋体"/>
          <w:highlight w:val="none"/>
        </w:rPr>
        <w:t>。</w:t>
      </w:r>
    </w:p>
    <w:p w14:paraId="525D7EAB">
      <w:pPr>
        <w:spacing w:line="360" w:lineRule="auto"/>
        <w:ind w:firstLine="424" w:firstLineChars="202"/>
        <w:jc w:val="left"/>
        <w:rPr>
          <w:rFonts w:ascii="宋体" w:hAnsi="宋体" w:cs="宋体"/>
          <w:color w:val="000000"/>
          <w:highlight w:val="none"/>
        </w:rPr>
      </w:pPr>
      <w:r>
        <w:rPr>
          <w:rFonts w:hint="eastAsia" w:ascii="宋体" w:hAnsi="宋体" w:cs="宋体"/>
          <w:color w:val="000000"/>
          <w:szCs w:val="21"/>
          <w:highlight w:val="none"/>
        </w:rPr>
        <w:t>7.</w:t>
      </w:r>
      <w:r>
        <w:rPr>
          <w:rFonts w:hint="eastAsia" w:ascii="宋体" w:hAnsi="宋体" w:cs="宋体"/>
          <w:color w:val="000000"/>
          <w:highlight w:val="none"/>
        </w:rPr>
        <w:t>投标人必须自行为其投标产品侵犯他人的知识产权或者专利成果的行为承担相应法律责任。</w:t>
      </w:r>
    </w:p>
    <w:p w14:paraId="5C354388">
      <w:pPr>
        <w:spacing w:line="360" w:lineRule="auto"/>
        <w:ind w:firstLine="426" w:firstLineChars="202"/>
        <w:jc w:val="left"/>
        <w:rPr>
          <w:rFonts w:ascii="宋体" w:hAnsi="宋体" w:cs="宋体"/>
          <w:b/>
          <w:bCs/>
          <w:color w:val="000000"/>
          <w:szCs w:val="21"/>
          <w:highlight w:val="none"/>
        </w:rPr>
      </w:pPr>
      <w:r>
        <w:rPr>
          <w:rFonts w:hint="eastAsia" w:ascii="宋体" w:hAnsi="宋体" w:cs="宋体"/>
          <w:b/>
          <w:bCs/>
          <w:color w:val="000000"/>
          <w:szCs w:val="21"/>
          <w:highlight w:val="none"/>
        </w:rPr>
        <w:t>8.本项目所属行业：工业。</w:t>
      </w:r>
    </w:p>
    <w:tbl>
      <w:tblPr>
        <w:tblStyle w:val="4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17"/>
        <w:gridCol w:w="67"/>
        <w:gridCol w:w="566"/>
        <w:gridCol w:w="631"/>
        <w:gridCol w:w="7467"/>
      </w:tblGrid>
      <w:tr w14:paraId="5DA3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1" w:type="dxa"/>
            <w:gridSpan w:val="6"/>
            <w:tcBorders>
              <w:bottom w:val="single" w:color="auto" w:sz="4" w:space="0"/>
            </w:tcBorders>
            <w:shd w:val="clear" w:color="auto" w:fill="auto"/>
            <w:vAlign w:val="center"/>
          </w:tcPr>
          <w:p w14:paraId="1B603460">
            <w:pPr>
              <w:keepNext w:val="0"/>
              <w:keepLines w:val="0"/>
              <w:pageBreakBefore w:val="0"/>
              <w:kinsoku/>
              <w:wordWrap/>
              <w:overflowPunct/>
              <w:topLinePunct w:val="0"/>
              <w:bidi w:val="0"/>
              <w:snapToGrid/>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A分标</w:t>
            </w:r>
            <w:r>
              <w:rPr>
                <w:rFonts w:hint="eastAsia" w:ascii="宋体" w:hAnsi="宋体" w:eastAsia="宋体" w:cs="宋体"/>
                <w:b/>
                <w:bCs/>
                <w:color w:val="000000" w:themeColor="text1"/>
                <w:sz w:val="21"/>
                <w:szCs w:val="21"/>
                <w:highlight w:val="none"/>
                <w14:textFill>
                  <w14:solidFill>
                    <w14:schemeClr w14:val="tx1"/>
                  </w14:solidFill>
                </w14:textFill>
              </w:rPr>
              <w:t>：微电子技术实训室建设项目</w:t>
            </w:r>
          </w:p>
        </w:tc>
      </w:tr>
      <w:tr w14:paraId="2687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7FF93C4F">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17" w:type="dxa"/>
            <w:tcBorders>
              <w:bottom w:val="single" w:color="auto" w:sz="4" w:space="0"/>
            </w:tcBorders>
            <w:shd w:val="clear" w:color="auto" w:fill="auto"/>
            <w:vAlign w:val="center"/>
          </w:tcPr>
          <w:p w14:paraId="74054E6A">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633" w:type="dxa"/>
            <w:gridSpan w:val="2"/>
            <w:tcBorders>
              <w:bottom w:val="single" w:color="auto" w:sz="4" w:space="0"/>
            </w:tcBorders>
            <w:shd w:val="clear" w:color="auto" w:fill="FFFFFF"/>
            <w:vAlign w:val="center"/>
          </w:tcPr>
          <w:p w14:paraId="0041393B">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631" w:type="dxa"/>
            <w:tcBorders>
              <w:bottom w:val="single" w:color="auto" w:sz="4" w:space="0"/>
            </w:tcBorders>
            <w:shd w:val="clear" w:color="auto" w:fill="auto"/>
            <w:vAlign w:val="center"/>
          </w:tcPr>
          <w:p w14:paraId="0431EC39">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7467" w:type="dxa"/>
            <w:tcBorders>
              <w:bottom w:val="single" w:color="auto" w:sz="4" w:space="0"/>
            </w:tcBorders>
            <w:shd w:val="clear" w:color="auto" w:fill="auto"/>
            <w:noWrap/>
            <w:vAlign w:val="center"/>
          </w:tcPr>
          <w:p w14:paraId="00B0335E">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具体说明、功能及技术参数要求</w:t>
            </w:r>
          </w:p>
        </w:tc>
      </w:tr>
      <w:tr w14:paraId="6CD7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4" w:hRule="atLeast"/>
          <w:jc w:val="center"/>
        </w:trPr>
        <w:tc>
          <w:tcPr>
            <w:tcW w:w="483" w:type="dxa"/>
            <w:tcBorders>
              <w:top w:val="single" w:color="auto" w:sz="4" w:space="0"/>
            </w:tcBorders>
            <w:shd w:val="clear" w:color="auto" w:fill="auto"/>
            <w:vAlign w:val="center"/>
          </w:tcPr>
          <w:p w14:paraId="0ABEA2EC">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1017" w:type="dxa"/>
            <w:tcBorders>
              <w:top w:val="single" w:color="auto" w:sz="4" w:space="0"/>
            </w:tcBorders>
            <w:shd w:val="clear" w:color="auto" w:fill="auto"/>
            <w:vAlign w:val="center"/>
          </w:tcPr>
          <w:p w14:paraId="4261F6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示教台</w:t>
            </w:r>
          </w:p>
        </w:tc>
        <w:tc>
          <w:tcPr>
            <w:tcW w:w="633" w:type="dxa"/>
            <w:gridSpan w:val="2"/>
            <w:tcBorders>
              <w:top w:val="single" w:color="auto" w:sz="4" w:space="0"/>
            </w:tcBorders>
            <w:shd w:val="clear" w:color="auto" w:fill="FFFFFF"/>
            <w:vAlign w:val="center"/>
          </w:tcPr>
          <w:p w14:paraId="5785F624">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tcBorders>
              <w:top w:val="single" w:color="auto" w:sz="4" w:space="0"/>
            </w:tcBorders>
            <w:shd w:val="clear" w:color="auto" w:fill="auto"/>
            <w:vAlign w:val="center"/>
          </w:tcPr>
          <w:p w14:paraId="3153793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tcBorders>
              <w:top w:val="single" w:color="auto" w:sz="4" w:space="0"/>
            </w:tcBorders>
            <w:shd w:val="clear" w:color="auto" w:fill="auto"/>
            <w:vAlign w:val="center"/>
          </w:tcPr>
          <w:p w14:paraId="111C49CF">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一、主体机构</w:t>
            </w:r>
          </w:p>
          <w:p w14:paraId="3B296B81">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材料：讲台采用上下分体式、防火、防静电钢木结构设计。钢板采用厚度1.2mm±0.1mm的优质冷轧钢板，钢结构部分表面经酸洗、磷化防锈处理后静电喷涂。台面采用防刮痕的三聚氰胺板，扶手采用实木。</w:t>
            </w:r>
          </w:p>
          <w:p w14:paraId="002D9E47">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外形尺寸</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：长1100×宽670×高935(单位mm)。</w:t>
            </w:r>
          </w:p>
          <w:p w14:paraId="0EF5F0E5">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讲台结构：台面有足够放置环保笔、粉笔、课本、学生作业本和课堂教学用品空间；可扩展安装液晶显示器、中央控制系统、拓展接口、展台或高拍仪；讲台前面配有粘贴LOGO位置。</w:t>
            </w:r>
          </w:p>
          <w:p w14:paraId="43A940C4">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讲台锁：整个讲台用1把钥匙便能开启讲台所有的门。</w:t>
            </w:r>
          </w:p>
          <w:p w14:paraId="07F310AE">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讲坛高度适应：可根据学校讲坛高度任意选配地台。</w:t>
            </w:r>
          </w:p>
          <w:p w14:paraId="2F4ABC99">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安全设计：讲台边角采用圆弧过渡；讲台设计有专业接地保护，有需要安装电子产品时防止设备漏电，确保使用安全；讲台关闭后，外观无可拆卸零部件。</w:t>
            </w:r>
          </w:p>
          <w:p w14:paraId="42A69661">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二、配置</w:t>
            </w:r>
            <w:r>
              <w:rPr>
                <w:rFonts w:hint="eastAsia" w:ascii="宋体" w:hAnsi="宋体" w:eastAsia="宋体" w:cs="宋体"/>
                <w:sz w:val="21"/>
                <w:szCs w:val="21"/>
                <w:highlight w:val="none"/>
                <w:lang w:eastAsia="zh-CN"/>
              </w:rPr>
              <w:t>要求</w:t>
            </w:r>
          </w:p>
          <w:p w14:paraId="1D444D19">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处理器：12核心 20线程，25M智能缓存</w:t>
            </w:r>
            <w:r>
              <w:rPr>
                <w:rFonts w:hint="eastAsia" w:ascii="宋体" w:hAnsi="宋体" w:cs="宋体"/>
                <w:sz w:val="21"/>
                <w:szCs w:val="21"/>
                <w:highlight w:val="none"/>
                <w:lang w:eastAsia="zh-CN"/>
              </w:rPr>
              <w:t>。</w:t>
            </w:r>
          </w:p>
          <w:p w14:paraId="41A22F36">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运行内存：≥8G</w:t>
            </w:r>
            <w:r>
              <w:rPr>
                <w:rFonts w:hint="eastAsia" w:ascii="宋体" w:hAnsi="宋体" w:eastAsia="宋体" w:cs="宋体"/>
                <w:sz w:val="21"/>
                <w:szCs w:val="21"/>
                <w:highlight w:val="none"/>
                <w:lang w:eastAsia="zh-CN"/>
              </w:rPr>
              <w:t>。</w:t>
            </w:r>
          </w:p>
          <w:p w14:paraId="4EC5BC86">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机身存储：≥512GB</w:t>
            </w:r>
            <w:r>
              <w:rPr>
                <w:rFonts w:hint="eastAsia" w:ascii="宋体" w:hAnsi="宋体" w:eastAsia="宋体" w:cs="宋体"/>
                <w:sz w:val="21"/>
                <w:szCs w:val="21"/>
                <w:highlight w:val="none"/>
                <w:lang w:eastAsia="zh-CN"/>
              </w:rPr>
              <w:t>。</w:t>
            </w:r>
          </w:p>
          <w:p w14:paraId="37A1831F">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4.系统：Windows系统</w:t>
            </w:r>
            <w:r>
              <w:rPr>
                <w:rFonts w:hint="eastAsia" w:ascii="宋体" w:hAnsi="宋体" w:cs="宋体"/>
                <w:sz w:val="21"/>
                <w:szCs w:val="21"/>
                <w:highlight w:val="none"/>
                <w:lang w:eastAsia="zh-CN"/>
              </w:rPr>
              <w:t>。</w:t>
            </w:r>
          </w:p>
          <w:p w14:paraId="7BA69F55">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三、工作站配置</w:t>
            </w:r>
          </w:p>
          <w:p w14:paraId="50432308">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≥24G DDR5内存</w:t>
            </w:r>
            <w:r>
              <w:rPr>
                <w:rFonts w:hint="eastAsia" w:ascii="宋体" w:hAnsi="宋体" w:eastAsia="宋体" w:cs="宋体"/>
                <w:sz w:val="21"/>
                <w:szCs w:val="21"/>
                <w:highlight w:val="none"/>
                <w:lang w:eastAsia="zh-CN"/>
              </w:rPr>
              <w:t>。</w:t>
            </w:r>
          </w:p>
          <w:p w14:paraId="057E065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≥1TB SSD</w:t>
            </w:r>
            <w:r>
              <w:rPr>
                <w:rFonts w:hint="eastAsia" w:ascii="宋体" w:hAnsi="宋体" w:eastAsia="宋体" w:cs="宋体"/>
                <w:sz w:val="21"/>
                <w:szCs w:val="21"/>
                <w:highlight w:val="none"/>
                <w:lang w:eastAsia="zh-CN"/>
              </w:rPr>
              <w:t>。</w:t>
            </w:r>
          </w:p>
          <w:p w14:paraId="623ACDE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8G或以上独显</w:t>
            </w:r>
            <w:r>
              <w:rPr>
                <w:rFonts w:hint="eastAsia" w:ascii="宋体" w:hAnsi="宋体" w:eastAsia="宋体" w:cs="宋体"/>
                <w:sz w:val="21"/>
                <w:szCs w:val="21"/>
                <w:highlight w:val="none"/>
                <w:lang w:eastAsia="zh-CN"/>
              </w:rPr>
              <w:t>。</w:t>
            </w:r>
          </w:p>
          <w:p w14:paraId="4A967B5B">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不低于27英寸显示器。</w:t>
            </w:r>
          </w:p>
        </w:tc>
      </w:tr>
      <w:tr w14:paraId="7B96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35FE0548">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1017" w:type="dxa"/>
            <w:tcBorders>
              <w:top w:val="single" w:color="auto" w:sz="4" w:space="0"/>
            </w:tcBorders>
            <w:shd w:val="clear" w:color="auto" w:fill="auto"/>
            <w:vAlign w:val="center"/>
          </w:tcPr>
          <w:p w14:paraId="1AE943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智慧黑板</w:t>
            </w:r>
          </w:p>
        </w:tc>
        <w:tc>
          <w:tcPr>
            <w:tcW w:w="633" w:type="dxa"/>
            <w:gridSpan w:val="2"/>
            <w:tcBorders>
              <w:top w:val="single" w:color="auto" w:sz="4" w:space="0"/>
            </w:tcBorders>
            <w:shd w:val="clear" w:color="auto" w:fill="FFFFFF"/>
            <w:vAlign w:val="center"/>
          </w:tcPr>
          <w:p w14:paraId="6E5CF50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tcBorders>
              <w:top w:val="single" w:color="auto" w:sz="4" w:space="0"/>
            </w:tcBorders>
            <w:shd w:val="clear" w:color="auto" w:fill="auto"/>
            <w:vAlign w:val="center"/>
          </w:tcPr>
          <w:p w14:paraId="2973F38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tcBorders>
              <w:top w:val="single" w:color="auto" w:sz="4" w:space="0"/>
            </w:tcBorders>
            <w:shd w:val="clear" w:color="auto" w:fill="auto"/>
            <w:vAlign w:val="center"/>
          </w:tcPr>
          <w:p w14:paraId="1FCA21E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strike/>
                <w:dstrike w:val="0"/>
                <w:color w:val="FF0000"/>
                <w:kern w:val="0"/>
                <w:sz w:val="21"/>
                <w:szCs w:val="21"/>
                <w:highlight w:val="none"/>
                <w:lang w:eastAsia="zh-CN" w:bidi="ar"/>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尺寸：不低于86英寸</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操作系统：Windows10</w:t>
            </w:r>
          </w:p>
          <w:p w14:paraId="17ADA9D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电脑配置：</w:t>
            </w:r>
            <w:r>
              <w:rPr>
                <w:rFonts w:hint="eastAsia" w:ascii="宋体" w:hAnsi="宋体" w:cs="宋体"/>
                <w:color w:val="000000" w:themeColor="text1"/>
                <w:kern w:val="0"/>
                <w:sz w:val="21"/>
                <w:szCs w:val="21"/>
                <w:highlight w:val="none"/>
                <w:lang w:eastAsia="zh-CN" w:bidi="ar"/>
                <w14:textFill>
                  <w14:solidFill>
                    <w14:schemeClr w14:val="tx1"/>
                  </w14:solidFill>
                </w14:textFill>
              </w:rPr>
              <w:t>内存</w:t>
            </w:r>
            <w:r>
              <w:rPr>
                <w:rFonts w:hint="eastAsia" w:ascii="宋体" w:hAnsi="宋体" w:eastAsia="宋体" w:cs="宋体"/>
                <w:sz w:val="21"/>
                <w:szCs w:val="21"/>
                <w:highlight w:val="none"/>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8G</w:t>
            </w:r>
            <w:r>
              <w:rPr>
                <w:rFonts w:hint="eastAsia" w:ascii="宋体" w:hAnsi="宋体" w:cs="宋体"/>
                <w:color w:val="000000" w:themeColor="text1"/>
                <w:kern w:val="0"/>
                <w:sz w:val="21"/>
                <w:szCs w:val="21"/>
                <w:highlight w:val="none"/>
                <w:lang w:eastAsia="zh-CN" w:bidi="ar"/>
                <w14:textFill>
                  <w14:solidFill>
                    <w14:schemeClr w14:val="tx1"/>
                  </w14:solidFill>
                </w14:textFill>
              </w:rPr>
              <w:t>，硬盘</w:t>
            </w:r>
            <w:r>
              <w:rPr>
                <w:rFonts w:hint="eastAsia" w:ascii="宋体" w:hAnsi="宋体" w:eastAsia="宋体" w:cs="宋体"/>
                <w:sz w:val="21"/>
                <w:szCs w:val="21"/>
                <w:highlight w:val="none"/>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256G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分辨率：≥3840(H)×2160(V)</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p w14:paraId="07FDE42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贴合方式：零贴合</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触控点数：PC ≥40点</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p w14:paraId="5F7EA6E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bidi="ar"/>
                <w14:textFill>
                  <w14:solidFill>
                    <w14:schemeClr w14:val="tx1"/>
                  </w14:solidFill>
                </w14:textFill>
              </w:rPr>
              <w:t>蓝牙版本：≥5.2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bidi="ar"/>
                <w14:textFill>
                  <w14:solidFill>
                    <w14:schemeClr w14:val="tx1"/>
                  </w14:solidFill>
                </w14:textFill>
              </w:rPr>
              <w:t>WiFi版本：WiFi6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r>
      <w:tr w14:paraId="04C7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16B1C76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1017" w:type="dxa"/>
            <w:tcBorders>
              <w:top w:val="single" w:color="auto" w:sz="4" w:space="0"/>
            </w:tcBorders>
            <w:shd w:val="clear" w:color="auto" w:fill="auto"/>
            <w:vAlign w:val="center"/>
          </w:tcPr>
          <w:p w14:paraId="5AECEE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电子基础实操工作台</w:t>
            </w:r>
          </w:p>
        </w:tc>
        <w:tc>
          <w:tcPr>
            <w:tcW w:w="633" w:type="dxa"/>
            <w:gridSpan w:val="2"/>
            <w:tcBorders>
              <w:top w:val="single" w:color="auto" w:sz="4" w:space="0"/>
            </w:tcBorders>
            <w:shd w:val="clear" w:color="auto" w:fill="FFFFFF"/>
            <w:vAlign w:val="center"/>
          </w:tcPr>
          <w:p w14:paraId="59CCC3D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tcBorders>
              <w:top w:val="single" w:color="auto" w:sz="4" w:space="0"/>
            </w:tcBorders>
            <w:shd w:val="clear" w:color="auto" w:fill="auto"/>
            <w:vAlign w:val="center"/>
          </w:tcPr>
          <w:p w14:paraId="130E03B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tcBorders>
              <w:top w:val="single" w:color="auto" w:sz="4" w:space="0"/>
            </w:tcBorders>
            <w:shd w:val="clear" w:color="auto" w:fill="auto"/>
            <w:vAlign w:val="center"/>
          </w:tcPr>
          <w:p w14:paraId="63E31B6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1.整体尺寸</w:t>
            </w:r>
            <w:r>
              <w:rPr>
                <w:rFonts w:hint="eastAsia" w:ascii="宋体" w:hAnsi="宋体" w:eastAsia="宋体" w:cs="宋体"/>
                <w:color w:val="000000"/>
                <w:kern w:val="0"/>
                <w:sz w:val="21"/>
                <w:szCs w:val="21"/>
                <w:highlight w:val="none"/>
                <w:lang w:eastAsia="zh-CN" w:bidi="ar"/>
              </w:rPr>
              <w:t>（约）</w:t>
            </w:r>
            <w:r>
              <w:rPr>
                <w:rFonts w:hint="eastAsia" w:ascii="宋体" w:hAnsi="宋体" w:eastAsia="宋体" w:cs="宋体"/>
                <w:color w:val="000000"/>
                <w:kern w:val="0"/>
                <w:sz w:val="21"/>
                <w:szCs w:val="21"/>
                <w:highlight w:val="none"/>
                <w:lang w:bidi="ar"/>
              </w:rPr>
              <w:t>：L1600mm×W850mm×H1150mm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2.桌体铝型材结构，桌面板为高密度纤维板外贴防火板，PVC截面封边，桌面具有耐磨、耐热、耐污、耐火、耐菌、防霉性能，桌面平铺防静电胶皮。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3.桌体两</w:t>
            </w:r>
            <w:r>
              <w:rPr>
                <w:rFonts w:hint="eastAsia" w:ascii="宋体" w:hAnsi="宋体" w:eastAsia="宋体" w:cs="宋体"/>
                <w:sz w:val="21"/>
                <w:szCs w:val="21"/>
                <w:highlight w:val="none"/>
              </w:rPr>
              <w:t>侧</w:t>
            </w:r>
            <w:r>
              <w:rPr>
                <w:rFonts w:hint="eastAsia" w:ascii="宋体" w:hAnsi="宋体" w:eastAsia="宋体" w:cs="宋体"/>
                <w:color w:val="000000"/>
                <w:kern w:val="0"/>
                <w:sz w:val="21"/>
                <w:szCs w:val="21"/>
                <w:highlight w:val="none"/>
                <w:lang w:bidi="ar"/>
              </w:rPr>
              <w:t>设计各一个抽屉，用于导线、工具等常用物品的收纳。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4.电源实训屏：左侧为电源控制面板</w:t>
            </w:r>
            <w:r>
              <w:rPr>
                <w:rFonts w:hint="eastAsia" w:ascii="宋体" w:hAnsi="宋体" w:eastAsia="宋体" w:cs="宋体"/>
                <w:color w:val="000000"/>
                <w:kern w:val="0"/>
                <w:sz w:val="21"/>
                <w:szCs w:val="21"/>
                <w:highlight w:val="none"/>
                <w:lang w:eastAsia="zh-CN" w:bidi="ar"/>
              </w:rPr>
              <w:t>约</w:t>
            </w:r>
            <w:r>
              <w:rPr>
                <w:rFonts w:hint="eastAsia" w:ascii="宋体" w:hAnsi="宋体" w:eastAsia="宋体" w:cs="宋体"/>
                <w:color w:val="000000"/>
                <w:kern w:val="0"/>
                <w:sz w:val="21"/>
                <w:szCs w:val="21"/>
                <w:highlight w:val="none"/>
                <w:lang w:bidi="ar"/>
              </w:rPr>
              <w:t>L500mm×W240mm，包含漏电保护断路器</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1个，电源指示灯，电源输出16A国标万能插座，前面</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4组，侧面</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3组</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5.实训设备远程运维卡：输入通道</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（1）输出通道:≥4路光电隔离开关量输入/≥4路光电隔离继电器输出(每通道独立)</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（2）产品尺寸:约145×90×40mm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（3）外部供电电源:DC24V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（4）工作温度范围:-20℃～70℃</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（5）继电器功率:250VAC/10A,DC30V/10A,可带动任何常用设备。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6.设备管理云平台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bidi="ar"/>
              </w:rPr>
              <w:t>（1）运营中心：运营中心系统应用开发完成后的应用总成，包括运营仪表盘、地图监控、集中监控三大功能。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运营仪表盘可以展示生产线设备总览、生产实时数据监控、设备告警统计、生产报表（表格、柱状图、饼状图等多种形式）、日周月报表等所有数据地图监控</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地图监控：地图监控可以以地图、数据报表形式呈现设备在全国各地的情况统计。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集中监控：可以在一个画面内监控展示所有设备的核心数据。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bidi="ar"/>
              </w:rPr>
              <w:t>（2）消息中心：分收件箱和通知策略两个菜单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收件箱：收件箱可以是一个消息接收列表，消息分为告警、事件、工单、报修、维保、系统等六种类型，在这个页面可以查看到消息内容、类型、状态和消息发送时间等信息，也可以点击查看详情、标记已读、删除消息等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 xml:space="preserve"> 通知策略：用于管理员设置消息通知方式，可编辑的内容包括策略名称、消息筛选、接收者、消息渠道设置等。其中消息筛选主要用于设置消息通知的触发条件，例如：设备名称、告警等级、告警组、告警状态、告警名称等内容达到设定的标准就发出通知；消息渠道包括Webb/App、微信公众号、邮箱、短信等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（3）设备中心：设备中心是系统开发及维护人员用来设置和开发应用界面的模块，主要包括设备仪表盘、告警与事件、设备模板、设备管理、设备分组等开发页面。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bidi="ar"/>
              </w:rPr>
              <w:t>（4）工作中心：工作中心是管理人员及生产运维人员执行设备运维工作的页面，包括需求管理、计划管理、目工单管理、我的工单、打卡管理等功能，管理及运维人员根据系统流程与任务提示执行日常管理与运维任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bidi="ar"/>
              </w:rPr>
              <w:t>（5）组织管理：是管理员对与生产任务直接相关的人员与组织进行信息管理的模块，包括外部组织、内部组织、角色、用户。外部组织包括客户、经销商、集成商、供应商、合作伙伴、竞争对手等角色，内部组织主要指单位内部人员，外部组织和内部组织都能记录组织简称、组织全称、组织编号、组织角色、组织级别、归属人员、归属组织等内容，都可进行添加、修改、删除等操作。角色有固定的admin、User两个系统角色，也可以自定义新的角色，各角色的操作与查看权限者可以由管理员进行定义。用户是按照角色分类生成的具体人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bidi="ar"/>
              </w:rPr>
              <w:t>（6）分析中心：分析中心主要用于开发操作人员用于建立数据分析报表模型，报表类型包括指标卡、列表、拆线图、柱状图、堆叠柱状图、条形图、饼图以及其他自定义的报表类型，对每个报表模型，系统会自动记录报表标题、图表类型、创建者、创建时间等信息，用户可以进行添加、修改、预览、删除等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7.远程运维功能: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1）在平台系统界面里有地图显示设备位置功能，可以系统界面查看所相关的设备位置信息。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2）在平台系统里有设备故障信息功能，设备出现故障时，可以实时查看故障信息及历史信息。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3）在平台系统里有温湿度界面显示功能，可以查看设备现状的温湿情况，避免湿度太大直接上电容易造成设备烧坏情况。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4）用户可在平台上进行设备可视化管理界面自由组态，不需要编写任何代码，包含设备各种状态数据以及控制设备启停、开关等操作。并且可以通用分享码调用厂家或其他用户分享的可视化界面模板，生成自己的用户界面。</w:t>
            </w:r>
          </w:p>
        </w:tc>
      </w:tr>
      <w:tr w14:paraId="5A3C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1D5EA4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1017" w:type="dxa"/>
            <w:shd w:val="clear" w:color="auto" w:fill="auto"/>
            <w:vAlign w:val="center"/>
          </w:tcPr>
          <w:p w14:paraId="41BD39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数字示波器</w:t>
            </w:r>
          </w:p>
        </w:tc>
        <w:tc>
          <w:tcPr>
            <w:tcW w:w="633" w:type="dxa"/>
            <w:gridSpan w:val="2"/>
            <w:shd w:val="clear" w:color="auto" w:fill="FFFFFF"/>
            <w:vAlign w:val="center"/>
          </w:tcPr>
          <w:p w14:paraId="2074CFB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shd w:val="clear" w:color="auto" w:fill="auto"/>
            <w:vAlign w:val="center"/>
          </w:tcPr>
          <w:p w14:paraId="076DA15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786FC7C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100MHz带宽，每通道1GSa/s最高实时采样率(双通道同时开启)</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2个模拟通道</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存储深度：</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64kpts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波形捕获率高达：8,000 wfms/s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时基范围：2ns/div～50s/div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触发类型标配：边沿触发、脉宽触发、斜率触发、视频触发</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交替模式，每通道时基独立可调</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多种校准信号输出：10Hz、100Hz、1kHz(默认)、10kHz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不低于7英寸TFT LCD，WVGA（800×480）</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水平显示</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16div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eastAsia="宋体" w:cs="宋体"/>
                <w:color w:val="000000"/>
                <w:kern w:val="0"/>
                <w:sz w:val="21"/>
                <w:szCs w:val="21"/>
                <w:highlight w:val="none"/>
                <w:lang w:bidi="ar"/>
              </w:rPr>
              <w:t>AUTO定制功能开放/锁定，提高AUTO响应速度</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bidi="ar"/>
              </w:rPr>
              <w:t>外接U盘录制波形数据，支持加载U盘录制数据并回放</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13.</w:t>
            </w:r>
            <w:r>
              <w:rPr>
                <w:rFonts w:hint="eastAsia" w:ascii="宋体" w:hAnsi="宋体" w:eastAsia="宋体" w:cs="宋体"/>
                <w:color w:val="000000"/>
                <w:kern w:val="0"/>
                <w:sz w:val="21"/>
                <w:szCs w:val="21"/>
                <w:highlight w:val="none"/>
                <w:lang w:bidi="ar"/>
              </w:rPr>
              <w:t>USB Host、USB Device、Pass/Fail、LAN</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bidi="ar"/>
              </w:rPr>
              <w:t>支持智能开放实验室管理系统。</w:t>
            </w:r>
          </w:p>
        </w:tc>
      </w:tr>
      <w:tr w14:paraId="238E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3" w:type="dxa"/>
            <w:shd w:val="clear" w:color="auto" w:fill="auto"/>
            <w:vAlign w:val="center"/>
          </w:tcPr>
          <w:p w14:paraId="3C88A69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1017" w:type="dxa"/>
            <w:shd w:val="clear" w:color="auto" w:fill="auto"/>
            <w:vAlign w:val="center"/>
          </w:tcPr>
          <w:p w14:paraId="218AD0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函数信号发生器</w:t>
            </w:r>
          </w:p>
        </w:tc>
        <w:tc>
          <w:tcPr>
            <w:tcW w:w="633"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0EF461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7A0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126592FE">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输出波形：标准波形:正弦波、方波、锯齿波、脉冲波、噪声、双音、谐波(高达 8次谐波)任意波:Sinc、指数上升、指数下降、心电图、高斯、半正矢、洛仑兹、双音频、DC电压等共计160种；高级波形:PRBS，RS232，Sequence序列输出</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输出频率范围：正弦波：1µHz～10MHz；方波：1µHz～5MHz；锯齿波：1µHz～200KHz；脉冲波1µHz～5MHz；脉冲波1µHz～5MHz；任意波1µHz～5MHz；双音：1µHz～10MHz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采样率：</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kern w:val="0"/>
                <w:sz w:val="21"/>
                <w:szCs w:val="21"/>
                <w:highlight w:val="none"/>
                <w:lang w:bidi="ar"/>
              </w:rPr>
              <w:t>125MSa/s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任意波波长：2Mpts (opt.8Mpts)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正弦波频谱纯度：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总谐波失真:</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bidi="ar"/>
              </w:rPr>
              <w:t>0.075%(10Hz至20kHz，0dBm)相位噪声:</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bidi="ar"/>
              </w:rPr>
              <w:t>-105dBc/Hz@10MHz(0dBm，10kHz 偏移)</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输出幅度(50Ω 端接)：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≤10MHz:1mVpp-10Vpp</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≤30MHz:1mVpp-5Vpp</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≤60MHz:1mV-2.5Vpp</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bidi="ar"/>
              </w:rPr>
              <w:t>60MHz:1mV-2.5Vpp</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脉冲串特性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脉冲计数:1-1M 或无限；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载波频: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2mHz-10MHz/25MHz/35MHz/50MHz/70MHz/100MHz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触发源:外部、内部、手动。</w:t>
            </w:r>
          </w:p>
        </w:tc>
      </w:tr>
      <w:tr w14:paraId="75E4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7A538C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1017" w:type="dxa"/>
            <w:shd w:val="clear" w:color="auto" w:fill="auto"/>
            <w:vAlign w:val="center"/>
          </w:tcPr>
          <w:p w14:paraId="6A2D91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数字万用表</w:t>
            </w:r>
          </w:p>
        </w:tc>
        <w:tc>
          <w:tcPr>
            <w:tcW w:w="633" w:type="dxa"/>
            <w:gridSpan w:val="2"/>
            <w:shd w:val="clear" w:color="auto" w:fill="FFFFFF"/>
            <w:vAlign w:val="center"/>
          </w:tcPr>
          <w:p w14:paraId="300D04F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p>
        </w:tc>
        <w:tc>
          <w:tcPr>
            <w:tcW w:w="631" w:type="dxa"/>
            <w:shd w:val="clear" w:color="auto" w:fill="auto"/>
            <w:vAlign w:val="center"/>
          </w:tcPr>
          <w:p w14:paraId="151EAFD4">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1546B4B4">
            <w:pPr>
              <w:keepNext w:val="0"/>
              <w:keepLines w:val="0"/>
              <w:pageBreakBefore w:val="0"/>
              <w:widowControl/>
              <w:numPr>
                <w:ilvl w:val="0"/>
                <w:numId w:val="3"/>
              </w:numPr>
              <w:kinsoku/>
              <w:wordWrap/>
              <w:overflowPunct/>
              <w:topLinePunct w:val="0"/>
              <w:bidi w:val="0"/>
              <w:snapToGrid/>
              <w:spacing w:line="360" w:lineRule="auto"/>
              <w:textAlignment w:val="top"/>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直流电压：0.1mV～1000V±(0.5%+2)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交流电压：0.001V～750V±(0.7%+2)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直流电流：0.01μA～10A±(0.8%+3)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交流电流：0.01mA～10A±(1.0%+2)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电阻：0.12～200M2±(0.8%+2)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电容：0.001nF～10000μF±(4%+5)</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最大显示：3999</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液晶尺寸</w:t>
            </w:r>
            <w:r>
              <w:rPr>
                <w:rFonts w:hint="eastAsia" w:ascii="宋体" w:hAnsi="宋体" w:eastAsia="宋体" w:cs="宋体"/>
                <w:color w:val="000000"/>
                <w:kern w:val="0"/>
                <w:sz w:val="21"/>
                <w:szCs w:val="21"/>
                <w:highlight w:val="none"/>
                <w:lang w:eastAsia="zh-CN" w:bidi="ar"/>
              </w:rPr>
              <w:t>（约）</w:t>
            </w:r>
            <w:r>
              <w:rPr>
                <w:rFonts w:hint="eastAsia" w:ascii="宋体" w:hAnsi="宋体" w:eastAsia="宋体" w:cs="宋体"/>
                <w:color w:val="000000"/>
                <w:kern w:val="0"/>
                <w:sz w:val="21"/>
                <w:szCs w:val="21"/>
                <w:highlight w:val="none"/>
                <w:lang w:bidi="ar"/>
              </w:rPr>
              <w:t>：63×44mm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机身尺寸</w:t>
            </w:r>
            <w:r>
              <w:rPr>
                <w:rFonts w:hint="eastAsia" w:ascii="宋体" w:hAnsi="宋体" w:eastAsia="宋体" w:cs="宋体"/>
                <w:color w:val="000000"/>
                <w:kern w:val="0"/>
                <w:sz w:val="21"/>
                <w:szCs w:val="21"/>
                <w:highlight w:val="none"/>
                <w:lang w:eastAsia="zh-CN" w:bidi="ar"/>
              </w:rPr>
              <w:t>（约）</w:t>
            </w:r>
            <w:r>
              <w:rPr>
                <w:rFonts w:hint="eastAsia" w:ascii="宋体" w:hAnsi="宋体" w:eastAsia="宋体" w:cs="宋体"/>
                <w:color w:val="000000"/>
                <w:kern w:val="0"/>
                <w:sz w:val="21"/>
                <w:szCs w:val="21"/>
                <w:highlight w:val="none"/>
                <w:lang w:bidi="ar"/>
              </w:rPr>
              <w:t>：175×83×53mm</w:t>
            </w:r>
            <w:r>
              <w:rPr>
                <w:rFonts w:hint="eastAsia" w:ascii="宋体" w:hAnsi="宋体" w:eastAsia="宋体" w:cs="宋体"/>
                <w:color w:val="000000"/>
                <w:kern w:val="0"/>
                <w:sz w:val="21"/>
                <w:szCs w:val="21"/>
                <w:highlight w:val="none"/>
                <w:lang w:eastAsia="zh-CN" w:bidi="ar"/>
              </w:rPr>
              <w:t>。</w:t>
            </w:r>
          </w:p>
          <w:p w14:paraId="38DB97D0">
            <w:pPr>
              <w:keepNext w:val="0"/>
              <w:keepLines w:val="0"/>
              <w:pageBreakBefore w:val="0"/>
              <w:widowControl/>
              <w:numPr>
                <w:ilvl w:val="0"/>
                <w:numId w:val="0"/>
              </w:numPr>
              <w:kinsoku/>
              <w:wordWrap/>
              <w:overflowPunct/>
              <w:topLinePunct w:val="0"/>
              <w:bidi w:val="0"/>
              <w:snapToGrid/>
              <w:spacing w:line="360" w:lineRule="auto"/>
              <w:textAlignment w:val="top"/>
              <w:rPr>
                <w:rFonts w:hint="eastAsia" w:ascii="宋体" w:hAnsi="宋体" w:eastAsia="宋体" w:cs="宋体"/>
                <w:dstrike/>
                <w:color w:val="000000" w:themeColor="text1"/>
                <w:kern w:val="0"/>
                <w:sz w:val="21"/>
                <w:szCs w:val="21"/>
                <w:highlight w:val="none"/>
                <w:lang w:bidi="ar"/>
                <w14:textFill>
                  <w14:solidFill>
                    <w14:schemeClr w14:val="tx1"/>
                  </w14:solidFill>
                </w14:textFill>
              </w:rPr>
            </w:pPr>
            <w:r>
              <w:rPr>
                <w:rFonts w:hint="eastAsia" w:ascii="宋体" w:hAnsi="宋体" w:cs="宋体"/>
                <w:color w:val="000000"/>
                <w:kern w:val="0"/>
                <w:sz w:val="21"/>
                <w:szCs w:val="21"/>
                <w:highlight w:val="none"/>
                <w:lang w:val="en-US" w:eastAsia="zh-CN" w:bidi="ar"/>
              </w:rPr>
              <w:t>10.</w:t>
            </w:r>
            <w:r>
              <w:rPr>
                <w:rFonts w:hint="eastAsia" w:ascii="宋体" w:hAnsi="宋体" w:eastAsia="宋体" w:cs="宋体"/>
                <w:color w:val="000000"/>
                <w:kern w:val="0"/>
                <w:szCs w:val="21"/>
                <w:highlight w:val="none"/>
                <w:lang w:bidi="ar"/>
              </w:rPr>
              <w:t>机身重量：约328g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其它功能：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二极管/三极管/晶体管LCD背光/数据保持；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通断蜂鸣/通断报警发光；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低电压显示；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自动关机(可取消)；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双层防摔绝缘保护。</w:t>
            </w:r>
          </w:p>
        </w:tc>
      </w:tr>
      <w:tr w14:paraId="52DC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EAF52ED">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1017" w:type="dxa"/>
            <w:shd w:val="clear" w:color="auto" w:fill="auto"/>
            <w:vAlign w:val="center"/>
          </w:tcPr>
          <w:p w14:paraId="3D1390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指针万用表</w:t>
            </w:r>
          </w:p>
        </w:tc>
        <w:tc>
          <w:tcPr>
            <w:tcW w:w="633" w:type="dxa"/>
            <w:gridSpan w:val="2"/>
            <w:shd w:val="clear" w:color="auto" w:fill="FFFFFF"/>
            <w:vAlign w:val="center"/>
          </w:tcPr>
          <w:p w14:paraId="6286503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p>
        </w:tc>
        <w:tc>
          <w:tcPr>
            <w:tcW w:w="631" w:type="dxa"/>
            <w:shd w:val="clear" w:color="auto" w:fill="auto"/>
            <w:vAlign w:val="center"/>
          </w:tcPr>
          <w:p w14:paraId="614E0CD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42DA057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1.可以测量交、直流电压，直流电流，电阻和音频电平。适宜于无线电、电讯及电工事业单位作一般测量之用。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2.结构特点：具有表面宽阔，读数清晰和灵敏度高的特点。使用二个12挡选择开关，共有21挡基本限量。分挡细，量限宽</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3.直流电压：DCV 0/2.5/10/50/250/500/2500V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4.直流电流：DCA 0/50UA/1/10/100/500MA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5.交流电压：ACV 0/10/50/250/500/2500V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6.电阻：Ω R×1 R×10 R×100 R×1K R×10KΩ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7.音频电平：Audio level -10～+220B。</w:t>
            </w:r>
          </w:p>
        </w:tc>
      </w:tr>
      <w:tr w14:paraId="6F6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9D38BA8">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1017" w:type="dxa"/>
            <w:shd w:val="clear" w:color="auto" w:fill="auto"/>
            <w:vAlign w:val="center"/>
          </w:tcPr>
          <w:p w14:paraId="4A8A42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焊台</w:t>
            </w:r>
          </w:p>
        </w:tc>
        <w:tc>
          <w:tcPr>
            <w:tcW w:w="633" w:type="dxa"/>
            <w:gridSpan w:val="2"/>
            <w:shd w:val="clear" w:color="auto" w:fill="FFFFFF"/>
            <w:vAlign w:val="center"/>
          </w:tcPr>
          <w:p w14:paraId="4000E19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w:t>
            </w:r>
          </w:p>
        </w:tc>
        <w:tc>
          <w:tcPr>
            <w:tcW w:w="631" w:type="dxa"/>
            <w:shd w:val="clear" w:color="auto" w:fill="auto"/>
            <w:vAlign w:val="center"/>
          </w:tcPr>
          <w:p w14:paraId="391C917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22BF2E8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1.工作电压AC220V/50Hz</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2.大屏数显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3.控温范围：200～450℃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4.最大功率：90W</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408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83" w:type="dxa"/>
            <w:shd w:val="clear" w:color="auto" w:fill="auto"/>
            <w:vAlign w:val="center"/>
          </w:tcPr>
          <w:p w14:paraId="1F7B6C83">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1017" w:type="dxa"/>
            <w:shd w:val="clear" w:color="auto" w:fill="auto"/>
            <w:vAlign w:val="center"/>
          </w:tcPr>
          <w:p w14:paraId="3E8C51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热风枪</w:t>
            </w:r>
          </w:p>
        </w:tc>
        <w:tc>
          <w:tcPr>
            <w:tcW w:w="633" w:type="dxa"/>
            <w:gridSpan w:val="2"/>
            <w:shd w:val="clear" w:color="auto" w:fill="FFFFFF"/>
            <w:vAlign w:val="center"/>
          </w:tcPr>
          <w:p w14:paraId="7EB8892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631" w:type="dxa"/>
            <w:shd w:val="clear" w:color="auto" w:fill="auto"/>
            <w:vAlign w:val="center"/>
          </w:tcPr>
          <w:p w14:paraId="4263F7C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3700B28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1.功率：≥580W。</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2.工作电压：AC 220V。</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3.温度范围：100～500°C</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4风量档位范围：1～100级。</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5.风量：40L/min(Max)。</w:t>
            </w:r>
          </w:p>
        </w:tc>
      </w:tr>
      <w:tr w14:paraId="679E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053453D">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1017" w:type="dxa"/>
            <w:shd w:val="clear" w:color="auto" w:fill="auto"/>
            <w:vAlign w:val="center"/>
          </w:tcPr>
          <w:p w14:paraId="3E9040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直流稳压电源</w:t>
            </w:r>
          </w:p>
        </w:tc>
        <w:tc>
          <w:tcPr>
            <w:tcW w:w="633" w:type="dxa"/>
            <w:gridSpan w:val="2"/>
            <w:shd w:val="clear" w:color="auto" w:fill="FFFFFF"/>
            <w:vAlign w:val="center"/>
          </w:tcPr>
          <w:p w14:paraId="72940803">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25</w:t>
            </w:r>
          </w:p>
        </w:tc>
        <w:tc>
          <w:tcPr>
            <w:tcW w:w="631" w:type="dxa"/>
            <w:shd w:val="clear" w:color="auto" w:fill="auto"/>
            <w:vAlign w:val="center"/>
          </w:tcPr>
          <w:p w14:paraId="0EB4775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4AFC9561">
            <w:pPr>
              <w:keepNext w:val="0"/>
              <w:keepLines w:val="0"/>
              <w:pageBreakBefore w:val="0"/>
              <w:widowControl/>
              <w:numPr>
                <w:ilvl w:val="0"/>
                <w:numId w:val="4"/>
              </w:numPr>
              <w:kinsoku/>
              <w:wordWrap/>
              <w:overflowPunct/>
              <w:topLinePunct w:val="0"/>
              <w:bidi w:val="0"/>
              <w:snapToGrid/>
              <w:spacing w:line="360" w:lineRule="auto"/>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额定电压(CH1/CH2) 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kern w:val="0"/>
                <w:sz w:val="21"/>
                <w:szCs w:val="21"/>
                <w:highlight w:val="none"/>
                <w:lang w:bidi="ar"/>
              </w:rPr>
              <w:t>32V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2.额定电流(CH1/CH2) 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kern w:val="0"/>
                <w:sz w:val="21"/>
                <w:szCs w:val="21"/>
                <w:highlight w:val="none"/>
                <w:lang w:bidi="ar"/>
              </w:rPr>
              <w:t>5.2A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3.输出功率 335W</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4.负载调节率 电压：&lt;0.01%+3mV，电流：≤0.2%+3mA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5.电源调节率 电压：&lt;0.01%+3mV，电流：</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bidi="ar"/>
              </w:rPr>
              <w:t>0.1%+5mA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6.设置分辨率 电压：10mV，电流：1mA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7.回读分辨率 电压：10mV，电流：1mA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8.设置/回读精确度</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电压：±(0.1% of reading+60mV)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电流：±(0.3% of reading+20mA)(25℃±5℃条件)</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 xml:space="preserve">纹波及噪声：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电压：≤1mVrms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电流：≤3mArms(20Hz</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kern w:val="0"/>
                <w:sz w:val="21"/>
                <w:szCs w:val="21"/>
                <w:highlight w:val="none"/>
                <w:lang w:bidi="ar"/>
              </w:rPr>
              <w:t>20MHz)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10.并联负载效应 ≤0.01%+20mV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11.并联电源调节率 ≤ 0.01% + 3mV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12.串联负载效应 ≤ 300mV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13.串联电源调节率 ≤ 0.01% + 5mV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14.CH3输出特性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 xml:space="preserve"> （1）</w:t>
            </w:r>
            <w:r>
              <w:rPr>
                <w:rFonts w:hint="eastAsia" w:ascii="宋体" w:hAnsi="宋体" w:eastAsia="宋体" w:cs="宋体"/>
                <w:color w:val="000000"/>
                <w:kern w:val="0"/>
                <w:sz w:val="21"/>
                <w:szCs w:val="21"/>
                <w:highlight w:val="none"/>
                <w:lang w:bidi="ar"/>
              </w:rPr>
              <w:t>电压：5.0V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电流：3A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负载调节率：3%+5mV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电源调整率：5mV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纹波：2mV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15.显示类型 四位数码管显示</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16.电源电压 AC 110V/220V±10% 50/60Hz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17.尺寸（W×H×D） 约319mm×146mm×226mm</w:t>
            </w:r>
            <w:r>
              <w:rPr>
                <w:rFonts w:hint="eastAsia" w:ascii="宋体" w:hAnsi="宋体" w:eastAsia="宋体" w:cs="宋体"/>
                <w:color w:val="000000"/>
                <w:kern w:val="0"/>
                <w:sz w:val="21"/>
                <w:szCs w:val="21"/>
                <w:highlight w:val="none"/>
                <w:lang w:eastAsia="zh-CN" w:bidi="ar"/>
              </w:rPr>
              <w:t>。</w:t>
            </w:r>
          </w:p>
          <w:p w14:paraId="30845C8B">
            <w:pPr>
              <w:keepNext w:val="0"/>
              <w:keepLines w:val="0"/>
              <w:pageBreakBefore w:val="0"/>
              <w:widowControl/>
              <w:numPr>
                <w:ilvl w:val="0"/>
                <w:numId w:val="0"/>
              </w:numPr>
              <w:kinsoku/>
              <w:wordWrap/>
              <w:overflowPunct/>
              <w:topLinePunct w:val="0"/>
              <w:bidi w:val="0"/>
              <w:snapToGrid/>
              <w:spacing w:line="360" w:lineRule="auto"/>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18.</w:t>
            </w:r>
            <w:r>
              <w:rPr>
                <w:rFonts w:hint="eastAsia" w:ascii="宋体" w:hAnsi="宋体" w:eastAsia="宋体" w:cs="宋体"/>
                <w:color w:val="000000"/>
                <w:kern w:val="0"/>
                <w:szCs w:val="21"/>
                <w:highlight w:val="none"/>
                <w:lang w:bidi="ar"/>
              </w:rPr>
              <w:t>重量 约10.5kg。</w:t>
            </w:r>
          </w:p>
        </w:tc>
      </w:tr>
      <w:tr w14:paraId="3A58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9BD481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1017" w:type="dxa"/>
            <w:shd w:val="clear" w:color="auto" w:fill="auto"/>
            <w:vAlign w:val="center"/>
          </w:tcPr>
          <w:p w14:paraId="145317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模数电综合实验箱</w:t>
            </w:r>
          </w:p>
        </w:tc>
        <w:tc>
          <w:tcPr>
            <w:tcW w:w="633" w:type="dxa"/>
            <w:gridSpan w:val="2"/>
            <w:shd w:val="clear" w:color="auto" w:fill="FFFFFF"/>
            <w:vAlign w:val="center"/>
          </w:tcPr>
          <w:p w14:paraId="7EF8F52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shd w:val="clear" w:color="auto" w:fill="auto"/>
            <w:vAlign w:val="center"/>
          </w:tcPr>
          <w:p w14:paraId="758D723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435929A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一、系统要求</w:t>
            </w:r>
          </w:p>
          <w:p w14:paraId="22202035">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要求实验平台可用于开展模拟电子技术、数字电子技术、电子技术和电工电子技术等课程实验教学，可完成低频模拟电路实验和基础数字电路实验，可在实验箱上任意拼插元件或者使用主板备用器件组成所需要的综合性实验电路，另外可以使用典型子板电路，电路原理和元器件一目了然，实验箱常用元器件如各类开关、插座、调节旋钮、电源等，采用耐用型器件，并且易于维护和更换</w:t>
            </w:r>
            <w:r>
              <w:rPr>
                <w:rFonts w:hint="eastAsia" w:ascii="宋体" w:hAnsi="宋体" w:eastAsia="宋体" w:cs="宋体"/>
                <w:sz w:val="21"/>
                <w:szCs w:val="21"/>
                <w:highlight w:val="none"/>
                <w:lang w:eastAsia="zh-CN"/>
              </w:rPr>
              <w:t>。</w:t>
            </w:r>
          </w:p>
          <w:p w14:paraId="60CD67D5">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二、系统组成及指标</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铝合金箱:≤550mm</w:t>
            </w:r>
            <w:r>
              <w:rPr>
                <w:rFonts w:hint="eastAsia" w:ascii="宋体" w:hAnsi="宋体" w:eastAsia="宋体" w:cs="宋体"/>
                <w:color w:val="000000"/>
                <w:kern w:val="0"/>
                <w:sz w:val="21"/>
                <w:szCs w:val="21"/>
                <w:highlight w:val="none"/>
                <w:lang w:bidi="ar"/>
              </w:rPr>
              <w:t>×</w:t>
            </w:r>
            <w:r>
              <w:rPr>
                <w:rFonts w:hint="eastAsia" w:ascii="宋体" w:hAnsi="宋体" w:eastAsia="宋体" w:cs="宋体"/>
                <w:sz w:val="21"/>
                <w:szCs w:val="21"/>
                <w:highlight w:val="none"/>
              </w:rPr>
              <w:t>350mm</w:t>
            </w:r>
            <w:r>
              <w:rPr>
                <w:rFonts w:hint="eastAsia" w:ascii="宋体" w:hAnsi="宋体" w:eastAsia="宋体" w:cs="宋体"/>
                <w:color w:val="000000"/>
                <w:kern w:val="0"/>
                <w:sz w:val="21"/>
                <w:szCs w:val="21"/>
                <w:highlight w:val="none"/>
                <w:lang w:bidi="ar"/>
              </w:rPr>
              <w:t>×</w:t>
            </w:r>
            <w:r>
              <w:rPr>
                <w:rFonts w:hint="eastAsia" w:ascii="宋体" w:hAnsi="宋体" w:eastAsia="宋体" w:cs="宋体"/>
                <w:sz w:val="21"/>
                <w:szCs w:val="21"/>
                <w:highlight w:val="none"/>
              </w:rPr>
              <w:t>130mm</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电源:高精度,高稳定线性电源。</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1.电源：</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输入：AC 220V  50Hz</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输出：（1） DC ±1.3V～±12V 一组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 DC ±12V 一组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 DC ±5V 一组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 DC ＋5V 两组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（5） DC ±12V 一组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（6） AC  14V/16V/18V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带短路报警指示灯蜂鸣器，短路解除后，带报警复位开关。</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2.直流信号源</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-0.5V</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+0.5V/-5V</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+5V 两组，通过开关切换。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3.信号源：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（1）单脉冲：4组：无抖动正负单脉冲，TTL电平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（2）固定脉冲：1Hz、10Hz、100Hz、1KHz、10KHz、100KHz方波脉冲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（3）可调脉冲源：500Hz～50KHz可调。</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4.电平显示及逻辑开关:</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电平显示：16位 分红、绿、黄、蓝四色显示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逻辑开关：16位 开关选择高品质拨动开关。</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5.逻辑笔:</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电平显示：高低红、黄、绿三色显示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6．数字显示：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带驱动，带译码输入端口7段数码管 四组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不带驱动，段输入端口7段数码管 一组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7．数字电路实验区：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8P管座1组；14P管座 8组 、16P管座5组、20P管座1组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8．梅花板区域: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实验箱上设置大小约20cm</w:t>
            </w:r>
            <w:r>
              <w:rPr>
                <w:rFonts w:hint="eastAsia" w:ascii="宋体" w:hAnsi="宋体" w:eastAsia="宋体" w:cs="宋体"/>
                <w:color w:val="000000"/>
                <w:kern w:val="0"/>
                <w:sz w:val="21"/>
                <w:szCs w:val="21"/>
                <w:highlight w:val="none"/>
                <w:lang w:bidi="ar"/>
              </w:rPr>
              <w:t>×</w:t>
            </w:r>
            <w:r>
              <w:rPr>
                <w:rFonts w:hint="eastAsia" w:ascii="宋体" w:hAnsi="宋体" w:eastAsia="宋体" w:cs="宋体"/>
                <w:sz w:val="21"/>
                <w:szCs w:val="21"/>
                <w:highlight w:val="none"/>
              </w:rPr>
              <w:t>15cm的梅花板区域，用于插接分立电子器件。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喇叭与蜂鸣器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设置直流蜂鸣器、有源蜂鸣器，各1个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常用器件区：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设置在“梅花板”和“芯片插座区域”附近灵活安置，包含器件有：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电阻：1k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2个、 5.1k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2个、 10k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4个、 16k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2个、20k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2个、100k</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4个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电容：0.01uf</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3个，0.1uf</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3个 ，0.47uf</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1个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二极管：IN4007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2个，IN4148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3个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固定电路区域：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晶体管放大电路（含三极管、场效应管）用于固定连接型实验。三极管采用插拔式，可随时更换。分立元器件三极管和场效应管置于实验箱上表面，便于学习和测量器件。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测量电路：PTC热敏电阻，NTC热敏电阻，AD590温度传感器。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实验插孔：</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整个平台插孔由Ф2插孔与插针孔两种插孔组成。整个平台所有插孔均有镀金Ф2插孔组成，接地线路配有接地环方便测试使用，其他测试线路配有测试针方便与地区分。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实验连线：标配Φ2导线与插针线，长中短三种长度均有，接触可靠。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配套教材：《数字电⼦技术基础》、《模拟电⼦技术基础》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三、实验项目：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模电实验：</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三极管转移特性测试实验、单级交流放大电路实验、射极跟随电路实验、带负反馈的两级交流放大电路实验、场效应管放大电路实验、直流差动放大电路实验、集成运算放大电路实验、电压比较器实验、RC正弦波振荡器电路实验、波形发生电路实验、集成功率放大电路实验、电压频率转换实验、整流滤波实验、集成稳压电路实验。</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数电实验：</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集成门电路逻辑功能测试实验、组合逻辑电路实验、编码器及其应用实验、译码器及其应用实验、字段译码器逻辑功能测试及其应用实验、半加器和全加器实验、触发器及其应用实验、时序逻辑电路设计实验、计数/译码及显示电路实验、集成移位寄存器应用实验。</w:t>
            </w:r>
          </w:p>
        </w:tc>
      </w:tr>
      <w:tr w14:paraId="0325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EF7EE0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1017" w:type="dxa"/>
            <w:shd w:val="clear" w:color="auto" w:fill="auto"/>
            <w:vAlign w:val="center"/>
          </w:tcPr>
          <w:p w14:paraId="584F97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模数电实验子板</w:t>
            </w:r>
          </w:p>
        </w:tc>
        <w:tc>
          <w:tcPr>
            <w:tcW w:w="633" w:type="dxa"/>
            <w:gridSpan w:val="2"/>
            <w:shd w:val="clear" w:color="auto" w:fill="FFFFFF"/>
            <w:vAlign w:val="center"/>
          </w:tcPr>
          <w:p w14:paraId="5AB9C8C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shd w:val="clear" w:color="auto" w:fill="auto"/>
            <w:vAlign w:val="center"/>
          </w:tcPr>
          <w:p w14:paraId="5AA0858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7467" w:type="dxa"/>
            <w:shd w:val="clear" w:color="auto" w:fill="auto"/>
            <w:vAlign w:val="center"/>
          </w:tcPr>
          <w:p w14:paraId="70417BD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差动放大电路实验板 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集成功率放大电路实验板1套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串联晶体管稳压电路实验板1套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集成稳压和可调电源电路实验板1套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OTL功率放大电路实验板1套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集成运放电路实验板1套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数电IC锁紧座1套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单级多级负反馈放大电路实验板1套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555单稳态电路和振荡电路实验板1套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正弦波振荡电路板1套。</w:t>
            </w:r>
          </w:p>
        </w:tc>
      </w:tr>
      <w:tr w14:paraId="7B6D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065073F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1017" w:type="dxa"/>
            <w:tcBorders>
              <w:top w:val="single" w:color="auto" w:sz="4" w:space="0"/>
            </w:tcBorders>
            <w:shd w:val="clear" w:color="auto" w:fill="auto"/>
            <w:vAlign w:val="center"/>
          </w:tcPr>
          <w:p w14:paraId="1FF7F5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电子实训耗材包</w:t>
            </w:r>
          </w:p>
        </w:tc>
        <w:tc>
          <w:tcPr>
            <w:tcW w:w="633" w:type="dxa"/>
            <w:gridSpan w:val="2"/>
            <w:tcBorders>
              <w:top w:val="single" w:color="auto" w:sz="4" w:space="0"/>
            </w:tcBorders>
            <w:shd w:val="clear" w:color="auto" w:fill="FFFFFF"/>
            <w:vAlign w:val="center"/>
          </w:tcPr>
          <w:p w14:paraId="2D46FF7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tcBorders>
              <w:top w:val="single" w:color="auto" w:sz="4" w:space="0"/>
            </w:tcBorders>
            <w:shd w:val="clear" w:color="auto" w:fill="auto"/>
            <w:vAlign w:val="center"/>
          </w:tcPr>
          <w:p w14:paraId="699D94B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批</w:t>
            </w:r>
          </w:p>
        </w:tc>
        <w:tc>
          <w:tcPr>
            <w:tcW w:w="7467" w:type="dxa"/>
            <w:tcBorders>
              <w:top w:val="single" w:color="auto" w:sz="4" w:space="0"/>
            </w:tcBorders>
            <w:shd w:val="clear" w:color="auto" w:fill="auto"/>
            <w:vAlign w:val="center"/>
          </w:tcPr>
          <w:p w14:paraId="1904A6D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1/4瓦，5%电阻不少于20种规格，每种100个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电容不种类不少于5种，每种规格不少于5种，每种/每个规格100个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包括三端稳压电源、555、运算放大器在内的集成电路不少于10种，每种50个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除电阻、电容 以外的包括三级管、二级管、稳压管等分立元件，不少于10种，每种50个。</w:t>
            </w:r>
          </w:p>
        </w:tc>
      </w:tr>
      <w:tr w14:paraId="54D6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D5FEAB5">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1017" w:type="dxa"/>
            <w:shd w:val="clear" w:color="auto" w:fill="auto"/>
            <w:vAlign w:val="center"/>
          </w:tcPr>
          <w:p w14:paraId="779F2E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电子实训工具包</w:t>
            </w:r>
          </w:p>
        </w:tc>
        <w:tc>
          <w:tcPr>
            <w:tcW w:w="633" w:type="dxa"/>
            <w:gridSpan w:val="2"/>
            <w:shd w:val="clear" w:color="auto" w:fill="FFFFFF"/>
            <w:vAlign w:val="center"/>
          </w:tcPr>
          <w:p w14:paraId="7F8B8CD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631" w:type="dxa"/>
            <w:shd w:val="clear" w:color="auto" w:fill="auto"/>
            <w:vAlign w:val="center"/>
          </w:tcPr>
          <w:p w14:paraId="406954C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7ADD5A49">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吸锡器 合金 1个。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烙铁架 黑色 1个。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环保柄十字螺丝批3×75MM1个。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环保柄一字螺丝批3×75MM1个。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美式斑马斜嘴钳 6" 1 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外热式电烙铁60W 1个。</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焊接排烟机 493E 220V 14/16W 1个。</w:t>
            </w:r>
          </w:p>
        </w:tc>
      </w:tr>
      <w:tr w14:paraId="09F7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83" w:type="dxa"/>
            <w:shd w:val="clear" w:color="auto" w:fill="auto"/>
            <w:vAlign w:val="center"/>
          </w:tcPr>
          <w:p w14:paraId="787B535B">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c>
          <w:tcPr>
            <w:tcW w:w="1017" w:type="dxa"/>
            <w:shd w:val="clear" w:color="auto" w:fill="auto"/>
            <w:vAlign w:val="center"/>
          </w:tcPr>
          <w:p w14:paraId="25CE4D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无线话筒</w:t>
            </w:r>
          </w:p>
        </w:tc>
        <w:tc>
          <w:tcPr>
            <w:tcW w:w="633" w:type="dxa"/>
            <w:gridSpan w:val="2"/>
            <w:shd w:val="clear" w:color="auto" w:fill="FFFFFF"/>
            <w:vAlign w:val="center"/>
          </w:tcPr>
          <w:p w14:paraId="49F9F5C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11DE902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3E9D91F7">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1.调制方式：宽带调频（FM）。</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2.频率范围：530～580MHz或640～690MHz。</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3.信道数目：≥200个预置频道。</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4.频率稳定度：±0.005%。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5.动态范围：≥100dB。</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6.综合信噪比：≥105dB。</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7.综合失真：≤0.5%。</w:t>
            </w:r>
          </w:p>
        </w:tc>
      </w:tr>
      <w:tr w14:paraId="54AA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AA6DEE6">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w:t>
            </w:r>
          </w:p>
        </w:tc>
        <w:tc>
          <w:tcPr>
            <w:tcW w:w="1017" w:type="dxa"/>
            <w:shd w:val="clear" w:color="auto" w:fill="auto"/>
            <w:vAlign w:val="center"/>
          </w:tcPr>
          <w:p w14:paraId="4CBD12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功放</w:t>
            </w:r>
          </w:p>
        </w:tc>
        <w:tc>
          <w:tcPr>
            <w:tcW w:w="633" w:type="dxa"/>
            <w:gridSpan w:val="2"/>
            <w:shd w:val="clear" w:color="auto" w:fill="auto"/>
            <w:vAlign w:val="center"/>
          </w:tcPr>
          <w:p w14:paraId="140C3AF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33E3890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010BD19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1.1U机箱设计，采用D类数字功放设计方案。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2.标准XLR输入接口</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和LINK输出口。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3.电源采用开关电源技术，效率高，有效的抑制电源谐波。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4.内置智能削峰限幅器，支持开机软启动，防止开机时向电网吸收大电流，干扰其它用电设备。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5.具有：过压保护</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欠压保护，过流保护，直流保护，输出短路保护，温控风扇等功能。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6.输出功率：立体声@8Ω：≥700W×2；立体声@4Ω：≥1000W×2；桥接@16Ω：≥1400W；桥接@8Ω：≥2000W</w:t>
            </w:r>
          </w:p>
        </w:tc>
      </w:tr>
      <w:tr w14:paraId="4068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2CCFEDC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p>
        </w:tc>
        <w:tc>
          <w:tcPr>
            <w:tcW w:w="1017" w:type="dxa"/>
            <w:tcBorders>
              <w:bottom w:val="single" w:color="auto" w:sz="4" w:space="0"/>
            </w:tcBorders>
            <w:shd w:val="clear" w:color="auto" w:fill="auto"/>
            <w:vAlign w:val="center"/>
          </w:tcPr>
          <w:p w14:paraId="1146E3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音箱</w:t>
            </w:r>
          </w:p>
        </w:tc>
        <w:tc>
          <w:tcPr>
            <w:tcW w:w="633" w:type="dxa"/>
            <w:gridSpan w:val="2"/>
            <w:tcBorders>
              <w:bottom w:val="single" w:color="auto" w:sz="4" w:space="0"/>
            </w:tcBorders>
            <w:shd w:val="clear" w:color="auto" w:fill="FFFFFF"/>
            <w:vAlign w:val="center"/>
          </w:tcPr>
          <w:p w14:paraId="76FE528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31" w:type="dxa"/>
            <w:tcBorders>
              <w:bottom w:val="single" w:color="auto" w:sz="4" w:space="0"/>
            </w:tcBorders>
            <w:shd w:val="clear" w:color="auto" w:fill="auto"/>
            <w:vAlign w:val="center"/>
          </w:tcPr>
          <w:p w14:paraId="6FFAAE1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只</w:t>
            </w:r>
          </w:p>
        </w:tc>
        <w:tc>
          <w:tcPr>
            <w:tcW w:w="7467" w:type="dxa"/>
            <w:tcBorders>
              <w:bottom w:val="single" w:color="auto" w:sz="4" w:space="0"/>
            </w:tcBorders>
            <w:shd w:val="clear" w:color="auto" w:fill="auto"/>
            <w:vAlign w:val="center"/>
          </w:tcPr>
          <w:p w14:paraId="05335F0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1.阻抗：8Ω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2.频响：45Hz～20KHz</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3.额定功率≥450W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4.灵敏度≥100dB/W/M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5.水平覆盖角≥80°，垂直覆盖角≥60°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6.高音：1.73"压缩高音单元×1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7.低音：15"低音×1</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113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CE7B9E5">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18</w:t>
            </w:r>
          </w:p>
        </w:tc>
        <w:tc>
          <w:tcPr>
            <w:tcW w:w="1017" w:type="dxa"/>
            <w:shd w:val="clear" w:color="auto" w:fill="auto"/>
            <w:vAlign w:val="center"/>
          </w:tcPr>
          <w:p w14:paraId="18E4A6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强弱电网络综合布线</w:t>
            </w:r>
          </w:p>
        </w:tc>
        <w:tc>
          <w:tcPr>
            <w:tcW w:w="633" w:type="dxa"/>
            <w:gridSpan w:val="2"/>
            <w:shd w:val="clear" w:color="auto" w:fill="auto"/>
            <w:vAlign w:val="center"/>
          </w:tcPr>
          <w:p w14:paraId="529A7F9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w:t>
            </w:r>
          </w:p>
        </w:tc>
        <w:tc>
          <w:tcPr>
            <w:tcW w:w="631" w:type="dxa"/>
            <w:shd w:val="clear" w:color="auto" w:fill="auto"/>
            <w:vAlign w:val="center"/>
          </w:tcPr>
          <w:p w14:paraId="5484E07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平方米</w:t>
            </w:r>
          </w:p>
        </w:tc>
        <w:tc>
          <w:tcPr>
            <w:tcW w:w="7467" w:type="dxa"/>
            <w:shd w:val="clear" w:color="auto" w:fill="auto"/>
            <w:vAlign w:val="center"/>
          </w:tcPr>
          <w:p w14:paraId="169B0B2A">
            <w:pPr>
              <w:pStyle w:val="59"/>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按照国家标准进行强弱电改造，面积约110平方米，具体需根据现场及</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需求定制设计及实施方案。</w:t>
            </w:r>
          </w:p>
        </w:tc>
      </w:tr>
      <w:tr w14:paraId="59E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534E502">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w:t>
            </w:r>
          </w:p>
        </w:tc>
        <w:tc>
          <w:tcPr>
            <w:tcW w:w="1017" w:type="dxa"/>
            <w:shd w:val="clear" w:color="auto" w:fill="auto"/>
            <w:vAlign w:val="center"/>
          </w:tcPr>
          <w:p w14:paraId="19F674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bidi="ar"/>
              </w:rPr>
              <w:t>铝扣板吊顶</w:t>
            </w:r>
          </w:p>
        </w:tc>
        <w:tc>
          <w:tcPr>
            <w:tcW w:w="633" w:type="dxa"/>
            <w:gridSpan w:val="2"/>
            <w:shd w:val="clear" w:color="auto" w:fill="auto"/>
            <w:vAlign w:val="center"/>
          </w:tcPr>
          <w:p w14:paraId="4E36A14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p>
        </w:tc>
        <w:tc>
          <w:tcPr>
            <w:tcW w:w="631" w:type="dxa"/>
            <w:shd w:val="clear" w:color="auto" w:fill="auto"/>
            <w:vAlign w:val="center"/>
          </w:tcPr>
          <w:p w14:paraId="4671C9B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平方米</w:t>
            </w:r>
          </w:p>
        </w:tc>
        <w:tc>
          <w:tcPr>
            <w:tcW w:w="7467" w:type="dxa"/>
            <w:shd w:val="clear" w:color="auto" w:fill="auto"/>
            <w:vAlign w:val="center"/>
          </w:tcPr>
          <w:p w14:paraId="11C8A00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基材：铝合金，含铝量≥95%，具有轻质、防潮、耐腐蚀特性。</w:t>
            </w:r>
          </w:p>
          <w:p w14:paraId="44A96CA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表面处理：需满足耐磨、耐污、易清洁。</w:t>
            </w:r>
          </w:p>
          <w:p w14:paraId="6B79102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尺寸规格厚度：≥0.5mm</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D4662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吊顶面积约110平方米具体尺寸可根据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需求调整</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31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5D0F24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w:t>
            </w:r>
          </w:p>
        </w:tc>
        <w:tc>
          <w:tcPr>
            <w:tcW w:w="1017" w:type="dxa"/>
            <w:shd w:val="clear" w:color="auto" w:fill="auto"/>
            <w:vAlign w:val="center"/>
          </w:tcPr>
          <w:p w14:paraId="2840C1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bidi="ar"/>
              </w:rPr>
              <w:t>LED铝扣板灯具</w:t>
            </w:r>
          </w:p>
        </w:tc>
        <w:tc>
          <w:tcPr>
            <w:tcW w:w="633" w:type="dxa"/>
            <w:gridSpan w:val="2"/>
            <w:shd w:val="clear" w:color="auto" w:fill="auto"/>
            <w:vAlign w:val="center"/>
          </w:tcPr>
          <w:p w14:paraId="6A771AB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631" w:type="dxa"/>
            <w:shd w:val="clear" w:color="auto" w:fill="auto"/>
            <w:vAlign w:val="center"/>
          </w:tcPr>
          <w:p w14:paraId="27A7216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467" w:type="dxa"/>
            <w:shd w:val="clear" w:color="auto" w:fill="auto"/>
            <w:vAlign w:val="center"/>
          </w:tcPr>
          <w:p w14:paraId="289AE7D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要求与铝扣板吊顶适配，根据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需求可选用嵌入式或其他形式，灯具需满足国家标准，具有3C认证（</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投标文件中须提供3C认证证书复印件并加盖投标人公章</w:t>
            </w:r>
            <w:r>
              <w:rPr>
                <w:rFonts w:hint="eastAsia" w:ascii="宋体" w:hAnsi="宋体" w:eastAsia="宋体" w:cs="宋体"/>
                <w:color w:val="000000" w:themeColor="text1"/>
                <w:sz w:val="21"/>
                <w:szCs w:val="21"/>
                <w:highlight w:val="none"/>
                <w14:textFill>
                  <w14:solidFill>
                    <w14:schemeClr w14:val="tx1"/>
                  </w14:solidFill>
                </w14:textFill>
              </w:rPr>
              <w:t>）。</w:t>
            </w:r>
          </w:p>
          <w:p w14:paraId="701CEFB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安全性能：满足防触电、温升控制、绝缘电阻等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04AD1B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环境适应性：防尘防水、耐热耐火</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4974C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光生物安全：无蓝光危害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1326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83" w:type="dxa"/>
            <w:shd w:val="clear" w:color="auto" w:fill="auto"/>
            <w:vAlign w:val="center"/>
          </w:tcPr>
          <w:p w14:paraId="66E4142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w:t>
            </w:r>
          </w:p>
        </w:tc>
        <w:tc>
          <w:tcPr>
            <w:tcW w:w="1017" w:type="dxa"/>
            <w:shd w:val="clear" w:color="auto" w:fill="auto"/>
            <w:vAlign w:val="center"/>
          </w:tcPr>
          <w:p w14:paraId="7B2AD0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bidi="ar"/>
              </w:rPr>
              <w:t>窗帘制作</w:t>
            </w:r>
          </w:p>
        </w:tc>
        <w:tc>
          <w:tcPr>
            <w:tcW w:w="633" w:type="dxa"/>
            <w:gridSpan w:val="2"/>
            <w:shd w:val="clear" w:color="auto" w:fill="auto"/>
            <w:vAlign w:val="center"/>
          </w:tcPr>
          <w:p w14:paraId="1565916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p>
        </w:tc>
        <w:tc>
          <w:tcPr>
            <w:tcW w:w="631" w:type="dxa"/>
            <w:shd w:val="clear" w:color="auto" w:fill="auto"/>
            <w:vAlign w:val="center"/>
          </w:tcPr>
          <w:p w14:paraId="60049FD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平方米</w:t>
            </w:r>
          </w:p>
        </w:tc>
        <w:tc>
          <w:tcPr>
            <w:tcW w:w="7467" w:type="dxa"/>
            <w:shd w:val="clear" w:color="auto" w:fill="auto"/>
            <w:vAlign w:val="center"/>
          </w:tcPr>
          <w:p w14:paraId="2B3D976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尺寸根据现场</w:t>
            </w:r>
            <w:r>
              <w:rPr>
                <w:rFonts w:hint="eastAsia" w:ascii="宋体" w:hAnsi="宋体" w:cs="宋体"/>
                <w:color w:val="000000" w:themeColor="text1"/>
                <w:sz w:val="21"/>
                <w:szCs w:val="21"/>
                <w:highlight w:val="none"/>
                <w:lang w:eastAsia="zh-CN"/>
                <w14:textFill>
                  <w14:solidFill>
                    <w14:schemeClr w14:val="tx1"/>
                  </w14:solidFill>
                </w14:textFill>
              </w:rPr>
              <w:t>自行勘察后测定。</w:t>
            </w:r>
          </w:p>
          <w:p w14:paraId="65361F5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材料满足GB/T 5455-2014标准；面料需具备抗皱、防褪色、防污、防霉等特性</w:t>
            </w:r>
          </w:p>
          <w:p w14:paraId="7F04792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款式可根据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要求选择</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07E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61ACF4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w:t>
            </w:r>
          </w:p>
        </w:tc>
        <w:tc>
          <w:tcPr>
            <w:tcW w:w="1017" w:type="dxa"/>
            <w:shd w:val="clear" w:color="auto" w:fill="auto"/>
            <w:vAlign w:val="center"/>
          </w:tcPr>
          <w:p w14:paraId="6805E9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bidi="ar"/>
              </w:rPr>
              <w:t>文化背景墙造型设计制作</w:t>
            </w:r>
          </w:p>
        </w:tc>
        <w:tc>
          <w:tcPr>
            <w:tcW w:w="633" w:type="dxa"/>
            <w:gridSpan w:val="2"/>
            <w:shd w:val="clear" w:color="auto" w:fill="auto"/>
            <w:vAlign w:val="center"/>
          </w:tcPr>
          <w:p w14:paraId="34E5D7E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631" w:type="dxa"/>
            <w:shd w:val="clear" w:color="auto" w:fill="auto"/>
            <w:vAlign w:val="center"/>
          </w:tcPr>
          <w:p w14:paraId="77B9446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平方米</w:t>
            </w:r>
          </w:p>
        </w:tc>
        <w:tc>
          <w:tcPr>
            <w:tcW w:w="7467" w:type="dxa"/>
            <w:shd w:val="clear" w:color="auto" w:fill="auto"/>
            <w:vAlign w:val="center"/>
          </w:tcPr>
          <w:p w14:paraId="6767BBB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按照现场情况与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需求进行设计，采用制作材料需满足以下要求</w:t>
            </w:r>
          </w:p>
          <w:p w14:paraId="03F05DA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胶粘剂与涂料</w:t>
            </w:r>
          </w:p>
          <w:p w14:paraId="2C866F8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装饰用胶粘剂需符合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GB 18583-2008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F6F6021">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涂料需符合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GB 18583-2008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（内墙涂料）及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GB 18581-2020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（溶剂型木器涂料）的有害物质限量标准。</w:t>
            </w:r>
          </w:p>
          <w:p w14:paraId="5BFF8CE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塑料与复合材料</w:t>
            </w:r>
          </w:p>
          <w:p w14:paraId="5CBD441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塑料与复合材料需符合国家标准。</w:t>
            </w:r>
          </w:p>
          <w:p w14:paraId="7A589D0D">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防火性能</w:t>
            </w:r>
          </w:p>
          <w:p w14:paraId="5A30986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材料燃烧性能需达到≥B1级阻燃标准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78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C03149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23</w:t>
            </w:r>
          </w:p>
        </w:tc>
        <w:tc>
          <w:tcPr>
            <w:tcW w:w="1017" w:type="dxa"/>
            <w:shd w:val="clear" w:color="auto" w:fill="auto"/>
            <w:vAlign w:val="center"/>
          </w:tcPr>
          <w:p w14:paraId="3DD16B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lang w:bidi="ar"/>
              </w:rPr>
              <w:t>实训室制度牌匾</w:t>
            </w:r>
          </w:p>
        </w:tc>
        <w:tc>
          <w:tcPr>
            <w:tcW w:w="633" w:type="dxa"/>
            <w:gridSpan w:val="2"/>
            <w:shd w:val="clear" w:color="auto" w:fill="auto"/>
            <w:vAlign w:val="center"/>
          </w:tcPr>
          <w:p w14:paraId="1AE23AD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631" w:type="dxa"/>
            <w:shd w:val="clear" w:color="auto" w:fill="auto"/>
            <w:vAlign w:val="center"/>
          </w:tcPr>
          <w:p w14:paraId="61BCDE5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467" w:type="dxa"/>
            <w:shd w:val="clear" w:color="auto" w:fill="auto"/>
            <w:vAlign w:val="center"/>
          </w:tcPr>
          <w:p w14:paraId="666F680D">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包含牌匾设计、制作，内容由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提供，材质包括不限于KT板，塑料，金属等。</w:t>
            </w:r>
          </w:p>
        </w:tc>
      </w:tr>
      <w:tr w14:paraId="565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95686C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w:t>
            </w:r>
          </w:p>
        </w:tc>
        <w:tc>
          <w:tcPr>
            <w:tcW w:w="1017" w:type="dxa"/>
            <w:shd w:val="clear" w:color="auto" w:fill="auto"/>
            <w:vAlign w:val="center"/>
          </w:tcPr>
          <w:p w14:paraId="2B20C2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激光雕刻机</w:t>
            </w:r>
          </w:p>
        </w:tc>
        <w:tc>
          <w:tcPr>
            <w:tcW w:w="633" w:type="dxa"/>
            <w:gridSpan w:val="2"/>
            <w:shd w:val="clear" w:color="auto" w:fill="auto"/>
            <w:vAlign w:val="center"/>
          </w:tcPr>
          <w:p w14:paraId="2379F00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013A9A2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5B185E6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雕刻速度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≥30000 毫米/分钟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雕刻面积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300×300毫米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雕刻精度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0.1毫米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激光波: 455士5纳米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激光功率: ≥5.5W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输入功率: ≥48W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数据传输类型:USB/Wifi连接/触摸屏离线控制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文件格式: NC、DXF、 BMP、JPG、 PNG、GCODE</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p>
        </w:tc>
      </w:tr>
      <w:tr w14:paraId="1903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24520C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w:t>
            </w:r>
          </w:p>
        </w:tc>
        <w:tc>
          <w:tcPr>
            <w:tcW w:w="1017" w:type="dxa"/>
            <w:shd w:val="clear" w:color="auto" w:fill="auto"/>
            <w:vAlign w:val="center"/>
          </w:tcPr>
          <w:p w14:paraId="02E12E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桌面cnc切割机</w:t>
            </w:r>
          </w:p>
        </w:tc>
        <w:tc>
          <w:tcPr>
            <w:tcW w:w="633" w:type="dxa"/>
            <w:gridSpan w:val="2"/>
            <w:shd w:val="clear" w:color="auto" w:fill="auto"/>
            <w:vAlign w:val="center"/>
          </w:tcPr>
          <w:p w14:paraId="4757BB2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1D1784E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3A59469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工作范围：</w:t>
            </w:r>
            <w:r>
              <w:rPr>
                <w:rFonts w:hint="eastAsia" w:ascii="宋体" w:hAnsi="宋体" w:cs="宋体"/>
                <w:color w:val="000000"/>
                <w:kern w:val="0"/>
                <w:sz w:val="21"/>
                <w:szCs w:val="21"/>
                <w:highlight w:val="none"/>
                <w:lang w:val="en-US" w:eastAsia="zh-CN" w:bidi="ar"/>
              </w:rPr>
              <w:t>约</w:t>
            </w:r>
            <w:r>
              <w:rPr>
                <w:rFonts w:hint="eastAsia" w:ascii="宋体" w:hAnsi="宋体" w:eastAsia="宋体" w:cs="宋体"/>
                <w:color w:val="000000"/>
                <w:kern w:val="0"/>
                <w:sz w:val="21"/>
                <w:szCs w:val="21"/>
                <w:highlight w:val="none"/>
                <w:lang w:bidi="ar"/>
              </w:rPr>
              <w:t>460×460×80mm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支持刀具直径：0.5mm至7mm(ER11夹头)</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兼容雕刻材料：胶合板/密度板/实木板/亚克力/碳钎维/铝/铜/不锈钢</w:t>
            </w:r>
            <w:r>
              <w:rPr>
                <w:rFonts w:hint="eastAsia" w:ascii="宋体" w:hAnsi="宋体" w:eastAsia="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雕刻精度：100土0.05mm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主轴电机参数：80V.8000RPM/500W.12000RPM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最快雕刻速度：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kern w:val="0"/>
                <w:sz w:val="21"/>
                <w:szCs w:val="21"/>
                <w:highlight w:val="none"/>
                <w:lang w:bidi="ar"/>
              </w:rPr>
              <w:t>800mm/分钟</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触摸屏：不低于3.5寸IPS电容触摸彩屏</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软件支持格式：.nc\.Gcode</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支持编程软件：Artcam、Fusion360、 EASEL、CarvecoMaker等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机器语言切换：支持(中文/英文/德语/俄语/日语/法语/葡萄牙语/西班牙语)</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eastAsia="宋体" w:cs="宋体"/>
                <w:color w:val="000000"/>
                <w:kern w:val="0"/>
                <w:sz w:val="21"/>
                <w:szCs w:val="21"/>
                <w:highlight w:val="none"/>
                <w:lang w:bidi="ar"/>
              </w:rPr>
              <w:t>支持系统：MacOS\Windows\Linux</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bidi="ar"/>
              </w:rPr>
              <w:t>软件支持语言：中\英\西\德\法\俄\葡\意\日\韩\土</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bidi="ar"/>
              </w:rPr>
              <w:t>机器固件类型：GRBL开源,同时支持CNC和激光器(不需要刷固件)</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13.</w:t>
            </w:r>
            <w:r>
              <w:rPr>
                <w:rFonts w:hint="eastAsia" w:ascii="宋体" w:hAnsi="宋体" w:eastAsia="宋体" w:cs="宋体"/>
                <w:color w:val="000000"/>
                <w:kern w:val="0"/>
                <w:sz w:val="21"/>
                <w:szCs w:val="21"/>
                <w:highlight w:val="none"/>
                <w:lang w:bidi="ar"/>
              </w:rPr>
              <w:t>电源参数：24V 5A 120W</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bidi="ar"/>
              </w:rPr>
              <w:t>支持连续工作时间：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kern w:val="0"/>
                <w:sz w:val="21"/>
                <w:szCs w:val="21"/>
                <w:highlight w:val="none"/>
                <w:lang w:bidi="ar"/>
              </w:rPr>
              <w:t>6小时</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15.</w:t>
            </w:r>
            <w:r>
              <w:rPr>
                <w:rFonts w:hint="eastAsia" w:ascii="宋体" w:hAnsi="宋体" w:eastAsia="宋体" w:cs="宋体"/>
                <w:color w:val="000000"/>
                <w:kern w:val="0"/>
                <w:sz w:val="21"/>
                <w:szCs w:val="21"/>
                <w:highlight w:val="none"/>
                <w:lang w:bidi="ar"/>
              </w:rPr>
              <w:t>最佳雕刻环境温度：温度0～40摄氏度，湿度20～60%RH</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16.</w:t>
            </w:r>
            <w:r>
              <w:rPr>
                <w:rFonts w:hint="eastAsia" w:ascii="宋体" w:hAnsi="宋体" w:eastAsia="宋体" w:cs="宋体"/>
                <w:color w:val="000000"/>
                <w:kern w:val="0"/>
                <w:sz w:val="21"/>
                <w:szCs w:val="21"/>
                <w:highlight w:val="none"/>
                <w:lang w:bidi="ar"/>
              </w:rPr>
              <w:t>机器连接方法：USB线连接，Wifi连接控制</w:t>
            </w:r>
            <w:r>
              <w:rPr>
                <w:rFonts w:hint="eastAsia" w:ascii="宋体" w:hAnsi="宋体" w:eastAsia="宋体" w:cs="宋体"/>
                <w:color w:val="000000"/>
                <w:kern w:val="0"/>
                <w:sz w:val="21"/>
                <w:szCs w:val="21"/>
                <w:highlight w:val="none"/>
                <w:lang w:eastAsia="zh-CN" w:bidi="ar"/>
              </w:rPr>
              <w:t>。</w:t>
            </w:r>
          </w:p>
        </w:tc>
      </w:tr>
      <w:tr w14:paraId="61C1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EEBA06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26</w:t>
            </w:r>
          </w:p>
        </w:tc>
        <w:tc>
          <w:tcPr>
            <w:tcW w:w="1017" w:type="dxa"/>
            <w:shd w:val="clear" w:color="auto" w:fill="auto"/>
            <w:vAlign w:val="center"/>
          </w:tcPr>
          <w:p w14:paraId="64E30B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伺服电机</w:t>
            </w:r>
          </w:p>
        </w:tc>
        <w:tc>
          <w:tcPr>
            <w:tcW w:w="633" w:type="dxa"/>
            <w:gridSpan w:val="2"/>
            <w:shd w:val="clear" w:color="auto" w:fill="auto"/>
            <w:vAlign w:val="center"/>
          </w:tcPr>
          <w:p w14:paraId="073654C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631" w:type="dxa"/>
            <w:shd w:val="clear" w:color="auto" w:fill="auto"/>
            <w:vAlign w:val="center"/>
          </w:tcPr>
          <w:p w14:paraId="00C3151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7C1B28CD">
            <w:pPr>
              <w:pStyle w:val="17"/>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电机重量:317g±3g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额定电压:24VDC</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持续扭矩:4N.m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峰值扭矩:12N.m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持续扭矩最大转速:240rpm±10%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持续扭矩最大相电流:6.5A±10%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峰值扭矩最大相电流:23A±10%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最大转速:296rpm±10%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通讯方式:CAN</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反电动势常数:0.054-0.057V/rpm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最大扭矩重量比:37.85N.m/kg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最大功率重量比:511.04W/kg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减速比:7.75：1</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D4A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594039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27</w:t>
            </w:r>
          </w:p>
        </w:tc>
        <w:tc>
          <w:tcPr>
            <w:tcW w:w="1017" w:type="dxa"/>
            <w:shd w:val="clear" w:color="auto" w:fill="auto"/>
            <w:vAlign w:val="center"/>
          </w:tcPr>
          <w:p w14:paraId="00C9D7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空压机</w:t>
            </w:r>
          </w:p>
        </w:tc>
        <w:tc>
          <w:tcPr>
            <w:tcW w:w="633" w:type="dxa"/>
            <w:gridSpan w:val="2"/>
            <w:shd w:val="clear" w:color="auto" w:fill="auto"/>
            <w:vAlign w:val="center"/>
          </w:tcPr>
          <w:p w14:paraId="6D37E79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7DD8342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6361ADAF">
            <w:pPr>
              <w:keepNext w:val="0"/>
              <w:keepLines w:val="0"/>
              <w:pageBreakBefore w:val="0"/>
              <w:widowControl/>
              <w:numPr>
                <w:ilvl w:val="0"/>
                <w:numId w:val="5"/>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排气量：≥100L/min</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转速：≥2800r/min</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功率：≥1100W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压力可调：0.4～0.8mpa</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尺寸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：36×33×42cm</w:t>
            </w:r>
          </w:p>
          <w:p w14:paraId="1D9D7A09">
            <w:pPr>
              <w:keepNext w:val="0"/>
              <w:keepLines w:val="0"/>
              <w:pageBreakBefore w:val="0"/>
              <w:widowControl/>
              <w:numPr>
                <w:ilvl w:val="0"/>
                <w:numId w:val="0"/>
              </w:numPr>
              <w:kinsoku/>
              <w:wordWrap/>
              <w:overflowPunct/>
              <w:topLinePunct w:val="0"/>
              <w:bidi w:val="0"/>
              <w:snapToGrid/>
              <w:spacing w:line="360" w:lineRule="auto"/>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kern w:val="0"/>
                <w:szCs w:val="21"/>
                <w:highlight w:val="none"/>
                <w:lang w:bidi="ar"/>
              </w:rPr>
              <w:t>重量：约13kg</w:t>
            </w:r>
          </w:p>
        </w:tc>
      </w:tr>
      <w:tr w14:paraId="66C9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49D7B6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28</w:t>
            </w:r>
          </w:p>
        </w:tc>
        <w:tc>
          <w:tcPr>
            <w:tcW w:w="1017" w:type="dxa"/>
            <w:shd w:val="clear" w:color="auto" w:fill="auto"/>
            <w:vAlign w:val="center"/>
          </w:tcPr>
          <w:p w14:paraId="6D55ED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开发板</w:t>
            </w:r>
          </w:p>
        </w:tc>
        <w:tc>
          <w:tcPr>
            <w:tcW w:w="633" w:type="dxa"/>
            <w:gridSpan w:val="2"/>
            <w:shd w:val="clear" w:color="auto" w:fill="auto"/>
            <w:vAlign w:val="center"/>
          </w:tcPr>
          <w:p w14:paraId="2249221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31" w:type="dxa"/>
            <w:shd w:val="clear" w:color="auto" w:fill="auto"/>
            <w:vAlign w:val="center"/>
          </w:tcPr>
          <w:p w14:paraId="4A3A241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679FE3E9">
            <w:pPr>
              <w:keepNext w:val="0"/>
              <w:keepLines w:val="0"/>
              <w:pageBreakBefore w:val="0"/>
              <w:widowControl/>
              <w:numPr>
                <w:ilvl w:val="0"/>
                <w:numId w:val="6"/>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≥四核，主频≥1.5GHz,集成图形处理器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171C7A">
            <w:pPr>
              <w:keepNext w:val="0"/>
              <w:keepLines w:val="0"/>
              <w:pageBreakBefore w:val="0"/>
              <w:widowControl/>
              <w:numPr>
                <w:ilvl w:val="0"/>
                <w:numId w:val="0"/>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支持OpenGL ES 1.0/2.0/3.2,OpenCL 2.0, Vulkan 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拥有1GB/1.5GB /2GB/4GB LPDDR4内存规格可选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支持≥16MB SPIFlash</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具有Wi-Fi5、BT5.0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可以通过24Pin接口配合转接板，扩展USB2.0、100M以太网、红外接收、音频输出、TVout、 电源按键等功能。</w:t>
            </w:r>
          </w:p>
        </w:tc>
      </w:tr>
      <w:tr w14:paraId="3FFF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83" w:type="dxa"/>
            <w:shd w:val="clear" w:color="auto" w:fill="auto"/>
            <w:vAlign w:val="center"/>
          </w:tcPr>
          <w:p w14:paraId="11C478E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29</w:t>
            </w:r>
          </w:p>
        </w:tc>
        <w:tc>
          <w:tcPr>
            <w:tcW w:w="1017" w:type="dxa"/>
            <w:shd w:val="clear" w:color="auto" w:fill="auto"/>
            <w:vAlign w:val="center"/>
          </w:tcPr>
          <w:p w14:paraId="3B13CD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触摸显示屏</w:t>
            </w:r>
          </w:p>
        </w:tc>
        <w:tc>
          <w:tcPr>
            <w:tcW w:w="633" w:type="dxa"/>
            <w:gridSpan w:val="2"/>
            <w:shd w:val="clear" w:color="auto" w:fill="auto"/>
            <w:vAlign w:val="center"/>
          </w:tcPr>
          <w:p w14:paraId="5D69424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31" w:type="dxa"/>
            <w:shd w:val="clear" w:color="auto" w:fill="auto"/>
            <w:vAlign w:val="center"/>
          </w:tcPr>
          <w:p w14:paraId="4FB7A2B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467" w:type="dxa"/>
            <w:shd w:val="clear" w:color="auto" w:fill="auto"/>
            <w:vAlign w:val="center"/>
          </w:tcPr>
          <w:p w14:paraId="775122AF">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10.1寸IPS屏电容触摸带壳</w:t>
            </w:r>
            <w:r>
              <w:rPr>
                <w:rFonts w:hint="eastAsia" w:ascii="宋体" w:hAnsi="宋体" w:cs="宋体"/>
                <w:color w:val="000000" w:themeColor="text1"/>
                <w:sz w:val="21"/>
                <w:szCs w:val="21"/>
                <w:highlight w:val="none"/>
                <w:lang w:eastAsia="zh-CN"/>
                <w14:textFill>
                  <w14:solidFill>
                    <w14:schemeClr w14:val="tx1"/>
                  </w14:solidFill>
                </w14:textFill>
              </w:rPr>
              <w:t>，≥1920×1080。</w:t>
            </w:r>
          </w:p>
        </w:tc>
      </w:tr>
      <w:tr w14:paraId="2EA7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064FF1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30</w:t>
            </w:r>
          </w:p>
        </w:tc>
        <w:tc>
          <w:tcPr>
            <w:tcW w:w="1017" w:type="dxa"/>
            <w:shd w:val="clear" w:color="auto" w:fill="auto"/>
            <w:vAlign w:val="center"/>
          </w:tcPr>
          <w:p w14:paraId="55E1F6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USB摄像头模组</w:t>
            </w:r>
          </w:p>
        </w:tc>
        <w:tc>
          <w:tcPr>
            <w:tcW w:w="633" w:type="dxa"/>
            <w:gridSpan w:val="2"/>
            <w:shd w:val="clear" w:color="auto" w:fill="auto"/>
            <w:vAlign w:val="center"/>
          </w:tcPr>
          <w:p w14:paraId="4AA3A7F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31" w:type="dxa"/>
            <w:shd w:val="clear" w:color="auto" w:fill="auto"/>
            <w:vAlign w:val="center"/>
          </w:tcPr>
          <w:p w14:paraId="0A21CF7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29A124F8">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像素：≥400万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最大分辨率：≥1920×1080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支持的操作系统：Windows、安卓系统、Mac OS</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网络连接方式：有线连接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内置麦克风</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7CF4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CDBBF3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31</w:t>
            </w:r>
          </w:p>
        </w:tc>
        <w:tc>
          <w:tcPr>
            <w:tcW w:w="1017" w:type="dxa"/>
            <w:shd w:val="clear" w:color="auto" w:fill="auto"/>
            <w:vAlign w:val="center"/>
          </w:tcPr>
          <w:p w14:paraId="76548A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tf卡</w:t>
            </w:r>
          </w:p>
        </w:tc>
        <w:tc>
          <w:tcPr>
            <w:tcW w:w="633" w:type="dxa"/>
            <w:gridSpan w:val="2"/>
            <w:shd w:val="clear" w:color="auto" w:fill="FFFFFF"/>
            <w:vAlign w:val="center"/>
          </w:tcPr>
          <w:p w14:paraId="5873C20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31" w:type="dxa"/>
            <w:shd w:val="clear" w:color="auto" w:fill="auto"/>
            <w:vAlign w:val="center"/>
          </w:tcPr>
          <w:p w14:paraId="01C1A55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张</w:t>
            </w:r>
          </w:p>
        </w:tc>
        <w:tc>
          <w:tcPr>
            <w:tcW w:w="7467" w:type="dxa"/>
            <w:shd w:val="clear" w:color="auto" w:fill="auto"/>
            <w:vAlign w:val="center"/>
          </w:tcPr>
          <w:p w14:paraId="49814EE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存储类型：SD卡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最高读取速度：250MB/s</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内存容量：≥128GB</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读写速度：≥V60</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E9B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3" w:type="dxa"/>
            <w:shd w:val="clear" w:color="auto" w:fill="auto"/>
            <w:vAlign w:val="center"/>
          </w:tcPr>
          <w:p w14:paraId="0E4B954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w:t>
            </w:r>
          </w:p>
        </w:tc>
        <w:tc>
          <w:tcPr>
            <w:tcW w:w="1017" w:type="dxa"/>
            <w:shd w:val="clear" w:color="auto" w:fill="auto"/>
            <w:vAlign w:val="center"/>
          </w:tcPr>
          <w:p w14:paraId="738D24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关节微电机</w:t>
            </w:r>
          </w:p>
        </w:tc>
        <w:tc>
          <w:tcPr>
            <w:tcW w:w="633" w:type="dxa"/>
            <w:gridSpan w:val="2"/>
            <w:shd w:val="clear" w:color="auto" w:fill="FFFFFF"/>
            <w:vAlign w:val="center"/>
          </w:tcPr>
          <w:p w14:paraId="2D02496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31" w:type="dxa"/>
            <w:shd w:val="clear" w:color="auto" w:fill="auto"/>
            <w:vAlign w:val="center"/>
          </w:tcPr>
          <w:p w14:paraId="203C8B6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05ABE6D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一：具体参数</w:t>
            </w:r>
          </w:p>
          <w:p w14:paraId="260DEDD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最大扭矩：23.7NM</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87CD4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最大电流：40A</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57E6F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扭矩常数：0.63895Nm/A</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FF0FE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最大转速：30rad/s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8C54BB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通讯方式：高速485</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4AAEE9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减速比：1:6.33</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0211A0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通信波特率：≥4Mbps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73AF9EF">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通信控制频率：≥6000Hz</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C51985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电机感知反馈：力矩、角度、角速度、角加速度、温度</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1994D8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电机端编码器分辨率：15bit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BD08B2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电机控制指令：力矩、角度、角速度、刚度、阻尼</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B596C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使用环境：-5℃～40℃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D61545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工作电压：12V～30VDC</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9F383D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二：附件包</w:t>
            </w:r>
          </w:p>
          <w:p w14:paraId="6AD1EC5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XT30电源线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07817B7">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GH1.25数据线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71A925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XT30（2+2）电源信号线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CCB562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XT30（2+2）转接板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386D0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高速485通信模块</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E55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83" w:type="dxa"/>
            <w:shd w:val="clear" w:color="auto" w:fill="auto"/>
            <w:vAlign w:val="center"/>
          </w:tcPr>
          <w:p w14:paraId="05E03EA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33</w:t>
            </w:r>
          </w:p>
        </w:tc>
        <w:tc>
          <w:tcPr>
            <w:tcW w:w="1017" w:type="dxa"/>
            <w:shd w:val="clear" w:color="auto" w:fill="auto"/>
            <w:vAlign w:val="center"/>
          </w:tcPr>
          <w:p w14:paraId="3B74FE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3楼步梯侧墙文化建设</w:t>
            </w:r>
          </w:p>
        </w:tc>
        <w:tc>
          <w:tcPr>
            <w:tcW w:w="633" w:type="dxa"/>
            <w:gridSpan w:val="2"/>
            <w:shd w:val="clear" w:color="auto" w:fill="FFFFFF"/>
            <w:vAlign w:val="center"/>
          </w:tcPr>
          <w:p w14:paraId="07458CB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p>
        </w:tc>
        <w:tc>
          <w:tcPr>
            <w:tcW w:w="631" w:type="dxa"/>
            <w:shd w:val="clear" w:color="auto" w:fill="auto"/>
            <w:vAlign w:val="center"/>
          </w:tcPr>
          <w:p w14:paraId="4D51BCC4">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平方米</w:t>
            </w:r>
          </w:p>
        </w:tc>
        <w:tc>
          <w:tcPr>
            <w:tcW w:w="7467" w:type="dxa"/>
            <w:shd w:val="clear" w:color="auto" w:fill="auto"/>
            <w:vAlign w:val="center"/>
          </w:tcPr>
          <w:p w14:paraId="51418A6F">
            <w:pPr>
              <w:keepNext w:val="0"/>
              <w:keepLines w:val="0"/>
              <w:pageBreakBefore w:val="0"/>
              <w:widowControl/>
              <w:numPr>
                <w:ilvl w:val="0"/>
                <w:numId w:val="0"/>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展板用12mm～20mmPvC板雕刻成形，UV印制图文，局部多层益加造型，结构胶安装。</w:t>
            </w:r>
          </w:p>
          <w:p w14:paraId="714F222F">
            <w:pPr>
              <w:keepNext w:val="0"/>
              <w:keepLines w:val="0"/>
              <w:pageBreakBefore w:val="0"/>
              <w:widowControl/>
              <w:numPr>
                <w:ilvl w:val="0"/>
                <w:numId w:val="0"/>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标题用8mm～20mmPvC或亚克力立体字制作、喷漆、安装</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022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808D896">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34</w:t>
            </w:r>
          </w:p>
        </w:tc>
        <w:tc>
          <w:tcPr>
            <w:tcW w:w="1017" w:type="dxa"/>
            <w:shd w:val="clear" w:color="auto" w:fill="auto"/>
            <w:vAlign w:val="center"/>
          </w:tcPr>
          <w:p w14:paraId="1796A0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图形工作站</w:t>
            </w:r>
          </w:p>
        </w:tc>
        <w:tc>
          <w:tcPr>
            <w:tcW w:w="633" w:type="dxa"/>
            <w:gridSpan w:val="2"/>
            <w:shd w:val="clear" w:color="auto" w:fill="FFFFFF"/>
            <w:vAlign w:val="center"/>
          </w:tcPr>
          <w:p w14:paraId="5C0F1BB5">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631" w:type="dxa"/>
            <w:shd w:val="clear" w:color="auto" w:fill="auto"/>
            <w:vAlign w:val="center"/>
          </w:tcPr>
          <w:p w14:paraId="2F0639F2">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5A177C27">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一、硬件要求</w:t>
            </w:r>
          </w:p>
          <w:p w14:paraId="1FA83745">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处理器：</w:t>
            </w:r>
            <w:r>
              <w:rPr>
                <w:rFonts w:hint="eastAsia" w:ascii="宋体" w:hAnsi="宋体" w:eastAsia="宋体" w:cs="宋体"/>
                <w:highlight w:val="none"/>
                <w:lang w:val="en-US" w:eastAsia="zh-CN"/>
              </w:rPr>
              <w:t>内核数不少于6个，不少于12线程，最大频率不小于4.60 GHz</w:t>
            </w:r>
            <w:r>
              <w:rPr>
                <w:rFonts w:hint="eastAsia" w:ascii="宋体" w:hAnsi="宋体" w:eastAsia="宋体" w:cs="宋体"/>
                <w:highlight w:val="none"/>
              </w:rPr>
              <w:t>。</w:t>
            </w:r>
          </w:p>
          <w:p w14:paraId="54D65E2F">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内存：≥20G DDR4内存，支持最高可扩展内存至32G。</w:t>
            </w:r>
          </w:p>
          <w:p w14:paraId="27084A9A">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eastAsia="宋体" w:cs="宋体"/>
                <w:highlight w:val="none"/>
              </w:rPr>
              <w:t>硬盘：配置≥512G SSD固态盘。</w:t>
            </w:r>
          </w:p>
          <w:p w14:paraId="269D836A">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w:t>
            </w:r>
            <w:r>
              <w:rPr>
                <w:rFonts w:hint="eastAsia" w:ascii="宋体" w:hAnsi="宋体" w:eastAsia="宋体" w:cs="宋体"/>
                <w:highlight w:val="none"/>
              </w:rPr>
              <w:t>显卡：≥4G独立显卡。</w:t>
            </w:r>
          </w:p>
          <w:p w14:paraId="030B6C45">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w:t>
            </w:r>
            <w:r>
              <w:rPr>
                <w:rFonts w:hint="eastAsia" w:ascii="宋体" w:hAnsi="宋体" w:eastAsia="宋体" w:cs="宋体"/>
                <w:highlight w:val="none"/>
              </w:rPr>
              <w:t>声卡：集成声卡。 </w:t>
            </w:r>
          </w:p>
          <w:p w14:paraId="6CA48B81">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w:t>
            </w:r>
            <w:r>
              <w:rPr>
                <w:rFonts w:hint="eastAsia" w:ascii="宋体" w:hAnsi="宋体" w:eastAsia="宋体" w:cs="宋体"/>
                <w:highlight w:val="none"/>
              </w:rPr>
              <w:t>显示器：配置≥23.8英寸IPS液晶显示器，分辨率≥1920×1080，VGA+DVI接口，显示器具备低蓝光护眼功能，支持壁挂功能。</w:t>
            </w:r>
          </w:p>
          <w:p w14:paraId="3640E2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键鼠：同品牌USB光电鼠标、键盘，具备键盘开机功能</w:t>
            </w:r>
            <w:r>
              <w:rPr>
                <w:rFonts w:hint="eastAsia" w:ascii="宋体" w:hAnsi="宋体" w:eastAsia="宋体" w:cs="宋体"/>
                <w:highlight w:val="none"/>
                <w:lang w:eastAsia="zh-CN"/>
              </w:rPr>
              <w:t>。</w:t>
            </w:r>
          </w:p>
          <w:p w14:paraId="569F8B87">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w:t>
            </w:r>
            <w:r>
              <w:rPr>
                <w:rFonts w:hint="eastAsia" w:ascii="宋体" w:hAnsi="宋体" w:eastAsia="宋体" w:cs="宋体"/>
                <w:highlight w:val="none"/>
              </w:rPr>
              <w:t>接口：配置≥10个USB接口、≥1组PS/2接口、≥1个串口、VGA+HDMI接口（VGA转接），提供≥5个音频接口；内置光触媒风扇，可降解教学环境中甲醛等有害物质。</w:t>
            </w:r>
          </w:p>
          <w:p w14:paraId="22201EA9">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二、应用管理软件及系统应用</w:t>
            </w:r>
          </w:p>
          <w:p w14:paraId="033FC974">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配套云部署应用管理软件，具备网络同传及硬盘保护等功能。</w:t>
            </w:r>
          </w:p>
          <w:p w14:paraId="301B05C7">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无需安装任何硬件，终端连上网络就可以启动进入各种Windows桌面云环境。</w:t>
            </w:r>
          </w:p>
          <w:p w14:paraId="4BC9FFB2">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eastAsia="宋体" w:cs="宋体"/>
                <w:highlight w:val="none"/>
              </w:rPr>
              <w:t>支持客户端多硬盘的统一部署和保护还原。</w:t>
            </w:r>
          </w:p>
          <w:p w14:paraId="06BF78BF">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w:t>
            </w:r>
            <w:r>
              <w:rPr>
                <w:rFonts w:hint="eastAsia" w:ascii="宋体" w:hAnsi="宋体" w:eastAsia="宋体" w:cs="宋体"/>
                <w:highlight w:val="none"/>
              </w:rPr>
              <w:t>无论客户端是关机或开机状态，均可在服务端对所有客户端进行软件安装、删除等维护工作，并不影响已经开机的客户端的正常使用，在客户端下次开机或重启后就能使用新装软件和系统。</w:t>
            </w:r>
          </w:p>
          <w:p w14:paraId="259CD185">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w:t>
            </w:r>
            <w:r>
              <w:rPr>
                <w:rFonts w:hint="eastAsia" w:ascii="宋体" w:hAnsi="宋体" w:eastAsia="宋体" w:cs="宋体"/>
                <w:highlight w:val="none"/>
              </w:rPr>
              <w:t>系统快照无数量限制，且镜像库中的分区镜像可由任何系统调用，支持同一分区镜像供多个系统使用，达到分区共享目的，无论系统镜像如何变化，数据镜像可保持一致。</w:t>
            </w:r>
          </w:p>
          <w:p w14:paraId="6C2CF09F">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w:t>
            </w:r>
            <w:r>
              <w:rPr>
                <w:rFonts w:hint="eastAsia" w:ascii="宋体" w:hAnsi="宋体" w:eastAsia="宋体" w:cs="宋体"/>
                <w:highlight w:val="none"/>
              </w:rPr>
              <w:t>服务端以扇区流的方式，将创建的虚拟硬盘模板完全部署到客户端，多个系统只需要一次部署即可。</w:t>
            </w:r>
          </w:p>
          <w:p w14:paraId="32C02019">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w:t>
            </w:r>
            <w:r>
              <w:rPr>
                <w:rFonts w:hint="eastAsia" w:ascii="宋体" w:hAnsi="宋体" w:eastAsia="宋体" w:cs="宋体"/>
                <w:highlight w:val="none"/>
              </w:rPr>
              <w:t>支持按需和完全部署两种方式向客户端交付数据，均采用动态、实时、增量的原则，可以实现只部署系统分区或者数据分区。</w:t>
            </w:r>
          </w:p>
          <w:p w14:paraId="7A5DF5D5">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w:t>
            </w:r>
            <w:r>
              <w:rPr>
                <w:rFonts w:hint="eastAsia" w:ascii="宋体" w:hAnsi="宋体" w:eastAsia="宋体" w:cs="宋体"/>
                <w:highlight w:val="none"/>
              </w:rPr>
              <w:t>支持操作系统快照节点间的任意切换及快速恢复，切换恢复后不会删除或影响其他快照节点，且每个操作系统下的快照节点数量≥10个</w:t>
            </w:r>
          </w:p>
          <w:p w14:paraId="2EBB64E8">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w:t>
            </w:r>
            <w:r>
              <w:rPr>
                <w:rFonts w:hint="eastAsia" w:ascii="宋体" w:hAnsi="宋体" w:eastAsia="宋体" w:cs="宋体"/>
                <w:highlight w:val="none"/>
              </w:rPr>
              <w:t>通过服务端部署至终端本地硬盘的操作系统，需支持卸载客户端软件，同时保留操作系统的功能，便于管理人员对终端的灵活调配。</w:t>
            </w:r>
          </w:p>
          <w:p w14:paraId="2D4273FA">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10</w:t>
            </w:r>
            <w:r>
              <w:rPr>
                <w:rFonts w:hint="eastAsia" w:ascii="宋体" w:hAnsi="宋体" w:eastAsia="宋体" w:cs="宋体"/>
                <w:highlight w:val="none"/>
                <w:lang w:val="en-US" w:eastAsia="zh-CN"/>
              </w:rPr>
              <w:t>.</w:t>
            </w:r>
            <w:r>
              <w:rPr>
                <w:rFonts w:hint="eastAsia" w:ascii="宋体" w:hAnsi="宋体" w:eastAsia="宋体" w:cs="宋体"/>
                <w:highlight w:val="none"/>
              </w:rPr>
              <w:t>可根据网络环境，选择P2P或广播两种不同的部署模式进行后台部署</w:t>
            </w:r>
          </w:p>
          <w:p w14:paraId="1BBF57CA">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w:t>
            </w:r>
            <w:r>
              <w:rPr>
                <w:rFonts w:hint="eastAsia" w:ascii="宋体" w:hAnsi="宋体" w:eastAsia="宋体" w:cs="宋体"/>
                <w:highlight w:val="none"/>
              </w:rPr>
              <w:t>部署过程中，根据管理策略自动修改IP地址和计算机名称。</w:t>
            </w:r>
          </w:p>
          <w:p w14:paraId="6CBB0DD0">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12</w:t>
            </w:r>
            <w:r>
              <w:rPr>
                <w:rFonts w:hint="eastAsia" w:ascii="宋体" w:hAnsi="宋体" w:eastAsia="宋体" w:cs="宋体"/>
                <w:highlight w:val="none"/>
                <w:lang w:val="en-US" w:eastAsia="zh-CN"/>
              </w:rPr>
              <w:t>.</w:t>
            </w:r>
            <w:r>
              <w:rPr>
                <w:rFonts w:hint="eastAsia" w:ascii="宋体" w:hAnsi="宋体" w:eastAsia="宋体" w:cs="宋体"/>
                <w:highlight w:val="none"/>
              </w:rPr>
              <w:t>支持客户端计算机名、MAC和IP地址等信息的导入导出。</w:t>
            </w:r>
          </w:p>
          <w:p w14:paraId="166182E6">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13</w:t>
            </w:r>
            <w:r>
              <w:rPr>
                <w:rFonts w:hint="eastAsia" w:ascii="宋体" w:hAnsi="宋体" w:eastAsia="宋体" w:cs="宋体"/>
                <w:highlight w:val="none"/>
                <w:lang w:val="en-US" w:eastAsia="zh-CN"/>
              </w:rPr>
              <w:t>.</w:t>
            </w:r>
            <w:r>
              <w:rPr>
                <w:rFonts w:hint="eastAsia" w:ascii="宋体" w:hAnsi="宋体" w:eastAsia="宋体" w:cs="宋体"/>
                <w:highlight w:val="none"/>
              </w:rPr>
              <w:t>支持客户端IP占位功能，实现新客户端加入服务端时，不会由于单点的故障，而影响整体的计算机名和IP排序管理。</w:t>
            </w:r>
          </w:p>
          <w:p w14:paraId="6F1A965E">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14</w:t>
            </w:r>
            <w:r>
              <w:rPr>
                <w:rFonts w:hint="eastAsia" w:ascii="宋体" w:hAnsi="宋体" w:eastAsia="宋体" w:cs="宋体"/>
                <w:highlight w:val="none"/>
                <w:lang w:val="en-US" w:eastAsia="zh-CN"/>
              </w:rPr>
              <w:t>.</w:t>
            </w:r>
            <w:r>
              <w:rPr>
                <w:rFonts w:hint="eastAsia" w:ascii="宋体" w:hAnsi="宋体" w:eastAsia="宋体" w:cs="宋体"/>
                <w:highlight w:val="none"/>
              </w:rPr>
              <w:t>数据备份：为保证数据安全，内置备份软件授权，可实现对虚拟机实现即时恢复；支持虚拟机整机恢复和单个文件，和应用的细颗粒恢复，备份后自动验证每一个虚拟机备份的可恢复性，保证备份的可用性。</w:t>
            </w:r>
          </w:p>
          <w:p w14:paraId="033517BF">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15</w:t>
            </w:r>
            <w:r>
              <w:rPr>
                <w:rFonts w:hint="eastAsia" w:ascii="宋体" w:hAnsi="宋体" w:eastAsia="宋体" w:cs="宋体"/>
                <w:highlight w:val="none"/>
                <w:lang w:val="en-US" w:eastAsia="zh-CN"/>
              </w:rPr>
              <w:t>.</w:t>
            </w:r>
            <w:r>
              <w:rPr>
                <w:rFonts w:hint="eastAsia" w:ascii="宋体" w:hAnsi="宋体" w:eastAsia="宋体" w:cs="宋体"/>
                <w:highlight w:val="none"/>
              </w:rPr>
              <w:t>客户端不需要对硬盘进行任何的操作，不需要分区和预装软件，连上服务端即可使用。</w:t>
            </w:r>
          </w:p>
          <w:p w14:paraId="0BA7EC72">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16</w:t>
            </w:r>
            <w:r>
              <w:rPr>
                <w:rFonts w:hint="eastAsia" w:ascii="宋体" w:hAnsi="宋体" w:eastAsia="宋体" w:cs="宋体"/>
                <w:highlight w:val="none"/>
                <w:lang w:val="en-US" w:eastAsia="zh-CN"/>
              </w:rPr>
              <w:t>.</w:t>
            </w:r>
            <w:r>
              <w:rPr>
                <w:rFonts w:hint="eastAsia" w:ascii="宋体" w:hAnsi="宋体" w:eastAsia="宋体" w:cs="宋体"/>
                <w:highlight w:val="none"/>
              </w:rPr>
              <w:t>客户端不依赖网络和服务端可自我还原，支持分区每次、每天、每周、每月、手动等多种还原方式。</w:t>
            </w:r>
          </w:p>
          <w:p w14:paraId="64713495">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17</w:t>
            </w:r>
            <w:r>
              <w:rPr>
                <w:rFonts w:hint="eastAsia" w:ascii="宋体" w:hAnsi="宋体" w:eastAsia="宋体" w:cs="宋体"/>
                <w:highlight w:val="none"/>
                <w:lang w:val="en-US" w:eastAsia="zh-CN"/>
              </w:rPr>
              <w:t>.</w:t>
            </w:r>
            <w:r>
              <w:rPr>
                <w:rFonts w:hint="eastAsia" w:ascii="宋体" w:hAnsi="宋体" w:eastAsia="宋体" w:cs="宋体"/>
                <w:highlight w:val="none"/>
              </w:rPr>
              <w:t>客户端启动界面提供管理接口，断网的情况下，管理员也可以更新系统和应用软件。</w:t>
            </w:r>
          </w:p>
          <w:p w14:paraId="1F0F7FEC">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18</w:t>
            </w:r>
            <w:r>
              <w:rPr>
                <w:rFonts w:hint="eastAsia" w:ascii="宋体" w:hAnsi="宋体" w:eastAsia="宋体" w:cs="宋体"/>
                <w:highlight w:val="none"/>
                <w:lang w:val="en-US" w:eastAsia="zh-CN"/>
              </w:rPr>
              <w:t>.</w:t>
            </w:r>
            <w:r>
              <w:rPr>
                <w:rFonts w:hint="eastAsia" w:ascii="宋体" w:hAnsi="宋体" w:eastAsia="宋体" w:cs="宋体"/>
                <w:highlight w:val="none"/>
              </w:rPr>
              <w:t>支持系统引导选单的开启与禁用，实现对当前不使用的系统进行屏蔽</w:t>
            </w:r>
          </w:p>
          <w:p w14:paraId="7EA50BDC">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19</w:t>
            </w:r>
            <w:r>
              <w:rPr>
                <w:rFonts w:hint="eastAsia" w:ascii="宋体" w:hAnsi="宋体" w:eastAsia="宋体" w:cs="宋体"/>
                <w:highlight w:val="none"/>
                <w:lang w:val="en-US" w:eastAsia="zh-CN"/>
              </w:rPr>
              <w:t>.</w:t>
            </w:r>
            <w:r>
              <w:rPr>
                <w:rFonts w:hint="eastAsia" w:ascii="宋体" w:hAnsi="宋体" w:eastAsia="宋体" w:cs="宋体"/>
                <w:highlight w:val="none"/>
              </w:rPr>
              <w:t>支持硬盘剩余空间智能调配，满足多系统时硬盘容量不足的问题。</w:t>
            </w:r>
          </w:p>
          <w:p w14:paraId="3D8A4080">
            <w:p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w:t>
            </w:r>
            <w:r>
              <w:rPr>
                <w:rFonts w:hint="eastAsia" w:ascii="宋体" w:hAnsi="宋体" w:eastAsia="宋体" w:cs="宋体"/>
                <w:highlight w:val="none"/>
              </w:rPr>
              <w:t>服务端软件支持一键简易升级。</w:t>
            </w:r>
          </w:p>
          <w:p w14:paraId="7E61BD41">
            <w:pPr>
              <w:keepNext w:val="0"/>
              <w:keepLines w:val="0"/>
              <w:pageBreakBefore w:val="0"/>
              <w:widowControl/>
              <w:numPr>
                <w:ilvl w:val="0"/>
                <w:numId w:val="0"/>
              </w:numPr>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highlight w:val="none"/>
              </w:rPr>
              <w:t>21</w:t>
            </w:r>
            <w:r>
              <w:rPr>
                <w:rFonts w:hint="eastAsia" w:ascii="宋体" w:hAnsi="宋体" w:eastAsia="宋体" w:cs="宋体"/>
                <w:highlight w:val="none"/>
                <w:lang w:val="en-US" w:eastAsia="zh-CN"/>
              </w:rPr>
              <w:t>.</w:t>
            </w:r>
            <w:r>
              <w:rPr>
                <w:rFonts w:hint="eastAsia" w:ascii="宋体" w:hAnsi="宋体" w:eastAsia="宋体" w:cs="宋体"/>
                <w:highlight w:val="none"/>
              </w:rPr>
              <w:t>预装windows正版操作系统。</w:t>
            </w:r>
          </w:p>
        </w:tc>
      </w:tr>
      <w:tr w14:paraId="2304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621FEE4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一、</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 xml:space="preserve">商务条款 </w:t>
            </w:r>
          </w:p>
        </w:tc>
      </w:tr>
      <w:tr w14:paraId="2E2C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2F00FE1">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质保期</w:t>
            </w:r>
          </w:p>
        </w:tc>
        <w:tc>
          <w:tcPr>
            <w:tcW w:w="8731" w:type="dxa"/>
            <w:gridSpan w:val="4"/>
            <w:tcBorders>
              <w:top w:val="single" w:color="auto" w:sz="4" w:space="0"/>
              <w:bottom w:val="single" w:color="auto" w:sz="4" w:space="0"/>
            </w:tcBorders>
            <w:shd w:val="clear" w:color="auto" w:fill="auto"/>
            <w:vAlign w:val="center"/>
          </w:tcPr>
          <w:p w14:paraId="6044A59F">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1.按国家有关产品“三包”规定执行“三包”， 自交货验收合格之日起所有硬件设备、配件提供一年的</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质保服务（分项货物要求中有特别注明的，按特别注明的执行）。软件部分，质保期自交货并验收合格之日起计不少于</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提供升级服务。若产品生产厂家质保期超过此年限的，合同履行过程中按厂家规定执行；若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质保期承诺优于产品生产厂家质保年限的，以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承诺执行。</w:t>
            </w:r>
          </w:p>
          <w:p w14:paraId="0C88E368">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2.从通过验收即日起质保期内所有由于质量问题导致的软、硬件产品故障以</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保修、人工及更换备件标准上门服务，并提供终身维护。</w:t>
            </w:r>
          </w:p>
          <w:p w14:paraId="7E6130B4">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内无条件维修、更换配件。质保期第一年内出现非人为操作失误引发的重大故障，应予以无条件换货。保修期满前1个月内中标人应负责不少于一次无条件全面检查，并对发现的问题无条件整改好；质保期满后，以不高于市场同类同期的价格优惠提供维修服务和备件更换，所更换备件须提供原厂备件。</w:t>
            </w:r>
          </w:p>
        </w:tc>
      </w:tr>
      <w:tr w14:paraId="743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65B6188F">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val="en-US" w:eastAsia="zh-CN"/>
              </w:rPr>
              <w:t>售后服务要求</w:t>
            </w:r>
          </w:p>
        </w:tc>
        <w:tc>
          <w:tcPr>
            <w:tcW w:w="8731" w:type="dxa"/>
            <w:gridSpan w:val="4"/>
            <w:tcBorders>
              <w:top w:val="single" w:color="auto" w:sz="4" w:space="0"/>
              <w:bottom w:val="single" w:color="auto" w:sz="4" w:space="0"/>
            </w:tcBorders>
            <w:shd w:val="clear" w:color="auto" w:fill="auto"/>
            <w:vAlign w:val="center"/>
          </w:tcPr>
          <w:p w14:paraId="03F3833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列表中“技术要求”另有要求的按要求执行，其余货物售后服务要求如下：</w:t>
            </w:r>
          </w:p>
          <w:p w14:paraId="10CD557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1.中标人按采购人指定的地点负责送货上门、安装、调试，负责培训使用人员和维护人员。</w:t>
            </w:r>
          </w:p>
          <w:p w14:paraId="4FF2EFA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2.中标人必须提供安装、配线</w:t>
            </w:r>
            <w:r>
              <w:rPr>
                <w:rFonts w:hint="eastAsia" w:ascii="宋体" w:hAnsi="宋体" w:eastAsia="宋体" w:cs="宋体"/>
                <w:b w:val="0"/>
                <w:bCs w:val="0"/>
                <w:color w:val="auto"/>
                <w:sz w:val="21"/>
                <w:szCs w:val="21"/>
                <w:highlight w:val="none"/>
                <w:lang w:val="en-US" w:eastAsia="zh-CN"/>
              </w:rPr>
              <w:t>以及软硬件的测试和调整服务。系统安装之前，应先对</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进行现场培训。开始安装时，应让</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的硬软件和系统集成人员参与安装、检测和排除故障。中标人在施工、安装、调试等全过程中接受采购人的监督。</w:t>
            </w:r>
          </w:p>
          <w:p w14:paraId="25D42B1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3.在中标人承诺的质保期内，设备保修包换所需要的配件均是原厂原装，</w:t>
            </w:r>
            <w:r>
              <w:rPr>
                <w:rFonts w:hint="eastAsia" w:ascii="宋体" w:hAnsi="宋体" w:eastAsia="宋体" w:cs="宋体"/>
                <w:b w:val="0"/>
                <w:bCs w:val="0"/>
                <w:color w:val="auto"/>
                <w:sz w:val="21"/>
                <w:szCs w:val="21"/>
                <w:highlight w:val="none"/>
                <w:lang w:val="en-US" w:eastAsia="zh-CN"/>
              </w:rPr>
              <w:t>不得使用兼容货物。</w:t>
            </w:r>
          </w:p>
          <w:p w14:paraId="501723F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4.中标人在质量保证期内应当为采购人提供以下技术支持和服务：</w:t>
            </w:r>
          </w:p>
          <w:p w14:paraId="0944187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（1）电话咨询</w:t>
            </w:r>
          </w:p>
          <w:p w14:paraId="0D8B6D2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中标人应当为采购人提供技术援助电话，解答采购人在使用中遇到的问题，及时为采购人提出解决问题的建议。</w:t>
            </w:r>
          </w:p>
          <w:p w14:paraId="3812C21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（2）质量问题响应时间：按国家及行业标准进行及时处理，出现质量问题时在</w:t>
            </w:r>
            <w:r>
              <w:rPr>
                <w:rFonts w:hint="eastAsia" w:ascii="宋体" w:hAnsi="宋体" w:eastAsia="宋体" w:cs="宋体"/>
                <w:color w:val="auto"/>
                <w:kern w:val="0"/>
                <w:sz w:val="21"/>
                <w:szCs w:val="21"/>
                <w:highlight w:val="none"/>
                <w:u w:val="single"/>
                <w:lang w:val="en-US" w:eastAsia="zh-CN" w:bidi="ar-SA"/>
              </w:rPr>
              <w:t xml:space="preserve"> 2 </w:t>
            </w:r>
            <w:r>
              <w:rPr>
                <w:rFonts w:hint="eastAsia" w:ascii="宋体" w:hAnsi="宋体" w:eastAsia="宋体" w:cs="宋体"/>
                <w:b w:val="0"/>
                <w:bCs w:val="0"/>
                <w:color w:val="auto"/>
                <w:sz w:val="21"/>
                <w:szCs w:val="21"/>
                <w:highlight w:val="none"/>
                <w:lang w:val="en-US" w:eastAsia="zh-CN"/>
              </w:rPr>
              <w:t>小时内响应，</w:t>
            </w:r>
            <w:r>
              <w:rPr>
                <w:rFonts w:hint="eastAsia" w:ascii="宋体" w:hAnsi="宋体" w:eastAsia="宋体" w:cs="宋体"/>
                <w:color w:val="auto"/>
                <w:kern w:val="0"/>
                <w:sz w:val="21"/>
                <w:szCs w:val="21"/>
                <w:highlight w:val="none"/>
                <w:u w:val="single"/>
                <w:lang w:val="en-US" w:eastAsia="zh-CN" w:bidi="ar-SA"/>
              </w:rPr>
              <w:t xml:space="preserve"> 12 </w:t>
            </w:r>
            <w:r>
              <w:rPr>
                <w:rFonts w:hint="eastAsia" w:ascii="宋体" w:hAnsi="宋体" w:eastAsia="宋体" w:cs="宋体"/>
                <w:b w:val="0"/>
                <w:bCs w:val="0"/>
                <w:color w:val="auto"/>
                <w:sz w:val="21"/>
                <w:szCs w:val="21"/>
                <w:highlight w:val="none"/>
                <w:lang w:val="en-US" w:eastAsia="zh-CN"/>
              </w:rPr>
              <w:t>小时内到达现场；</w:t>
            </w:r>
            <w:r>
              <w:rPr>
                <w:rFonts w:hint="eastAsia" w:ascii="宋体" w:hAnsi="宋体" w:eastAsia="宋体" w:cs="宋体"/>
                <w:color w:val="auto"/>
                <w:kern w:val="0"/>
                <w:sz w:val="21"/>
                <w:szCs w:val="21"/>
                <w:highlight w:val="none"/>
                <w:u w:val="single"/>
                <w:lang w:val="en-US" w:eastAsia="zh-CN" w:bidi="ar-SA"/>
              </w:rPr>
              <w:t xml:space="preserve"> 24</w:t>
            </w:r>
            <w:r>
              <w:rPr>
                <w:rFonts w:hint="eastAsia" w:ascii="宋体" w:hAnsi="宋体" w:eastAsia="宋体" w:cs="宋体"/>
                <w:b w:val="0"/>
                <w:bCs w:val="0"/>
                <w:color w:val="auto"/>
                <w:sz w:val="21"/>
                <w:szCs w:val="21"/>
                <w:highlight w:val="none"/>
                <w:lang w:val="en-US" w:eastAsia="zh-CN"/>
              </w:rPr>
              <w:t>小时内解决问题，保证采购人正常使用，产生的一切费用由中标人承担。如在规定时间内无法解决质量问题，需提供备用设备，终身提供技术支持。</w:t>
            </w:r>
          </w:p>
          <w:p w14:paraId="13654AC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（3）技术升级</w:t>
            </w:r>
          </w:p>
          <w:p w14:paraId="226ECBB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在质保期内，如果中标人的产品或服务升级，中标人应及时通知采购人，如采购人有相应要求，中标人应对采购人购买的产品或服务进行升级。</w:t>
            </w:r>
          </w:p>
          <w:p w14:paraId="3A74625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5.质保期外服务要求</w:t>
            </w:r>
          </w:p>
          <w:p w14:paraId="37EEA32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质量保证期过后，采购人需要继续由原中标人提供售后服务的，中标人应提供电话咨询服务，并应承诺提供产品或服务上门维护，中标人和制造商应以优惠价格提供售后服务。</w:t>
            </w:r>
          </w:p>
          <w:p w14:paraId="49888DC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6.备品备件及易损件</w:t>
            </w:r>
          </w:p>
          <w:p w14:paraId="0147A03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中标人售后服务中，维修使用的备品备件及易损件应为原厂配件，未经采购人同意不得使用非原厂配件。</w:t>
            </w:r>
          </w:p>
          <w:p w14:paraId="4E95475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7.培训要求：中标人对其提供产品或服务的使用和操作应尽培训义务。中标人应提供对本分标的使用单位进行培训服务，涉及的相关费用应计算在项目报价内，并使使用人员能独立、熟练操作系统。 </w:t>
            </w:r>
          </w:p>
          <w:p w14:paraId="252E9A9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8.备品备件及耗材等要求：有稳定的备件供应渠道，并从设备厂商的中国公司及其分销商购置整机和备件补充，</w:t>
            </w:r>
            <w:r>
              <w:rPr>
                <w:rFonts w:hint="eastAsia" w:ascii="宋体" w:hAnsi="宋体" w:cs="宋体"/>
                <w:b w:val="0"/>
                <w:bCs w:val="0"/>
                <w:color w:val="auto"/>
                <w:sz w:val="21"/>
                <w:szCs w:val="21"/>
                <w:highlight w:val="none"/>
                <w:lang w:val="en-US" w:eastAsia="zh-CN"/>
              </w:rPr>
              <w:t>可以满足采购人的设备在升级</w:t>
            </w:r>
            <w:r>
              <w:rPr>
                <w:rFonts w:hint="eastAsia" w:ascii="宋体" w:hAnsi="宋体" w:eastAsia="宋体" w:cs="宋体"/>
                <w:b w:val="0"/>
                <w:bCs w:val="0"/>
                <w:color w:val="auto"/>
                <w:sz w:val="21"/>
                <w:szCs w:val="21"/>
                <w:highlight w:val="none"/>
                <w:lang w:val="en-US" w:eastAsia="zh-CN"/>
              </w:rPr>
              <w:t>、扩充和保修服务配件及消耗品等多方面的需求，中标人就相关备品备件及耗材价格与采购人友好协商，应以优惠价格提供相关服务。</w:t>
            </w:r>
          </w:p>
          <w:p w14:paraId="0AD1616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9.提供设备必须是全新、未使用的原装产品，且在正常安装、使用和保养条件下，其使用寿命期内各项指标均达到质量要求。</w:t>
            </w:r>
          </w:p>
        </w:tc>
      </w:tr>
      <w:tr w14:paraId="5B1E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0CBDAEF">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交货时间及地点</w:t>
            </w:r>
          </w:p>
        </w:tc>
        <w:tc>
          <w:tcPr>
            <w:tcW w:w="8731" w:type="dxa"/>
            <w:gridSpan w:val="4"/>
            <w:tcBorders>
              <w:top w:val="single" w:color="auto" w:sz="4" w:space="0"/>
              <w:bottom w:val="single" w:color="auto" w:sz="4" w:space="0"/>
            </w:tcBorders>
            <w:shd w:val="clear" w:color="auto" w:fill="auto"/>
            <w:vAlign w:val="center"/>
          </w:tcPr>
          <w:p w14:paraId="6B70E6A2">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1.交货时间：自签订合同之日</w:t>
            </w:r>
            <w:r>
              <w:rPr>
                <w:rFonts w:hint="eastAsia" w:ascii="宋体" w:hAnsi="宋体" w:eastAsia="宋体" w:cs="宋体"/>
                <w:sz w:val="21"/>
                <w:szCs w:val="21"/>
                <w:highlight w:val="none"/>
              </w:rPr>
              <w:t>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日历日</w:t>
            </w:r>
            <w:r>
              <w:rPr>
                <w:rFonts w:hint="eastAsia" w:ascii="宋体" w:hAnsi="宋体" w:eastAsia="宋体" w:cs="宋体"/>
                <w:sz w:val="21"/>
                <w:szCs w:val="21"/>
                <w:highlight w:val="none"/>
              </w:rPr>
              <w:t>内全部交货安装完成并经采购人验收合格。</w:t>
            </w:r>
          </w:p>
          <w:p w14:paraId="57C69FA9">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2.交货地点：广西制造工程职业技术学院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62E7CF18">
            <w:pPr>
              <w:keepNext w:val="0"/>
              <w:keepLines w:val="0"/>
              <w:pageBreakBefore w:val="0"/>
              <w:kinsoku/>
              <w:wordWrap/>
              <w:overflowPunct/>
              <w:topLinePunct w:val="0"/>
              <w:bidi w:val="0"/>
              <w:snapToGrid/>
              <w:spacing w:line="360" w:lineRule="auto"/>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lang w:val="en-US" w:eastAsia="zh-CN"/>
              </w:rPr>
              <w:t>中标通知书发出之日</w:t>
            </w:r>
            <w:r>
              <w:rPr>
                <w:rFonts w:hint="eastAsia" w:ascii="宋体" w:hAnsi="宋体" w:eastAsia="宋体" w:cs="宋体"/>
                <w:color w:val="auto"/>
                <w:sz w:val="21"/>
                <w:szCs w:val="21"/>
                <w:highlight w:val="none"/>
              </w:rPr>
              <w:t>起25</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须与采购人签订好合同</w:t>
            </w:r>
            <w:r>
              <w:rPr>
                <w:rFonts w:hint="eastAsia" w:ascii="宋体" w:hAnsi="宋体" w:eastAsia="宋体" w:cs="宋体"/>
                <w:color w:val="auto"/>
                <w:sz w:val="21"/>
                <w:szCs w:val="21"/>
                <w:highlight w:val="none"/>
                <w:lang w:eastAsia="zh-CN"/>
              </w:rPr>
              <w:t>。</w:t>
            </w:r>
          </w:p>
          <w:p w14:paraId="2BCEF606">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4.交货方式：现场交货。</w:t>
            </w:r>
          </w:p>
        </w:tc>
      </w:tr>
      <w:tr w14:paraId="0EF9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81CE30C">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付款条件</w:t>
            </w:r>
          </w:p>
        </w:tc>
        <w:tc>
          <w:tcPr>
            <w:tcW w:w="8731" w:type="dxa"/>
            <w:gridSpan w:val="4"/>
            <w:tcBorders>
              <w:top w:val="single" w:color="auto" w:sz="4" w:space="0"/>
              <w:bottom w:val="single" w:color="auto" w:sz="4" w:space="0"/>
            </w:tcBorders>
            <w:shd w:val="clear" w:color="auto" w:fill="auto"/>
            <w:vAlign w:val="center"/>
          </w:tcPr>
          <w:p w14:paraId="3A38616B">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签订合同后10个工作日内，采购人向中标人支付合同总金额的50%作为预付款；全部货物到货且经采购人确认后10个工作日内，采购人向中标人支付合同总金额的30%货款；全部安装调试，完成试运行且经采购人验收合格后10个工作日内，采购人向中标人支付合同总金额的20%余款。</w:t>
            </w:r>
          </w:p>
          <w:p w14:paraId="4F270A2C">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2.采购人付款前，中标人应向采购人开具等额有效的增值税普通发票，采购人未收到发票的，有权不予支付相应款项直至中标人提供合格发票，并不承担延迟付款责任。发票认证通过是付款的必要前提之一。</w:t>
            </w:r>
          </w:p>
          <w:p w14:paraId="12D1898F">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3.中标人须根据《广西壮族自治区财政厅关于在政府采购活动中推广使用电子保函的通知》（桂财采〔2023〕92 号）的相关要求，在中标项目签订合同后1个工作日内完成向“广西政府采购金融服务平台”申请预付款保函的事宜，并于收到项目预付款的当日向采购人提供预付款保函，保函有效期不少于90天.</w:t>
            </w:r>
          </w:p>
        </w:tc>
      </w:tr>
      <w:tr w14:paraId="0923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010BAB51">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履约保证金</w:t>
            </w:r>
          </w:p>
        </w:tc>
        <w:tc>
          <w:tcPr>
            <w:tcW w:w="8731" w:type="dxa"/>
            <w:gridSpan w:val="4"/>
            <w:tcBorders>
              <w:top w:val="single" w:color="auto" w:sz="4" w:space="0"/>
              <w:bottom w:val="single" w:color="auto" w:sz="4" w:space="0"/>
            </w:tcBorders>
            <w:shd w:val="clear" w:color="auto" w:fill="auto"/>
            <w:vAlign w:val="center"/>
          </w:tcPr>
          <w:p w14:paraId="76D32C2A">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699C8940">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302DB9A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w:t>
            </w:r>
            <w:r>
              <w:rPr>
                <w:rFonts w:hint="eastAsia" w:ascii="宋体" w:hAnsi="宋体" w:cs="宋体"/>
                <w:b w:val="0"/>
                <w:bCs w:val="0"/>
                <w:color w:val="auto"/>
                <w:sz w:val="21"/>
                <w:szCs w:val="21"/>
                <w:highlight w:val="none"/>
                <w:lang w:val="en-US" w:eastAsia="zh-CN"/>
              </w:rPr>
              <w:t>签订合同后3个工作日内由中标人转入采购人指定保证金账户。</w:t>
            </w:r>
          </w:p>
          <w:p w14:paraId="663FA51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65F8F38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55227F8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1FE1B6C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1674B80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账  号：20036501040014065</w:t>
            </w:r>
          </w:p>
        </w:tc>
      </w:tr>
      <w:tr w14:paraId="4C11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B3E7600">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报价要求</w:t>
            </w:r>
          </w:p>
        </w:tc>
        <w:tc>
          <w:tcPr>
            <w:tcW w:w="8731" w:type="dxa"/>
            <w:gridSpan w:val="4"/>
            <w:tcBorders>
              <w:top w:val="single" w:color="auto" w:sz="4" w:space="0"/>
              <w:bottom w:val="single" w:color="auto" w:sz="4" w:space="0"/>
            </w:tcBorders>
            <w:shd w:val="clear" w:color="auto" w:fill="auto"/>
            <w:vAlign w:val="center"/>
          </w:tcPr>
          <w:p w14:paraId="7E8D28E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本次报价须为人民币报价，报价金额实行总承包报价，包括但不限于：</w:t>
            </w:r>
          </w:p>
          <w:p w14:paraId="40E8B65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1.货物采购包括货款、标准附件、备品备件、专用工具、包装、运输、装卸、保险、税金、货到就位以及安装、调试、培训、保修等一切税金和费用；</w:t>
            </w:r>
          </w:p>
          <w:p w14:paraId="7DA03F5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2.服务采购包括整体服务价格以及安装调试、培训、维护等一切税金和费用；</w:t>
            </w:r>
          </w:p>
          <w:p w14:paraId="46262EB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3.项目验收、人员服务等费用；</w:t>
            </w:r>
          </w:p>
          <w:p w14:paraId="0B0C616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4.根据合同规定，履行合同可能产生的其他费用；</w:t>
            </w:r>
          </w:p>
          <w:p w14:paraId="5ECCFE4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5.项目包含但不限于安装后可正常使用的相应设施、设备、软件、调试等，采购人不再另行支付费用。</w:t>
            </w:r>
          </w:p>
          <w:p w14:paraId="1730BF0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6.如质量上发生争议，可由第三方检测机构进行检测，费用由中标人承担。</w:t>
            </w:r>
          </w:p>
          <w:p w14:paraId="0EAA2473">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7.对于本文件中未列明，而供应商认为必需的费用也需列入总报价。在合同实施时，采购人将不予支付中标人没有列入的项目费用，并认为此项目的费用已包括在投标总报价中。</w:t>
            </w:r>
          </w:p>
        </w:tc>
      </w:tr>
      <w:tr w14:paraId="6CD1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9FF1C06">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知识产权</w:t>
            </w:r>
          </w:p>
        </w:tc>
        <w:tc>
          <w:tcPr>
            <w:tcW w:w="8731" w:type="dxa"/>
            <w:gridSpan w:val="4"/>
            <w:tcBorders>
              <w:top w:val="single" w:color="auto" w:sz="4" w:space="0"/>
              <w:bottom w:val="single" w:color="auto" w:sz="4" w:space="0"/>
            </w:tcBorders>
            <w:shd w:val="clear" w:color="auto" w:fill="auto"/>
            <w:vAlign w:val="center"/>
          </w:tcPr>
          <w:p w14:paraId="6CB61B0D">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1.采购人在中华人民共和国境内使用</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提供的产品及技术服务时免受第三方提出的侵犯其专利权或其它知识产权的起诉。如果第三方提出侵权指控，</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应承担由此而引起的一切法律责任和费用。</w:t>
            </w:r>
          </w:p>
          <w:p w14:paraId="2860B553">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2.在货物验收时候，如发现存在虚假响应，采购人将终止合同。</w:t>
            </w:r>
          </w:p>
        </w:tc>
      </w:tr>
      <w:tr w14:paraId="432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576B05D">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规范标准</w:t>
            </w:r>
          </w:p>
        </w:tc>
        <w:tc>
          <w:tcPr>
            <w:tcW w:w="8731" w:type="dxa"/>
            <w:gridSpan w:val="4"/>
            <w:tcBorders>
              <w:top w:val="single" w:color="auto" w:sz="4" w:space="0"/>
              <w:bottom w:val="single" w:color="auto" w:sz="4" w:space="0"/>
            </w:tcBorders>
            <w:shd w:val="clear" w:color="auto" w:fill="auto"/>
            <w:vAlign w:val="center"/>
          </w:tcPr>
          <w:p w14:paraId="2ACEBA0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采购标的需执行的国家标准、行业标准、地方标准或者其他标准、规范。多项标准的，按最新标准或较高标准执行。</w:t>
            </w:r>
          </w:p>
        </w:tc>
      </w:tr>
      <w:tr w14:paraId="636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1B8B7DD2">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其他要求</w:t>
            </w:r>
          </w:p>
        </w:tc>
        <w:tc>
          <w:tcPr>
            <w:tcW w:w="8731" w:type="dxa"/>
            <w:gridSpan w:val="4"/>
            <w:tcBorders>
              <w:top w:val="single" w:color="auto" w:sz="4" w:space="0"/>
              <w:bottom w:val="single" w:color="auto" w:sz="4" w:space="0"/>
            </w:tcBorders>
            <w:shd w:val="clear" w:color="auto" w:fill="auto"/>
            <w:vAlign w:val="center"/>
          </w:tcPr>
          <w:p w14:paraId="08651E3E">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向采购人提供的货物必须是符合国家质量标准和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规定标准的全新、完整、未使用过的，本次采购货物不接受进口产品且所有产品必须有正规的合格证书。</w:t>
            </w:r>
          </w:p>
          <w:p w14:paraId="033054AB">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.为确保售后服务质量，</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必须提供不少于1人的运维服务人员名单、联系电话。</w:t>
            </w:r>
          </w:p>
          <w:p w14:paraId="7FAC9010">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必须严格按时间进度和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要求完成所有工作，若出现不按要求完成相关工作的，经双方协商未果，采购人有权解除合同并追究</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相关责任。</w:t>
            </w:r>
          </w:p>
          <w:p w14:paraId="37E0C455">
            <w:pPr>
              <w:keepNext w:val="0"/>
              <w:keepLines w:val="0"/>
              <w:pageBreakBefore w:val="0"/>
              <w:numPr>
                <w:ilvl w:val="0"/>
                <w:numId w:val="0"/>
              </w:numPr>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提供的所有货物必须为正规厂家制造、合法渠道供应的全新产品，并保证本分标使用的任何产品不会产生因第三方提出侵犯其所有权而引起的法律和经济纠纷，如因此而引起的法律和经济纠纷，由中标人自行承担所有相关责任。</w:t>
            </w:r>
          </w:p>
          <w:p w14:paraId="29765C5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5.在正常安装、使用过程中，凡是因产品质量问题所造成采购人损失的，中标人负责赔偿采购人的一切经济损失。</w:t>
            </w:r>
          </w:p>
        </w:tc>
      </w:tr>
      <w:tr w14:paraId="6214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374395F">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采购标的验收标准</w:t>
            </w:r>
          </w:p>
        </w:tc>
        <w:tc>
          <w:tcPr>
            <w:tcW w:w="8731" w:type="dxa"/>
            <w:gridSpan w:val="4"/>
            <w:tcBorders>
              <w:top w:val="single" w:color="auto" w:sz="4" w:space="0"/>
              <w:bottom w:val="single" w:color="auto" w:sz="4" w:space="0"/>
            </w:tcBorders>
            <w:shd w:val="clear" w:color="auto" w:fill="auto"/>
            <w:vAlign w:val="center"/>
          </w:tcPr>
          <w:p w14:paraId="2EB3CC6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以根据采购项目具体情况自行组织验收，或者委托第三方机构或部门开展采购项目履约验收工作，验收过程中所产生的一切费用均由中标人承担，履约验收服务费按照分标中标金额的≤0.9%收取，投标人在投标报价时应考虑相关费用。</w:t>
            </w:r>
          </w:p>
          <w:p w14:paraId="5DE8607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2.在验收过程中发现中标人有违约问题，可暂缓资金结算，待违约问题解决后，方可办理资金结算事宜。</w:t>
            </w:r>
          </w:p>
          <w:p w14:paraId="1EF4FD1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3.验收依据：按合同要求及国家标准进行验收。</w:t>
            </w:r>
          </w:p>
          <w:p w14:paraId="2F6B84B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4.验收标准</w:t>
            </w:r>
          </w:p>
          <w:p w14:paraId="45CE6C2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（1）所供产品的规格、数量、功能、材质、颜色等符合招标文件采购需求及采购合同约定的要求。</w:t>
            </w:r>
          </w:p>
          <w:p w14:paraId="681083D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（2）所供产品的外观完好，无严重碰撞、表皮脱落、五金件生锈等明显瑕疵。</w:t>
            </w:r>
          </w:p>
          <w:p w14:paraId="20EBF77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（3）所供产品结构牢固，无安全隐患。</w:t>
            </w:r>
          </w:p>
          <w:p w14:paraId="2464B86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（4）如有抽检要求的，检测结果符合招标文件采购需求及采购合同约定的要求。</w:t>
            </w:r>
          </w:p>
          <w:p w14:paraId="0C49BE2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（5）所有产品均已运输至指定地点，并安装调试完毕。</w:t>
            </w:r>
          </w:p>
          <w:p w14:paraId="4E59CCE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（6）招标文件采购需求及采购合同约定的附件、工具、技术资料等齐全；提供产品使用说明书、合格证。</w:t>
            </w:r>
          </w:p>
          <w:p w14:paraId="6BD2451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（7）货物技术参数应与投标文件中偏离表或证明材料一致，性能或指标达到规定的标准。否则，以实际货物或服务技术参数与投标文件偏离表参数或证明材料比较，按如下情况处理：</w:t>
            </w:r>
          </w:p>
          <w:p w14:paraId="6B2FCAC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①供应商投标文件偏离表或证明材料中满足或优于的技术参数，在验收时实际不满足技术参数要求的，视为供货商违约，采购人有权终止合同拒收货物，并追究供应商责任。</w:t>
            </w:r>
          </w:p>
          <w:p w14:paraId="2C3B69A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②供应商投标文件偏离表或证明材料中优于的技术参数，在验收时实际仅满足并未优于技术参数要求的，视为供货商违约，采购人有权终止合同拒收货物，并追究供应商责任。</w:t>
            </w:r>
          </w:p>
          <w:p w14:paraId="2A85006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③供应商投标文件偏离表或证明材料中不满足的技术参数，在验收时实际满足技术参数的要求，以满足技术参数的要求验收。 </w:t>
            </w:r>
          </w:p>
          <w:p w14:paraId="1514050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④供应商投标文件偏离表或证明材料中满足的技术参数，在验收时实际优于技术参数的要求，以满足技术参数的要求验收。</w:t>
            </w:r>
          </w:p>
          <w:p w14:paraId="0A7788D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⑤供应商投标文件偏离表或证明材料中优于的技术参数，在验收时实际也优于技术参数的要求，但没有达到响应表或证明材料中优于的程度，由采购人与供应商协商按是否满足要求验收。</w:t>
            </w:r>
          </w:p>
          <w:p w14:paraId="075CFE8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⑥实际货物与响应货物型号不一致的，验收时不论实际是优于还是满足技术参数的要求，采购人均有权终止合同拒收货物，并追究供应商责任。</w:t>
            </w:r>
          </w:p>
          <w:p w14:paraId="7AB1FD0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5.验收要求</w:t>
            </w:r>
          </w:p>
          <w:p w14:paraId="48271EE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验收小组以项目采购文件及采购合同为验收依据，对供货产品技术参数核对检验，如不符合技术参数要求的，中标人承担所有责任和费用。采购人保留进一步追究责任的权利。</w:t>
            </w:r>
          </w:p>
          <w:p w14:paraId="5E63824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中标人按时间节点</w:t>
            </w:r>
            <w:r>
              <w:rPr>
                <w:rFonts w:hint="eastAsia" w:ascii="宋体" w:hAnsi="宋体" w:eastAsia="宋体" w:cs="宋体"/>
                <w:b w:val="0"/>
                <w:bCs w:val="0"/>
                <w:color w:val="auto"/>
                <w:sz w:val="21"/>
                <w:szCs w:val="21"/>
                <w:highlight w:val="none"/>
                <w:lang w:val="en-US" w:eastAsia="zh-CN"/>
              </w:rPr>
              <w:t>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065A3E3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（2）验收时中标人提供验收文档，包括但不限于（如有）：技术方案、实施方案、售后服务方案、培训方案、系统部署文档、测试文档、使用说明书、电子文档，以及对所有需要进行核查的原件等。</w:t>
            </w:r>
          </w:p>
          <w:p w14:paraId="63D49A0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54F3DD5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（4）如中标人提供虚假材料的，除按相关规定做违约处理外，采购人依据相关法律规定追究中标人的责任，由此带来的一切责任及损失由中标人自行承担。</w:t>
            </w:r>
          </w:p>
          <w:p w14:paraId="46ACD61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101E3FF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（6）项目验收过程中，采购人需委托第三方检测机构介入的，费用由中标人另行承担。</w:t>
            </w:r>
          </w:p>
        </w:tc>
      </w:tr>
      <w:tr w14:paraId="51CE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19CA40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二、与实现项目目标相关的其他要求</w:t>
            </w:r>
          </w:p>
        </w:tc>
      </w:tr>
      <w:tr w14:paraId="1F6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2D6481C">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（一）投标人的履约能力要求</w:t>
            </w:r>
          </w:p>
        </w:tc>
      </w:tr>
      <w:tr w14:paraId="3AC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10D5C34C">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质量管理、企业信用要求</w:t>
            </w:r>
          </w:p>
        </w:tc>
        <w:tc>
          <w:tcPr>
            <w:tcW w:w="8664" w:type="dxa"/>
            <w:gridSpan w:val="3"/>
            <w:tcBorders>
              <w:top w:val="single" w:color="auto" w:sz="4" w:space="0"/>
              <w:bottom w:val="single" w:color="auto" w:sz="4" w:space="0"/>
            </w:tcBorders>
            <w:shd w:val="clear" w:color="auto" w:fill="auto"/>
            <w:vAlign w:val="center"/>
          </w:tcPr>
          <w:p w14:paraId="6A73C2D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0FE8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F81B0D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能力或者业绩要求</w:t>
            </w:r>
          </w:p>
        </w:tc>
        <w:tc>
          <w:tcPr>
            <w:tcW w:w="8664" w:type="dxa"/>
            <w:gridSpan w:val="3"/>
            <w:tcBorders>
              <w:top w:val="single" w:color="auto" w:sz="4" w:space="0"/>
              <w:bottom w:val="single" w:color="auto" w:sz="4" w:space="0"/>
            </w:tcBorders>
            <w:shd w:val="clear" w:color="auto" w:fill="auto"/>
            <w:vAlign w:val="center"/>
          </w:tcPr>
          <w:p w14:paraId="45D3B481">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3EC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7949602">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（二）政策性加分条件</w:t>
            </w:r>
          </w:p>
        </w:tc>
      </w:tr>
      <w:tr w14:paraId="2A65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98A30B3">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w:t>
            </w:r>
          </w:p>
        </w:tc>
      </w:tr>
      <w:tr w14:paraId="6AD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EE0C7A5">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（三）进口产品及核心产品说明</w:t>
            </w:r>
          </w:p>
        </w:tc>
      </w:tr>
      <w:tr w14:paraId="59C4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A2825C7">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4C2BEDD8">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本分标第</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项产品“</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sz w:val="21"/>
                <w:szCs w:val="21"/>
                <w:highlight w:val="none"/>
                <w:u w:val="single"/>
                <w:lang w:val="en-US" w:eastAsia="zh-CN"/>
              </w:rPr>
              <w:t>示教台</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”为核心产品</w:t>
            </w:r>
            <w:r>
              <w:rPr>
                <w:rFonts w:hint="eastAsia" w:ascii="宋体" w:hAnsi="宋体" w:eastAsia="宋体" w:cs="宋体"/>
                <w:color w:val="000000" w:themeColor="text1"/>
                <w:sz w:val="21"/>
                <w:szCs w:val="21"/>
                <w:highlight w:val="none"/>
                <w14:textFill>
                  <w14:solidFill>
                    <w14:schemeClr w14:val="tx1"/>
                  </w14:solidFill>
                </w14:textFill>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426E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2A451DF4">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三、其他说明</w:t>
            </w:r>
          </w:p>
        </w:tc>
      </w:tr>
      <w:tr w14:paraId="186B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A9204DA">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664" w:type="dxa"/>
            <w:gridSpan w:val="3"/>
            <w:tcBorders>
              <w:top w:val="single" w:color="auto" w:sz="4" w:space="0"/>
              <w:bottom w:val="single" w:color="auto" w:sz="4" w:space="0"/>
            </w:tcBorders>
            <w:shd w:val="clear" w:color="auto" w:fill="auto"/>
            <w:vAlign w:val="center"/>
          </w:tcPr>
          <w:p w14:paraId="6CFF6A0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本项目评标时以本项目预算金额为最高限价，</w:t>
            </w:r>
            <w:r>
              <w:rPr>
                <w:rFonts w:hint="eastAsia" w:ascii="宋体" w:hAnsi="宋体" w:eastAsia="宋体" w:cs="宋体"/>
                <w:b/>
                <w:bCs/>
                <w:color w:val="000000" w:themeColor="text1"/>
                <w:sz w:val="21"/>
                <w:szCs w:val="21"/>
                <w:highlight w:val="none"/>
                <w14:textFill>
                  <w14:solidFill>
                    <w14:schemeClr w14:val="tx1"/>
                  </w14:solidFill>
                </w14:textFill>
              </w:rPr>
              <w:t>评标时以最高限价为评标依据，投标人投标报价超出最高限价的作无效投标处理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4659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0AC77F62">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供应商其他要求</w:t>
            </w:r>
          </w:p>
        </w:tc>
        <w:tc>
          <w:tcPr>
            <w:tcW w:w="8664" w:type="dxa"/>
            <w:gridSpan w:val="3"/>
            <w:tcBorders>
              <w:top w:val="single" w:color="auto" w:sz="4" w:space="0"/>
              <w:bottom w:val="single" w:color="auto" w:sz="4" w:space="0"/>
            </w:tcBorders>
            <w:shd w:val="clear" w:color="auto" w:fill="auto"/>
            <w:vAlign w:val="center"/>
          </w:tcPr>
          <w:p w14:paraId="4068F49A">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 w:val="21"/>
                <w:szCs w:val="21"/>
                <w:highlight w:val="none"/>
              </w:rPr>
              <w:t>投标人</w:t>
            </w:r>
            <w:r>
              <w:rPr>
                <w:rFonts w:hint="eastAsia" w:ascii="宋体" w:hAnsi="宋体" w:eastAsia="宋体" w:cs="宋体"/>
                <w:sz w:val="21"/>
                <w:szCs w:val="21"/>
                <w:highlight w:val="none"/>
              </w:rPr>
              <w:t>应根据项目要求，可在投标文件中提供包括：项目实施方案、项目质量进度、控制方案、售后服务方案</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信誉、业绩等内容。</w:t>
            </w:r>
          </w:p>
        </w:tc>
      </w:tr>
      <w:tr w14:paraId="4CA3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567" w:type="dxa"/>
            <w:gridSpan w:val="3"/>
            <w:tcBorders>
              <w:top w:val="single" w:color="auto" w:sz="4" w:space="0"/>
              <w:bottom w:val="single" w:color="auto" w:sz="4" w:space="0"/>
            </w:tcBorders>
            <w:shd w:val="clear" w:color="auto" w:fill="auto"/>
            <w:vAlign w:val="center"/>
          </w:tcPr>
          <w:p w14:paraId="78B2A86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szCs w:val="21"/>
                <w:highlight w:val="none"/>
              </w:rPr>
              <w:t>演示要求</w:t>
            </w:r>
          </w:p>
        </w:tc>
        <w:tc>
          <w:tcPr>
            <w:tcW w:w="8664" w:type="dxa"/>
            <w:gridSpan w:val="3"/>
            <w:tcBorders>
              <w:top w:val="single" w:color="auto" w:sz="4" w:space="0"/>
              <w:bottom w:val="single" w:color="auto" w:sz="4" w:space="0"/>
            </w:tcBorders>
            <w:shd w:val="clear" w:color="auto" w:fill="auto"/>
            <w:vAlign w:val="center"/>
          </w:tcPr>
          <w:p w14:paraId="6330B288">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投标人需在评审时（具体时间由采购代理机构通知）对《具体说明、功能及技术参数要求》中标注“◆”功能通过广西政府采购云平台进行在线详细讲解和阐述。供应商自行准备线上演示所需的摄像头、话筒等设备，每家供应商线上演示时间均不超过15分钟，演示的过程作为评审的重要依据，不演示不得分，具体内容详见《评标方法及评标标准》。</w:t>
            </w:r>
          </w:p>
        </w:tc>
      </w:tr>
      <w:tr w14:paraId="05C7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31E47DB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现场考察</w:t>
            </w:r>
          </w:p>
        </w:tc>
        <w:tc>
          <w:tcPr>
            <w:tcW w:w="8664" w:type="dxa"/>
            <w:gridSpan w:val="3"/>
            <w:tcBorders>
              <w:top w:val="single" w:color="auto" w:sz="4" w:space="0"/>
              <w:bottom w:val="single" w:color="auto" w:sz="4" w:space="0"/>
            </w:tcBorders>
            <w:shd w:val="clear" w:color="auto" w:fill="auto"/>
            <w:vAlign w:val="center"/>
          </w:tcPr>
          <w:p w14:paraId="2AD530E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本分标提供现场考察，有意向的投标人可到采购人现场签到进行现场考察，充分了解项目情况，否则导致投标失误由投标人自行承担。考察交通工具、费用及人身安全由各投标人自行承担。</w:t>
            </w:r>
          </w:p>
          <w:p w14:paraId="268F78D8">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各投标人可于考察前一个工作日提前联系，如过后联系不上后果自负。</w:t>
            </w:r>
          </w:p>
          <w:p w14:paraId="630011E0">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考察时间：2025年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日上午9:30～9:45进行签到，逾时不予签到，9:45后由采购人统一安排进行考察（签到时出具授权书原件）；</w:t>
            </w:r>
          </w:p>
          <w:p w14:paraId="66DDE5B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集中地址：广西制造工程职业技术学院农业信息工程学院；</w:t>
            </w:r>
          </w:p>
          <w:p w14:paraId="234EDF2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联系人：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李老师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；联系电话：17687508651。</w:t>
            </w:r>
          </w:p>
        </w:tc>
      </w:tr>
    </w:tbl>
    <w:p w14:paraId="77E8C6D0">
      <w:pPr>
        <w:pStyle w:val="47"/>
        <w:spacing w:line="440" w:lineRule="exact"/>
        <w:ind w:firstLine="211"/>
        <w:rPr>
          <w:rFonts w:ascii="宋体" w:hAnsi="宋体"/>
          <w:b/>
          <w:bCs/>
          <w:color w:val="000000"/>
          <w:szCs w:val="21"/>
          <w:highlight w:val="none"/>
        </w:rPr>
      </w:pPr>
    </w:p>
    <w:bookmarkEnd w:id="47"/>
    <w:bookmarkEnd w:id="48"/>
    <w:bookmarkEnd w:id="49"/>
    <w:p w14:paraId="1F6A526C">
      <w:pPr>
        <w:spacing w:line="360" w:lineRule="exact"/>
        <w:rPr>
          <w:color w:val="000000"/>
          <w:highlight w:val="none"/>
        </w:rPr>
      </w:pPr>
    </w:p>
    <w:p w14:paraId="0D521FC4">
      <w:pPr>
        <w:spacing w:line="360" w:lineRule="exact"/>
        <w:rPr>
          <w:color w:val="000000"/>
          <w:highlight w:val="none"/>
        </w:rPr>
      </w:pPr>
    </w:p>
    <w:p w14:paraId="38B8627C">
      <w:pPr>
        <w:spacing w:line="360" w:lineRule="exact"/>
        <w:rPr>
          <w:color w:val="000000"/>
          <w:highlight w:val="none"/>
        </w:rPr>
      </w:pPr>
    </w:p>
    <w:p w14:paraId="1E590021">
      <w:pPr>
        <w:spacing w:line="360" w:lineRule="exact"/>
        <w:rPr>
          <w:color w:val="000000"/>
          <w:highlight w:val="none"/>
        </w:rPr>
      </w:pPr>
    </w:p>
    <w:p w14:paraId="1BAEF4BD">
      <w:pPr>
        <w:pStyle w:val="59"/>
        <w:rPr>
          <w:highlight w:val="none"/>
        </w:rPr>
      </w:pPr>
    </w:p>
    <w:p w14:paraId="214A7EB6">
      <w:pPr>
        <w:rPr>
          <w:color w:val="000000"/>
          <w:highlight w:val="none"/>
        </w:rPr>
      </w:pPr>
    </w:p>
    <w:p w14:paraId="44C399D7">
      <w:pPr>
        <w:pStyle w:val="59"/>
        <w:rPr>
          <w:highlight w:val="none"/>
        </w:rPr>
      </w:pPr>
    </w:p>
    <w:p w14:paraId="61F1AE2E">
      <w:pPr>
        <w:rPr>
          <w:color w:val="000000"/>
          <w:highlight w:val="none"/>
        </w:rPr>
      </w:pPr>
    </w:p>
    <w:p w14:paraId="302F4E76">
      <w:pPr>
        <w:pStyle w:val="59"/>
        <w:rPr>
          <w:highlight w:val="none"/>
        </w:rPr>
      </w:pPr>
    </w:p>
    <w:p w14:paraId="4434D0A7">
      <w:pPr>
        <w:rPr>
          <w:color w:val="000000"/>
          <w:highlight w:val="none"/>
        </w:rPr>
      </w:pPr>
    </w:p>
    <w:p w14:paraId="064F8463">
      <w:pPr>
        <w:pStyle w:val="59"/>
        <w:rPr>
          <w:highlight w:val="none"/>
        </w:rPr>
      </w:pPr>
    </w:p>
    <w:p w14:paraId="0EE38B05">
      <w:pPr>
        <w:rPr>
          <w:color w:val="000000"/>
          <w:highlight w:val="none"/>
        </w:rPr>
      </w:pPr>
    </w:p>
    <w:p w14:paraId="09569BB9">
      <w:pPr>
        <w:pStyle w:val="59"/>
        <w:rPr>
          <w:highlight w:val="none"/>
        </w:rPr>
      </w:pPr>
    </w:p>
    <w:p w14:paraId="74C0E9AB">
      <w:pPr>
        <w:rPr>
          <w:color w:val="000000"/>
          <w:highlight w:val="none"/>
        </w:rPr>
      </w:pPr>
    </w:p>
    <w:p w14:paraId="671B9E01">
      <w:pPr>
        <w:pStyle w:val="59"/>
        <w:rPr>
          <w:highlight w:val="none"/>
        </w:rPr>
      </w:pPr>
    </w:p>
    <w:p w14:paraId="444FB3F5">
      <w:pPr>
        <w:rPr>
          <w:color w:val="000000"/>
          <w:highlight w:val="none"/>
        </w:rPr>
      </w:pPr>
    </w:p>
    <w:p w14:paraId="14C044C2">
      <w:pPr>
        <w:pStyle w:val="59"/>
        <w:rPr>
          <w:highlight w:val="none"/>
        </w:rPr>
      </w:pPr>
    </w:p>
    <w:p w14:paraId="5E321B47">
      <w:pPr>
        <w:rPr>
          <w:color w:val="000000"/>
          <w:highlight w:val="none"/>
        </w:rPr>
      </w:pPr>
    </w:p>
    <w:p w14:paraId="1C6FE37B">
      <w:pPr>
        <w:pStyle w:val="59"/>
        <w:rPr>
          <w:highlight w:val="none"/>
        </w:rPr>
      </w:pPr>
    </w:p>
    <w:p w14:paraId="40550D9A">
      <w:pPr>
        <w:rPr>
          <w:color w:val="000000"/>
          <w:highlight w:val="none"/>
        </w:rPr>
      </w:pPr>
    </w:p>
    <w:p w14:paraId="010F48B8">
      <w:pPr>
        <w:pStyle w:val="59"/>
        <w:rPr>
          <w:highlight w:val="none"/>
        </w:rPr>
      </w:pPr>
    </w:p>
    <w:p w14:paraId="1820C124">
      <w:pPr>
        <w:rPr>
          <w:color w:val="000000"/>
          <w:highlight w:val="none"/>
        </w:rPr>
      </w:pPr>
    </w:p>
    <w:p w14:paraId="2A062579">
      <w:pPr>
        <w:pStyle w:val="59"/>
        <w:rPr>
          <w:highlight w:val="none"/>
        </w:rPr>
      </w:pPr>
    </w:p>
    <w:p w14:paraId="25F55BD7">
      <w:pPr>
        <w:rPr>
          <w:color w:val="000000"/>
          <w:highlight w:val="none"/>
        </w:rPr>
      </w:pPr>
    </w:p>
    <w:p w14:paraId="3A552CDA">
      <w:pPr>
        <w:rPr>
          <w:color w:val="000000"/>
          <w:highlight w:val="none"/>
        </w:rPr>
      </w:pPr>
    </w:p>
    <w:p w14:paraId="03B46658">
      <w:pPr>
        <w:rPr>
          <w:color w:val="000000"/>
          <w:highlight w:val="none"/>
        </w:rPr>
      </w:pPr>
    </w:p>
    <w:p w14:paraId="4DA67BBD">
      <w:pPr>
        <w:rPr>
          <w:color w:val="000000"/>
          <w:highlight w:val="none"/>
        </w:rPr>
      </w:pPr>
    </w:p>
    <w:p w14:paraId="2AB8D5E2">
      <w:pPr>
        <w:rPr>
          <w:color w:val="000000"/>
          <w:highlight w:val="none"/>
        </w:rPr>
      </w:pPr>
    </w:p>
    <w:p w14:paraId="31892F59">
      <w:pPr>
        <w:rPr>
          <w:color w:val="000000"/>
          <w:highlight w:val="none"/>
        </w:rPr>
      </w:pPr>
    </w:p>
    <w:p w14:paraId="4070F598">
      <w:pPr>
        <w:rPr>
          <w:color w:val="000000"/>
          <w:highlight w:val="none"/>
        </w:rPr>
      </w:pPr>
    </w:p>
    <w:p w14:paraId="15D69928">
      <w:pPr>
        <w:rPr>
          <w:color w:val="000000"/>
          <w:highlight w:val="none"/>
        </w:rPr>
      </w:pPr>
    </w:p>
    <w:p w14:paraId="70A3AF24">
      <w:pPr>
        <w:rPr>
          <w:color w:val="000000"/>
          <w:highlight w:val="none"/>
        </w:rPr>
      </w:pPr>
    </w:p>
    <w:p w14:paraId="2667931A">
      <w:pPr>
        <w:rPr>
          <w:color w:val="000000"/>
          <w:highlight w:val="none"/>
        </w:rPr>
      </w:pPr>
    </w:p>
    <w:p w14:paraId="3B8B39E2">
      <w:pPr>
        <w:rPr>
          <w:color w:val="000000"/>
          <w:highlight w:val="none"/>
        </w:rPr>
      </w:pPr>
    </w:p>
    <w:p w14:paraId="200E8826">
      <w:pPr>
        <w:rPr>
          <w:color w:val="000000"/>
          <w:highlight w:val="none"/>
        </w:rPr>
      </w:pPr>
    </w:p>
    <w:p w14:paraId="5AD82013">
      <w:pPr>
        <w:rPr>
          <w:color w:val="000000"/>
          <w:highlight w:val="none"/>
        </w:rPr>
      </w:pPr>
    </w:p>
    <w:p w14:paraId="5BDC9E7A">
      <w:pPr>
        <w:rPr>
          <w:color w:val="000000"/>
          <w:highlight w:val="none"/>
        </w:rPr>
      </w:pPr>
    </w:p>
    <w:p w14:paraId="3DE52EA2">
      <w:pPr>
        <w:rPr>
          <w:color w:val="000000"/>
          <w:highlight w:val="none"/>
        </w:rPr>
      </w:pPr>
    </w:p>
    <w:p w14:paraId="47272133">
      <w:pPr>
        <w:rPr>
          <w:color w:val="000000"/>
          <w:highlight w:val="none"/>
        </w:rPr>
      </w:pPr>
    </w:p>
    <w:p w14:paraId="73058D13">
      <w:pPr>
        <w:rPr>
          <w:color w:val="000000"/>
          <w:highlight w:val="none"/>
        </w:rPr>
      </w:pPr>
    </w:p>
    <w:p w14:paraId="7E28BB0F">
      <w:pPr>
        <w:rPr>
          <w:color w:val="000000"/>
          <w:highlight w:val="none"/>
        </w:rPr>
      </w:pPr>
    </w:p>
    <w:p w14:paraId="498B5D82">
      <w:pPr>
        <w:rPr>
          <w:color w:val="000000"/>
          <w:highlight w:val="none"/>
        </w:rPr>
      </w:pPr>
    </w:p>
    <w:p w14:paraId="406A4603">
      <w:pPr>
        <w:rPr>
          <w:color w:val="000000"/>
          <w:highlight w:val="none"/>
        </w:rPr>
      </w:pPr>
    </w:p>
    <w:tbl>
      <w:tblPr>
        <w:tblStyle w:val="4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17"/>
        <w:gridCol w:w="67"/>
        <w:gridCol w:w="566"/>
        <w:gridCol w:w="631"/>
        <w:gridCol w:w="7467"/>
      </w:tblGrid>
      <w:tr w14:paraId="4E08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1" w:type="dxa"/>
            <w:gridSpan w:val="6"/>
            <w:tcBorders>
              <w:bottom w:val="single" w:color="auto" w:sz="4" w:space="0"/>
            </w:tcBorders>
            <w:shd w:val="clear" w:color="auto" w:fill="auto"/>
            <w:vAlign w:val="center"/>
          </w:tcPr>
          <w:p w14:paraId="2FBC97B2">
            <w:pPr>
              <w:keepNext w:val="0"/>
              <w:keepLines w:val="0"/>
              <w:pageBreakBefore w:val="0"/>
              <w:kinsoku/>
              <w:wordWrap/>
              <w:overflowPunct/>
              <w:topLinePunct w:val="0"/>
              <w:bidi w:val="0"/>
              <w:snapToGrid/>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B分标</w:t>
            </w:r>
            <w:r>
              <w:rPr>
                <w:rFonts w:hint="eastAsia" w:ascii="宋体" w:hAnsi="宋体" w:eastAsia="宋体" w:cs="宋体"/>
                <w:b/>
                <w:bCs/>
                <w:color w:val="000000" w:themeColor="text1"/>
                <w:sz w:val="21"/>
                <w:szCs w:val="21"/>
                <w:highlight w:val="none"/>
                <w14:textFill>
                  <w14:solidFill>
                    <w14:schemeClr w14:val="tx1"/>
                  </w14:solidFill>
                </w14:textFill>
              </w:rPr>
              <w:t>：5G网络部署与优化</w:t>
            </w:r>
          </w:p>
        </w:tc>
      </w:tr>
      <w:tr w14:paraId="5AFC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65165B04">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17" w:type="dxa"/>
            <w:tcBorders>
              <w:bottom w:val="single" w:color="auto" w:sz="4" w:space="0"/>
            </w:tcBorders>
            <w:shd w:val="clear" w:color="auto" w:fill="auto"/>
            <w:vAlign w:val="center"/>
          </w:tcPr>
          <w:p w14:paraId="410A5706">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633" w:type="dxa"/>
            <w:gridSpan w:val="2"/>
            <w:tcBorders>
              <w:bottom w:val="single" w:color="auto" w:sz="4" w:space="0"/>
            </w:tcBorders>
            <w:shd w:val="clear" w:color="auto" w:fill="FFFFFF"/>
            <w:vAlign w:val="center"/>
          </w:tcPr>
          <w:p w14:paraId="0A9A304E">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631" w:type="dxa"/>
            <w:tcBorders>
              <w:bottom w:val="single" w:color="auto" w:sz="4" w:space="0"/>
            </w:tcBorders>
            <w:shd w:val="clear" w:color="auto" w:fill="auto"/>
            <w:vAlign w:val="center"/>
          </w:tcPr>
          <w:p w14:paraId="72970F1C">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7467" w:type="dxa"/>
            <w:tcBorders>
              <w:bottom w:val="single" w:color="auto" w:sz="4" w:space="0"/>
            </w:tcBorders>
            <w:shd w:val="clear" w:color="auto" w:fill="auto"/>
            <w:noWrap/>
            <w:vAlign w:val="center"/>
          </w:tcPr>
          <w:p w14:paraId="6767DBC9">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具体说明、功能及技术参数要求</w:t>
            </w:r>
          </w:p>
        </w:tc>
      </w:tr>
      <w:tr w14:paraId="3DC9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483" w:type="dxa"/>
            <w:tcBorders>
              <w:top w:val="single" w:color="auto" w:sz="4" w:space="0"/>
            </w:tcBorders>
            <w:shd w:val="clear" w:color="auto" w:fill="auto"/>
            <w:vAlign w:val="center"/>
          </w:tcPr>
          <w:p w14:paraId="6CF5FA1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1017" w:type="dxa"/>
            <w:tcBorders>
              <w:top w:val="single" w:color="auto" w:sz="4" w:space="0"/>
            </w:tcBorders>
            <w:shd w:val="clear" w:color="auto" w:fill="auto"/>
            <w:vAlign w:val="center"/>
          </w:tcPr>
          <w:p w14:paraId="35C3622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rPr>
              <w:t>5G全网建设与优化虚拟仿真教学软件</w:t>
            </w:r>
          </w:p>
        </w:tc>
        <w:tc>
          <w:tcPr>
            <w:tcW w:w="633" w:type="dxa"/>
            <w:gridSpan w:val="2"/>
            <w:tcBorders>
              <w:top w:val="single" w:color="auto" w:sz="4" w:space="0"/>
            </w:tcBorders>
            <w:shd w:val="clear" w:color="auto" w:fill="FFFFFF"/>
            <w:vAlign w:val="center"/>
          </w:tcPr>
          <w:p w14:paraId="2E409C51">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631" w:type="dxa"/>
            <w:tcBorders>
              <w:top w:val="single" w:color="auto" w:sz="4" w:space="0"/>
            </w:tcBorders>
            <w:shd w:val="clear" w:color="auto" w:fill="auto"/>
            <w:vAlign w:val="center"/>
          </w:tcPr>
          <w:p w14:paraId="2FC79293">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节点</w:t>
            </w:r>
          </w:p>
        </w:tc>
        <w:tc>
          <w:tcPr>
            <w:tcW w:w="7467" w:type="dxa"/>
            <w:tcBorders>
              <w:top w:val="single" w:color="auto" w:sz="4" w:space="0"/>
            </w:tcBorders>
            <w:shd w:val="clear" w:color="auto" w:fill="auto"/>
            <w:vAlign w:val="center"/>
          </w:tcPr>
          <w:p w14:paraId="3BD57D37">
            <w:pPr>
              <w:keepNext w:val="0"/>
              <w:keepLines w:val="0"/>
              <w:pageBreakBefore w:val="0"/>
              <w:widowControl/>
              <w:numPr>
                <w:ilvl w:val="0"/>
                <w:numId w:val="7"/>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系统管理功能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（1）软件基于C/S架构，采用GUI图形化操作界面，场景建模以真实工作场景为原型。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（2）支持实训、竞技、测评模式。可用于考试、竞赛、测评、课堂学习、课后练习等多种途径。</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（3）支持竞技模式下在线团队合作与实训测评，支持两人及以上组队同时实训或竞技，支持队员之间数据实时同步。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（4）系统预置多个实训案例与实训数据，通过读取实训项目的存档数据，可以完成实训条件的数据预置，结合对应的实训目的和要求，可以支撑完成不同层级的教学要求。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2.网络规划功能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（1）支持SA和NSA两种组网模式。可灵活选择Option3x、Option2、Option4a 三种协议规定的网络架构。在不同组网模式下，能够对应完成不同的网络规划、网络配置和业务验证内容。</w:t>
            </w:r>
          </w:p>
          <w:p w14:paraId="0F3127B4">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（2）支持5G网络拓扑规划。可完成接入层、汇聚层、核心层网络拓扑的总体设计，能够基于有限节点，结合资源池中的各类网元及设备，设计合理的网络结构，完成网元之间的线路连接。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（3）支持从覆盖角度进行5G无线网络规划计算。支持上/下行链路预算参数和传播模型参数的灵活设置，可通过详细公式计算得到最大路径损耗、终端与基站距离、扇区覆盖半径和无线覆盖规划站点数。</w:t>
            </w:r>
          </w:p>
          <w:p w14:paraId="78DD87D1">
            <w:pPr>
              <w:keepNext w:val="0"/>
              <w:keepLines w:val="0"/>
              <w:pageBreakBefore w:val="0"/>
              <w:widowControl/>
              <w:numPr>
                <w:ilvl w:val="0"/>
                <w:numId w:val="8"/>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支持基于容量的无线网络规划，能够结合话务速率模型和帧结构配置，计算出满足容量需求的无线规划站点数目。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支持5G承载网的容量规划计算。包括承载接入网、承载汇聚网和承载核心网的3大模块。承载接入网支持接入环带宽和接入设备的计算；承载汇聚网支持（骨干）汇聚环带宽、（骨干）汇聚环数量的计算；承载核心网支持核心层带宽、核心层设备数量和省骨干网设备容量计算3个部分，可对其中的变量进行灵活改动。</w:t>
            </w:r>
            <w:r>
              <w:rPr>
                <w:rFonts w:hint="eastAsia" w:ascii="宋体" w:hAnsi="宋体" w:cs="宋体"/>
                <w:sz w:val="21"/>
                <w:szCs w:val="21"/>
                <w:highlight w:val="none"/>
                <w:lang w:eastAsia="zh-CN"/>
              </w:rPr>
              <w:t>（投标时请提供第三方检测报告复印件或产品说明截图或产品功能截图并加盖投标人单位公章，作为佐证材料）</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支持5G核心网的容量规划计算。至少包括AMF数量、UPF数量、VNF需求内存与存储和服务器数量计算4个部分。至少包括单VNF占用内存、单VNF占用存储、单AMF支持站点数目、单UPF支持站点数目、非对接无线VNF数量、单服务器内存、单服务器硬盘容量7个参数的设置，并能根据这些参数完成核心网容量规划4个部分的计算。可对其中的变量进行灵活改动。</w:t>
            </w:r>
          </w:p>
          <w:p w14:paraId="45C93C3E">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支持多场景站点选址，至少包括商业区、住宅区和一般郊区场景，至少支持铁塔、楼顶铁塔、美化树、楼顶管塔和管塔等塔型，最多可支持7个候选站点，支持基础天线参数设置，至少包括三个扇区的挂高、方位角、下倾角等参数。</w:t>
            </w:r>
          </w:p>
          <w:p w14:paraId="17DD8B8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（8）支持自动生成全局网络配置报告，便于查看各个站点的无线、承载、核心网络的参数配置情况。</w:t>
            </w:r>
          </w:p>
          <w:p w14:paraId="0C450E5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3.设备部署功能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（1）支持无线接入机房设备选型。可灵活部署相关设备，至少包括ITBBU，BBU（NAS架构）、SPN和ODF等，并能在设备指示图中展示设备之间的连接情况。</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（2）支持ITBBU设备部署，能兼容4G、5G，支持4G、5G基带板集成部署。</w:t>
            </w:r>
          </w:p>
          <w:p w14:paraId="5F77574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（3）CU采用通用虚拟化设备。支持CU、CU分离与合设部署。</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（4）支持天馈设备选型， 至少包括GPS部署和塔顶AAU 部署。AAU至少支持4G及5G（高/低频）3种型号选择，AAU 5G支持多种类型光口的灵活选择。</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（5）支持承载网机房室内设备灵活部署。支持OTN、ODF、SPN、路由器和三层交换机设备安装部署，支持多种型号选择，支持5G主流速率接口。OTN支持4组合波分波系统，支持OTN帧复用与解复用。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支持核心网机房设备选型。NSA组网模式下，可灵活选择EPC设备（包括MME、SGW、PGW、HSS）和交换机的设备安装及线缆连接；SA组网模式下，5GC核心网采用SBA服务架构，并支持NFV方式部署。支持AMF、SMF、UPF、UDM、AUSF、PCF、NSSF、NRF等8类基础网元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支持设备间的线缆连接及选型，支持丰富线缆类型选择，至少包括成对LC-LC光纤，单根LC-LC光纤，成对LC-FC光纤，单根LC-FC光纤，以太网线，天线跳线，GPS跳线，GPS馈线，接口类型与线缆类型存在逻辑对应关系。</w:t>
            </w:r>
          </w:p>
          <w:p w14:paraId="1858A1A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4.数据配置功能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（1）支持AAU射频参数配置，可根据实际需求灵活选择不同的频段范围和AAU收发模式。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（2）支持BBU和ITBB设备的网元配置，至少包括PLMN、网络模式、时钟同步模式、TDD/FDD网络制式、承载链路端口等。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（3）支持网元IP地址配置和SCTP、静态路由配置，能够实现无线设备之间、无线网与核心网之间的对接，静态链路类型至少支持NG偶联、XN偶联、F1偶联、E1偶联。</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（4）支持4/5G小区无线参数配置，至少包括小区标识、跟踪区码（TAC）、物理小区识别码（PCI）、小区功率、中心载频、频域带宽等参数。</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（5）支持物理信道配置，至少包括PUCCH、PUSCH、PRACH、SRS、PDCCH、PDSCH、PBCH等信道参数配置。</w:t>
            </w:r>
            <w:r>
              <w:rPr>
                <w:rFonts w:hint="eastAsia" w:ascii="宋体" w:hAnsi="宋体" w:eastAsia="宋体" w:cs="宋体"/>
                <w:sz w:val="21"/>
                <w:szCs w:val="21"/>
                <w:highlight w:val="none"/>
              </w:rPr>
              <w:br w:type="textWrapping"/>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6）承载网业务开通包括IP承载和光传输两部分。IP承载部分至少支持IP地址、路由等规划配置、FlexE切片/聚合/交叉配置、loopback接口配置、OSPF路由配置等功能；光传输部分至少支持电交叉、频率等规划与配置等功能。</w:t>
            </w:r>
          </w:p>
          <w:p w14:paraId="67EC450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（7）支持5GC核心网，至少包括AMF、SMF、AUSF、UPF、PCF、NSSF、UDM、NRF的数据配置和业务开通操作。支持用户签约及鉴权功能、http配置、虚拟路由配置、N4对接配置，切片功能配置。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（8）支持EPC核心网，至少包括MME、SGW、PGW、HSS的数据配置和业务开通，包括Diameter连接配置、号码分析配置、APN解析配置、EPC地址解析配置、APN管理、签约用户管理。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（9）支持通过配置小区的上/下行MIMO类型、上/下行空分组最大流数调整上传、下载速率大小。</w:t>
            </w:r>
          </w:p>
          <w:p w14:paraId="059E4D4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（10）支持4/5G双连接配置，包括4G→5G和5G→4G的X2链路配置，支持4G锚点下的5G邻区配置、4/5G分流配置。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5.业务调试功能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（1）支持小区业务验证，验证过程中支持小区信息实时反馈，至少包括SNSSAI ID、TAC、gNode B ID、DU小区ID、CU小区ID、PCI和小区中心载频等典型参数。</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通过Ping和Trace工具进行链路检测，能够显示Ping的统计信息，至少包括发送/接收成功的数据包数目、丢失数据包数目、丢失率和发送时间；Trace最多能够显示20个跃点跟踪路由。支持Ping和Trace的操作记录查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（3）支持状态信息查询，可查看物理接口、IP接口、路由表和OSPF邻居的状态。</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（4）支持OTN设备之间的光路检测，可通过检测结果定位光传输路径中的故障点。</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（5）支持告警信息提示，能够显示告警级别、告警生成时间、位置信息和告警描述，可根据告警内容定位网络故障原因。</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（6）支持信令跟踪，包含RRC、S1AP、NAS、X2AP、Diameter、GTPV2、HTTP、NGAP、PFCP、IP等类型，信令内容与参数配置联动。可根据所选测试内容、测试位置完成指定信令跟踪，每条信令支持详细内容展示。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（7）支持工程模式/实验模式两种学习模式。实验模式下支持完成无线网、核心网的配置之后进行业务调试， 工程模式下支持完成无线、核心网、承载网配置之后进行业务调试，两种模式可以自由切换。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6.网络优化功能</w:t>
            </w:r>
            <w:r>
              <w:rPr>
                <w:rFonts w:hint="eastAsia" w:ascii="宋体" w:hAnsi="宋体" w:eastAsia="宋体" w:cs="宋体"/>
                <w:sz w:val="21"/>
                <w:szCs w:val="21"/>
                <w:highlight w:val="none"/>
              </w:rPr>
              <w:br w:type="textWrapping"/>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（1）支持基础优化功能，涵盖高清语音、直播、超高清视频3种业务类型；支持CQT测试，且在测试过程中至少支持SSB Index、SSB RSRP、SSB SINR、ARFCN、PCI、Cell ID、gNodeB ID和TAC等典型参数的实时反馈；NSA模式下能够同时支持LTE和NR小区的信息反馈。</w:t>
            </w:r>
          </w:p>
          <w:p w14:paraId="1D2C9E3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支持移动性管理优化，包括DT测试过程中的重选、切换、漫游，测试逻辑满足S准则和R准则；至少支持最小RSRP接收电平、最小RSRP接收电平偏移、RSRP判决门限、小区重选迟滞等参数配置；优化过程中支持重选/切换/漫游成功率和主服务小区信息实时反馈。</w:t>
            </w:r>
          </w:p>
          <w:p w14:paraId="5049D58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支持多种切片类型的选择，包括eMBB、uRLLC、mMTC、V2X等不同切片类型，至少能够实现自动驾驶、AR远程医疗、智慧农业、智慧城市等典型应用场景。可针对不同5G典型应用进行自定义切片编排，并至少支持喷灌管理、驾驶管理、路灯管理、医疗设备管理等业务配置。</w:t>
            </w:r>
          </w:p>
        </w:tc>
      </w:tr>
      <w:tr w14:paraId="716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5AE726A1">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1017" w:type="dxa"/>
            <w:tcBorders>
              <w:top w:val="single" w:color="auto" w:sz="4" w:space="0"/>
            </w:tcBorders>
            <w:shd w:val="clear" w:color="auto" w:fill="auto"/>
            <w:vAlign w:val="center"/>
          </w:tcPr>
          <w:p w14:paraId="1B40BB00">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rPr>
              <w:t>仿真教学管理平台</w:t>
            </w:r>
          </w:p>
        </w:tc>
        <w:tc>
          <w:tcPr>
            <w:tcW w:w="633" w:type="dxa"/>
            <w:gridSpan w:val="2"/>
            <w:tcBorders>
              <w:top w:val="single" w:color="auto" w:sz="4" w:space="0"/>
            </w:tcBorders>
            <w:shd w:val="clear" w:color="auto" w:fill="FFFFFF"/>
            <w:vAlign w:val="center"/>
          </w:tcPr>
          <w:p w14:paraId="7914779A">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tcBorders>
              <w:top w:val="single" w:color="auto" w:sz="4" w:space="0"/>
            </w:tcBorders>
            <w:shd w:val="clear" w:color="auto" w:fill="auto"/>
            <w:vAlign w:val="center"/>
          </w:tcPr>
          <w:p w14:paraId="6E67E277">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tcBorders>
              <w:top w:val="single" w:color="auto" w:sz="4" w:space="0"/>
            </w:tcBorders>
            <w:shd w:val="clear" w:color="auto" w:fill="auto"/>
            <w:vAlign w:val="center"/>
          </w:tcPr>
          <w:p w14:paraId="11766A3E">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支持B/S（WEB）架构，手机、电脑以及智能终端设备只要连接互联网，随时随地可以接入访问。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具备基本用户管理功能，支持账号管理、群组管理、群组授权、用户统计四大管理模块。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（1）账户管理：账号分为管理员（老师）和普通用户（学生）两种类型，管理员账号可实现添加、删除、编辑用户信息等功能，账号命名可根据用户信息、学号、姓名等添加账号；</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（2）群组管理：可实现用户账号按组(班级）分配功能；管理员可根据课表设置用户数量；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（3）群组授权：可实现调控群组账号优先级的功能，管理员可对指定群组进行灵活程排课，也可对所有群组进行固定排期；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（4）用户统计：可查看所有用户使用状态信息功能，管理员可通过用户自动统计数据查看学生近期一周、一个月等使用的次数以及练习的时长，可通过导出excel的形式记录用户的日常使用情况。</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具备教辅功能，支持赛事向导、赛事管理、试题管理、战队管理等四大管理模块。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（1）赛事向导：可指导用户操作实现添加赛事、组建赛事、下发试题整个流程介绍；</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（2）赛事管理：管理员可自行组织校内比赛，期末考试、课堂竞赛等，并具备对比赛过程进行实时监控和阅卷管理功能，管理员可自定义赛事开始时间以及终止时间；</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（3）战队管理：可实现多战队导入、组建、编辑功能，同一战队多人共享一份数据；可根据上课需求，单个用户组建一支战队；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（4）试题管理：可实现试题下发、任务书编写、排错答案录入，可以自定义设置分值，支持导出用户成绩。</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4、个人信息设置：可实现手机、邮箱绑定功能，管理员可初始化用户密码。</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5、回收站：可找回误删除的账号、战队、赛事、试题等内容。</w:t>
            </w:r>
          </w:p>
        </w:tc>
      </w:tr>
      <w:tr w14:paraId="0230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44556C6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1017" w:type="dxa"/>
            <w:tcBorders>
              <w:top w:val="single" w:color="auto" w:sz="4" w:space="0"/>
            </w:tcBorders>
            <w:shd w:val="clear" w:color="auto" w:fill="auto"/>
            <w:vAlign w:val="center"/>
          </w:tcPr>
          <w:p w14:paraId="6C1E659B">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rPr>
              <w:t>5G智能制造专网实训平台</w:t>
            </w:r>
          </w:p>
        </w:tc>
        <w:tc>
          <w:tcPr>
            <w:tcW w:w="633" w:type="dxa"/>
            <w:gridSpan w:val="2"/>
            <w:tcBorders>
              <w:top w:val="single" w:color="auto" w:sz="4" w:space="0"/>
            </w:tcBorders>
            <w:shd w:val="clear" w:color="auto" w:fill="FFFFFF"/>
            <w:vAlign w:val="center"/>
          </w:tcPr>
          <w:p w14:paraId="026748BE">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631" w:type="dxa"/>
            <w:tcBorders>
              <w:top w:val="single" w:color="auto" w:sz="4" w:space="0"/>
            </w:tcBorders>
            <w:shd w:val="clear" w:color="auto" w:fill="auto"/>
            <w:vAlign w:val="center"/>
          </w:tcPr>
          <w:p w14:paraId="2F1CE688">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节点</w:t>
            </w:r>
          </w:p>
        </w:tc>
        <w:tc>
          <w:tcPr>
            <w:tcW w:w="7467" w:type="dxa"/>
            <w:tcBorders>
              <w:top w:val="single" w:color="auto" w:sz="4" w:space="0"/>
            </w:tcBorders>
            <w:shd w:val="clear" w:color="auto" w:fill="auto"/>
            <w:vAlign w:val="center"/>
          </w:tcPr>
          <w:p w14:paraId="16CB30E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（一）系统功能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应采用C/S架构设计，可兼容windows7及以上64位操作系统。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支持≥1920×1080分辨率。</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支持GUI图形化操作界面，基于Unity3D开发设计，仿真场景均为3D场景，包含第一人称视角与全景视角。人机界面友好，易于上手，便于教学、竞赛、自学。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支持竞技模式与实训模式，支持单人竞技、两人及以上组队同时实训或竞技，队员之间数据实时同步。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支持自定义竞赛试题与实训任务，可在线下发试题或任务至多个战队。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所有模块均支持独立自动评价，并自动输出评分报告。</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支持用户实训状态与实训成绩实时图形化监控与评价，并支持实训成绩导出。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（二）软件功能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系统应以5G全连接工厂为原型设计，至少包含场景升级、规划设计、网络部署、参数配置、项目验收5大模块，与真实5G数字化工厂数字化升级流程一致。</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支持场景升级功能</w:t>
            </w:r>
            <w:r>
              <w:rPr>
                <w:rFonts w:hint="eastAsia" w:ascii="宋体" w:hAnsi="宋体" w:eastAsia="宋体" w:cs="宋体"/>
                <w:sz w:val="21"/>
                <w:szCs w:val="21"/>
                <w:highlight w:val="none"/>
              </w:rPr>
              <w:br w:type="textWrapping"/>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1）支持对工厂传统场景进行5G数字化升级，工厂至少包括原料入库区、原料仓库、生产车间及成品仓库等典型生产场景，至少包括智能输送线、智能货柜、PCBA产线、装配与烧录产线与包装产线等常见智能产线，支持产线的自由布放。</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（2）支持丰富多样的智能终端类型，至少包括智能扫描仪、AGV小车、智能堆垛机、机械臂、摄像头、智能手环与数据采集器等，支持智能终端自由布放。</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（3）支持终端原子能力需求配置，至少包含时延、带宽、可靠性等5G专用网络原子能力。</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（4）自动输出场景升级报告。</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支持规划设计功能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（１）支持公网公用、公网专用与专网专用3种5G专用网络组网模式，用户可</w:t>
            </w:r>
            <w:r>
              <w:rPr>
                <w:rFonts w:hint="eastAsia" w:ascii="宋体" w:hAnsi="宋体" w:eastAsia="宋体" w:cs="宋体"/>
                <w:sz w:val="21"/>
                <w:szCs w:val="21"/>
                <w:highlight w:val="none"/>
              </w:rPr>
              <w:t>根据实际场景需求灵活进行组网模式选择。</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（２）支持网络规场景属性自定义，至少包括物理小区载波数、预算、利旧资源、机房距离等，并能够与后续规划计算实时联动。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（３）支持网络拓扑规划，至少</w:t>
            </w:r>
            <w:r>
              <w:rPr>
                <w:rFonts w:hint="eastAsia" w:ascii="宋体" w:hAnsi="宋体" w:eastAsia="宋体" w:cs="宋体"/>
                <w:sz w:val="21"/>
                <w:szCs w:val="21"/>
                <w:highlight w:val="none"/>
              </w:rPr>
              <w:t>包含5GC、MEC、SW、防火墙、DN、SDN、SPN、OTN、ITBBU、RRU-HUB、pRRU与终端等网元，网元间连线应能支持ToB、ToC与ToBToC三种连接方式，5GC应能支持AMF、NSSF、SMF、AUSF、NRF、UDM、PCF、UPF、NEF等网络功能，MEC应能支持MEP、MEC APP、UPF等网络功能。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（４）支持工厂内覆盖规划，包括pRRU位置、归属RRU-HUB及对应的扇区配置。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５）支持网络估算，至少包含规划扇区下各载波的小区吞吐量、承载传输带宽、核心网传输带宽载波用户面时延、远端传输用户面时延、承载节点用户面时延、核心节点用户面时延、边缘设备数量、无线设备数量、承载设备数量及核心网设备数量计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（６）支持网络切片设计，包括切片模板、切片子模板、切片产品实例配置，切片模板能够支持多种不同等级的切片类型。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（７）支持网络规划报告自动生成，支持网络带宽、时延性能规划统计与工程资源与软件服务资源成本预算统计，并支持系统网络规划报告自动生成与导出。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支持网络部署功能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（1）支持光模块选型及部署，至少10G、25G、50G、100G、200G共5种常用类型，线缆至少支持双芯光纤LC-LC、双芯光纤LC-FC、单芯光纤LC-LC、单芯光纤LC-FC与光电复合缆5种常用类型。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（2）支持在原料入库区、原料仓库、生产车间及成品仓库完成pRRU与RRU-HUB部署、光模块选型及设备线缆连接。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（3）支持在工厂内机房完成ITBBU、SPN、MEC服务器、DN服务器、SDN服务器、5GC服务器、RT、SW部署与连线。</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支持参数配置功能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（1）支持sub6G、FR2-1与FR2-2毫米波5G网络频段，支持NR TDD网络制式。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（2）支持无线网数据配置，至少可完成CUDU的路由及SCTP对接配置、R15/R16/R17标准协议支持的网络切片配置、multi TRP配置、超级上行SUL及uplink switch配置、免授权调度配置、RB预留配置、2步快速接入配置、载波聚合配置，5G物理信道配置、5G频点及CUDU标识等公共参数配置、QoS配置、邻区与邻接关系配置、切换重选配置等。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（3）支持承载网数据配置，至少可完成IP承载配置，包含IP地址、路由等规划配置、FlexE切片的聚合/交叉配置、前传网络配置、SR配置、SDN配置。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支持核心网配置，至少包含AMF、SMF、UPF、UDM、NRF、NSSF、AUSF、PCF及NEF等网络功能的数据配置与业务开通配置，包含HTTP虚拟化对接配置、切片签约与切片功能编排配置、用户签约鉴权配置、QoS配置、NF实例配置、NF服务实例配置、NF公共参数配置、核心网策略配置及NF注册等虚拟化业务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（5）支持MEC服务配置，可完成MEP、MEC APP与边缘UPF基础开通、Mx/Mp/Mm接口配置、高级/基础/二层ACL配置、QoS流量监管配置、边缘策略配置、无线网络信息服务配置（包含无线RAB、PLMN信息）、位置信息服务配置、业务管理服务（包含带宽管理、会话管理、接入能力）配置、边缘应用管理配置、边缘UPF切片与边缘计算策略配置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（6）支持参数集合模板配置方式，可配置部分公共参数统一参数模板，并供各无线小区直接调用。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支持项目验收功能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（1）可通过告警、Ping、Trace、路由表与接口状态查询等链路工具，完成基本链路调试及故障处理。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（2）支持智能终端设备业务调试，包含注册与会话业务测试。</w:t>
            </w:r>
          </w:p>
        </w:tc>
      </w:tr>
      <w:tr w14:paraId="1B4B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D261271">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1017" w:type="dxa"/>
            <w:shd w:val="clear" w:color="auto" w:fill="auto"/>
            <w:vAlign w:val="center"/>
          </w:tcPr>
          <w:p w14:paraId="3900C8E7">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rPr>
              <w:t>5G路测分析软件</w:t>
            </w:r>
          </w:p>
        </w:tc>
        <w:tc>
          <w:tcPr>
            <w:tcW w:w="633" w:type="dxa"/>
            <w:gridSpan w:val="2"/>
            <w:shd w:val="clear" w:color="auto" w:fill="FFFFFF"/>
            <w:vAlign w:val="center"/>
          </w:tcPr>
          <w:p w14:paraId="141DB2EC">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7F8C90D2">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348AD265">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支持采用多种主流芯片测试方案、可采集多种网络制式的空口信息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支持高速率、低时延业务模式测试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支持包含DT路测、CQT定点测试、单站专项测试等测试场景，可同步呈现无线参数、信令和事件数据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支持数据分析和报告导出功能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支持高通、海思芯片的采集与解码，可采集非接入层、RRC信令、 IMS的SIP信令，以及两个芯片平台的L1\L2层信令，并支持信令详解呈现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支持多数据联动回放，支持各种网络调度资源情况窗口化呈现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多样化的数据分析功能，不限于导入图层、工参关联分析，添加参数、时间、业务、区域、条件、栅格等多种类型的过滤条件筛选数据，多样化的分析模板快捷分析，以及多样化的定制报表和KPI自定义报表指标输出</w:t>
            </w:r>
            <w:r>
              <w:rPr>
                <w:rFonts w:hint="eastAsia" w:ascii="宋体" w:hAnsi="宋体" w:eastAsia="宋体" w:cs="宋体"/>
                <w:sz w:val="21"/>
                <w:szCs w:val="21"/>
                <w:highlight w:val="none"/>
                <w:lang w:eastAsia="zh-CN"/>
              </w:rPr>
              <w:t>。</w:t>
            </w:r>
            <w:r>
              <w:rPr>
                <w:rFonts w:hint="eastAsia" w:hAnsi="宋体"/>
                <w:sz w:val="21"/>
                <w:szCs w:val="21"/>
                <w:highlight w:val="none"/>
              </w:rPr>
              <w:t xml:space="preserve"> </w:t>
            </w:r>
          </w:p>
        </w:tc>
      </w:tr>
      <w:tr w14:paraId="627A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3" w:type="dxa"/>
            <w:shd w:val="clear" w:color="auto" w:fill="auto"/>
            <w:vAlign w:val="center"/>
          </w:tcPr>
          <w:p w14:paraId="7B0F5565">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1017" w:type="dxa"/>
            <w:shd w:val="clear" w:color="auto" w:fill="auto"/>
            <w:vAlign w:val="center"/>
          </w:tcPr>
          <w:p w14:paraId="7C690C4D">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rPr>
              <w:t>5G网络优化专用测试终端</w:t>
            </w:r>
          </w:p>
        </w:tc>
        <w:tc>
          <w:tcPr>
            <w:tcW w:w="633"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DFA01EA">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A9CC">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7AA25447">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CPU架构：arm构架，8核以上cpu，4nm工艺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RAM容量：8GB及以上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ROM容量：128GB及以上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屏幕尺寸：6.7英寸及以上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支持5G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已刷机并打开测试端口，支持连接路测软件进行测试。</w:t>
            </w:r>
          </w:p>
        </w:tc>
      </w:tr>
      <w:tr w14:paraId="6A6D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99B7A08">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1017" w:type="dxa"/>
            <w:shd w:val="clear" w:color="auto" w:fill="auto"/>
            <w:vAlign w:val="center"/>
          </w:tcPr>
          <w:p w14:paraId="1AF05B6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BBU</w:t>
            </w:r>
          </w:p>
        </w:tc>
        <w:tc>
          <w:tcPr>
            <w:tcW w:w="633" w:type="dxa"/>
            <w:gridSpan w:val="2"/>
            <w:shd w:val="clear" w:color="auto" w:fill="FFFFFF"/>
            <w:vAlign w:val="center"/>
          </w:tcPr>
          <w:p w14:paraId="49534CA5">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2FBFCEAA">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2B2E325B">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cs="宋体" w:eastAsiaTheme="minorEastAsia"/>
                <w:dstrike/>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设备尺寸小，不超过19英寸宽度、2U高度</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支持≥2主控板、≥5个基带板槽位，电源板、风扇板和环境监控板固定配置在BBU内的相应位置</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采用IP交换模式，提供10G/25Gbps光接口，支持射频模块星形或链形拓扑结构组网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单BBU机框支持不少于30个100MHz NR小区</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支持-48VDC（-38.4V DC～-57V DC）或220V AC内置或外置交流模块的供电方式</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支持内置GNSS接收机、IEEE1588、1PPS+TOD和SyncE等多种时钟同步方式</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典型功耗（S111）不高于210W，满配功耗（主控板基带板插满）不高于1045W</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lang w:val="en-US" w:eastAsia="zh-CN"/>
              </w:rPr>
              <w:t>.</w:t>
            </w:r>
            <w:r>
              <w:rPr>
                <w:rFonts w:hint="eastAsia" w:asciiTheme="minorEastAsia" w:hAnsiTheme="minorEastAsia" w:eastAsiaTheme="minorEastAsia"/>
                <w:sz w:val="21"/>
                <w:szCs w:val="21"/>
                <w:highlight w:val="none"/>
              </w:rPr>
              <w:t>工作温度：-10℃～+55℃（长期工作）</w:t>
            </w:r>
            <w:r>
              <w:rPr>
                <w:rFonts w:hint="eastAsia" w:asciiTheme="minorEastAsia" w:hAnsiTheme="minorEastAsia" w:eastAsiaTheme="minorEastAsia"/>
                <w:sz w:val="21"/>
                <w:szCs w:val="21"/>
                <w:highlight w:val="none"/>
                <w:lang w:eastAsia="zh-CN"/>
              </w:rPr>
              <w:t>。</w:t>
            </w:r>
          </w:p>
        </w:tc>
      </w:tr>
      <w:tr w14:paraId="7FC6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6015AFB">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1017" w:type="dxa"/>
            <w:shd w:val="clear" w:color="auto" w:fill="auto"/>
            <w:vAlign w:val="center"/>
          </w:tcPr>
          <w:p w14:paraId="1D5A717A">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NR基带板</w:t>
            </w:r>
          </w:p>
        </w:tc>
        <w:tc>
          <w:tcPr>
            <w:tcW w:w="633" w:type="dxa"/>
            <w:gridSpan w:val="2"/>
            <w:shd w:val="clear" w:color="auto" w:fill="FFFFFF"/>
            <w:vAlign w:val="center"/>
          </w:tcPr>
          <w:p w14:paraId="2151E76B">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3F07C893">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c>
          <w:tcPr>
            <w:tcW w:w="7467" w:type="dxa"/>
            <w:shd w:val="clear" w:color="auto" w:fill="auto"/>
            <w:vAlign w:val="center"/>
          </w:tcPr>
          <w:p w14:paraId="2397326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支持FDD NR: 3×50MHz 4TR小区及6×20MHz 4TR小区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F4853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4G/5G双模，兼容NSA/SA架构</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E3F638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基带处理能力：最高20Gbps下行吞吐量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A5054C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支持3GPP R16协议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45DFDB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接口：</w:t>
            </w:r>
            <w:r>
              <w:rPr>
                <w:rFonts w:hint="eastAsia" w:asciiTheme="minorEastAsia" w:hAnsiTheme="minorEastAsia" w:eastAsiaTheme="minorEastAsia"/>
                <w:sz w:val="21"/>
                <w:szCs w:val="21"/>
                <w:highlight w:val="none"/>
              </w:rPr>
              <w:t>≥</w:t>
            </w:r>
            <w:r>
              <w:rPr>
                <w:rFonts w:hint="eastAsia" w:ascii="宋体" w:hAnsi="宋体" w:eastAsia="宋体" w:cs="宋体"/>
                <w:color w:val="000000" w:themeColor="text1"/>
                <w:sz w:val="21"/>
                <w:szCs w:val="21"/>
                <w:highlight w:val="none"/>
                <w14:textFill>
                  <w14:solidFill>
                    <w14:schemeClr w14:val="tx1"/>
                  </w14:solidFill>
                </w14:textFill>
              </w:rPr>
              <w:t>2×10GE光口，支持CPRI/eCPRI</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26F6E91">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功耗：典型值150W，峰值200W</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840B07">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载波聚合：支持最多8CC</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DDC6248">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时延：用户面时延≤1ms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BD3FB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工作温度：-40°C至+55°C</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11255B">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尺寸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：482.6mm×220mm×44.5mm。</w:t>
            </w:r>
          </w:p>
        </w:tc>
      </w:tr>
      <w:tr w14:paraId="141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5A9F3B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1017" w:type="dxa"/>
            <w:shd w:val="clear" w:color="auto" w:fill="auto"/>
            <w:vAlign w:val="center"/>
          </w:tcPr>
          <w:p w14:paraId="67CD5388">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NR主控板</w:t>
            </w:r>
          </w:p>
        </w:tc>
        <w:tc>
          <w:tcPr>
            <w:tcW w:w="633" w:type="dxa"/>
            <w:gridSpan w:val="2"/>
            <w:shd w:val="clear" w:color="auto" w:fill="FFFFFF"/>
            <w:vAlign w:val="center"/>
          </w:tcPr>
          <w:p w14:paraId="2F50C334">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4F72C20B">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c>
          <w:tcPr>
            <w:tcW w:w="7467" w:type="dxa"/>
            <w:shd w:val="clear" w:color="auto" w:fill="auto"/>
            <w:vAlign w:val="center"/>
          </w:tcPr>
          <w:p w14:paraId="46758154">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4G/5G双模基站核心控制，支持Sub-6 GHz频段。</w:t>
            </w:r>
          </w:p>
          <w:p w14:paraId="3755BD26">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大规模MIMO：最高支持64T64R。</w:t>
            </w:r>
          </w:p>
          <w:p w14:paraId="0E11F1D3">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控制面容量：最大支持2000个并发用户。</w:t>
            </w:r>
          </w:p>
          <w:p w14:paraId="37ACA23C">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协议支持：3GPP R15/R16。</w:t>
            </w:r>
          </w:p>
          <w:p w14:paraId="0C8EF71C">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网络管理：支持端到端切片、AI节能算法。</w:t>
            </w:r>
          </w:p>
          <w:p w14:paraId="14C3BB7C">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冗余设计：主备倒换时间≤50ms。</w:t>
            </w:r>
          </w:p>
          <w:p w14:paraId="0A6F7502">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接口：≥2×25GE上行接口，支持FlexE。</w:t>
            </w:r>
          </w:p>
          <w:p w14:paraId="18FA4836">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热插拔：支持在线更换。</w:t>
            </w:r>
          </w:p>
          <w:p w14:paraId="43E0FBAA">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功耗：典型值80W，峰值120W。</w:t>
            </w:r>
          </w:p>
        </w:tc>
      </w:tr>
      <w:tr w14:paraId="4D9B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800BE2F">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1017" w:type="dxa"/>
            <w:shd w:val="clear" w:color="auto" w:fill="auto"/>
            <w:vAlign w:val="center"/>
          </w:tcPr>
          <w:p w14:paraId="5D37690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GPS/BDS配套件</w:t>
            </w:r>
          </w:p>
        </w:tc>
        <w:tc>
          <w:tcPr>
            <w:tcW w:w="633" w:type="dxa"/>
            <w:gridSpan w:val="2"/>
            <w:shd w:val="clear" w:color="auto" w:fill="FFFFFF"/>
            <w:vAlign w:val="center"/>
          </w:tcPr>
          <w:p w14:paraId="182A3041">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3359810D">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630F1DA1">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套件包含GPS天线1副，GPS馈线1米，GPS共享套件1套，防雷器1个条，单模尾纤2条。</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（1）GPS&amp;北斗双模时钟天馈系统套件，包含GPS/北斗双模天线及相应馈线、安材等。</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（2）至少可支持1个BBU共用GPS&amp;北斗系统时配置。</w:t>
            </w:r>
          </w:p>
        </w:tc>
      </w:tr>
      <w:tr w14:paraId="70C1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9FFD8C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1017" w:type="dxa"/>
            <w:shd w:val="clear" w:color="auto" w:fill="auto"/>
            <w:vAlign w:val="center"/>
          </w:tcPr>
          <w:p w14:paraId="0E722998">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RRU 4T4R</w:t>
            </w:r>
          </w:p>
        </w:tc>
        <w:tc>
          <w:tcPr>
            <w:tcW w:w="633" w:type="dxa"/>
            <w:gridSpan w:val="2"/>
            <w:shd w:val="clear" w:color="auto" w:fill="FFFFFF"/>
            <w:vAlign w:val="center"/>
          </w:tcPr>
          <w:p w14:paraId="40D2177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2E8075F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4B23F87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支持1.8G+2.1G频段，输出功率：≥4×120W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设备采用4T4R，支持4×4MIMO，提高频率效率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设备体积不高于23L，设备重量不高于23kg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防护等级:≥IP65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工作温度长期：-40℃～55℃</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1A0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E8108F7">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1017" w:type="dxa"/>
            <w:shd w:val="clear" w:color="auto" w:fill="auto"/>
            <w:vAlign w:val="center"/>
          </w:tcPr>
          <w:p w14:paraId="37907F8E">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手持GPS定位仪</w:t>
            </w:r>
          </w:p>
        </w:tc>
        <w:tc>
          <w:tcPr>
            <w:tcW w:w="633" w:type="dxa"/>
            <w:gridSpan w:val="2"/>
            <w:shd w:val="clear" w:color="auto" w:fill="FFFFFF"/>
            <w:vAlign w:val="center"/>
          </w:tcPr>
          <w:p w14:paraId="6F9CF098">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4402A729">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56FDD6C6">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1.1 定位系统</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①支持多星定位系统（如GPS、北斗、GLONASS等），可能覆盖六星信号，提升复杂环境下的定位稳定性。</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②定位精度：面积测量精度达0.01亩（约6.67平方米），适用于高精度土地测绘；单点定位精度推测为1～3米。</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1.2 接收性能</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①采用高灵敏度接收芯片，冷启动时间＜45秒，热启动时间＜2秒，信号刷新率1Hz。</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②支持航点平均取点功能，进一步优化定位精度。</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2.硬件配置</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2.1 屏幕与操作</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①配备触控屏，尺寸</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Theme="minorEastAsia" w:hAnsiTheme="minorEastAsia" w:eastAsiaTheme="minorEastAsia"/>
                <w:sz w:val="21"/>
                <w:szCs w:val="21"/>
                <w:highlight w:val="none"/>
              </w:rPr>
              <w:t>2.8英寸，支持全屏手写输入。</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防护等级：工业级三防设计（防尘、防水、防摔），防护等级至少IP65，抗1.5米跌落。</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2.2 续航与电池</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内置高容量锂电池，连续工作时间约16～26小时。</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支持车载充电器或USB充电，适应户外长时间作业。</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2.3 存储与扩展</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内置存储容量</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Theme="minorEastAsia" w:hAnsiTheme="minorEastAsia" w:eastAsiaTheme="minorEastAsia"/>
                <w:sz w:val="21"/>
                <w:szCs w:val="21"/>
                <w:highlight w:val="none"/>
              </w:rPr>
              <w:t>2GB，支持TF卡扩展至4GB，满足航点、航迹无限量存储需求。</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 测量与功能</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3.1 多模式测量</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支持实时航迹测量、定点距离测量、手动长宽面积计算，测量结果可图形化显示并编辑。</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内置海拔测量功能，适应山地、丘陵等复杂地形。</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3.2 数据管理</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可导出数据为CSV、MIF、DXF等格式，支持图形打印及转换。</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内置价格计算功能，根据测量面积与预设单价自动生成总价。</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3.3 实用工具</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可能配备摄像头，用于现场拍照标注测绘点。</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支持电子罗盘、气压计等传感器，辅助户外导航。</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4. 环境适应性</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 工作温度：-20℃～+60℃，适应极端气候。</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② 湿度范围：5%～95% RH（非冷凝状态），防尘防潮。</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5. 应用场景</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 适用于土地测绘、工程放样、农机导航、海上垂钓定位及信鸽测距等高精度需求场景。</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② 支持户外勘测与施工规划，依赖航迹记录与图形化查询功能。</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6. 其他特性</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① 扩展配件：兼容车载支架、外接天线等。</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②</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软件支持：可能搭载定制GIS测量软件，支持坐标库管理与数据定制。</w:t>
            </w:r>
          </w:p>
        </w:tc>
      </w:tr>
      <w:tr w14:paraId="45DE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F93DB8F">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1017" w:type="dxa"/>
            <w:shd w:val="clear" w:color="auto" w:fill="auto"/>
            <w:vAlign w:val="center"/>
          </w:tcPr>
          <w:p w14:paraId="5384B34D">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激光测距仪</w:t>
            </w:r>
          </w:p>
        </w:tc>
        <w:tc>
          <w:tcPr>
            <w:tcW w:w="633" w:type="dxa"/>
            <w:gridSpan w:val="2"/>
            <w:shd w:val="clear" w:color="auto" w:fill="FFFFFF"/>
            <w:vAlign w:val="center"/>
          </w:tcPr>
          <w:p w14:paraId="41598699">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6EE80FB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台</w:t>
            </w:r>
          </w:p>
        </w:tc>
        <w:tc>
          <w:tcPr>
            <w:tcW w:w="7467" w:type="dxa"/>
            <w:shd w:val="clear" w:color="auto" w:fill="auto"/>
            <w:vAlign w:val="center"/>
          </w:tcPr>
          <w:p w14:paraId="13175A20">
            <w:pPr>
              <w:keepNext w:val="0"/>
              <w:keepLines w:val="0"/>
              <w:pageBreakBefore w:val="0"/>
              <w:widowControl/>
              <w:numPr>
                <w:ilvl w:val="0"/>
                <w:numId w:val="9"/>
              </w:numPr>
              <w:kinsoku/>
              <w:wordWrap/>
              <w:overflowPunct/>
              <w:topLinePunct w:val="0"/>
              <w:bidi w:val="0"/>
              <w:snapToGrid/>
              <w:spacing w:line="360" w:lineRule="auto"/>
              <w:textAlignment w:val="center"/>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测量范围:0.05-50米/0-360°(4×90°)</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2.测量精度:±1.5毫米/±0.2°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3.最小显示单位:0.5毫米/0.1°</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4.数据储存:</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Theme="minorEastAsia" w:hAnsiTheme="minorEastAsia" w:eastAsiaTheme="minorEastAsia"/>
                <w:sz w:val="21"/>
                <w:szCs w:val="21"/>
                <w:highlight w:val="none"/>
              </w:rPr>
              <w:t>30组</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5.测量单位:米、厘米、英尺</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6.激光等级:≤2</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7.激光种类:515纳米，＜1毫瓦</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8.保护种类:IP65(防尘、防溅)</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9.测量倾斜度范围:0～360°(4×90°)</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10.工作温度范围:-10℃～+45℃℃</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11.电池:2节5号电池</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12.自动关闭功能:激光(20秒)、机器(5分钟)</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13.尺寸(</w:t>
            </w:r>
            <w:r>
              <w:rPr>
                <w:rFonts w:hint="eastAsia" w:asciiTheme="minorEastAsia" w:hAnsiTheme="minorEastAsia" w:eastAsiaTheme="minorEastAsia"/>
                <w:sz w:val="21"/>
                <w:szCs w:val="21"/>
                <w:highlight w:val="none"/>
                <w:lang w:eastAsia="zh-CN"/>
              </w:rPr>
              <w:t>约</w:t>
            </w:r>
            <w:r>
              <w:rPr>
                <w:rFonts w:hint="eastAsia" w:asciiTheme="minorEastAsia" w:hAnsiTheme="minorEastAsia" w:eastAsiaTheme="minorEastAsia"/>
                <w:sz w:val="21"/>
                <w:szCs w:val="21"/>
                <w:highlight w:val="none"/>
              </w:rPr>
              <w:t>):119×53×29毫米</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14.尺寸(</w:t>
            </w:r>
            <w:r>
              <w:rPr>
                <w:rFonts w:hint="eastAsia" w:asciiTheme="minorEastAsia" w:hAnsiTheme="minorEastAsia" w:eastAsiaTheme="minorEastAsia"/>
                <w:sz w:val="21"/>
                <w:szCs w:val="21"/>
                <w:highlight w:val="none"/>
                <w:lang w:eastAsia="zh-CN"/>
              </w:rPr>
              <w:t>约</w:t>
            </w:r>
            <w:r>
              <w:rPr>
                <w:rFonts w:hint="eastAsia" w:asciiTheme="minorEastAsia" w:hAnsiTheme="minorEastAsia" w:eastAsiaTheme="minorEastAsia"/>
                <w:sz w:val="21"/>
                <w:szCs w:val="21"/>
                <w:highlight w:val="none"/>
              </w:rPr>
              <w:t>):119×53×29毫米</w:t>
            </w:r>
            <w:r>
              <w:rPr>
                <w:rFonts w:hint="eastAsia" w:asciiTheme="minorEastAsia" w:hAnsiTheme="minorEastAsia" w:eastAsiaTheme="minorEastAsia"/>
                <w:sz w:val="21"/>
                <w:szCs w:val="21"/>
                <w:highlight w:val="none"/>
                <w:lang w:eastAsia="zh-CN"/>
              </w:rPr>
              <w:t>。</w:t>
            </w:r>
          </w:p>
          <w:p w14:paraId="2894A7D9">
            <w:pPr>
              <w:keepNext w:val="0"/>
              <w:keepLines w:val="0"/>
              <w:pageBreakBefore w:val="0"/>
              <w:widowControl/>
              <w:numPr>
                <w:ilvl w:val="0"/>
                <w:numId w:val="0"/>
              </w:numPr>
              <w:kinsoku/>
              <w:wordWrap/>
              <w:overflowPunct/>
              <w:topLinePunct w:val="0"/>
              <w:bidi w:val="0"/>
              <w:snapToGrid/>
              <w:spacing w:line="360" w:lineRule="auto"/>
              <w:textAlignment w:val="center"/>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15.重量(主机):</w:t>
            </w:r>
            <w:r>
              <w:rPr>
                <w:rFonts w:hint="eastAsia" w:asciiTheme="minorEastAsia" w:hAnsiTheme="minorEastAsia" w:eastAsiaTheme="minorEastAsia"/>
                <w:sz w:val="21"/>
                <w:szCs w:val="21"/>
                <w:highlight w:val="none"/>
                <w:lang w:val="en-US" w:eastAsia="zh-CN"/>
              </w:rPr>
              <w:t xml:space="preserve"> 约</w:t>
            </w:r>
            <w:r>
              <w:rPr>
                <w:rFonts w:hint="eastAsia" w:asciiTheme="minorEastAsia" w:hAnsiTheme="minorEastAsia" w:eastAsiaTheme="minorEastAsia"/>
                <w:sz w:val="21"/>
                <w:szCs w:val="21"/>
                <w:highlight w:val="none"/>
              </w:rPr>
              <w:t>0.17公斤</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16.重量(含包装盒):</w:t>
            </w:r>
            <w:r>
              <w:rPr>
                <w:rFonts w:hint="eastAsia" w:asciiTheme="minorEastAsia" w:hAnsiTheme="minorEastAsia" w:eastAsiaTheme="minorEastAsia"/>
                <w:sz w:val="21"/>
                <w:szCs w:val="21"/>
                <w:highlight w:val="none"/>
                <w:lang w:val="en-US" w:eastAsia="zh-CN"/>
              </w:rPr>
              <w:t xml:space="preserve">约 </w:t>
            </w:r>
            <w:r>
              <w:rPr>
                <w:rFonts w:hint="eastAsia" w:asciiTheme="minorEastAsia" w:hAnsiTheme="minorEastAsia" w:eastAsiaTheme="minorEastAsia"/>
                <w:sz w:val="21"/>
                <w:szCs w:val="21"/>
                <w:highlight w:val="none"/>
              </w:rPr>
              <w:t>0.38公斤</w:t>
            </w:r>
          </w:p>
        </w:tc>
      </w:tr>
      <w:tr w14:paraId="11F7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27EA784F">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1017" w:type="dxa"/>
            <w:tcBorders>
              <w:top w:val="single" w:color="auto" w:sz="4" w:space="0"/>
            </w:tcBorders>
            <w:shd w:val="clear" w:color="auto" w:fill="auto"/>
            <w:vAlign w:val="center"/>
          </w:tcPr>
          <w:p w14:paraId="3E9DFC87">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望远镜式测距仪</w:t>
            </w:r>
          </w:p>
        </w:tc>
        <w:tc>
          <w:tcPr>
            <w:tcW w:w="633" w:type="dxa"/>
            <w:gridSpan w:val="2"/>
            <w:tcBorders>
              <w:top w:val="single" w:color="auto" w:sz="4" w:space="0"/>
            </w:tcBorders>
            <w:shd w:val="clear" w:color="auto" w:fill="FFFFFF"/>
            <w:vAlign w:val="center"/>
          </w:tcPr>
          <w:p w14:paraId="12315099">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tcBorders>
              <w:top w:val="single" w:color="auto" w:sz="4" w:space="0"/>
            </w:tcBorders>
            <w:shd w:val="clear" w:color="auto" w:fill="auto"/>
            <w:vAlign w:val="center"/>
          </w:tcPr>
          <w:p w14:paraId="4D23174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台</w:t>
            </w:r>
          </w:p>
        </w:tc>
        <w:tc>
          <w:tcPr>
            <w:tcW w:w="7467" w:type="dxa"/>
            <w:tcBorders>
              <w:top w:val="single" w:color="auto" w:sz="4" w:space="0"/>
            </w:tcBorders>
            <w:shd w:val="clear" w:color="auto" w:fill="auto"/>
            <w:vAlign w:val="center"/>
          </w:tcPr>
          <w:p w14:paraId="19669D38">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1.测量范围测距：5～1000 米，能够满足高尔夫球场测距需求，也适用于一些中短距离的户外测量场景，比如野外地形勘察、建筑初步测量等。</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1.1 测角：文档中未明确给出该款产品具体测角范围，但参考同类型多功能激光测距仪，测角范围可能在水平方向和垂直方向达到 - 90°到 90°左右，方便测量目标的角度信息 。</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1.2 测高：可实现测量高度功能，具体测高范围未明确提及，推测和常见多功能测距仪类似，测高精度为±0.2米左右，测量起始高度在0.5米左右，可用于测量物体高度，如树木、建筑物等。</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1.3 测量精度：未明确给出产品测距、测角、测高的精度数值，参考同类型产品，测距误差可能在±0.3米左右，测角误差在 ±1°左右。</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2.激光类型：采用红外线激光，具有良好的方向性和穿透性，在正常户外环境下能稳定工作，且对人眼相对安全。</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电源：配备锂电池供电，相较于干电池，锂电池能量密度高、自放电率低，可反复充电使用，为设备提供稳定持久的电力支持。</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3.工作方式：望远镜式手持工作方式，既方便观察远处目标，又能同时进行距离、角度和高度测量，操作便捷。</w:t>
            </w:r>
            <w:r>
              <w:rPr>
                <w:rFonts w:hint="eastAsia"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功能特点：具备高尔夫测距功能，可帮助高尔夫球手精准测量击球点到目标的距离，提高击球准确性；有测角、测高功能，可用于多种户外测量任务 。</w:t>
            </w:r>
          </w:p>
        </w:tc>
      </w:tr>
      <w:tr w14:paraId="31E8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CE91325">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1017" w:type="dxa"/>
            <w:shd w:val="clear" w:color="auto" w:fill="auto"/>
            <w:vAlign w:val="center"/>
          </w:tcPr>
          <w:p w14:paraId="217569D8">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指北针</w:t>
            </w:r>
          </w:p>
        </w:tc>
        <w:tc>
          <w:tcPr>
            <w:tcW w:w="633" w:type="dxa"/>
            <w:gridSpan w:val="2"/>
            <w:shd w:val="clear" w:color="auto" w:fill="FFFFFF"/>
            <w:vAlign w:val="center"/>
          </w:tcPr>
          <w:p w14:paraId="0DB86871">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50DD370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个</w:t>
            </w:r>
          </w:p>
        </w:tc>
        <w:tc>
          <w:tcPr>
            <w:tcW w:w="7467" w:type="dxa"/>
            <w:shd w:val="clear" w:color="auto" w:fill="auto"/>
            <w:vAlign w:val="center"/>
          </w:tcPr>
          <w:p w14:paraId="778F2007">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kern w:val="0"/>
                <w:sz w:val="21"/>
                <w:szCs w:val="21"/>
                <w:highlight w:val="none"/>
                <w:lang w:eastAsia="zh-CN" w:bidi="ar"/>
                <w14:textFill>
                  <w14:solidFill>
                    <w14:schemeClr w14:val="tx1"/>
                  </w14:solidFill>
                </w14:textFill>
              </w:rPr>
              <w:t>约</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77mm</w:t>
            </w:r>
            <w:r>
              <w:rPr>
                <w:rFonts w:hint="eastAsia" w:ascii="宋体" w:hAnsi="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金属外壳</w:t>
            </w:r>
            <w:r>
              <w:rPr>
                <w:rFonts w:hint="eastAsia" w:ascii="宋体" w:hAnsi="宋体" w:cs="宋体"/>
                <w:color w:val="000000" w:themeColor="text1"/>
                <w:kern w:val="0"/>
                <w:sz w:val="21"/>
                <w:szCs w:val="21"/>
                <w:highlight w:val="none"/>
                <w:lang w:eastAsia="zh-CN" w:bidi="ar"/>
                <w14:textFill>
                  <w14:solidFill>
                    <w14:schemeClr w14:val="tx1"/>
                  </w14:solidFill>
                </w14:textFill>
              </w:rPr>
              <w:t>。</w:t>
            </w:r>
          </w:p>
        </w:tc>
      </w:tr>
      <w:tr w14:paraId="2379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83" w:type="dxa"/>
            <w:shd w:val="clear" w:color="auto" w:fill="auto"/>
            <w:vAlign w:val="center"/>
          </w:tcPr>
          <w:p w14:paraId="14F28398">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c>
          <w:tcPr>
            <w:tcW w:w="1017" w:type="dxa"/>
            <w:shd w:val="clear" w:color="auto" w:fill="auto"/>
            <w:vAlign w:val="center"/>
          </w:tcPr>
          <w:p w14:paraId="41BBE67A">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皮尺</w:t>
            </w:r>
          </w:p>
        </w:tc>
        <w:tc>
          <w:tcPr>
            <w:tcW w:w="633" w:type="dxa"/>
            <w:gridSpan w:val="2"/>
            <w:shd w:val="clear" w:color="auto" w:fill="FFFFFF"/>
            <w:vAlign w:val="center"/>
          </w:tcPr>
          <w:p w14:paraId="6FF0A79E">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55E8F4A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把</w:t>
            </w:r>
          </w:p>
        </w:tc>
        <w:tc>
          <w:tcPr>
            <w:tcW w:w="7467" w:type="dxa"/>
            <w:shd w:val="clear" w:color="auto" w:fill="auto"/>
            <w:vAlign w:val="center"/>
          </w:tcPr>
          <w:p w14:paraId="56AB74F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10米长，齿轮速比 1:3 设计，转一圈尺带回收迅速，使用更加省力便捷。</w:t>
            </w:r>
          </w:p>
        </w:tc>
      </w:tr>
      <w:tr w14:paraId="4586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49BA231">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w:t>
            </w:r>
          </w:p>
        </w:tc>
        <w:tc>
          <w:tcPr>
            <w:tcW w:w="1017" w:type="dxa"/>
            <w:shd w:val="clear" w:color="auto" w:fill="auto"/>
            <w:vAlign w:val="center"/>
          </w:tcPr>
          <w:p w14:paraId="31ED1F2C">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color w:val="000000"/>
                <w:szCs w:val="21"/>
                <w:highlight w:val="none"/>
              </w:rPr>
              <w:t>验电笔</w:t>
            </w:r>
          </w:p>
        </w:tc>
        <w:tc>
          <w:tcPr>
            <w:tcW w:w="633" w:type="dxa"/>
            <w:gridSpan w:val="2"/>
            <w:shd w:val="clear" w:color="auto" w:fill="auto"/>
            <w:vAlign w:val="center"/>
          </w:tcPr>
          <w:p w14:paraId="290D9B29">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2B214A9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支</w:t>
            </w:r>
          </w:p>
        </w:tc>
        <w:tc>
          <w:tcPr>
            <w:tcW w:w="7467" w:type="dxa"/>
            <w:shd w:val="clear" w:color="auto" w:fill="auto"/>
            <w:vAlign w:val="center"/>
          </w:tcPr>
          <w:p w14:paraId="5C4C0747">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交流电压测量范围：(接触)24-250V、(非接触)24-600V</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4308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463E2042">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p>
        </w:tc>
        <w:tc>
          <w:tcPr>
            <w:tcW w:w="1017" w:type="dxa"/>
            <w:tcBorders>
              <w:bottom w:val="single" w:color="auto" w:sz="4" w:space="0"/>
            </w:tcBorders>
            <w:shd w:val="clear" w:color="auto" w:fill="auto"/>
            <w:vAlign w:val="center"/>
          </w:tcPr>
          <w:p w14:paraId="665B8A77">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kern w:val="0"/>
                <w:szCs w:val="21"/>
                <w:highlight w:val="none"/>
                <w:lang w:val="en-US" w:eastAsia="zh-CN" w:bidi="ar"/>
              </w:rPr>
              <w:t>双面移动升降白板</w:t>
            </w:r>
          </w:p>
        </w:tc>
        <w:tc>
          <w:tcPr>
            <w:tcW w:w="633" w:type="dxa"/>
            <w:gridSpan w:val="2"/>
            <w:tcBorders>
              <w:bottom w:val="single" w:color="auto" w:sz="4" w:space="0"/>
            </w:tcBorders>
            <w:shd w:val="clear" w:color="auto" w:fill="FFFFFF"/>
            <w:vAlign w:val="center"/>
          </w:tcPr>
          <w:p w14:paraId="3F2D5ED5">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631" w:type="dxa"/>
            <w:tcBorders>
              <w:bottom w:val="single" w:color="auto" w:sz="4" w:space="0"/>
            </w:tcBorders>
            <w:shd w:val="clear" w:color="auto" w:fill="auto"/>
            <w:vAlign w:val="center"/>
          </w:tcPr>
          <w:p w14:paraId="6EFCBD8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个</w:t>
            </w:r>
          </w:p>
        </w:tc>
        <w:tc>
          <w:tcPr>
            <w:tcW w:w="7467" w:type="dxa"/>
            <w:tcBorders>
              <w:bottom w:val="single" w:color="auto" w:sz="4" w:space="0"/>
            </w:tcBorders>
            <w:shd w:val="clear" w:color="auto" w:fill="auto"/>
            <w:vAlign w:val="center"/>
          </w:tcPr>
          <w:p w14:paraId="601A0509">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双面白板，可升降翻转；</w:t>
            </w:r>
          </w:p>
          <w:p w14:paraId="5B340228">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规约：</w:t>
            </w:r>
            <w:r>
              <w:rPr>
                <w:rFonts w:hint="eastAsia" w:ascii="宋体" w:hAnsi="宋体" w:cs="宋体"/>
                <w:color w:val="000000" w:themeColor="text1"/>
                <w:szCs w:val="21"/>
                <w:highlight w:val="none"/>
                <w:lang w:val="en-US" w:eastAsia="zh-CN"/>
                <w14:textFill>
                  <w14:solidFill>
                    <w14:schemeClr w14:val="tx1"/>
                  </w14:solidFill>
                </w14:textFill>
              </w:rPr>
              <w:t>约</w:t>
            </w:r>
            <w:r>
              <w:rPr>
                <w:rFonts w:hint="eastAsia" w:ascii="宋体" w:hAnsi="宋体" w:cs="宋体"/>
                <w:color w:val="000000" w:themeColor="text1"/>
                <w:szCs w:val="21"/>
                <w:highlight w:val="none"/>
                <w14:textFill>
                  <w14:solidFill>
                    <w14:schemeClr w14:val="tx1"/>
                  </w14:solidFill>
                </w14:textFill>
              </w:rPr>
              <w:t>120×240CM；</w:t>
            </w:r>
          </w:p>
          <w:p w14:paraId="39F8DB51">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多层烤漆面板，蜂窝结构板芯，</w:t>
            </w:r>
          </w:p>
          <w:p w14:paraId="4C103303">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椭圆型支架，</w:t>
            </w:r>
          </w:p>
          <w:p w14:paraId="7E39F0B5">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磁性面板；</w:t>
            </w:r>
          </w:p>
          <w:p w14:paraId="7ADF6C62">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旋转万向轮；</w:t>
            </w:r>
          </w:p>
          <w:p w14:paraId="69C7D4A4">
            <w:pPr>
              <w:keepNext w:val="0"/>
              <w:keepLines w:val="0"/>
              <w:pageBreakBefore w:val="0"/>
              <w:widowControl/>
              <w:kinsoku/>
              <w:wordWrap/>
              <w:overflowPunct/>
              <w:topLinePunct w:val="0"/>
              <w:bidi w:val="0"/>
              <w:snapToGrid/>
              <w:spacing w:line="360" w:lineRule="auto"/>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金属笔托；</w:t>
            </w:r>
          </w:p>
          <w:p w14:paraId="7E3ACDAF">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配</w:t>
            </w:r>
            <w:r>
              <w:rPr>
                <w:rFonts w:hint="eastAsia" w:ascii="宋体" w:hAnsi="宋体" w:cs="宋体"/>
                <w:color w:val="000000" w:themeColor="text1"/>
                <w:szCs w:val="21"/>
                <w:highlight w:val="none"/>
                <w:lang w:val="en-US" w:eastAsia="zh-CN"/>
                <w14:textFill>
                  <w14:solidFill>
                    <w14:schemeClr w14:val="tx1"/>
                  </w14:solidFill>
                </w14:textFill>
              </w:rPr>
              <w:t>备</w:t>
            </w:r>
            <w:r>
              <w:rPr>
                <w:rFonts w:hint="eastAsia" w:ascii="宋体" w:hAnsi="宋体" w:cs="宋体"/>
                <w:color w:val="000000" w:themeColor="text1"/>
                <w:szCs w:val="21"/>
                <w:highlight w:val="none"/>
                <w14:textFill>
                  <w14:solidFill>
                    <w14:schemeClr w14:val="tx1"/>
                  </w14:solidFill>
                </w14:textFill>
              </w:rPr>
              <w:t>白板笔×8，板擦，磁粒×8等。</w:t>
            </w:r>
          </w:p>
        </w:tc>
      </w:tr>
      <w:tr w14:paraId="379D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6663F9C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一、</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 xml:space="preserve">商务条款 </w:t>
            </w:r>
          </w:p>
        </w:tc>
      </w:tr>
      <w:tr w14:paraId="39AA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113C7CED">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质保期</w:t>
            </w:r>
          </w:p>
        </w:tc>
        <w:tc>
          <w:tcPr>
            <w:tcW w:w="8731" w:type="dxa"/>
            <w:gridSpan w:val="4"/>
            <w:tcBorders>
              <w:top w:val="single" w:color="auto" w:sz="4" w:space="0"/>
              <w:bottom w:val="single" w:color="auto" w:sz="4" w:space="0"/>
            </w:tcBorders>
            <w:shd w:val="clear" w:color="auto" w:fill="auto"/>
            <w:vAlign w:val="center"/>
          </w:tcPr>
          <w:p w14:paraId="7E2C0140">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1.按国家有关产品“三包”规定执行“三包”， 自交货验收合格之日起所有硬件设备、配件提供一年的</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质保服务（分项货物要求中有特别注明的，按特别注明的执行）。软件部分，质保期自交货并验收合格之日起计不少于</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提供升级服务。若产品生产厂家质保期超过此年限的，合同履行过程中按厂家规定执行；若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质保期承诺优于产品生产厂家质保年限的，以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承诺执行。</w:t>
            </w:r>
          </w:p>
          <w:p w14:paraId="09FF5CC2">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2.从通过验收即日起质保期内所有由于质量问题导致的软、硬件产品故障以</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保修、人工及更换备件标准上门服务，并提供终身维护。</w:t>
            </w:r>
          </w:p>
          <w:p w14:paraId="4893A321">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内无条件维修、更换配件。质保期第一年内出现非人为操作失误引发的重大故障，应予以无条件换货。保修期满前1个月内中标人应负责不少于一次无条件全面检查，并对发现的问题无条件整改好；质保期满后，以不高于市场同类同期的价格优惠提供维修服务和备件更换，所更换备件须提供原厂备件。</w:t>
            </w:r>
          </w:p>
        </w:tc>
      </w:tr>
      <w:tr w14:paraId="7622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6F89A8AD">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val="en-US" w:eastAsia="zh-CN"/>
              </w:rPr>
              <w:t>售后服务要求</w:t>
            </w:r>
          </w:p>
        </w:tc>
        <w:tc>
          <w:tcPr>
            <w:tcW w:w="8731" w:type="dxa"/>
            <w:gridSpan w:val="4"/>
            <w:tcBorders>
              <w:top w:val="single" w:color="auto" w:sz="4" w:space="0"/>
              <w:bottom w:val="single" w:color="auto" w:sz="4" w:space="0"/>
            </w:tcBorders>
            <w:shd w:val="clear" w:color="auto" w:fill="auto"/>
            <w:vAlign w:val="center"/>
          </w:tcPr>
          <w:p w14:paraId="3CC6747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列表中“技术要求”另有要求的按要求执行，其余货物售后服务要求如下：</w:t>
            </w:r>
          </w:p>
          <w:p w14:paraId="3E26735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1.中标人按采购人指定的地</w:t>
            </w:r>
            <w:r>
              <w:rPr>
                <w:rFonts w:hint="eastAsia" w:ascii="宋体" w:hAnsi="宋体" w:eastAsia="宋体" w:cs="宋体"/>
                <w:b w:val="0"/>
                <w:bCs w:val="0"/>
                <w:color w:val="auto"/>
                <w:sz w:val="21"/>
                <w:szCs w:val="21"/>
                <w:highlight w:val="none"/>
                <w:lang w:val="en-US" w:eastAsia="zh-CN"/>
              </w:rPr>
              <w:t>点负责送货上门、安装、调试，负责培训使用人员和维护人员。</w:t>
            </w:r>
          </w:p>
          <w:p w14:paraId="3AA9BF3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2.中标人必须提供安装、配线以及软硬件的测试和调整服务。系统安装之前，应先对</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进行现场培训。开始安装时，应让</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的硬软件和系统集成人员参与安装、检测和排除故障。中标人在施工、安装、调试等全过程中接受采购人的监督。</w:t>
            </w:r>
          </w:p>
          <w:p w14:paraId="3DBE9C9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3.在中标人承诺的质保期内，设备保修包换所需要的配件均是原厂原装，不得使用兼容货物。</w:t>
            </w:r>
          </w:p>
          <w:p w14:paraId="17DBADF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4.中标人在质量保证期内应当为采购人提供以下技术支持和服务：</w:t>
            </w:r>
          </w:p>
          <w:p w14:paraId="71E18A2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（1）电话咨询</w:t>
            </w:r>
          </w:p>
          <w:p w14:paraId="41A2452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中标人应当为采购人提供技术援助电话，解答采购人在使用中遇到的问题，及时为采购人提出解决问题的建议。</w:t>
            </w:r>
          </w:p>
          <w:p w14:paraId="08139D7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（2）质量问题响应时间：按国家及行业标准进行及时处理，出现质量问题时在</w:t>
            </w:r>
            <w:r>
              <w:rPr>
                <w:rFonts w:hint="eastAsia" w:ascii="宋体" w:hAnsi="宋体" w:eastAsia="宋体" w:cs="宋体"/>
                <w:color w:val="auto"/>
                <w:kern w:val="0"/>
                <w:sz w:val="21"/>
                <w:szCs w:val="21"/>
                <w:highlight w:val="none"/>
                <w:u w:val="single"/>
                <w:lang w:val="en-US" w:eastAsia="zh-CN" w:bidi="ar-SA"/>
              </w:rPr>
              <w:t xml:space="preserve"> 2 </w:t>
            </w:r>
            <w:r>
              <w:rPr>
                <w:rFonts w:hint="eastAsia" w:ascii="宋体" w:hAnsi="宋体" w:eastAsia="宋体" w:cs="宋体"/>
                <w:b w:val="0"/>
                <w:bCs w:val="0"/>
                <w:color w:val="auto"/>
                <w:sz w:val="21"/>
                <w:szCs w:val="21"/>
                <w:highlight w:val="none"/>
                <w:lang w:val="en-US" w:eastAsia="zh-CN"/>
              </w:rPr>
              <w:t>小时内响应，</w:t>
            </w:r>
            <w:r>
              <w:rPr>
                <w:rFonts w:hint="eastAsia" w:ascii="宋体" w:hAnsi="宋体" w:eastAsia="宋体" w:cs="宋体"/>
                <w:color w:val="auto"/>
                <w:kern w:val="0"/>
                <w:sz w:val="21"/>
                <w:szCs w:val="21"/>
                <w:highlight w:val="none"/>
                <w:u w:val="single"/>
                <w:lang w:val="en-US" w:eastAsia="zh-CN" w:bidi="ar-SA"/>
              </w:rPr>
              <w:t xml:space="preserve"> 12 </w:t>
            </w:r>
            <w:r>
              <w:rPr>
                <w:rFonts w:hint="eastAsia" w:ascii="宋体" w:hAnsi="宋体" w:eastAsia="宋体" w:cs="宋体"/>
                <w:b w:val="0"/>
                <w:bCs w:val="0"/>
                <w:color w:val="auto"/>
                <w:sz w:val="21"/>
                <w:szCs w:val="21"/>
                <w:highlight w:val="none"/>
                <w:lang w:val="en-US" w:eastAsia="zh-CN"/>
              </w:rPr>
              <w:t>小时内到达现场；</w:t>
            </w:r>
            <w:r>
              <w:rPr>
                <w:rFonts w:hint="eastAsia" w:ascii="宋体" w:hAnsi="宋体" w:eastAsia="宋体" w:cs="宋体"/>
                <w:color w:val="auto"/>
                <w:kern w:val="0"/>
                <w:sz w:val="21"/>
                <w:szCs w:val="21"/>
                <w:highlight w:val="none"/>
                <w:u w:val="single"/>
                <w:lang w:val="en-US" w:eastAsia="zh-CN" w:bidi="ar-SA"/>
              </w:rPr>
              <w:t xml:space="preserve"> 24</w:t>
            </w:r>
            <w:r>
              <w:rPr>
                <w:rFonts w:hint="eastAsia" w:ascii="宋体" w:hAnsi="宋体" w:eastAsia="宋体" w:cs="宋体"/>
                <w:b w:val="0"/>
                <w:bCs w:val="0"/>
                <w:color w:val="auto"/>
                <w:sz w:val="21"/>
                <w:szCs w:val="21"/>
                <w:highlight w:val="none"/>
                <w:lang w:val="en-US" w:eastAsia="zh-CN"/>
              </w:rPr>
              <w:t>小时内解决问题，保证采购人正常使用，产生的一切费用由中标人承担。如在规定时间内无法解决质量问题，需提供备用设备，终身提供技术支持。</w:t>
            </w:r>
          </w:p>
          <w:p w14:paraId="56C4BDD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（3）技术升级</w:t>
            </w:r>
          </w:p>
          <w:p w14:paraId="5EC5C4B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在质保期内，如果中标人的产品或服务升级，中标人应及时通知采购人，如采购人有相应要求，中标人应对采购人购买的产品或服务进行升级。</w:t>
            </w:r>
          </w:p>
          <w:p w14:paraId="2FCF7DE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5.质保期外服务要求</w:t>
            </w:r>
          </w:p>
          <w:p w14:paraId="6BB3D38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质量保证期过后，采购人需要继续由原中标人提供售后服务的，中标人应提供电话咨询服务，并应承诺提供产品或服务上门维护，中标人和制造商应以优惠价格提供售后服务。</w:t>
            </w:r>
          </w:p>
          <w:p w14:paraId="6907F2E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6.备品备件及易损件</w:t>
            </w:r>
          </w:p>
          <w:p w14:paraId="2F16F6F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中标人售后服务中，维修使用的备品备件及易损件应为原厂配件，未经采购人同意不得使用非原厂配件。</w:t>
            </w:r>
          </w:p>
          <w:p w14:paraId="35C8660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7.培训要求：中标人对其提供产品或服务的使用和操作应尽培训义务。中标人应提供对本分标的使用单位进行培训服务，涉及的相关费用应计算在项目报价内，并使使用人员能独立、熟练操作系统。 </w:t>
            </w:r>
          </w:p>
          <w:p w14:paraId="3687392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8.备品备件及耗材等要求：有稳定的备件供应渠道，并从设备厂商的中国公司及其分销商购置整机和备件补充，</w:t>
            </w:r>
            <w:r>
              <w:rPr>
                <w:rFonts w:hint="eastAsia" w:ascii="宋体" w:hAnsi="宋体" w:cs="宋体"/>
                <w:b w:val="0"/>
                <w:bCs w:val="0"/>
                <w:color w:val="auto"/>
                <w:sz w:val="21"/>
                <w:szCs w:val="21"/>
                <w:highlight w:val="none"/>
                <w:lang w:val="en-US" w:eastAsia="zh-CN"/>
              </w:rPr>
              <w:t>可以满足采购人的设备在升级</w:t>
            </w:r>
            <w:r>
              <w:rPr>
                <w:rFonts w:hint="eastAsia" w:ascii="宋体" w:hAnsi="宋体" w:eastAsia="宋体" w:cs="宋体"/>
                <w:b w:val="0"/>
                <w:bCs w:val="0"/>
                <w:color w:val="auto"/>
                <w:sz w:val="21"/>
                <w:szCs w:val="21"/>
                <w:highlight w:val="none"/>
                <w:lang w:val="en-US" w:eastAsia="zh-CN"/>
              </w:rPr>
              <w:t>、扩充和保修服务配件及消耗品等多方面的需求，中标人就相关备品备件及耗材价格与采购人友好协商，应以优惠价格提供相关服务。</w:t>
            </w:r>
          </w:p>
          <w:p w14:paraId="28551C1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9.提供设备必须是全新、未使用的原装产品，且在正常安装、使用和保养条件下，其使用寿命期内各项指标均达到质量要求。</w:t>
            </w:r>
          </w:p>
        </w:tc>
      </w:tr>
      <w:tr w14:paraId="46B0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001B1CA">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交货时间及地点</w:t>
            </w:r>
          </w:p>
        </w:tc>
        <w:tc>
          <w:tcPr>
            <w:tcW w:w="8731" w:type="dxa"/>
            <w:gridSpan w:val="4"/>
            <w:tcBorders>
              <w:top w:val="single" w:color="auto" w:sz="4" w:space="0"/>
              <w:bottom w:val="single" w:color="auto" w:sz="4" w:space="0"/>
            </w:tcBorders>
            <w:shd w:val="clear" w:color="auto" w:fill="auto"/>
            <w:vAlign w:val="center"/>
          </w:tcPr>
          <w:p w14:paraId="471E1231">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1.交货时间：自签订合同之日</w:t>
            </w:r>
            <w:r>
              <w:rPr>
                <w:rFonts w:hint="eastAsia" w:ascii="宋体" w:hAnsi="宋体" w:eastAsia="宋体" w:cs="宋体"/>
                <w:sz w:val="21"/>
                <w:szCs w:val="21"/>
                <w:highlight w:val="none"/>
              </w:rPr>
              <w:t>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日历日</w:t>
            </w:r>
            <w:r>
              <w:rPr>
                <w:rFonts w:hint="eastAsia" w:ascii="宋体" w:hAnsi="宋体" w:eastAsia="宋体" w:cs="宋体"/>
                <w:sz w:val="21"/>
                <w:szCs w:val="21"/>
                <w:highlight w:val="none"/>
              </w:rPr>
              <w:t>内全部交货安装完成并经采购人验收合格。</w:t>
            </w:r>
          </w:p>
          <w:p w14:paraId="6F2FAE14">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2.交货地点：广西制造工程职业技术学院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5B3AA043">
            <w:pPr>
              <w:keepNext w:val="0"/>
              <w:keepLines w:val="0"/>
              <w:pageBreakBefore w:val="0"/>
              <w:kinsoku/>
              <w:wordWrap/>
              <w:overflowPunct/>
              <w:topLinePunct w:val="0"/>
              <w:bidi w:val="0"/>
              <w:snapToGrid/>
              <w:spacing w:line="360" w:lineRule="auto"/>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lang w:val="en-US" w:eastAsia="zh-CN"/>
              </w:rPr>
              <w:t>中标通知书发出之日</w:t>
            </w:r>
            <w:r>
              <w:rPr>
                <w:rFonts w:hint="eastAsia" w:ascii="宋体" w:hAnsi="宋体" w:eastAsia="宋体" w:cs="宋体"/>
                <w:color w:val="auto"/>
                <w:sz w:val="21"/>
                <w:szCs w:val="21"/>
                <w:highlight w:val="none"/>
              </w:rPr>
              <w:t>起25</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须与采购人签订好合同</w:t>
            </w:r>
            <w:r>
              <w:rPr>
                <w:rFonts w:hint="eastAsia" w:ascii="宋体" w:hAnsi="宋体" w:eastAsia="宋体" w:cs="宋体"/>
                <w:color w:val="auto"/>
                <w:sz w:val="21"/>
                <w:szCs w:val="21"/>
                <w:highlight w:val="none"/>
                <w:lang w:eastAsia="zh-CN"/>
              </w:rPr>
              <w:t>。</w:t>
            </w:r>
          </w:p>
          <w:p w14:paraId="134DECAD">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4.交货方式：现场交货。</w:t>
            </w:r>
          </w:p>
        </w:tc>
      </w:tr>
      <w:tr w14:paraId="0D20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11791C02">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付款条件</w:t>
            </w:r>
          </w:p>
        </w:tc>
        <w:tc>
          <w:tcPr>
            <w:tcW w:w="8731" w:type="dxa"/>
            <w:gridSpan w:val="4"/>
            <w:tcBorders>
              <w:top w:val="single" w:color="auto" w:sz="4" w:space="0"/>
              <w:bottom w:val="single" w:color="auto" w:sz="4" w:space="0"/>
            </w:tcBorders>
            <w:shd w:val="clear" w:color="auto" w:fill="auto"/>
            <w:vAlign w:val="center"/>
          </w:tcPr>
          <w:p w14:paraId="7341021F">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签订合同后10个工作日内，采购人向中标人支付合同总金额的50%作为预付款；全部货物到货且经采购人确认后10个工作日内，采购人向中标人支付合同总金额的30%货款；全部安装调试，完成试运行且经采购人验收合格后10个工作日内，采购人向中标人支付合同总金额的20%余款。</w:t>
            </w:r>
          </w:p>
          <w:p w14:paraId="012A3701">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2.采购人付款前，中标人应向采购人开具等额有效的增值税普通发票，采购人未收到发票的，有权不予支付相应款项直至中标人提供合格发票，并不承担延迟付款责任。发票认证通过是付款的必要前提之一。</w:t>
            </w:r>
          </w:p>
          <w:p w14:paraId="756B3959">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3.中标人须根据《广西壮族自治区财政厅关于在政府采购活动中推广使用电子保函的通知》（桂财采〔2023〕92 号）的相关要求，在中标项目签订合同后1个工作日内完成向“广西政府采购金融服务平台”申请预付款保函的事宜，并于收到项目预付款的当日向采购人提供预付款保函，保函有效期不少于90天.</w:t>
            </w:r>
          </w:p>
        </w:tc>
      </w:tr>
      <w:tr w14:paraId="6AA0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9B9043C">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履约保证金</w:t>
            </w:r>
          </w:p>
        </w:tc>
        <w:tc>
          <w:tcPr>
            <w:tcW w:w="8731" w:type="dxa"/>
            <w:gridSpan w:val="4"/>
            <w:tcBorders>
              <w:top w:val="single" w:color="auto" w:sz="4" w:space="0"/>
              <w:bottom w:val="single" w:color="auto" w:sz="4" w:space="0"/>
            </w:tcBorders>
            <w:shd w:val="clear" w:color="auto" w:fill="auto"/>
            <w:vAlign w:val="center"/>
          </w:tcPr>
          <w:p w14:paraId="0A5C5E79">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113AFA6C">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203F69E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w:t>
            </w:r>
            <w:r>
              <w:rPr>
                <w:rFonts w:hint="eastAsia" w:ascii="宋体" w:hAnsi="宋体" w:cs="宋体"/>
                <w:b w:val="0"/>
                <w:bCs w:val="0"/>
                <w:color w:val="auto"/>
                <w:sz w:val="21"/>
                <w:szCs w:val="21"/>
                <w:highlight w:val="none"/>
                <w:lang w:val="en-US" w:eastAsia="zh-CN"/>
              </w:rPr>
              <w:t>签订合同后3个工作日内由中标人转入采购人指定保证金账户。</w:t>
            </w:r>
          </w:p>
          <w:p w14:paraId="47196B8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7BE3369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0360BCA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61AF2D2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25748D1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账  号：20036501040014065</w:t>
            </w:r>
          </w:p>
        </w:tc>
      </w:tr>
      <w:tr w14:paraId="2B3E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945F202">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报价要求</w:t>
            </w:r>
          </w:p>
        </w:tc>
        <w:tc>
          <w:tcPr>
            <w:tcW w:w="8731" w:type="dxa"/>
            <w:gridSpan w:val="4"/>
            <w:tcBorders>
              <w:top w:val="single" w:color="auto" w:sz="4" w:space="0"/>
              <w:bottom w:val="single" w:color="auto" w:sz="4" w:space="0"/>
            </w:tcBorders>
            <w:shd w:val="clear" w:color="auto" w:fill="auto"/>
            <w:vAlign w:val="center"/>
          </w:tcPr>
          <w:p w14:paraId="47C5DC5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本次报价须为人民币报价，报价金额实行总承包报价，包括但不限于：</w:t>
            </w:r>
          </w:p>
          <w:p w14:paraId="171F345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1.货物采购包括货款、标准附件、备品备件、专用工具、包装、运输、装卸、保险、税金、货到就位以及安装、调试、培训、保修等一切税金和费用；</w:t>
            </w:r>
          </w:p>
          <w:p w14:paraId="421AFA5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2.服务采购包括整体服务价格以及安装调试、培训、维护等一切税金和费用；</w:t>
            </w:r>
          </w:p>
          <w:p w14:paraId="44F398F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3.项目验收、人员服务等费用；</w:t>
            </w:r>
          </w:p>
          <w:p w14:paraId="1989A45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4.根据合同规定，履行合同可能产生的其他费用；</w:t>
            </w:r>
          </w:p>
          <w:p w14:paraId="30B6F96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5.项目包含但不限于安装后可正常使用的相应设施、设备、软件、调试等，采购人不再另行支付费用。</w:t>
            </w:r>
          </w:p>
          <w:p w14:paraId="3D4BD52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6.如质量上发生争议，可由第三方检测机构进行检测，费用由中标人承担。</w:t>
            </w:r>
          </w:p>
          <w:p w14:paraId="0F11A220">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7.对于本文件中未列明，而供应商认为必需的费用也需列入总报价。在合同实施时，采购人将不予支付中标人没有列入的项目费用，并认为此项目的费用已包括在投标总报价中。</w:t>
            </w:r>
          </w:p>
        </w:tc>
      </w:tr>
      <w:tr w14:paraId="1827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090DF28E">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知识产权</w:t>
            </w:r>
          </w:p>
        </w:tc>
        <w:tc>
          <w:tcPr>
            <w:tcW w:w="8731" w:type="dxa"/>
            <w:gridSpan w:val="4"/>
            <w:tcBorders>
              <w:top w:val="single" w:color="auto" w:sz="4" w:space="0"/>
              <w:bottom w:val="single" w:color="auto" w:sz="4" w:space="0"/>
            </w:tcBorders>
            <w:shd w:val="clear" w:color="auto" w:fill="auto"/>
            <w:vAlign w:val="center"/>
          </w:tcPr>
          <w:p w14:paraId="003EF07E">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1.采购人在中华人民共和国境内使用</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提供的产品及技术服务时免受第三方提出的侵犯其专利权或其它知识产权的起诉。如果第三方提出侵权指控，</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应承担由此而引起的一切法律责任和费用。</w:t>
            </w:r>
          </w:p>
          <w:p w14:paraId="4D2226BB">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2.在货物验收时候，如发现存在虚假响应，采购人将终止合同。</w:t>
            </w:r>
          </w:p>
        </w:tc>
      </w:tr>
      <w:tr w14:paraId="7D45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CADABB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规范标准</w:t>
            </w:r>
          </w:p>
        </w:tc>
        <w:tc>
          <w:tcPr>
            <w:tcW w:w="8731" w:type="dxa"/>
            <w:gridSpan w:val="4"/>
            <w:tcBorders>
              <w:top w:val="single" w:color="auto" w:sz="4" w:space="0"/>
              <w:bottom w:val="single" w:color="auto" w:sz="4" w:space="0"/>
            </w:tcBorders>
            <w:shd w:val="clear" w:color="auto" w:fill="auto"/>
            <w:vAlign w:val="center"/>
          </w:tcPr>
          <w:p w14:paraId="5B02093A">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采购标的需执行的国家标准、行业标准、地方标准或者其他标准、规范。多项标准的，按最新标准或较高标准执行。</w:t>
            </w:r>
          </w:p>
        </w:tc>
      </w:tr>
      <w:tr w14:paraId="4CF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5BC47C0F">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其他要求</w:t>
            </w:r>
          </w:p>
        </w:tc>
        <w:tc>
          <w:tcPr>
            <w:tcW w:w="8731" w:type="dxa"/>
            <w:gridSpan w:val="4"/>
            <w:tcBorders>
              <w:top w:val="single" w:color="auto" w:sz="4" w:space="0"/>
              <w:bottom w:val="single" w:color="auto" w:sz="4" w:space="0"/>
            </w:tcBorders>
            <w:shd w:val="clear" w:color="auto" w:fill="auto"/>
            <w:vAlign w:val="center"/>
          </w:tcPr>
          <w:p w14:paraId="3ED69621">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向采购人提供的货物必须是符合国家质量标准和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规定标准的全新、完整、未使用过的，本次采购货物不接受进口产品且所有产品必须有正规的合格证书。</w:t>
            </w:r>
          </w:p>
          <w:p w14:paraId="727AC9C9">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.为确保售后服务质量，</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必须提供不少于1人的运维服务人员名单、联系电话。</w:t>
            </w:r>
          </w:p>
          <w:p w14:paraId="43C295BA">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必须严格按时间进度和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要求完成所有工作，若出现不按要求完成相关工作的，经双方协商未果，采购人有权解除合同并追究</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相关责任。</w:t>
            </w:r>
          </w:p>
          <w:p w14:paraId="5E90FCE6">
            <w:pPr>
              <w:keepNext w:val="0"/>
              <w:keepLines w:val="0"/>
              <w:pageBreakBefore w:val="0"/>
              <w:numPr>
                <w:ilvl w:val="0"/>
                <w:numId w:val="0"/>
              </w:numPr>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提供的所有货物必须为正规厂家制造、合法渠道供应的全新产品，并保证本分标使用的任何产品不会产生因第三方提出侵犯其所有权而引起的法律和经济纠纷，如因此而引起的法律和经济纠纷，由中标人自行承担所有相关责任。</w:t>
            </w:r>
          </w:p>
          <w:p w14:paraId="3727673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5.在正常安装、使用过程中，凡是因产品质量问题所造成采购人损失的，中标人负责赔偿采购人的一切经济损失。</w:t>
            </w:r>
          </w:p>
        </w:tc>
      </w:tr>
      <w:tr w14:paraId="085B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56B6D0C">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采购标的验收标准</w:t>
            </w:r>
          </w:p>
        </w:tc>
        <w:tc>
          <w:tcPr>
            <w:tcW w:w="8731" w:type="dxa"/>
            <w:gridSpan w:val="4"/>
            <w:tcBorders>
              <w:top w:val="single" w:color="auto" w:sz="4" w:space="0"/>
              <w:bottom w:val="single" w:color="auto" w:sz="4" w:space="0"/>
            </w:tcBorders>
            <w:shd w:val="clear" w:color="auto" w:fill="auto"/>
            <w:vAlign w:val="center"/>
          </w:tcPr>
          <w:p w14:paraId="3C851E6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以根据采购项目具体情况自行组织验收，或者委托第三方机构或部门开展采购项目履约验收工作，验收过程中所产生的一切费用均由中标人承担，履约验收服务费按照分标中标金额的≤0.9%收取，投标人在投标报价时应考虑相关费用。</w:t>
            </w:r>
          </w:p>
          <w:p w14:paraId="01ECA8D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2.在验收过程中发现中标人有违约问题，可暂缓资金结算，待违约问题解决后，方可办理资金结算事宜。</w:t>
            </w:r>
          </w:p>
          <w:p w14:paraId="6AA3A03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3.验收依据：按合同要求及国家标准进行验收。</w:t>
            </w:r>
          </w:p>
          <w:p w14:paraId="5857371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4.验收标准</w:t>
            </w:r>
          </w:p>
          <w:p w14:paraId="46986D8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（1）所供产品的规格、数量、功能、材质、颜色等符合招标文件采购需求及采购合同约定的要求。</w:t>
            </w:r>
          </w:p>
          <w:p w14:paraId="79F6EF4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（2）所供产品的外观完好，无严重碰撞、表皮脱落、五金件生锈等明显瑕疵。</w:t>
            </w:r>
          </w:p>
          <w:p w14:paraId="524D038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（3）所供产品结构牢固，无安全隐患。</w:t>
            </w:r>
          </w:p>
          <w:p w14:paraId="59749EC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（4）如有抽检要求的，检测结果符合招标文件采购需求及采购合同约定的要求。</w:t>
            </w:r>
          </w:p>
          <w:p w14:paraId="1652BBB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（5）所有产品均已运输至指定地点，并安装调试完毕。</w:t>
            </w:r>
          </w:p>
          <w:p w14:paraId="22386D7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（6）招标文件采购需求及采购合同约定的附件、工具、技术资料等齐全；提供产品使用说明书、合格证。</w:t>
            </w:r>
          </w:p>
          <w:p w14:paraId="0B93B52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（7）货物技术参数应与投标文件中偏离表或证明材料一致，性能或指标达到规定的标准。否则，以实际货物或服务技术参数与投标文件偏离表参数或证明材料比较，按如下情况处理：</w:t>
            </w:r>
          </w:p>
          <w:p w14:paraId="3836B54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①供应商投标文件偏离表或证明材料中满足或优于的技术参数，在验收时实际不满足技术参数要求的，视为供货商违约，采购人有权终止合同拒收货物，并追究供应商责任。</w:t>
            </w:r>
          </w:p>
          <w:p w14:paraId="7F8292F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②供应商投标文件偏离表或证明材料中优于的技术参数，在验收时实际仅满足并未优于技术参数要求的，视为供货商违约，采购人有权终止合同拒收货物，并追究供应商责任。</w:t>
            </w:r>
          </w:p>
          <w:p w14:paraId="6634735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③供应商投标文件偏离表或证明材料中不满足的技术参数，在验收时实际满足技术参数的要求，以满足技术参数的要求验收。 </w:t>
            </w:r>
          </w:p>
          <w:p w14:paraId="48ADAC4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④供应商投标文件偏离表或证明材料中满足的技术参数，在验收时实际优于技术参数的要求，以满足技术参数的要求验收。</w:t>
            </w:r>
          </w:p>
          <w:p w14:paraId="4FF6827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⑤供应商投标文件偏离表或证明材料中优于的技术参数，在验收时实际也优于技术参数的要求，但没有达到响应表或证明材料中优于的程度，由采购人与供应商协商按是否满足要求验收。</w:t>
            </w:r>
          </w:p>
          <w:p w14:paraId="01FB747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⑥实际货物与响应货物型号不一致的，验收时不论实际是优于还是满足技术参数的要求，采购人均有权终止合同拒收货物，并追究供应商责任。</w:t>
            </w:r>
          </w:p>
          <w:p w14:paraId="3370284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5.验收要求</w:t>
            </w:r>
          </w:p>
          <w:p w14:paraId="57A87C1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验收小组以项目采购文件及采购合同为验收依据，对供货产品技术参数核对检验，如不符合技术参数要求的，中标人承担所有责任和费用。采购人保留进一步追究责任的权利。</w:t>
            </w:r>
          </w:p>
          <w:p w14:paraId="76ACEAB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中标人按时间节点</w:t>
            </w:r>
            <w:r>
              <w:rPr>
                <w:rFonts w:hint="eastAsia" w:ascii="宋体" w:hAnsi="宋体" w:eastAsia="宋体" w:cs="宋体"/>
                <w:b w:val="0"/>
                <w:bCs w:val="0"/>
                <w:color w:val="auto"/>
                <w:sz w:val="21"/>
                <w:szCs w:val="21"/>
                <w:highlight w:val="none"/>
                <w:lang w:val="en-US" w:eastAsia="zh-CN"/>
              </w:rPr>
              <w:t>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3366A74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（2）验收时中标人提供验收文档，包括但不限于（如有）：技术方案、实施方案、售后服务方案、培训方案、系统部署文档、测试文档、使用说明书、电子文档，以及对所有需要进行核查的原件等。</w:t>
            </w:r>
          </w:p>
          <w:p w14:paraId="5BA2B7F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5FBEC43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（4）如中标人提供虚假材料的，除按相关规定做违约处理外，采购人依据相关法律规定追究中标人的责任，由此带来的一切责任及损失由中标人自行承担。</w:t>
            </w:r>
          </w:p>
          <w:p w14:paraId="7BAFA0B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786EB92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（6）项目验收过程中，采购人需委托第三方检测机构介入的，费用由中标人另行承担。</w:t>
            </w:r>
          </w:p>
        </w:tc>
      </w:tr>
      <w:tr w14:paraId="5D5A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047E4541">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二、与实现项目目标相关的其他要求</w:t>
            </w:r>
          </w:p>
        </w:tc>
      </w:tr>
      <w:tr w14:paraId="5F99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E3E13C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（一）投标人的履约能力要求</w:t>
            </w:r>
          </w:p>
        </w:tc>
      </w:tr>
      <w:tr w14:paraId="6307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341FDFE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质量管理、企业信用要求</w:t>
            </w:r>
          </w:p>
        </w:tc>
        <w:tc>
          <w:tcPr>
            <w:tcW w:w="8664" w:type="dxa"/>
            <w:gridSpan w:val="3"/>
            <w:tcBorders>
              <w:top w:val="single" w:color="auto" w:sz="4" w:space="0"/>
              <w:bottom w:val="single" w:color="auto" w:sz="4" w:space="0"/>
            </w:tcBorders>
            <w:shd w:val="clear" w:color="auto" w:fill="auto"/>
            <w:vAlign w:val="center"/>
          </w:tcPr>
          <w:p w14:paraId="4B64B70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6EB8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1C9C750C">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能力或者业绩要求</w:t>
            </w:r>
          </w:p>
        </w:tc>
        <w:tc>
          <w:tcPr>
            <w:tcW w:w="8664" w:type="dxa"/>
            <w:gridSpan w:val="3"/>
            <w:tcBorders>
              <w:top w:val="single" w:color="auto" w:sz="4" w:space="0"/>
              <w:bottom w:val="single" w:color="auto" w:sz="4" w:space="0"/>
            </w:tcBorders>
            <w:shd w:val="clear" w:color="auto" w:fill="auto"/>
            <w:vAlign w:val="center"/>
          </w:tcPr>
          <w:p w14:paraId="141B9055">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5F17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0B81501">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（二）政策性加分条件</w:t>
            </w:r>
          </w:p>
        </w:tc>
      </w:tr>
      <w:tr w14:paraId="4EEC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98BD65F">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w:t>
            </w:r>
          </w:p>
        </w:tc>
      </w:tr>
      <w:tr w14:paraId="3B34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C790CF5">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（三）进口产品及核心产品说明</w:t>
            </w:r>
          </w:p>
        </w:tc>
      </w:tr>
      <w:tr w14:paraId="5A0A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28C9AEA8">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29BB1F54">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本分标第</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项产品“</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b/>
                <w:szCs w:val="21"/>
                <w:highlight w:val="none"/>
                <w:u w:val="single"/>
              </w:rPr>
              <w:t>仿真教学管理平台</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”为核心产品</w:t>
            </w:r>
            <w:r>
              <w:rPr>
                <w:rFonts w:hint="eastAsia" w:ascii="宋体" w:hAnsi="宋体" w:eastAsia="宋体" w:cs="宋体"/>
                <w:color w:val="000000" w:themeColor="text1"/>
                <w:sz w:val="21"/>
                <w:szCs w:val="21"/>
                <w:highlight w:val="none"/>
                <w14:textFill>
                  <w14:solidFill>
                    <w14:schemeClr w14:val="tx1"/>
                  </w14:solidFill>
                </w14:textFill>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354E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0D7632D4">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三、其他说明</w:t>
            </w:r>
          </w:p>
        </w:tc>
      </w:tr>
      <w:tr w14:paraId="6103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4772D7E6">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664" w:type="dxa"/>
            <w:gridSpan w:val="3"/>
            <w:tcBorders>
              <w:top w:val="single" w:color="auto" w:sz="4" w:space="0"/>
              <w:bottom w:val="single" w:color="auto" w:sz="4" w:space="0"/>
            </w:tcBorders>
            <w:shd w:val="clear" w:color="auto" w:fill="auto"/>
            <w:vAlign w:val="center"/>
          </w:tcPr>
          <w:p w14:paraId="4E456633">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本项目评标时以本项目预算金额为最高限价，</w:t>
            </w:r>
            <w:r>
              <w:rPr>
                <w:rFonts w:hint="eastAsia" w:ascii="宋体" w:hAnsi="宋体" w:eastAsia="宋体" w:cs="宋体"/>
                <w:b/>
                <w:bCs/>
                <w:color w:val="000000" w:themeColor="text1"/>
                <w:sz w:val="21"/>
                <w:szCs w:val="21"/>
                <w:highlight w:val="none"/>
                <w14:textFill>
                  <w14:solidFill>
                    <w14:schemeClr w14:val="tx1"/>
                  </w14:solidFill>
                </w14:textFill>
              </w:rPr>
              <w:t>评标时以最高限价为评标依据，投标人投标报价超出最高限价的作无效投标处理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110F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37468DB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供应商其他要求</w:t>
            </w:r>
          </w:p>
        </w:tc>
        <w:tc>
          <w:tcPr>
            <w:tcW w:w="8664" w:type="dxa"/>
            <w:gridSpan w:val="3"/>
            <w:tcBorders>
              <w:top w:val="single" w:color="auto" w:sz="4" w:space="0"/>
              <w:bottom w:val="single" w:color="auto" w:sz="4" w:space="0"/>
            </w:tcBorders>
            <w:shd w:val="clear" w:color="auto" w:fill="auto"/>
            <w:vAlign w:val="center"/>
          </w:tcPr>
          <w:p w14:paraId="7980B0F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kern w:val="0"/>
                <w:sz w:val="21"/>
                <w:szCs w:val="21"/>
                <w:highlight w:val="none"/>
              </w:rPr>
              <w:t>投标人</w:t>
            </w:r>
            <w:r>
              <w:rPr>
                <w:rFonts w:hint="eastAsia" w:ascii="宋体" w:hAnsi="宋体" w:eastAsia="宋体" w:cs="宋体"/>
                <w:sz w:val="21"/>
                <w:szCs w:val="21"/>
                <w:highlight w:val="none"/>
              </w:rPr>
              <w:t>应根据项目要求，可在投标文件中提供包括：项目实施方案、项目质量进度、控制方案、售后服务方案</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信誉、业绩等内容。</w:t>
            </w:r>
          </w:p>
        </w:tc>
      </w:tr>
      <w:tr w14:paraId="63B8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113DA7B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szCs w:val="21"/>
                <w:highlight w:val="none"/>
              </w:rPr>
              <w:t>演示要求</w:t>
            </w:r>
          </w:p>
        </w:tc>
        <w:tc>
          <w:tcPr>
            <w:tcW w:w="8664" w:type="dxa"/>
            <w:gridSpan w:val="3"/>
            <w:tcBorders>
              <w:top w:val="single" w:color="auto" w:sz="4" w:space="0"/>
              <w:bottom w:val="single" w:color="auto" w:sz="4" w:space="0"/>
            </w:tcBorders>
            <w:shd w:val="clear" w:color="auto" w:fill="auto"/>
            <w:vAlign w:val="center"/>
          </w:tcPr>
          <w:p w14:paraId="0F30F82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投标人需在评审时（具体时间由采购代理机构通知）对《具体说明、功能及技术参数要求》中标注“◆”功能通过广西政府采购云平台进行在线详细讲解和阐述。供应商自行准备线上演示所需的摄像头、话筒等设备，每家供应商线上演示时间均不超过15分钟，演示的过程作为评审的重要依据，不演示不得分，具体内容详见《评标方法及评标标准》。</w:t>
            </w:r>
          </w:p>
        </w:tc>
      </w:tr>
    </w:tbl>
    <w:p w14:paraId="112A200A">
      <w:pPr>
        <w:pStyle w:val="59"/>
        <w:rPr>
          <w:highlight w:val="none"/>
        </w:rPr>
      </w:pPr>
    </w:p>
    <w:p w14:paraId="59ED698A">
      <w:pPr>
        <w:rPr>
          <w:highlight w:val="none"/>
        </w:rPr>
      </w:pPr>
    </w:p>
    <w:p w14:paraId="3A62CA8F">
      <w:pPr>
        <w:pStyle w:val="59"/>
        <w:rPr>
          <w:highlight w:val="none"/>
        </w:rPr>
      </w:pPr>
    </w:p>
    <w:p w14:paraId="46228F9B">
      <w:pPr>
        <w:spacing w:line="360" w:lineRule="exact"/>
        <w:rPr>
          <w:color w:val="000000"/>
          <w:highlight w:val="none"/>
        </w:rPr>
      </w:pPr>
      <w:r>
        <w:rPr>
          <w:color w:val="000000"/>
          <w:highlight w:val="none"/>
        </w:rPr>
        <w:br w:type="page"/>
      </w:r>
    </w:p>
    <w:tbl>
      <w:tblPr>
        <w:tblStyle w:val="4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17"/>
        <w:gridCol w:w="67"/>
        <w:gridCol w:w="566"/>
        <w:gridCol w:w="631"/>
        <w:gridCol w:w="7467"/>
      </w:tblGrid>
      <w:tr w14:paraId="10E3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1" w:type="dxa"/>
            <w:gridSpan w:val="6"/>
            <w:tcBorders>
              <w:bottom w:val="single" w:color="auto" w:sz="4" w:space="0"/>
            </w:tcBorders>
            <w:shd w:val="clear" w:color="auto" w:fill="auto"/>
            <w:vAlign w:val="center"/>
          </w:tcPr>
          <w:p w14:paraId="42015594">
            <w:pPr>
              <w:keepNext w:val="0"/>
              <w:keepLines w:val="0"/>
              <w:pageBreakBefore w:val="0"/>
              <w:kinsoku/>
              <w:wordWrap/>
              <w:overflowPunct/>
              <w:topLinePunct w:val="0"/>
              <w:autoSpaceDE/>
              <w:autoSpaceDN/>
              <w:bidi w:val="0"/>
              <w:adjustRightInd/>
              <w:snapToGrid/>
              <w:spacing w:line="360" w:lineRule="auto"/>
              <w:ind w:left="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C分标</w:t>
            </w:r>
            <w:r>
              <w:rPr>
                <w:rFonts w:hint="eastAsia" w:ascii="宋体" w:hAnsi="宋体" w:eastAsia="宋体" w:cs="宋体"/>
                <w:b/>
                <w:bCs/>
                <w:color w:val="000000" w:themeColor="text1"/>
                <w:sz w:val="21"/>
                <w:szCs w:val="21"/>
                <w:highlight w:val="none"/>
                <w14:textFill>
                  <w14:solidFill>
                    <w14:schemeClr w14:val="tx1"/>
                  </w14:solidFill>
                </w14:textFill>
              </w:rPr>
              <w:t>：多维视觉交互平台项目</w:t>
            </w:r>
          </w:p>
        </w:tc>
      </w:tr>
      <w:tr w14:paraId="7899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13898443">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17" w:type="dxa"/>
            <w:tcBorders>
              <w:bottom w:val="single" w:color="auto" w:sz="4" w:space="0"/>
            </w:tcBorders>
            <w:shd w:val="clear" w:color="auto" w:fill="auto"/>
            <w:vAlign w:val="center"/>
          </w:tcPr>
          <w:p w14:paraId="0551CC7E">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633" w:type="dxa"/>
            <w:gridSpan w:val="2"/>
            <w:tcBorders>
              <w:bottom w:val="single" w:color="auto" w:sz="4" w:space="0"/>
            </w:tcBorders>
            <w:shd w:val="clear" w:color="auto" w:fill="FFFFFF"/>
            <w:vAlign w:val="center"/>
          </w:tcPr>
          <w:p w14:paraId="6268F8B3">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631" w:type="dxa"/>
            <w:tcBorders>
              <w:bottom w:val="single" w:color="auto" w:sz="4" w:space="0"/>
            </w:tcBorders>
            <w:shd w:val="clear" w:color="auto" w:fill="auto"/>
            <w:vAlign w:val="center"/>
          </w:tcPr>
          <w:p w14:paraId="3E546C99">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7467" w:type="dxa"/>
            <w:tcBorders>
              <w:bottom w:val="single" w:color="auto" w:sz="4" w:space="0"/>
            </w:tcBorders>
            <w:shd w:val="clear" w:color="auto" w:fill="auto"/>
            <w:noWrap/>
            <w:vAlign w:val="center"/>
          </w:tcPr>
          <w:p w14:paraId="4800FB9C">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具体说明、功能及技术参数要求</w:t>
            </w:r>
          </w:p>
        </w:tc>
      </w:tr>
      <w:tr w14:paraId="75A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3" w:type="dxa"/>
            <w:tcBorders>
              <w:top w:val="single" w:color="auto" w:sz="4" w:space="0"/>
            </w:tcBorders>
            <w:shd w:val="clear" w:color="auto" w:fill="auto"/>
            <w:vAlign w:val="center"/>
          </w:tcPr>
          <w:p w14:paraId="6060CFC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1017" w:type="dxa"/>
            <w:tcBorders>
              <w:top w:val="single" w:color="auto" w:sz="4" w:space="0"/>
            </w:tcBorders>
            <w:shd w:val="clear" w:color="auto" w:fill="auto"/>
            <w:vAlign w:val="center"/>
          </w:tcPr>
          <w:p w14:paraId="117FF452">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双屏支架</w:t>
            </w:r>
          </w:p>
        </w:tc>
        <w:tc>
          <w:tcPr>
            <w:tcW w:w="633" w:type="dxa"/>
            <w:gridSpan w:val="2"/>
            <w:tcBorders>
              <w:top w:val="single" w:color="auto" w:sz="4" w:space="0"/>
            </w:tcBorders>
            <w:shd w:val="clear" w:color="auto" w:fill="FFFFFF"/>
            <w:vAlign w:val="center"/>
          </w:tcPr>
          <w:p w14:paraId="79784543">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258</w:t>
            </w:r>
          </w:p>
        </w:tc>
        <w:tc>
          <w:tcPr>
            <w:tcW w:w="631" w:type="dxa"/>
            <w:tcBorders>
              <w:top w:val="single" w:color="auto" w:sz="4" w:space="0"/>
            </w:tcBorders>
            <w:shd w:val="clear" w:color="auto" w:fill="auto"/>
            <w:vAlign w:val="center"/>
          </w:tcPr>
          <w:p w14:paraId="1CB17FB5">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个</w:t>
            </w:r>
          </w:p>
        </w:tc>
        <w:tc>
          <w:tcPr>
            <w:tcW w:w="7467" w:type="dxa"/>
            <w:tcBorders>
              <w:top w:val="single" w:color="auto" w:sz="4" w:space="0"/>
            </w:tcBorders>
            <w:shd w:val="clear" w:color="auto" w:fill="auto"/>
            <w:vAlign w:val="center"/>
          </w:tcPr>
          <w:p w14:paraId="265283D1">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多屏机械悬臂通用底座桌面屏幕旋转一拖二</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（支架尺寸，材质）</w:t>
            </w:r>
          </w:p>
        </w:tc>
      </w:tr>
      <w:tr w14:paraId="77B8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3D4D415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1017" w:type="dxa"/>
            <w:tcBorders>
              <w:top w:val="single" w:color="auto" w:sz="4" w:space="0"/>
            </w:tcBorders>
            <w:shd w:val="clear" w:color="auto" w:fill="auto"/>
            <w:vAlign w:val="center"/>
          </w:tcPr>
          <w:p w14:paraId="637862FC">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转接线</w:t>
            </w:r>
          </w:p>
        </w:tc>
        <w:tc>
          <w:tcPr>
            <w:tcW w:w="633" w:type="dxa"/>
            <w:gridSpan w:val="2"/>
            <w:tcBorders>
              <w:top w:val="single" w:color="auto" w:sz="4" w:space="0"/>
            </w:tcBorders>
            <w:shd w:val="clear" w:color="auto" w:fill="FFFFFF"/>
            <w:vAlign w:val="center"/>
          </w:tcPr>
          <w:p w14:paraId="399E97B7">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bidi="ar"/>
              </w:rPr>
              <w:t>258</w:t>
            </w:r>
          </w:p>
        </w:tc>
        <w:tc>
          <w:tcPr>
            <w:tcW w:w="631" w:type="dxa"/>
            <w:tcBorders>
              <w:top w:val="single" w:color="auto" w:sz="4" w:space="0"/>
            </w:tcBorders>
            <w:shd w:val="clear" w:color="auto" w:fill="auto"/>
            <w:vAlign w:val="center"/>
          </w:tcPr>
          <w:p w14:paraId="1F76FD3D">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条</w:t>
            </w:r>
          </w:p>
        </w:tc>
        <w:tc>
          <w:tcPr>
            <w:tcW w:w="7467" w:type="dxa"/>
            <w:tcBorders>
              <w:top w:val="single" w:color="auto" w:sz="4" w:space="0"/>
            </w:tcBorders>
            <w:shd w:val="clear" w:color="auto" w:fill="auto"/>
            <w:vAlign w:val="center"/>
          </w:tcPr>
          <w:p w14:paraId="2BE69986">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根据机房pc设备适配pc与屏幕的hdmi、vga、dp等接口</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都是2米</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r>
      <w:tr w14:paraId="02A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2CA9810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1017" w:type="dxa"/>
            <w:tcBorders>
              <w:top w:val="single" w:color="auto" w:sz="4" w:space="0"/>
            </w:tcBorders>
            <w:shd w:val="clear" w:color="auto" w:fill="auto"/>
            <w:vAlign w:val="center"/>
          </w:tcPr>
          <w:p w14:paraId="3FFBC11C">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电视机</w:t>
            </w:r>
          </w:p>
        </w:tc>
        <w:tc>
          <w:tcPr>
            <w:tcW w:w="633" w:type="dxa"/>
            <w:gridSpan w:val="2"/>
            <w:tcBorders>
              <w:top w:val="single" w:color="auto" w:sz="4" w:space="0"/>
            </w:tcBorders>
            <w:shd w:val="clear" w:color="auto" w:fill="FFFFFF"/>
            <w:vAlign w:val="center"/>
          </w:tcPr>
          <w:p w14:paraId="0F0ECBC5">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631" w:type="dxa"/>
            <w:tcBorders>
              <w:top w:val="single" w:color="auto" w:sz="4" w:space="0"/>
            </w:tcBorders>
            <w:shd w:val="clear" w:color="auto" w:fill="auto"/>
            <w:vAlign w:val="center"/>
          </w:tcPr>
          <w:p w14:paraId="15EAB4F2">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tcBorders>
              <w:top w:val="single" w:color="auto" w:sz="4" w:space="0"/>
            </w:tcBorders>
            <w:shd w:val="clear" w:color="auto" w:fill="auto"/>
            <w:vAlign w:val="center"/>
          </w:tcPr>
          <w:p w14:paraId="32AD5C86">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配置要求：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≥85英寸；无边框超大板液晶电视</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响应速度≤8.5ms（Typ.）</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色域值：130%（BT.907)</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可视角度：H/V(min)：60/60°</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屏体刷新率：≥120Hz超高刷屏体</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整机额定功率：320W</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待机功耗≤0.5W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工作电压：AC 220V 50Hz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支持超薄微型挂架：安装孔距600×300mm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能效认证及等级：≥三级能耗</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kern w:val="0"/>
                <w:sz w:val="21"/>
                <w:szCs w:val="21"/>
                <w:highlight w:val="none"/>
                <w:lang w:bidi="ar"/>
              </w:rPr>
              <w:t>11、通过国家节能认证、3C认证</w:t>
            </w:r>
            <w:r>
              <w:rPr>
                <w:rFonts w:hint="eastAsia" w:ascii="宋体" w:hAnsi="宋体" w:eastAsia="宋体" w:cs="宋体"/>
                <w:color w:val="000000"/>
                <w:kern w:val="0"/>
                <w:sz w:val="21"/>
                <w:szCs w:val="21"/>
                <w:highlight w:val="none"/>
                <w:lang w:eastAsia="zh-CN" w:bidi="ar"/>
              </w:rPr>
              <w:t>（投标文件中须提供节能证书及</w:t>
            </w:r>
            <w:r>
              <w:rPr>
                <w:rFonts w:hint="eastAsia" w:ascii="宋体" w:hAnsi="宋体" w:eastAsia="宋体" w:cs="宋体"/>
                <w:color w:val="000000"/>
                <w:kern w:val="0"/>
                <w:sz w:val="21"/>
                <w:szCs w:val="21"/>
                <w:highlight w:val="none"/>
                <w:lang w:val="en-US" w:eastAsia="zh-CN" w:bidi="ar"/>
              </w:rPr>
              <w:t>3C认证证书复印件并加盖投标人公章</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二、功能要求：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预置节目数：超多频道256套(0～255)</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开机音量可设定一个数值，以免开机太大声</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上电开机功能</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遥控功能：远场语音+遥控器声控</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物理分辨率：≥3840×2160</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能接收全球所有高清数字电视信号（1920×1080i/50Hz、1920×1080i/60Hz、1280×720P/60Hz、720×576P/50Hz、640×480P/60Hz）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画质支持显示模式调整、场景屏变。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音质：芯片自带环绕声，2.1声道Hi-Fi音响</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具有U盘克隆功能，可通过USB接口复制其它已设置好的所有内容。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内置操作系统：Android≥9.0，支持多屏互动</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内存：RAM：不低于3GB；ROM：不低于64GB；中央处理器≥四核（64位）；图形处理器GPU：≥双核；</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网络功能：内置Wi-Fi 6 Pro(Wi-Fi频段2.4G+5G）。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接口至少包括： HDMI2.1高清数字接口×≥2、天线 RF INPUT接口×≥1、USB2.0接口×≥1、USB3.0接口×≥1、百兆网络接口×≥1、AV输入×≥1、SPDIF接口×≥1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支持开机恢复功能、无操作自动待机功能、无信号待机、背光调节、支持1080P RM/RMVB、支持预约输入通道、支持媒体播放器、支持投屏（投屏器投屏、HDMI投屏、无线投屏、四路投屏）功能。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通电状态记忆功能</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HDMI支持格式：480p/60Hz 480i/60Hz、576p/50Hz 576i/50Hz 720p/60Hz、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1080i 50Hz/60Hz 1080p 50Hz/60Hz、640x480/60Hz 800x600/60Hz、1024x768/60Hz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支持图片格式：JPEG/PNG/BMP等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支持视频格式：MEPG-2,MEPG-4,H.264/H.265/ AVS/AVS+/MVC/VP9等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支持音频格式：WMA/AC3/AAC/DTS等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机器尺寸（长×厚×高）：约1890×95×1088mm（不含底座）</w:t>
            </w:r>
            <w:r>
              <w:rPr>
                <w:rFonts w:hint="eastAsia" w:ascii="宋体" w:hAnsi="宋体" w:eastAsia="宋体" w:cs="宋体"/>
                <w:color w:val="000000"/>
                <w:kern w:val="0"/>
                <w:sz w:val="21"/>
                <w:szCs w:val="21"/>
                <w:highlight w:val="none"/>
                <w:lang w:eastAsia="zh-CN" w:bidi="ar"/>
              </w:rPr>
              <w:t>。</w:t>
            </w:r>
          </w:p>
          <w:p w14:paraId="41DB94D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21.</w:t>
            </w:r>
            <w:r>
              <w:rPr>
                <w:rFonts w:hint="eastAsia" w:ascii="宋体" w:hAnsi="宋体" w:eastAsia="宋体" w:cs="宋体"/>
                <w:color w:val="000000"/>
                <w:kern w:val="0"/>
                <w:szCs w:val="21"/>
                <w:highlight w:val="none"/>
                <w:lang w:bidi="ar"/>
              </w:rPr>
              <w:t>机器重量：约29KG（不含底座）</w:t>
            </w:r>
          </w:p>
        </w:tc>
      </w:tr>
      <w:tr w14:paraId="1CEB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A4B0AE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1017" w:type="dxa"/>
            <w:shd w:val="clear" w:color="auto" w:fill="auto"/>
            <w:vAlign w:val="center"/>
          </w:tcPr>
          <w:p w14:paraId="53ED0A1B">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无线投屏矩阵</w:t>
            </w:r>
          </w:p>
        </w:tc>
        <w:tc>
          <w:tcPr>
            <w:tcW w:w="633" w:type="dxa"/>
            <w:gridSpan w:val="2"/>
            <w:shd w:val="clear" w:color="auto" w:fill="FFFFFF"/>
            <w:vAlign w:val="center"/>
          </w:tcPr>
          <w:p w14:paraId="23F44DA4">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31" w:type="dxa"/>
            <w:shd w:val="clear" w:color="auto" w:fill="auto"/>
            <w:vAlign w:val="center"/>
          </w:tcPr>
          <w:p w14:paraId="20748579">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12FDC20A">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eastAsia="zh-CN" w:bidi="ar"/>
              </w:rPr>
              <w:t>一、基本要求</w:t>
            </w:r>
          </w:p>
          <w:p w14:paraId="50469EED">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1.天线类型：内置天线</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2.操作系统：采用X86架构，搭载安卓操作系统</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3.RAM：不低于8GB</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4.按键：电源键≥1，录制键≥1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5.HDMI接口：具备≥1个HDMI输入接口，支持电脑、摄像头、实物展台等外部设备的有线接入；具备≥1个HDMI输出接口，可外接至一体机、电视机等大屏端</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（投标时提供主机所有接口实物图片</w:t>
            </w:r>
            <w:r>
              <w:rPr>
                <w:rFonts w:hint="eastAsia" w:ascii="宋体" w:hAnsi="宋体" w:eastAsia="宋体" w:cs="宋体"/>
                <w:color w:val="000000"/>
                <w:kern w:val="0"/>
                <w:sz w:val="21"/>
                <w:szCs w:val="21"/>
                <w:highlight w:val="none"/>
                <w:lang w:eastAsia="zh-CN" w:bidi="ar"/>
              </w:rPr>
              <w:t>扫描件并加盖投标人公章</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6.影音接口：LineIn≥1，支持麦克风的连接；LineOut≥1，支持音箱的连接</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7.USB接口：具备≥3个USB Type-A接口，支持U盘、鼠标、键盘、摄像头的接入；具备≥1个USB</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≥Type-B接口，支持连接电脑安装驱动</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8.内置无线AP：教学互动终端内置无线AP模块，WiFi支持：IEEE 802.11 a/b/g/n/ac；工作频段：2.4GHz和5GHz；最大无线速率：1.3Gbps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9.网络接口：具备≥3个10/100/1000Mbps以太网RJ45数据接口，支持WAN口外接网线接入互联网，或LAN口外接网线输出网络数据</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10.网络工作模式：支持无线路由器、无线交换和网络终端三种模式</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11.HDMI输出适配：支持多种显示分辨率，教学互动终端可自动适配HDMI外接的大屏端分辨率，最高支持≥3840×2160分辨率。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二、</w:t>
            </w:r>
            <w:r>
              <w:rPr>
                <w:rFonts w:hint="eastAsia" w:ascii="宋体" w:hAnsi="宋体" w:eastAsia="宋体" w:cs="宋体"/>
                <w:color w:val="000000"/>
                <w:kern w:val="0"/>
                <w:sz w:val="21"/>
                <w:szCs w:val="21"/>
                <w:highlight w:val="none"/>
                <w:lang w:bidi="ar"/>
              </w:rPr>
              <w:t>多媒体教学系统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1.中英文切换：系统支持简体中文和英文两种语言模式，可快速进行中英文的切换，满足双语教学的要求。</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2.软件遥控器：教学互动终端无需硬件遥控器或USB切换器，用户只需扫码下载遥控器APP即可将移动终端作为控制端，软件控制端支持截屏、录制、批注、白板、切屏、布局、互动等功能按钮，支持Windows、Android、iOS系统的设备安装控制端软件。</w:t>
            </w:r>
          </w:p>
          <w:p w14:paraId="544C428C">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3.文件上屏：使用遥控器APP，可将遥控器本地的文件、图片、视频上传至屏幕，并以最多4屏画面显示。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4.拍照与拍视频上屏：使用遥控器APP，可通过遥控器手机/平板的相机功能，拍摄多张照片上传至屏幕，亦可录制多段视频上传至屏幕，并以最多4屏画面显示。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5.全屏缩放：支持在遥控器APP端或触控显示屏端对显示画面进行缩小、放大操作，能够对单屏或多屏画面进行最大400%放大。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6.屏幕工具条：用户可直接在触控显示屏上点击系统工具条，或通过鼠标点击工具条进行操作，工具条具有截屏、录制、切屏、布局、批注、白板、互动等功能按钮，并显示时间、设备名称、网络IP等信息。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7.三大类公有传输协议投屏：支持AirPlay、Miracast、WIDI投射协议投屏，能够将iOS设备、Android设备、Windows设备不安装任何APP或者插件的前提下直接无线接入教学互动终端进行投屏。</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8.终端投屏显示：支持不少于16路投屏设备同时接入教学互动终端，并可自由拖动画面位置，支持对其中某个设备画面进行音量开关、画面全屏、画面移除或画面旋转等，或对全体设备画面音量调节</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9.手写板投屏：支持不低于60台手写板通过Wifi连接教学互动终端，手写板书写笔迹可实时呈现在显示屏，支</w:t>
            </w:r>
            <w:r>
              <w:rPr>
                <w:rFonts w:hint="eastAsia" w:ascii="宋体" w:hAnsi="宋体" w:eastAsia="宋体" w:cs="宋体"/>
                <w:color w:val="000000"/>
                <w:kern w:val="0"/>
                <w:sz w:val="21"/>
                <w:szCs w:val="21"/>
                <w:highlight w:val="none"/>
                <w:lang w:bidi="ar"/>
              </w:rPr>
              <w:t>持1、2、3、4屏等不同对比模式，手写板投屏画面可支持旋转、全屏放大、移除等操作。</w:t>
            </w:r>
          </w:p>
          <w:p w14:paraId="45429B50">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10.设备和文件选择：系统自动对设备（有线接入设备、无线投屏设备）、文件（图库、U盘、遥控器等本地文件和云空间下载文件）进行分类；支持对已连接的设备进行置顶、重命名等操作。</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11.画面布局：支持1、2、3、4屏画面布局，画面支持多种对比模式（如均分屏幕、一大两小、一大三小、窗口悬浮等不少于7种默认画面布局），一键点击即可选择相应布局，已设置好的布局具有画面记忆功能，即布局模式更换后，原布局内的设备画面自动存储记忆，不会清屏或更改；Auto布局模式下可自动适应多种画面布局。</w:t>
            </w:r>
          </w:p>
          <w:p w14:paraId="1E2AF4C4">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12.界面布局：支持全屏模式和显示工具条模式。全屏模式下，工具条自动隐藏，隐藏后可点击隐藏按钮再次显示，且无操作10秒钟后，工具条会继续隐藏；显示工具条模式下，支持工具条显示在左边或右边。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13.一键截屏：支持一键截取当前屏幕的显示画面，截屏的图片可保存在外接U盘或云盘中，支持通过遥控器APP分享到微信、微博、QQ等第三方应用程序，并支持将存储在外接U盘或云盘中的图片下载到本地。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14.微课录制：支持屏幕多画面和外接麦克风声音同步录入，提供720P和1080P视频显示格式可选，录制的视频可保存在外接U盘、云盘中，支持存储空间不足时的文字提醒功能；支持多种方式开启</w:t>
            </w:r>
            <w:r>
              <w:rPr>
                <w:rFonts w:hint="eastAsia" w:ascii="宋体" w:hAnsi="宋体" w:eastAsia="宋体" w:cs="宋体"/>
                <w:color w:val="000000"/>
                <w:kern w:val="0"/>
                <w:sz w:val="21"/>
                <w:szCs w:val="21"/>
                <w:highlight w:val="none"/>
                <w:lang w:bidi="ar"/>
              </w:rPr>
              <w:t>微课录制，如教学互动终端的“录制”按键、屏幕工具条的“录制”按钮和遥控器APP中的“录制”按钮。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15.白板批注：系统提供画笔、激光笔、板擦、撤销、重做、聚焦、随写板、添加白板等工具，可至少实现如下功能：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功能1—支持普通画笔书写、荧光画笔书写和激光笔定位，画笔包含红、橙、黄、绿、青、蓝、紫等9种颜色；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功能2—支持板擦手势擦除或滑动擦除当前书写内容；支持一键撤销或重做；</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3—支持批注界面下的显示画面聚焦，可自由拖拽显示位置和显示比例，讲解模式下可将当前显示区域截取到白板中，支持截取多张图片和置顶某张图片；关灯模式下可将当前显示区域以外的画面进行黑屏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功能4—支持白板界面下的随写板书写，可悬浮于屏幕画面的上层显示，并自由拖拽显示位置和显示比例，支持一键滑动清除、最小化、还原初始大小和翻页等操作；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功能5—支持添加多页白板并进行上下翻页，可同时预览多页白板的缩略图，最多可添加至50页；支持一键清空当前创建的所有白板；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功能6—支持批注内容、白板书写内容保存至本地或上传至云空间，支持调取二维码用于扫码下载当前界面的截图。</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16.应用程序：支持第三方应用程序嵌入式安装在教学互动终端，无需借助教师平板可直接开启师生互动软件，完成智慧课堂教学互动过程。</w:t>
            </w:r>
          </w:p>
          <w:p w14:paraId="43D90FEA">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17.欢迎主题：系统内置不少于14种模板，可选择系统模板、自定义模板和文字模板，支持插入文本、分割线和导入外接U盘的音乐、图片，可针对自定义内容保存为模板，自由导入、导出主题，并可同步展示到分组端显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18.扫码带走：在接入互联网或断开互联网后，系统均可生成二维码，用户可使用移动终端扫码下载图库中的多张图片。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19.书签：支持添加第三方Web端网页链接，可支持在屏幕端展示1、2、3、4个网页界面。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20.设备监测：支持查看教学互动终端的内存、CPU、硬盘、网络等使用情况，还可支持详细查看视频质量和声音</w:t>
            </w:r>
            <w:r>
              <w:rPr>
                <w:rFonts w:hint="eastAsia" w:ascii="宋体" w:hAnsi="宋体" w:eastAsia="宋体" w:cs="宋体"/>
                <w:color w:val="000000"/>
                <w:kern w:val="0"/>
                <w:sz w:val="21"/>
                <w:szCs w:val="21"/>
                <w:highlight w:val="none"/>
                <w:lang w:bidi="ar"/>
              </w:rPr>
              <w:t>质量。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21.音量调节：支持对屏幕端音视频的一键静音和解除静音，关闭麦克风和打开麦克风，并可手动调节音量大小和选择声音输入输出设备，还可支持播放测试音和启用侦听。</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22.U盘读写：支持外接NTFS、EXFAT格式的大容量移动存储设备，“存储”可支持截屏、录制内容写入，“读取”可选择U盘中的文档、图片、视频等资料直接打开播放，也可对存储至U盘的截屏图片和录制的视频预览、移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23.反向控制：支持在触控显示屏上对HDMI有线接入的Windows电脑进行反向控制操作，支持无线投屏的部分Android、Windows设备进行反向控制操作，同时还支持在遥控器APP端或通过教学互动终端外接的鼠标进行反向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24.安全策略：支持设置随机PIN码和固定PIN码，移动端设备无线投屏或使用遥控器APP时均需输入对应的PIN码；还可支持设置管理员密码和密码提示信息，每次进入“设置”界面均需要输入管理员密码。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25.个性化设置：支持修改教学互动终端名称、设置开机画面壁纸、选择默认屏幕布局、开启辅助控制和首页展示遥控器APP二维码等功能。</w:t>
            </w:r>
          </w:p>
          <w:p w14:paraId="693477A6">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eastAsia="zh-CN" w:bidi="ar"/>
              </w:rPr>
              <w:t>三、其他功能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1.上课登录：支持教师通过微信扫描二维码进行登录；支持教师输入账号和密码进行登录；支持教师以访客模式进行登录。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2.开启本地课堂：支持按照科目和班级开始上课，学生可使用反馈器、手写板和微信小程序参与对应班级的互动。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3.创建临时课堂：支持教师以访客模式创建临时课堂，学生无需登录账号即可通过微信小程序参与互动。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4.反馈器互动：支持学生反馈器手动签到，支持完成单选题、多选题、判断题、算术题的重复作答，系统自动生成多次答题的柱状图对比数据，支持教师端发起投票、挑人、抢答功能。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5.手写板互动：支持学生手写板开机后自动连接教学互动终端并自动签到，支持完成单选题、多选题、判断题、算术题、手写题的作答，支持教师端发起投票、挑人、抢答功能。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6.微信小程序互动：支持学生通过微信扫描二维码进入课堂并完成签到，支持完成单选题、多选题、判断题、算术题、简答题的作答，支持教师端发起投票、挑人功能。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7.云空间：支持将存储在云平台的文件上屏展示、下载到本地或进行删除，文件内容可包含图片、视频、音频和文档；支持在下载列表界面一键清空当前下载的文件。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8.课程报告：支持对学生签到信息、发起答题数量、出勤率、答题正确率进行统</w:t>
            </w:r>
            <w:r>
              <w:rPr>
                <w:rFonts w:hint="eastAsia" w:ascii="宋体" w:hAnsi="宋体" w:eastAsia="宋体" w:cs="宋体"/>
                <w:color w:val="000000"/>
                <w:kern w:val="0"/>
                <w:sz w:val="21"/>
                <w:szCs w:val="21"/>
                <w:highlight w:val="none"/>
                <w:lang w:bidi="ar"/>
              </w:rPr>
              <w:t>计，支持教师通过答题列表查看答题柱状图、查看题目和修改正确答案。</w:t>
            </w:r>
            <w:r>
              <w:rPr>
                <w:rFonts w:hint="eastAsia" w:ascii="宋体" w:hAnsi="宋体" w:eastAsia="宋体" w:cs="宋体"/>
                <w:color w:val="000000"/>
                <w:kern w:val="0"/>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color w:val="000000"/>
                <w:kern w:val="0"/>
                <w:sz w:val="21"/>
                <w:szCs w:val="21"/>
                <w:highlight w:val="none"/>
                <w:lang w:bidi="ar"/>
              </w:rPr>
              <w:t>9.教师微信助</w:t>
            </w:r>
            <w:r>
              <w:rPr>
                <w:rFonts w:hint="eastAsia" w:ascii="宋体" w:hAnsi="宋体" w:eastAsia="宋体" w:cs="宋体"/>
                <w:color w:val="000000"/>
                <w:kern w:val="0"/>
                <w:sz w:val="21"/>
                <w:szCs w:val="21"/>
                <w:highlight w:val="none"/>
                <w:lang w:bidi="ar"/>
              </w:rPr>
              <w:t>手：支持使用教师端小程序发起单选题、多选题、判断题、算术题、手写题、简答题的作答和投票、挑人、抢答功能；还支持查看本地课堂和临时课堂的统计数据，本地课堂统计可按年度查看对应班级和课程的课节列表、课程报告，临时课堂统计可按周、月、季度和学年查看课程报告。</w:t>
            </w:r>
          </w:p>
        </w:tc>
      </w:tr>
      <w:tr w14:paraId="2363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3" w:type="dxa"/>
            <w:shd w:val="clear" w:color="auto" w:fill="auto"/>
            <w:vAlign w:val="center"/>
          </w:tcPr>
          <w:p w14:paraId="1FE5AB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1017" w:type="dxa"/>
            <w:shd w:val="clear" w:color="auto" w:fill="auto"/>
            <w:vAlign w:val="center"/>
          </w:tcPr>
          <w:p w14:paraId="1B992372">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电视机定制支架</w:t>
            </w:r>
          </w:p>
        </w:tc>
        <w:tc>
          <w:tcPr>
            <w:tcW w:w="633"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49DCD71">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1E82">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467" w:type="dxa"/>
            <w:shd w:val="clear" w:color="auto" w:fill="auto"/>
            <w:vAlign w:val="center"/>
          </w:tcPr>
          <w:p w14:paraId="6DF8D707">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具备多重固定措施和防止坠落保险装置，确保电视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无意外掉落、滑落、倾倒。</w:t>
            </w:r>
          </w:p>
          <w:p w14:paraId="22FC6A46">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冷轧钢挂架</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钢缆安全绳</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不锈钢膨胀螺栓，金属材质（电视挂架主体）</w:t>
            </w:r>
            <w:r>
              <w:rPr>
                <w:rFonts w:hint="eastAsia" w:ascii="宋体" w:hAnsi="宋体" w:cs="宋体"/>
                <w:color w:val="000000" w:themeColor="text1"/>
                <w:sz w:val="21"/>
                <w:szCs w:val="21"/>
                <w:highlight w:val="none"/>
                <w:lang w:eastAsia="zh-CN"/>
                <w14:textFill>
                  <w14:solidFill>
                    <w14:schemeClr w14:val="tx1"/>
                  </w14:solidFill>
                </w14:textFill>
              </w:rPr>
              <w:t>。</w:t>
            </w:r>
          </w:p>
          <w:p w14:paraId="0C667D2A">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冷轧钢：强度高、承重能力强（适合大尺寸电视），但需表面防锈处理（如喷漆）。</w:t>
            </w:r>
          </w:p>
          <w:p w14:paraId="471830A3">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铝合金：轻便、防锈，适合中小型电视。</w:t>
            </w:r>
          </w:p>
          <w:p w14:paraId="203E02E8">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不锈钢：耐腐蚀性强，适合潮湿环境。</w:t>
            </w:r>
          </w:p>
          <w:p w14:paraId="620907E8">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固定螺丝/膨胀螺栓：必须为高碳钢或不锈钢，直径≥8mm（根据墙体类型选择长度，混凝土墙需≥5cm）。</w:t>
            </w:r>
          </w:p>
          <w:p w14:paraId="0BC71299">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安全绳材质：尼龙编织带：抗拉强度高（承重≥100kg）。</w:t>
            </w:r>
          </w:p>
          <w:p w14:paraId="3C6ABCED">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钢缆+橡胶护套：</w:t>
            </w:r>
            <w:r>
              <w:rPr>
                <w:rFonts w:hint="eastAsia" w:ascii="宋体" w:hAnsi="宋体" w:cs="宋体"/>
                <w:color w:val="000000" w:themeColor="text1"/>
                <w:sz w:val="21"/>
                <w:szCs w:val="21"/>
                <w:highlight w:val="none"/>
                <w:lang w:val="en-US" w:eastAsia="zh-CN"/>
                <w14:textFill>
                  <w14:solidFill>
                    <w14:schemeClr w14:val="tx1"/>
                  </w14:solidFill>
                </w14:textFill>
              </w:rPr>
              <w:t>具有良好的</w:t>
            </w:r>
            <w:r>
              <w:rPr>
                <w:rFonts w:hint="eastAsia" w:ascii="宋体" w:hAnsi="宋体" w:eastAsia="宋体" w:cs="宋体"/>
                <w:color w:val="000000" w:themeColor="text1"/>
                <w:sz w:val="21"/>
                <w:szCs w:val="21"/>
                <w:highlight w:val="none"/>
                <w:lang w:eastAsia="zh-CN"/>
                <w14:textFill>
                  <w14:solidFill>
                    <w14:schemeClr w14:val="tx1"/>
                  </w14:solidFill>
                </w14:textFill>
              </w:rPr>
              <w:t>耐用性，适合长期使用。</w:t>
            </w:r>
          </w:p>
        </w:tc>
      </w:tr>
      <w:tr w14:paraId="4E4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2F4113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1017" w:type="dxa"/>
            <w:shd w:val="clear" w:color="auto" w:fill="auto"/>
            <w:vAlign w:val="center"/>
          </w:tcPr>
          <w:p w14:paraId="3956AEBF">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安装调试</w:t>
            </w:r>
          </w:p>
        </w:tc>
        <w:tc>
          <w:tcPr>
            <w:tcW w:w="633" w:type="dxa"/>
            <w:gridSpan w:val="2"/>
            <w:shd w:val="clear" w:color="auto" w:fill="FFFFFF"/>
            <w:vAlign w:val="center"/>
          </w:tcPr>
          <w:p w14:paraId="59970D89">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53FAF302">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7467" w:type="dxa"/>
            <w:shd w:val="clear" w:color="auto" w:fill="auto"/>
            <w:vAlign w:val="center"/>
          </w:tcPr>
          <w:p w14:paraId="33F43647">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dstrike/>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kern w:val="0"/>
                <w:sz w:val="21"/>
                <w:szCs w:val="21"/>
                <w:highlight w:val="none"/>
                <w:lang w:bidi="ar"/>
              </w:rPr>
              <w:t>含双屏支架、电视机、定制支架安装</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无线投屏、电视机设备调试</w:t>
            </w:r>
            <w:r>
              <w:rPr>
                <w:rFonts w:hint="eastAsia" w:ascii="宋体" w:hAnsi="宋体" w:eastAsia="宋体" w:cs="宋体"/>
                <w:color w:val="000000"/>
                <w:kern w:val="0"/>
                <w:sz w:val="21"/>
                <w:szCs w:val="21"/>
                <w:highlight w:val="none"/>
                <w:lang w:eastAsia="zh-CN" w:bidi="ar"/>
              </w:rPr>
              <w:t>。</w:t>
            </w:r>
          </w:p>
        </w:tc>
      </w:tr>
      <w:tr w14:paraId="588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55122D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1017" w:type="dxa"/>
            <w:shd w:val="clear" w:color="auto" w:fill="auto"/>
            <w:vAlign w:val="center"/>
          </w:tcPr>
          <w:p w14:paraId="4DB1815E">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实训室250位配电改造</w:t>
            </w:r>
          </w:p>
        </w:tc>
        <w:tc>
          <w:tcPr>
            <w:tcW w:w="633" w:type="dxa"/>
            <w:gridSpan w:val="2"/>
            <w:shd w:val="clear" w:color="auto" w:fill="FFFFFF"/>
            <w:vAlign w:val="center"/>
          </w:tcPr>
          <w:p w14:paraId="37E15EB8">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1BDA403F">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7467" w:type="dxa"/>
            <w:shd w:val="clear" w:color="auto" w:fill="auto"/>
            <w:vAlign w:val="center"/>
          </w:tcPr>
          <w:p w14:paraId="10FEF8EF">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电路施工需符合GB 50054-2011及GB 50303-2015标准，采用阻燃ZR-BV 1.5方国标线缆、所有明线采用阻燃PVC或金属线槽全封闭包裹，改造插座离地≥1.3m，金属设备双重接地，实验室线路须沿墙或顶面敷设，严禁横跨过道。插座要求符合GB/T 16915.1要求，安装插座数量1:1冗余。</w:t>
            </w:r>
          </w:p>
        </w:tc>
      </w:tr>
      <w:tr w14:paraId="1C3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10E748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1017" w:type="dxa"/>
            <w:shd w:val="clear" w:color="auto" w:fill="auto"/>
            <w:vAlign w:val="center"/>
          </w:tcPr>
          <w:p w14:paraId="4A25C143">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bidi="ar"/>
              </w:rPr>
              <w:t>24口千兆交换机</w:t>
            </w:r>
          </w:p>
        </w:tc>
        <w:tc>
          <w:tcPr>
            <w:tcW w:w="633" w:type="dxa"/>
            <w:gridSpan w:val="2"/>
            <w:shd w:val="clear" w:color="auto" w:fill="FFFFFF"/>
            <w:vAlign w:val="center"/>
          </w:tcPr>
          <w:p w14:paraId="299EE58D">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31" w:type="dxa"/>
            <w:shd w:val="clear" w:color="auto" w:fill="auto"/>
            <w:vAlign w:val="center"/>
          </w:tcPr>
          <w:p w14:paraId="6CDE3729">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467" w:type="dxa"/>
            <w:shd w:val="clear" w:color="auto" w:fill="auto"/>
            <w:vAlign w:val="center"/>
          </w:tcPr>
          <w:p w14:paraId="3B7A4917">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端口配置：</w:t>
            </w:r>
            <w:r>
              <w:rPr>
                <w:rFonts w:hint="eastAsia" w:ascii="宋体" w:hAnsi="宋体" w:eastAsia="宋体" w:cs="宋体"/>
                <w:b w:val="0"/>
                <w:sz w:val="21"/>
                <w:szCs w:val="21"/>
                <w:highlight w:val="none"/>
              </w:rPr>
              <w:t>≥24个10/100/1000Mbps电口</w:t>
            </w:r>
            <w:r>
              <w:rPr>
                <w:rFonts w:hint="eastAsia" w:ascii="宋体" w:hAnsi="宋体" w:eastAsia="宋体" w:cs="宋体"/>
                <w:b w:val="0"/>
                <w:sz w:val="21"/>
                <w:szCs w:val="21"/>
                <w:highlight w:val="none"/>
                <w:lang w:eastAsia="zh-CN"/>
              </w:rPr>
              <w:t>。</w:t>
            </w:r>
          </w:p>
          <w:p w14:paraId="5D127557">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rPr>
              <w:t>输入电压：支持100-240V AC宽幅交流电压</w:t>
            </w:r>
            <w:r>
              <w:rPr>
                <w:rFonts w:hint="eastAsia" w:ascii="宋体" w:hAnsi="宋体" w:eastAsia="宋体" w:cs="宋体"/>
                <w:highlight w:val="none"/>
                <w:lang w:eastAsia="zh-CN"/>
              </w:rPr>
              <w:t>。</w:t>
            </w:r>
          </w:p>
          <w:p w14:paraId="1CA16400">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不支持PoE供电</w:t>
            </w:r>
            <w:r>
              <w:rPr>
                <w:rFonts w:hint="eastAsia" w:ascii="宋体" w:hAnsi="宋体" w:eastAsia="宋体" w:cs="宋体"/>
                <w:highlight w:val="none"/>
                <w:lang w:eastAsia="zh-CN"/>
              </w:rPr>
              <w:t>。</w:t>
            </w:r>
          </w:p>
          <w:p w14:paraId="0FB500A2">
            <w:pPr>
              <w:keepNext w:val="0"/>
              <w:keepLines w:val="0"/>
              <w:pageBreakBefore w:val="0"/>
              <w:widowControl/>
              <w:kinsoku/>
              <w:wordWrap/>
              <w:overflowPunct/>
              <w:topLinePunct w:val="0"/>
              <w:autoSpaceDE/>
              <w:autoSpaceDN/>
              <w:bidi w:val="0"/>
              <w:adjustRightInd/>
              <w:snapToGrid/>
              <w:spacing w:line="360" w:lineRule="auto"/>
              <w:ind w:left="0"/>
              <w:textAlignment w:val="top"/>
              <w:rPr>
                <w:rFonts w:hint="eastAsia" w:eastAsia="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整机包转发率：</w:t>
            </w:r>
            <w:r>
              <w:rPr>
                <w:rFonts w:hint="eastAsia" w:ascii="宋体" w:hAnsi="宋体" w:eastAsia="宋体" w:cs="宋体"/>
                <w:b w:val="0"/>
                <w:sz w:val="21"/>
                <w:szCs w:val="21"/>
                <w:highlight w:val="none"/>
              </w:rPr>
              <w:t>≥</w:t>
            </w:r>
            <w:r>
              <w:rPr>
                <w:rFonts w:hint="eastAsia" w:ascii="宋体" w:hAnsi="宋体" w:eastAsia="宋体" w:cs="宋体"/>
                <w:highlight w:val="none"/>
              </w:rPr>
              <w:t>36Mpps</w:t>
            </w:r>
            <w:r>
              <w:rPr>
                <w:rFonts w:hint="eastAsia" w:ascii="宋体" w:hAnsi="宋体" w:eastAsia="宋体" w:cs="宋体"/>
                <w:highlight w:val="none"/>
                <w:lang w:eastAsia="zh-CN"/>
              </w:rPr>
              <w:t>。</w:t>
            </w:r>
          </w:p>
        </w:tc>
      </w:tr>
      <w:tr w14:paraId="41AF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6B4F66B">
            <w:pPr>
              <w:keepNext w:val="0"/>
              <w:keepLines w:val="0"/>
              <w:pageBreakBefore w:val="0"/>
              <w:widowControl/>
              <w:kinsoku/>
              <w:wordWrap/>
              <w:overflowPunct/>
              <w:topLinePunct w:val="0"/>
              <w:autoSpaceDE/>
              <w:autoSpaceDN/>
              <w:bidi w:val="0"/>
              <w:adjustRightInd/>
              <w:snapToGrid/>
              <w:spacing w:line="360" w:lineRule="auto"/>
              <w:ind w:left="0"/>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一、</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 xml:space="preserve">商务条款 </w:t>
            </w:r>
          </w:p>
        </w:tc>
      </w:tr>
      <w:tr w14:paraId="411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7C79FAC">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质保期</w:t>
            </w:r>
          </w:p>
        </w:tc>
        <w:tc>
          <w:tcPr>
            <w:tcW w:w="8731" w:type="dxa"/>
            <w:gridSpan w:val="4"/>
            <w:tcBorders>
              <w:top w:val="single" w:color="auto" w:sz="4" w:space="0"/>
              <w:bottom w:val="single" w:color="auto" w:sz="4" w:space="0"/>
            </w:tcBorders>
            <w:shd w:val="clear" w:color="auto" w:fill="auto"/>
            <w:vAlign w:val="center"/>
          </w:tcPr>
          <w:p w14:paraId="636620C5">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1.按国家有关产品“三包”规定执行“三包”， 自交货验收合格之日起所有硬件设备、配件提供一年的</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质保服务（分项货物要求中有特别注明的，按特别注明的执行）。软件部分，质保期自交货并验收合格之日起计不少于</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提供升级服务。若产品生产厂家质保期超过此年限的，合同履行过程中按厂家规定执行；若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质保期承诺优于产品生产厂家质保年限的，以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承诺执行。</w:t>
            </w:r>
          </w:p>
          <w:p w14:paraId="70818CE3">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highlight w:val="none"/>
              </w:rPr>
            </w:pPr>
            <w:r>
              <w:rPr>
                <w:rFonts w:hint="eastAsia" w:ascii="宋体" w:hAnsi="宋体" w:eastAsia="宋体" w:cs="宋体"/>
                <w:sz w:val="21"/>
                <w:szCs w:val="21"/>
                <w:highlight w:val="none"/>
              </w:rPr>
              <w:t>2.从通过验收即日起质保期内所有由于质量问题导致的软、硬件产品故障以</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保修、人工及更换备件标准上门服务，并提供终身维护。</w:t>
            </w:r>
          </w:p>
          <w:p w14:paraId="5854ED19">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内无条件维修、更换配件。质保期第一年内出现非人为操作失误引发的重大故障，应予以无条件换货。保修期满前1个月内中标人应负责不少于一次无条件全面检查，并对发现的问题无条件整改好；质保期满后，以不高于市场同类同期的价格优惠提供维修服务和备件更换，所更换备件须提供原厂备件。</w:t>
            </w:r>
          </w:p>
        </w:tc>
      </w:tr>
      <w:tr w14:paraId="1075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2FD598E">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val="en-US" w:eastAsia="zh-CN"/>
              </w:rPr>
              <w:t>售后服务要求</w:t>
            </w:r>
          </w:p>
        </w:tc>
        <w:tc>
          <w:tcPr>
            <w:tcW w:w="8731" w:type="dxa"/>
            <w:gridSpan w:val="4"/>
            <w:tcBorders>
              <w:top w:val="single" w:color="auto" w:sz="4" w:space="0"/>
              <w:bottom w:val="single" w:color="auto" w:sz="4" w:space="0"/>
            </w:tcBorders>
            <w:shd w:val="clear" w:color="auto" w:fill="auto"/>
            <w:vAlign w:val="center"/>
          </w:tcPr>
          <w:p w14:paraId="101A7A40">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列表中“技术要求”另有要求的按要求执行，其余货物售后服务要求如下：</w:t>
            </w:r>
          </w:p>
          <w:p w14:paraId="2B0A0921">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1.中标人按采购人指定</w:t>
            </w:r>
            <w:r>
              <w:rPr>
                <w:rFonts w:hint="eastAsia" w:ascii="宋体" w:hAnsi="宋体" w:eastAsia="宋体" w:cs="宋体"/>
                <w:b w:val="0"/>
                <w:bCs w:val="0"/>
                <w:color w:val="auto"/>
                <w:sz w:val="21"/>
                <w:szCs w:val="21"/>
                <w:highlight w:val="none"/>
                <w:lang w:val="en-US" w:eastAsia="zh-CN"/>
              </w:rPr>
              <w:t>的地点负责送货上门、安装、调试，负责培训使用人员和维护人员。</w:t>
            </w:r>
          </w:p>
          <w:p w14:paraId="4A21D2D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2.中标人必须提供安装、配线以及软硬件的测试和调整服务。系统安装之前，应先对</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进行现场培训。开始安装时，应让</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的硬软件和系统集成人员参与安装、检测和排除故障。中标人在施工、安装、调试等全过程中接受采购人的监督。</w:t>
            </w:r>
          </w:p>
          <w:p w14:paraId="4C589D4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3.在中标人承诺的质保期内，设备保修包换所需要的配件均是原厂原装，不得使用兼容货物。</w:t>
            </w:r>
          </w:p>
          <w:p w14:paraId="00AE217F">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4.中标人在质量保证期内应当为采购人提供以下技术支持和服务：</w:t>
            </w:r>
          </w:p>
          <w:p w14:paraId="58DE8B84">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（1）电话咨询</w:t>
            </w:r>
          </w:p>
          <w:p w14:paraId="71B029A4">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中标人应当为采购人提供技术援助电话，解答采购人在使用中遇到的问题，及时为采购人提出解决问题的建议。</w:t>
            </w:r>
          </w:p>
          <w:p w14:paraId="106337EB">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（2）质量问题响应时间：按国家及行业标准进行及时处理，出现质量问题时在</w:t>
            </w:r>
            <w:r>
              <w:rPr>
                <w:rFonts w:hint="eastAsia" w:ascii="宋体" w:hAnsi="宋体" w:eastAsia="宋体" w:cs="宋体"/>
                <w:color w:val="auto"/>
                <w:kern w:val="0"/>
                <w:sz w:val="21"/>
                <w:szCs w:val="21"/>
                <w:highlight w:val="none"/>
                <w:u w:val="single"/>
                <w:lang w:val="en-US" w:eastAsia="zh-CN" w:bidi="ar-SA"/>
              </w:rPr>
              <w:t xml:space="preserve"> 2 </w:t>
            </w:r>
            <w:r>
              <w:rPr>
                <w:rFonts w:hint="eastAsia" w:ascii="宋体" w:hAnsi="宋体" w:eastAsia="宋体" w:cs="宋体"/>
                <w:b w:val="0"/>
                <w:bCs w:val="0"/>
                <w:color w:val="auto"/>
                <w:sz w:val="21"/>
                <w:szCs w:val="21"/>
                <w:highlight w:val="none"/>
                <w:lang w:val="en-US" w:eastAsia="zh-CN"/>
              </w:rPr>
              <w:t>小时内响应，</w:t>
            </w:r>
            <w:r>
              <w:rPr>
                <w:rFonts w:hint="eastAsia" w:ascii="宋体" w:hAnsi="宋体" w:eastAsia="宋体" w:cs="宋体"/>
                <w:color w:val="auto"/>
                <w:kern w:val="0"/>
                <w:sz w:val="21"/>
                <w:szCs w:val="21"/>
                <w:highlight w:val="none"/>
                <w:u w:val="single"/>
                <w:lang w:val="en-US" w:eastAsia="zh-CN" w:bidi="ar-SA"/>
              </w:rPr>
              <w:t xml:space="preserve"> 12 </w:t>
            </w:r>
            <w:r>
              <w:rPr>
                <w:rFonts w:hint="eastAsia" w:ascii="宋体" w:hAnsi="宋体" w:eastAsia="宋体" w:cs="宋体"/>
                <w:b w:val="0"/>
                <w:bCs w:val="0"/>
                <w:color w:val="auto"/>
                <w:sz w:val="21"/>
                <w:szCs w:val="21"/>
                <w:highlight w:val="none"/>
                <w:lang w:val="en-US" w:eastAsia="zh-CN"/>
              </w:rPr>
              <w:t>小时内到达现场；</w:t>
            </w:r>
            <w:r>
              <w:rPr>
                <w:rFonts w:hint="eastAsia" w:ascii="宋体" w:hAnsi="宋体" w:eastAsia="宋体" w:cs="宋体"/>
                <w:color w:val="auto"/>
                <w:kern w:val="0"/>
                <w:sz w:val="21"/>
                <w:szCs w:val="21"/>
                <w:highlight w:val="none"/>
                <w:u w:val="single"/>
                <w:lang w:val="en-US" w:eastAsia="zh-CN" w:bidi="ar-SA"/>
              </w:rPr>
              <w:t xml:space="preserve"> 24</w:t>
            </w:r>
            <w:r>
              <w:rPr>
                <w:rFonts w:hint="eastAsia" w:ascii="宋体" w:hAnsi="宋体" w:eastAsia="宋体" w:cs="宋体"/>
                <w:b w:val="0"/>
                <w:bCs w:val="0"/>
                <w:color w:val="auto"/>
                <w:sz w:val="21"/>
                <w:szCs w:val="21"/>
                <w:highlight w:val="none"/>
                <w:lang w:val="en-US" w:eastAsia="zh-CN"/>
              </w:rPr>
              <w:t>小时内解决问题，保证采购人正常使用，产生的一切费用由中标人承担。如在规定时间内无法解决质量问题，需提供备用设备，终身提供技术支持。</w:t>
            </w:r>
          </w:p>
          <w:p w14:paraId="172029C9">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（3）技术升级</w:t>
            </w:r>
          </w:p>
          <w:p w14:paraId="3DAF4EA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在质保期内，如果中标人的产品或服务升级，中标人应及时通知采购人，如采购人有相应要求，中标人应对采购人购买的产品或服务进行升级。</w:t>
            </w:r>
          </w:p>
          <w:p w14:paraId="3639155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5.质保期外服务要求</w:t>
            </w:r>
          </w:p>
          <w:p w14:paraId="28965C8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质量保证期过后，采购人需要继续由原中标人提供售后服务的，中标人应提供电话咨询服务，并应承诺提供产品或服务上门维护，中标人和制造商应以优惠价格提供售后服务。</w:t>
            </w:r>
          </w:p>
          <w:p w14:paraId="58FCE071">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6.备品备件及易损件</w:t>
            </w:r>
          </w:p>
          <w:p w14:paraId="67C1A710">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中标人售后服务中，维修使用的备品备件及易损件应为原厂配件，未经采购人同意不得使用非原厂配件。</w:t>
            </w:r>
          </w:p>
          <w:p w14:paraId="76BC85B2">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7.培训要求：中标人对其提供产品或服务的使用和操作应尽培训义务。中标人应提供对本分标的使用单位进行培训服务，涉及的相关费用应计算在项目报价内，并使使用人员能独立、熟练操作系统。 </w:t>
            </w:r>
          </w:p>
          <w:p w14:paraId="621DB820">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8.备品备件及耗材等要求：有稳定的备件供应渠道，并从设备厂商的中国公司及其分销商购置整机和备件补充，</w:t>
            </w:r>
            <w:r>
              <w:rPr>
                <w:rFonts w:hint="eastAsia" w:ascii="宋体" w:hAnsi="宋体" w:cs="宋体"/>
                <w:b w:val="0"/>
                <w:bCs w:val="0"/>
                <w:color w:val="auto"/>
                <w:sz w:val="21"/>
                <w:szCs w:val="21"/>
                <w:highlight w:val="none"/>
                <w:lang w:val="en-US" w:eastAsia="zh-CN"/>
              </w:rPr>
              <w:t>可以满足采购人的设备在升级</w:t>
            </w:r>
            <w:r>
              <w:rPr>
                <w:rFonts w:hint="eastAsia" w:ascii="宋体" w:hAnsi="宋体" w:eastAsia="宋体" w:cs="宋体"/>
                <w:b w:val="0"/>
                <w:bCs w:val="0"/>
                <w:color w:val="auto"/>
                <w:sz w:val="21"/>
                <w:szCs w:val="21"/>
                <w:highlight w:val="none"/>
                <w:lang w:val="en-US" w:eastAsia="zh-CN"/>
              </w:rPr>
              <w:t>、扩充和保修服务配件及消耗品等多方面的需求，中标人就相关备品备件及耗材价格与采购人友好协商，应以优惠价格提供相关服务。</w:t>
            </w:r>
          </w:p>
          <w:p w14:paraId="20156F4C">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9.提供设备必须是全新、未使用的原装产品，且在正常安装、使用和保养条件下，其使用寿命期内各项指标均达到质量要求。</w:t>
            </w:r>
          </w:p>
        </w:tc>
      </w:tr>
      <w:tr w14:paraId="655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6F6EF57E">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交货时间及地点</w:t>
            </w:r>
          </w:p>
        </w:tc>
        <w:tc>
          <w:tcPr>
            <w:tcW w:w="8731" w:type="dxa"/>
            <w:gridSpan w:val="4"/>
            <w:tcBorders>
              <w:top w:val="single" w:color="auto" w:sz="4" w:space="0"/>
              <w:bottom w:val="single" w:color="auto" w:sz="4" w:space="0"/>
            </w:tcBorders>
            <w:shd w:val="clear" w:color="auto" w:fill="auto"/>
            <w:vAlign w:val="center"/>
          </w:tcPr>
          <w:p w14:paraId="3BF4FBF3">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highlight w:val="none"/>
              </w:rPr>
            </w:pPr>
            <w:r>
              <w:rPr>
                <w:rFonts w:hint="eastAsia" w:ascii="宋体" w:hAnsi="宋体" w:eastAsia="宋体" w:cs="宋体"/>
                <w:sz w:val="21"/>
                <w:szCs w:val="21"/>
                <w:highlight w:val="none"/>
              </w:rPr>
              <w:t>1.交货时间：自签订合同之日</w:t>
            </w:r>
            <w:r>
              <w:rPr>
                <w:rFonts w:hint="eastAsia" w:ascii="宋体" w:hAnsi="宋体" w:eastAsia="宋体" w:cs="宋体"/>
                <w:sz w:val="21"/>
                <w:szCs w:val="21"/>
                <w:highlight w:val="none"/>
              </w:rPr>
              <w:t>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日历日</w:t>
            </w:r>
            <w:r>
              <w:rPr>
                <w:rFonts w:hint="eastAsia" w:ascii="宋体" w:hAnsi="宋体" w:eastAsia="宋体" w:cs="宋体"/>
                <w:sz w:val="21"/>
                <w:szCs w:val="21"/>
                <w:highlight w:val="none"/>
              </w:rPr>
              <w:t>内全部交货安装完成并经采购人验收合格。</w:t>
            </w:r>
          </w:p>
          <w:p w14:paraId="183530D2">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highlight w:val="none"/>
              </w:rPr>
            </w:pPr>
            <w:r>
              <w:rPr>
                <w:rFonts w:hint="eastAsia" w:ascii="宋体" w:hAnsi="宋体" w:eastAsia="宋体" w:cs="宋体"/>
                <w:sz w:val="21"/>
                <w:szCs w:val="21"/>
                <w:highlight w:val="none"/>
              </w:rPr>
              <w:t>2.交货地点：广西制造工程职业技术学院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53F4CC85">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lang w:val="en-US" w:eastAsia="zh-CN"/>
              </w:rPr>
              <w:t>中标通知书发出之日</w:t>
            </w:r>
            <w:r>
              <w:rPr>
                <w:rFonts w:hint="eastAsia" w:ascii="宋体" w:hAnsi="宋体" w:eastAsia="宋体" w:cs="宋体"/>
                <w:color w:val="auto"/>
                <w:sz w:val="21"/>
                <w:szCs w:val="21"/>
                <w:highlight w:val="none"/>
              </w:rPr>
              <w:t>起25</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须与采购人签订好合同</w:t>
            </w:r>
            <w:r>
              <w:rPr>
                <w:rFonts w:hint="eastAsia" w:ascii="宋体" w:hAnsi="宋体" w:eastAsia="宋体" w:cs="宋体"/>
                <w:color w:val="auto"/>
                <w:sz w:val="21"/>
                <w:szCs w:val="21"/>
                <w:highlight w:val="none"/>
                <w:lang w:eastAsia="zh-CN"/>
              </w:rPr>
              <w:t>。</w:t>
            </w:r>
          </w:p>
          <w:p w14:paraId="33A68B09">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4.交货方式：现场交货。</w:t>
            </w:r>
          </w:p>
        </w:tc>
      </w:tr>
      <w:tr w14:paraId="7225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637D1221">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付款条件</w:t>
            </w:r>
          </w:p>
        </w:tc>
        <w:tc>
          <w:tcPr>
            <w:tcW w:w="8731" w:type="dxa"/>
            <w:gridSpan w:val="4"/>
            <w:tcBorders>
              <w:top w:val="single" w:color="auto" w:sz="4" w:space="0"/>
              <w:bottom w:val="single" w:color="auto" w:sz="4" w:space="0"/>
            </w:tcBorders>
            <w:shd w:val="clear" w:color="auto" w:fill="auto"/>
            <w:vAlign w:val="center"/>
          </w:tcPr>
          <w:p w14:paraId="28AB2CAE">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签订合同后10个工作日内，采购人向中标人支付合同总金额的50%作为预付款；全部货物到货且经采购人确认后10个工作日内，采购人向中标人支付合同总金额的30%货款；全部安装调试，完成试运行且经采购人验收合格后10个工作日内，采购人向中标人支付合同总金额的20%余款。</w:t>
            </w:r>
          </w:p>
          <w:p w14:paraId="563970CE">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2.采购人付款前，中标人应向采购人开具等额有效的增值税普通发票，采购人未收到发票的，有权不予支付相应款项直至中标人提供合格发票，并不承担延迟付款责任。发票认证通过是付款的必要前提之一。</w:t>
            </w:r>
          </w:p>
          <w:p w14:paraId="0D3DE960">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3.中标人须根据《广西壮族自治区财政厅关于在政府采购活动中推广使用电子保函的通知》（桂财采〔2023〕92 号）的相关要求，在中标项目签订合同后1个工作日内完成向“广西政府采购金融服务平台”申请预付款保函的事宜，并于收到项目预付款的当日向采购人提供预付款保函，保函有效期不少于90天.</w:t>
            </w:r>
          </w:p>
        </w:tc>
      </w:tr>
      <w:tr w14:paraId="7AD6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41D2637">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履约保证金</w:t>
            </w:r>
          </w:p>
        </w:tc>
        <w:tc>
          <w:tcPr>
            <w:tcW w:w="8731" w:type="dxa"/>
            <w:gridSpan w:val="4"/>
            <w:tcBorders>
              <w:top w:val="single" w:color="auto" w:sz="4" w:space="0"/>
              <w:bottom w:val="single" w:color="auto" w:sz="4" w:space="0"/>
            </w:tcBorders>
            <w:shd w:val="clear" w:color="auto" w:fill="auto"/>
            <w:vAlign w:val="center"/>
          </w:tcPr>
          <w:p w14:paraId="6076AB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28A5741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19239644">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w:t>
            </w:r>
            <w:r>
              <w:rPr>
                <w:rFonts w:hint="eastAsia" w:ascii="宋体" w:hAnsi="宋体" w:cs="宋体"/>
                <w:b w:val="0"/>
                <w:bCs w:val="0"/>
                <w:color w:val="auto"/>
                <w:sz w:val="21"/>
                <w:szCs w:val="21"/>
                <w:highlight w:val="none"/>
                <w:lang w:val="en-US" w:eastAsia="zh-CN"/>
              </w:rPr>
              <w:t>签订合同后3个工作日内由中标人转入采购人指定保证金账户。</w:t>
            </w:r>
          </w:p>
          <w:p w14:paraId="2FD5EDF0">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27D1603F">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046065FC">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1781B38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3327885A">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账  号：20036501040014065</w:t>
            </w:r>
          </w:p>
        </w:tc>
      </w:tr>
      <w:tr w14:paraId="74F8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91088E4">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报价要求</w:t>
            </w:r>
          </w:p>
        </w:tc>
        <w:tc>
          <w:tcPr>
            <w:tcW w:w="8731" w:type="dxa"/>
            <w:gridSpan w:val="4"/>
            <w:tcBorders>
              <w:top w:val="single" w:color="auto" w:sz="4" w:space="0"/>
              <w:bottom w:val="single" w:color="auto" w:sz="4" w:space="0"/>
            </w:tcBorders>
            <w:shd w:val="clear" w:color="auto" w:fill="auto"/>
            <w:vAlign w:val="center"/>
          </w:tcPr>
          <w:p w14:paraId="51801386">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本次报价须为人民币报价，报价金额实行总承包报价，包括但不限于：</w:t>
            </w:r>
          </w:p>
          <w:p w14:paraId="2DB7279E">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1.货物采购包括货款、标准附件、备品备件、专用工具、包装、运输、装卸、保险、税金、货到就位以及安装、调试、培训、保修等一切税金和费用；</w:t>
            </w:r>
          </w:p>
          <w:p w14:paraId="521EBF7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2.服务采购包括整体服务价格以及安装调试、培训、维护等一切税金和费用；</w:t>
            </w:r>
          </w:p>
          <w:p w14:paraId="646D6314">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3.项目验收、人员服务等费用；</w:t>
            </w:r>
          </w:p>
          <w:p w14:paraId="231C359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4.根据合同规定，履行合同可能产生的其他费用；</w:t>
            </w:r>
          </w:p>
          <w:p w14:paraId="3000998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5.项目包含但不限于安装后可正常使用的相应设施、设备、软件、调试等，采购人不再另行支付费用。</w:t>
            </w:r>
          </w:p>
          <w:p w14:paraId="0B455B0F">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6.如质量上发生争议，可由第三方检测机构进行检测，费用由中标人承担。</w:t>
            </w:r>
          </w:p>
          <w:p w14:paraId="44EF2DAE">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7.对于本文件中未列明，而供应商认为必需的费用也需列入总报价。在合同实施时，采购人将不予支付中标人没有列入的项目费用，并认为此项目的费用已包括在投标总报价中。</w:t>
            </w:r>
          </w:p>
        </w:tc>
      </w:tr>
      <w:tr w14:paraId="39AA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DD7AA5E">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知识产权</w:t>
            </w:r>
          </w:p>
        </w:tc>
        <w:tc>
          <w:tcPr>
            <w:tcW w:w="8731" w:type="dxa"/>
            <w:gridSpan w:val="4"/>
            <w:tcBorders>
              <w:top w:val="single" w:color="auto" w:sz="4" w:space="0"/>
              <w:bottom w:val="single" w:color="auto" w:sz="4" w:space="0"/>
            </w:tcBorders>
            <w:shd w:val="clear" w:color="auto" w:fill="auto"/>
            <w:vAlign w:val="center"/>
          </w:tcPr>
          <w:p w14:paraId="1E19A9F5">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1.采购人在中华人民共和国境内使用</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提供的产品及技术服务时免受第三方提出的侵犯其专利权或其它知识产权的起诉。如果第三方提出侵权指控，</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应承担由此而引起的一切法律责任和费用。</w:t>
            </w:r>
          </w:p>
          <w:p w14:paraId="0822493D">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2.在货物验收时候，如发现存在虚假响应，采购人将终止合同。</w:t>
            </w:r>
          </w:p>
        </w:tc>
      </w:tr>
      <w:tr w14:paraId="1F5C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102FCA29">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规范标准</w:t>
            </w:r>
          </w:p>
        </w:tc>
        <w:tc>
          <w:tcPr>
            <w:tcW w:w="8731" w:type="dxa"/>
            <w:gridSpan w:val="4"/>
            <w:tcBorders>
              <w:top w:val="single" w:color="auto" w:sz="4" w:space="0"/>
              <w:bottom w:val="single" w:color="auto" w:sz="4" w:space="0"/>
            </w:tcBorders>
            <w:shd w:val="clear" w:color="auto" w:fill="auto"/>
            <w:vAlign w:val="center"/>
          </w:tcPr>
          <w:p w14:paraId="664710E6">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采购标的需执行的国家标准、行业标准、地方标准或者其他标准、规范。多项标准的，按最新标准或较高标准执行。</w:t>
            </w:r>
          </w:p>
        </w:tc>
      </w:tr>
      <w:tr w14:paraId="0CDA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39715921">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其他要求</w:t>
            </w:r>
          </w:p>
        </w:tc>
        <w:tc>
          <w:tcPr>
            <w:tcW w:w="8731" w:type="dxa"/>
            <w:gridSpan w:val="4"/>
            <w:tcBorders>
              <w:top w:val="single" w:color="auto" w:sz="4" w:space="0"/>
              <w:bottom w:val="single" w:color="auto" w:sz="4" w:space="0"/>
            </w:tcBorders>
            <w:shd w:val="clear" w:color="auto" w:fill="auto"/>
            <w:vAlign w:val="center"/>
          </w:tcPr>
          <w:p w14:paraId="5175C3A2">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向采购人提供的货物必须是符合国家质量标准和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规定标准的全新、完整、未使用过的，本次采购货物不接受进口产品且所有产品必须有正规的合格证书。</w:t>
            </w:r>
          </w:p>
          <w:p w14:paraId="772A01BB">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.为确保售后服务质量，</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必须提供不少于1人的运维服务人员名单、联系电话。</w:t>
            </w:r>
          </w:p>
          <w:p w14:paraId="1AFB2D11">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必须严格按时间进度和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要求完成所有工作，若出现不按要求完成相关工作的，经双方协商未果，采购人有权解除合同并追究</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相关责任。</w:t>
            </w:r>
          </w:p>
          <w:p w14:paraId="74AF7EE0">
            <w:pPr>
              <w:keepNext w:val="0"/>
              <w:keepLines w:val="0"/>
              <w:pageBreakBefore w:val="0"/>
              <w:numPr>
                <w:ilvl w:val="0"/>
                <w:numId w:val="0"/>
              </w:numPr>
              <w:kinsoku/>
              <w:wordWrap/>
              <w:overflowPunct/>
              <w:topLinePunct w:val="0"/>
              <w:autoSpaceDE/>
              <w:autoSpaceDN/>
              <w:bidi w:val="0"/>
              <w:adjustRightInd/>
              <w:snapToGrid/>
              <w:spacing w:line="360" w:lineRule="auto"/>
              <w:ind w:lef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提供的所有货物必须为正规厂家制造、合法渠道供应的全新产品，并保证本分标使用的任何产品不会产生因第三方提出侵犯其所有权而引起的法律和经济纠纷，如因此而引起的法律和经济纠纷，由中标人自行承担所有相关责任。</w:t>
            </w:r>
          </w:p>
          <w:p w14:paraId="0539659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5.在正常安装、使用过程中，凡是因产品质量问题所造成采购人损失的，中标人负责赔偿采购人的一切经济损失。</w:t>
            </w:r>
          </w:p>
        </w:tc>
      </w:tr>
      <w:tr w14:paraId="6216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01F8F950">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采购标的验收标准</w:t>
            </w:r>
          </w:p>
        </w:tc>
        <w:tc>
          <w:tcPr>
            <w:tcW w:w="8731" w:type="dxa"/>
            <w:gridSpan w:val="4"/>
            <w:tcBorders>
              <w:top w:val="single" w:color="auto" w:sz="4" w:space="0"/>
              <w:bottom w:val="single" w:color="auto" w:sz="4" w:space="0"/>
            </w:tcBorders>
            <w:shd w:val="clear" w:color="auto" w:fill="auto"/>
            <w:vAlign w:val="center"/>
          </w:tcPr>
          <w:p w14:paraId="1E8F2FC4">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以根据采购项目具体情况自行组织验收，或者委托第三方机构或部门开展采购项目履约验收工作，验收过程中所产生的一切费用均由中标人承担，履约验收服务费按照分标中标金额的≤0.9%收取，投标人在投标报价时应考虑相关费用。</w:t>
            </w:r>
          </w:p>
          <w:p w14:paraId="03145E1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2.在验收过程中发现中标人有违约问题，可暂缓资金结算，待违约问题解决后，方可办理资金结算事宜。</w:t>
            </w:r>
          </w:p>
          <w:p w14:paraId="57BF8F80">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3.验收依据：按合同要求及国家标准进行验收。</w:t>
            </w:r>
          </w:p>
          <w:p w14:paraId="5A6556A9">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4.验收标准</w:t>
            </w:r>
          </w:p>
          <w:p w14:paraId="2819132A">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（1）所供产品的规格、数量、功能、材质、颜色等符合招标文件采购需求及采购合同约定的要求。</w:t>
            </w:r>
          </w:p>
          <w:p w14:paraId="4497809B">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（2）所供产品的外观完好，无严重碰撞、表皮脱落、五金件生锈等明显瑕疵。</w:t>
            </w:r>
          </w:p>
          <w:p w14:paraId="4C876B45">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（3）所供产品结构牢固，无安全隐患。</w:t>
            </w:r>
          </w:p>
          <w:p w14:paraId="08E61991">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（4）如有抽检要求的，检测结果符合招标文件采购需求及采购合同约定的要求。</w:t>
            </w:r>
          </w:p>
          <w:p w14:paraId="15CDCEA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（5）所有产品均已运输至指定地点，并安装调试完毕。</w:t>
            </w:r>
          </w:p>
          <w:p w14:paraId="3974517A">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（6）招标文件采购需求及采购合同约定的附件、工具、技术资料等齐全；提供产品使用说明书、合格证。</w:t>
            </w:r>
          </w:p>
          <w:p w14:paraId="0147EB0B">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（7）货物技术参数应与投标文件中偏离表或证明材料一致，性能或指标达到规定的标准。否则，以实际货物或服务技术参数与投标文件偏离表参数或证明材料比较，按如下情况处理：</w:t>
            </w:r>
          </w:p>
          <w:p w14:paraId="5D53A167">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①供应商投标文件偏离表或证明材料中满足或优于的技术参数，在验收时实际不满足技术参数要求的，视为供货商违约，采购人有权终止合同拒收货物，并追究供应商责任。</w:t>
            </w:r>
          </w:p>
          <w:p w14:paraId="394151E2">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②供应商投标文件偏离表或证明材料中优于的技术参数，在验收时实际仅满足并未优于技术参数要求的，视为供货商违约，采购人有权终止合同拒收货物，并追究供应商责任。</w:t>
            </w:r>
          </w:p>
          <w:p w14:paraId="588FAF17">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③供应商投标文件偏离表或证明材料中不满足的技术参数，在验收时实际满足技术参数的要求，以满足技术参数的要求验收。 </w:t>
            </w:r>
          </w:p>
          <w:p w14:paraId="595556CA">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④供应商投标文件偏离表或证明材料中满足的技术参数，在验收时实际优于技术参数的要求，以满足技术参数的要求验收。</w:t>
            </w:r>
          </w:p>
          <w:p w14:paraId="0D4584CF">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⑤供应商投标文件偏离表或证明材料中优于的技术参数，在验收时实际也优于技术参数的要求，但没有达到响应表或证明材料中优于的程度，由采购人与供应商协商按是否满足要求验收。</w:t>
            </w:r>
          </w:p>
          <w:p w14:paraId="30890F5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⑥实际货物与响应货物型号不一致的，验收时不论实际是优于还是满足技术参数的要求，采购人均有权终止合同拒收货物，并追究供应商责任。</w:t>
            </w:r>
          </w:p>
          <w:p w14:paraId="13321CC9">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5.验收要求</w:t>
            </w:r>
          </w:p>
          <w:p w14:paraId="078B7CEE">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验收小组以项目采购文件及采购合同为验收依据，对供货产品技术参数核对检验，如不符合技术参数要求的，中标人承担所有责任和费用。采购人保留进一步追究责任的权利。</w:t>
            </w:r>
          </w:p>
          <w:p w14:paraId="1D6B6469">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中标人按时间节点</w:t>
            </w:r>
            <w:r>
              <w:rPr>
                <w:rFonts w:hint="eastAsia" w:ascii="宋体" w:hAnsi="宋体" w:eastAsia="宋体" w:cs="宋体"/>
                <w:b w:val="0"/>
                <w:bCs w:val="0"/>
                <w:color w:val="auto"/>
                <w:sz w:val="21"/>
                <w:szCs w:val="21"/>
                <w:highlight w:val="none"/>
                <w:lang w:val="en-US" w:eastAsia="zh-CN"/>
              </w:rPr>
              <w:t>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60EABAB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（2）验收时中标人提供验收文档，包括但不限于（如有）：技术方案、实施方案、售后服务方案、培训方案、系统部署文档、测试文档、使用说明书、电子文档，以及对所有需要进行核查的原件等。</w:t>
            </w:r>
          </w:p>
          <w:p w14:paraId="0FE9C371">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62FCB568">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（4）如中标人提供虚假材料的，除按相关规定做违约处理外，采购人依据相关法律规定追究中标人的责任，由此带来的一切责任及损失由中标人自行承担。</w:t>
            </w:r>
          </w:p>
          <w:p w14:paraId="5F893963">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53EDDFEB">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（6）项目验收过程中，采购人需委托第三方检测机构介入的，费用由中标人另行承担。</w:t>
            </w:r>
          </w:p>
        </w:tc>
      </w:tr>
      <w:tr w14:paraId="469E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1360846">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二、与实现项目目标相关的其他要求</w:t>
            </w:r>
          </w:p>
        </w:tc>
      </w:tr>
      <w:tr w14:paraId="7097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336742C">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（一）投标人的履约能力要求</w:t>
            </w:r>
          </w:p>
        </w:tc>
      </w:tr>
      <w:tr w14:paraId="04C9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1DD5F41F">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质量管理、企业信用要求</w:t>
            </w:r>
          </w:p>
        </w:tc>
        <w:tc>
          <w:tcPr>
            <w:tcW w:w="8664" w:type="dxa"/>
            <w:gridSpan w:val="3"/>
            <w:tcBorders>
              <w:top w:val="single" w:color="auto" w:sz="4" w:space="0"/>
              <w:bottom w:val="single" w:color="auto" w:sz="4" w:space="0"/>
            </w:tcBorders>
            <w:shd w:val="clear" w:color="auto" w:fill="auto"/>
            <w:vAlign w:val="center"/>
          </w:tcPr>
          <w:p w14:paraId="2C5BF6A5">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3D2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022C0A7">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能力或者业绩要求</w:t>
            </w:r>
          </w:p>
        </w:tc>
        <w:tc>
          <w:tcPr>
            <w:tcW w:w="8664" w:type="dxa"/>
            <w:gridSpan w:val="3"/>
            <w:tcBorders>
              <w:top w:val="single" w:color="auto" w:sz="4" w:space="0"/>
              <w:bottom w:val="single" w:color="auto" w:sz="4" w:space="0"/>
            </w:tcBorders>
            <w:shd w:val="clear" w:color="auto" w:fill="auto"/>
            <w:vAlign w:val="center"/>
          </w:tcPr>
          <w:p w14:paraId="5C200495">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38FA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23F519FA">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（二）政策性加分条件</w:t>
            </w:r>
          </w:p>
        </w:tc>
      </w:tr>
      <w:tr w14:paraId="3EA8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CBA54CB">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w:t>
            </w:r>
          </w:p>
        </w:tc>
      </w:tr>
      <w:tr w14:paraId="10BC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3AA94416">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（三）进口产品及核心产品说明</w:t>
            </w:r>
          </w:p>
        </w:tc>
      </w:tr>
      <w:tr w14:paraId="30C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D2BDA46">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3DBCFE18">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本分标第</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项产品“</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无线投屏矩阵  </w:t>
            </w:r>
            <w:r>
              <w:rPr>
                <w:rFonts w:hint="eastAsia" w:ascii="宋体" w:hAnsi="宋体" w:eastAsia="宋体" w:cs="宋体"/>
                <w:b/>
                <w:bCs/>
                <w:color w:val="000000" w:themeColor="text1"/>
                <w:sz w:val="21"/>
                <w:szCs w:val="21"/>
                <w:highlight w:val="none"/>
                <w14:textFill>
                  <w14:solidFill>
                    <w14:schemeClr w14:val="tx1"/>
                  </w14:solidFill>
                </w14:textFill>
              </w:rPr>
              <w:t>”为核心产品</w:t>
            </w:r>
            <w:r>
              <w:rPr>
                <w:rFonts w:hint="eastAsia" w:ascii="宋体" w:hAnsi="宋体" w:eastAsia="宋体" w:cs="宋体"/>
                <w:color w:val="000000" w:themeColor="text1"/>
                <w:sz w:val="21"/>
                <w:szCs w:val="21"/>
                <w:highlight w:val="none"/>
                <w14:textFill>
                  <w14:solidFill>
                    <w14:schemeClr w14:val="tx1"/>
                  </w14:solidFill>
                </w14:textFill>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3A78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931B73B">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三、其他说明</w:t>
            </w:r>
          </w:p>
        </w:tc>
      </w:tr>
      <w:tr w14:paraId="76E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35601BB7">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664" w:type="dxa"/>
            <w:gridSpan w:val="3"/>
            <w:tcBorders>
              <w:top w:val="single" w:color="auto" w:sz="4" w:space="0"/>
              <w:bottom w:val="single" w:color="auto" w:sz="4" w:space="0"/>
            </w:tcBorders>
            <w:shd w:val="clear" w:color="auto" w:fill="auto"/>
            <w:vAlign w:val="center"/>
          </w:tcPr>
          <w:p w14:paraId="5F688A8D">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本项目评标时以本项目预算金额为最高限价，</w:t>
            </w:r>
            <w:r>
              <w:rPr>
                <w:rFonts w:hint="eastAsia" w:ascii="宋体" w:hAnsi="宋体" w:eastAsia="宋体" w:cs="宋体"/>
                <w:b/>
                <w:bCs/>
                <w:color w:val="000000" w:themeColor="text1"/>
                <w:sz w:val="21"/>
                <w:szCs w:val="21"/>
                <w:highlight w:val="none"/>
                <w14:textFill>
                  <w14:solidFill>
                    <w14:schemeClr w14:val="tx1"/>
                  </w14:solidFill>
                </w14:textFill>
              </w:rPr>
              <w:t>评标时以最高限价为评标依据，投标人投标报价超出最高限价的作无效投标处理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3116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7637F40C">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供应商其他要求</w:t>
            </w:r>
          </w:p>
        </w:tc>
        <w:tc>
          <w:tcPr>
            <w:tcW w:w="8664" w:type="dxa"/>
            <w:gridSpan w:val="3"/>
            <w:tcBorders>
              <w:top w:val="single" w:color="auto" w:sz="4" w:space="0"/>
              <w:bottom w:val="single" w:color="auto" w:sz="4" w:space="0"/>
            </w:tcBorders>
            <w:shd w:val="clear" w:color="auto" w:fill="auto"/>
            <w:vAlign w:val="center"/>
          </w:tcPr>
          <w:p w14:paraId="3CB8D584">
            <w:pPr>
              <w:keepNext w:val="0"/>
              <w:keepLines w:val="0"/>
              <w:pageBreakBefore w:val="0"/>
              <w:tabs>
                <w:tab w:val="left" w:pos="180"/>
                <w:tab w:val="left" w:pos="1620"/>
              </w:tabs>
              <w:kinsoku/>
              <w:wordWrap/>
              <w:overflowPunct/>
              <w:topLinePunct w:val="0"/>
              <w:autoSpaceDE/>
              <w:autoSpaceDN/>
              <w:bidi w:val="0"/>
              <w:adjustRightInd/>
              <w:snapToGrid/>
              <w:spacing w:line="360" w:lineRule="auto"/>
              <w:ind w:left="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kern w:val="0"/>
                <w:sz w:val="21"/>
                <w:szCs w:val="21"/>
                <w:highlight w:val="none"/>
              </w:rPr>
              <w:t>投标人</w:t>
            </w:r>
            <w:r>
              <w:rPr>
                <w:rFonts w:hint="eastAsia" w:ascii="宋体" w:hAnsi="宋体" w:eastAsia="宋体" w:cs="宋体"/>
                <w:sz w:val="21"/>
                <w:szCs w:val="21"/>
                <w:highlight w:val="none"/>
              </w:rPr>
              <w:t>应根据项目要求，可在投标文件中提供包括：项目实施方案、项目质量进度、控制方案、售后服务方案</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信誉、业绩等内容。</w:t>
            </w:r>
          </w:p>
        </w:tc>
      </w:tr>
      <w:tr w14:paraId="2E5D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0B00CFEB">
            <w:pPr>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sz w:val="21"/>
                <w:szCs w:val="21"/>
                <w:highlight w:val="none"/>
              </w:rPr>
              <w:t>现场考察</w:t>
            </w:r>
          </w:p>
        </w:tc>
        <w:tc>
          <w:tcPr>
            <w:tcW w:w="8664" w:type="dxa"/>
            <w:gridSpan w:val="3"/>
            <w:tcBorders>
              <w:top w:val="single" w:color="auto" w:sz="4" w:space="0"/>
              <w:bottom w:val="single" w:color="auto" w:sz="4" w:space="0"/>
            </w:tcBorders>
            <w:shd w:val="clear" w:color="auto" w:fill="auto"/>
            <w:vAlign w:val="center"/>
          </w:tcPr>
          <w:p w14:paraId="560CF0E1">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提供现场考察，有意向的投标人可到采购人现场签到进行现场考察，充分了解项目情况，否则导致投标失误由投标人自行承担。考察交通工具、费用及人身安全由各投标人自行承担。</w:t>
            </w:r>
          </w:p>
          <w:p w14:paraId="7B20B345">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各投标人可于考察前一个工作日提前联系，如过后联系不上后果自负。</w:t>
            </w:r>
          </w:p>
          <w:p w14:paraId="58824AC7">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rPr>
              <w:t>考察时间：202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年</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日上午9:30～9:45进行签到，逾时不予签到，9:45后由采购人统一安排进行考察（签到时出具授权书原件）；</w:t>
            </w:r>
          </w:p>
          <w:p w14:paraId="5139ED84">
            <w:pPr>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bCs/>
                <w:sz w:val="21"/>
                <w:szCs w:val="21"/>
                <w:highlight w:val="none"/>
              </w:rPr>
            </w:pPr>
            <w:r>
              <w:rPr>
                <w:rFonts w:hint="eastAsia" w:ascii="宋体" w:hAnsi="宋体" w:eastAsia="宋体" w:cs="宋体"/>
                <w:bCs/>
                <w:sz w:val="21"/>
                <w:szCs w:val="21"/>
                <w:highlight w:val="none"/>
              </w:rPr>
              <w:t>集中地址：</w:t>
            </w:r>
            <w:r>
              <w:rPr>
                <w:rFonts w:hint="eastAsia" w:ascii="宋体" w:hAnsi="宋体" w:eastAsia="宋体" w:cs="宋体"/>
                <w:bCs/>
                <w:sz w:val="21"/>
                <w:szCs w:val="21"/>
                <w:highlight w:val="none"/>
                <w:lang w:val="en-US" w:eastAsia="zh-CN"/>
              </w:rPr>
              <w:t>广西制造工程职业技术学院农业信息工程学院</w:t>
            </w:r>
            <w:r>
              <w:rPr>
                <w:rFonts w:hint="eastAsia" w:ascii="宋体" w:hAnsi="宋体" w:eastAsia="宋体" w:cs="宋体"/>
                <w:bCs/>
                <w:sz w:val="21"/>
                <w:szCs w:val="21"/>
                <w:highlight w:val="none"/>
              </w:rPr>
              <w:t>；</w:t>
            </w:r>
          </w:p>
          <w:p w14:paraId="73EE8315">
            <w:pPr>
              <w:keepNext w:val="0"/>
              <w:keepLines w:val="0"/>
              <w:pageBreakBefore w:val="0"/>
              <w:kinsoku/>
              <w:wordWrap/>
              <w:overflowPunct/>
              <w:topLinePunct w:val="0"/>
              <w:autoSpaceDE/>
              <w:autoSpaceDN/>
              <w:bidi w:val="0"/>
              <w:adjustRightInd/>
              <w:snapToGrid/>
              <w:spacing w:line="360" w:lineRule="auto"/>
              <w:ind w:left="0" w:leftChars="0"/>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联系人：</w:t>
            </w:r>
            <w:r>
              <w:rPr>
                <w:rFonts w:hint="eastAsia" w:ascii="宋体" w:hAnsi="宋体" w:cs="宋体"/>
                <w:bCs/>
                <w:sz w:val="21"/>
                <w:szCs w:val="21"/>
                <w:highlight w:val="none"/>
                <w:lang w:val="en-US" w:eastAsia="zh-CN"/>
              </w:rPr>
              <w:t>李老师</w:t>
            </w:r>
            <w:r>
              <w:rPr>
                <w:rFonts w:hint="eastAsia" w:ascii="宋体" w:hAnsi="宋体" w:eastAsia="宋体" w:cs="宋体"/>
                <w:bCs/>
                <w:sz w:val="21"/>
                <w:szCs w:val="21"/>
                <w:highlight w:val="none"/>
              </w:rPr>
              <w:t>；联系电话：</w:t>
            </w:r>
            <w:r>
              <w:rPr>
                <w:rFonts w:hint="eastAsia" w:ascii="宋体" w:hAnsi="宋体" w:eastAsia="宋体" w:cs="宋体"/>
                <w:bCs/>
                <w:sz w:val="21"/>
                <w:szCs w:val="21"/>
                <w:highlight w:val="none"/>
                <w:lang w:val="en-US" w:eastAsia="zh-CN"/>
              </w:rPr>
              <w:t>17687508651</w:t>
            </w:r>
            <w:r>
              <w:rPr>
                <w:rFonts w:hint="eastAsia" w:ascii="宋体" w:hAnsi="宋体" w:eastAsia="宋体" w:cs="宋体"/>
                <w:bCs/>
                <w:sz w:val="21"/>
                <w:szCs w:val="21"/>
                <w:highlight w:val="none"/>
              </w:rPr>
              <w:t>。</w:t>
            </w:r>
          </w:p>
        </w:tc>
      </w:tr>
    </w:tbl>
    <w:p w14:paraId="233E3D3B">
      <w:pPr>
        <w:pStyle w:val="59"/>
        <w:rPr>
          <w:color w:val="000000"/>
          <w:highlight w:val="none"/>
        </w:rPr>
      </w:pPr>
    </w:p>
    <w:p w14:paraId="4957F3F3">
      <w:pPr>
        <w:pStyle w:val="59"/>
        <w:rPr>
          <w:color w:val="000000"/>
          <w:highlight w:val="none"/>
        </w:rPr>
      </w:pPr>
    </w:p>
    <w:p w14:paraId="3672FD48">
      <w:pPr>
        <w:pStyle w:val="59"/>
        <w:rPr>
          <w:color w:val="000000"/>
          <w:highlight w:val="none"/>
        </w:rPr>
      </w:pPr>
    </w:p>
    <w:p w14:paraId="6BF7FE46">
      <w:pPr>
        <w:pStyle w:val="59"/>
        <w:rPr>
          <w:color w:val="000000"/>
          <w:highlight w:val="none"/>
        </w:rPr>
      </w:pPr>
    </w:p>
    <w:p w14:paraId="6F496472">
      <w:pPr>
        <w:pStyle w:val="59"/>
        <w:rPr>
          <w:color w:val="000000"/>
          <w:highlight w:val="none"/>
        </w:rPr>
      </w:pPr>
    </w:p>
    <w:p w14:paraId="61718784">
      <w:pPr>
        <w:pStyle w:val="59"/>
        <w:rPr>
          <w:color w:val="000000"/>
          <w:highlight w:val="none"/>
        </w:rPr>
      </w:pPr>
    </w:p>
    <w:p w14:paraId="65A413E5">
      <w:pPr>
        <w:pStyle w:val="59"/>
        <w:rPr>
          <w:color w:val="000000"/>
          <w:highlight w:val="none"/>
        </w:rPr>
      </w:pPr>
    </w:p>
    <w:p w14:paraId="2BEAD14F">
      <w:pPr>
        <w:pStyle w:val="59"/>
        <w:rPr>
          <w:color w:val="000000"/>
          <w:highlight w:val="none"/>
        </w:rPr>
      </w:pPr>
    </w:p>
    <w:p w14:paraId="0624D290">
      <w:pPr>
        <w:pStyle w:val="59"/>
        <w:rPr>
          <w:color w:val="000000"/>
          <w:highlight w:val="none"/>
        </w:rPr>
      </w:pPr>
    </w:p>
    <w:p w14:paraId="40E1B2DD">
      <w:pPr>
        <w:pStyle w:val="59"/>
        <w:rPr>
          <w:color w:val="000000"/>
          <w:highlight w:val="none"/>
        </w:rPr>
      </w:pPr>
    </w:p>
    <w:p w14:paraId="5E357F32">
      <w:pPr>
        <w:pStyle w:val="59"/>
        <w:rPr>
          <w:color w:val="000000"/>
          <w:highlight w:val="none"/>
        </w:rPr>
      </w:pPr>
    </w:p>
    <w:p w14:paraId="75F01784">
      <w:pPr>
        <w:pStyle w:val="59"/>
        <w:rPr>
          <w:color w:val="000000"/>
          <w:highlight w:val="none"/>
        </w:rPr>
      </w:pPr>
    </w:p>
    <w:p w14:paraId="4717A24E">
      <w:pPr>
        <w:pStyle w:val="59"/>
        <w:rPr>
          <w:color w:val="000000"/>
          <w:highlight w:val="none"/>
        </w:rPr>
      </w:pPr>
    </w:p>
    <w:p w14:paraId="29A13055">
      <w:pPr>
        <w:pStyle w:val="59"/>
        <w:rPr>
          <w:color w:val="000000"/>
          <w:highlight w:val="none"/>
        </w:rPr>
      </w:pPr>
    </w:p>
    <w:p w14:paraId="52E587CF">
      <w:pPr>
        <w:pStyle w:val="59"/>
        <w:rPr>
          <w:color w:val="000000"/>
          <w:highlight w:val="none"/>
        </w:rPr>
      </w:pPr>
    </w:p>
    <w:p w14:paraId="2D34ECD4">
      <w:pPr>
        <w:pStyle w:val="59"/>
        <w:rPr>
          <w:color w:val="000000"/>
          <w:highlight w:val="none"/>
        </w:rPr>
      </w:pPr>
    </w:p>
    <w:p w14:paraId="79C06ED1">
      <w:pPr>
        <w:pStyle w:val="59"/>
        <w:rPr>
          <w:color w:val="000000"/>
          <w:highlight w:val="none"/>
        </w:rPr>
      </w:pPr>
    </w:p>
    <w:p w14:paraId="0D5E77D7">
      <w:pPr>
        <w:pStyle w:val="59"/>
        <w:rPr>
          <w:color w:val="000000"/>
          <w:highlight w:val="none"/>
        </w:rPr>
      </w:pPr>
    </w:p>
    <w:p w14:paraId="2B64ECA0">
      <w:pPr>
        <w:pStyle w:val="59"/>
        <w:rPr>
          <w:color w:val="000000"/>
          <w:highlight w:val="none"/>
        </w:rPr>
      </w:pPr>
    </w:p>
    <w:tbl>
      <w:tblPr>
        <w:tblStyle w:val="4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17"/>
        <w:gridCol w:w="67"/>
        <w:gridCol w:w="566"/>
        <w:gridCol w:w="561"/>
        <w:gridCol w:w="7537"/>
      </w:tblGrid>
      <w:tr w14:paraId="27BE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1" w:type="dxa"/>
            <w:gridSpan w:val="6"/>
            <w:tcBorders>
              <w:bottom w:val="single" w:color="auto" w:sz="4" w:space="0"/>
            </w:tcBorders>
            <w:shd w:val="clear" w:color="auto" w:fill="auto"/>
            <w:vAlign w:val="center"/>
          </w:tcPr>
          <w:p w14:paraId="5F79D8AE">
            <w:pPr>
              <w:keepNext w:val="0"/>
              <w:keepLines w:val="0"/>
              <w:pageBreakBefore w:val="0"/>
              <w:kinsoku/>
              <w:wordWrap/>
              <w:overflowPunct/>
              <w:topLinePunct w:val="0"/>
              <w:bidi w:val="0"/>
              <w:snapToGrid/>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D分标</w:t>
            </w:r>
            <w:r>
              <w:rPr>
                <w:rFonts w:hint="eastAsia" w:ascii="宋体" w:hAnsi="宋体" w:eastAsia="宋体" w:cs="宋体"/>
                <w:b/>
                <w:bCs/>
                <w:color w:val="000000" w:themeColor="text1"/>
                <w:sz w:val="21"/>
                <w:szCs w:val="21"/>
                <w:highlight w:val="none"/>
                <w14:textFill>
                  <w14:solidFill>
                    <w14:schemeClr w14:val="tx1"/>
                  </w14:solidFill>
                </w14:textFill>
              </w:rPr>
              <w:t>：5G数字工坊</w:t>
            </w:r>
          </w:p>
        </w:tc>
      </w:tr>
      <w:tr w14:paraId="76F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1FDED131">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17" w:type="dxa"/>
            <w:tcBorders>
              <w:bottom w:val="single" w:color="auto" w:sz="4" w:space="0"/>
            </w:tcBorders>
            <w:shd w:val="clear" w:color="auto" w:fill="auto"/>
            <w:vAlign w:val="center"/>
          </w:tcPr>
          <w:p w14:paraId="4664F11E">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633" w:type="dxa"/>
            <w:gridSpan w:val="2"/>
            <w:tcBorders>
              <w:bottom w:val="single" w:color="auto" w:sz="4" w:space="0"/>
            </w:tcBorders>
            <w:shd w:val="clear" w:color="auto" w:fill="FFFFFF"/>
            <w:vAlign w:val="center"/>
          </w:tcPr>
          <w:p w14:paraId="36ED77AE">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561" w:type="dxa"/>
            <w:tcBorders>
              <w:bottom w:val="single" w:color="auto" w:sz="4" w:space="0"/>
            </w:tcBorders>
            <w:shd w:val="clear" w:color="auto" w:fill="auto"/>
            <w:vAlign w:val="center"/>
          </w:tcPr>
          <w:p w14:paraId="256A8966">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7537" w:type="dxa"/>
            <w:tcBorders>
              <w:bottom w:val="single" w:color="auto" w:sz="4" w:space="0"/>
            </w:tcBorders>
            <w:shd w:val="clear" w:color="auto" w:fill="auto"/>
            <w:noWrap/>
            <w:vAlign w:val="center"/>
          </w:tcPr>
          <w:p w14:paraId="0D1F91F5">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具体说明、功能及技术参数要求</w:t>
            </w:r>
          </w:p>
        </w:tc>
      </w:tr>
      <w:tr w14:paraId="654C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3" w:type="dxa"/>
            <w:tcBorders>
              <w:top w:val="single" w:color="auto" w:sz="4" w:space="0"/>
            </w:tcBorders>
            <w:shd w:val="clear" w:color="auto" w:fill="auto"/>
            <w:vAlign w:val="center"/>
          </w:tcPr>
          <w:p w14:paraId="0EF2262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w:t>
            </w:r>
          </w:p>
        </w:tc>
        <w:tc>
          <w:tcPr>
            <w:tcW w:w="1017" w:type="dxa"/>
            <w:tcBorders>
              <w:top w:val="single" w:color="auto" w:sz="4" w:space="0"/>
            </w:tcBorders>
            <w:shd w:val="clear" w:color="auto" w:fill="auto"/>
            <w:vAlign w:val="center"/>
          </w:tcPr>
          <w:p w14:paraId="5A826813">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5G站点工程仿真系统</w:t>
            </w:r>
          </w:p>
        </w:tc>
        <w:tc>
          <w:tcPr>
            <w:tcW w:w="633" w:type="dxa"/>
            <w:gridSpan w:val="2"/>
            <w:tcBorders>
              <w:top w:val="single" w:color="auto" w:sz="4" w:space="0"/>
            </w:tcBorders>
            <w:shd w:val="clear" w:color="auto" w:fill="FFFFFF"/>
            <w:vAlign w:val="center"/>
          </w:tcPr>
          <w:p w14:paraId="64E591D9">
            <w:pPr>
              <w:spacing w:line="440" w:lineRule="exact"/>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2</w:t>
            </w:r>
          </w:p>
        </w:tc>
        <w:tc>
          <w:tcPr>
            <w:tcW w:w="561" w:type="dxa"/>
            <w:tcBorders>
              <w:top w:val="single" w:color="auto" w:sz="4" w:space="0"/>
            </w:tcBorders>
            <w:shd w:val="clear" w:color="auto" w:fill="auto"/>
            <w:vAlign w:val="center"/>
          </w:tcPr>
          <w:p w14:paraId="68950A12">
            <w:pPr>
              <w:spacing w:line="440" w:lineRule="exact"/>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节点</w:t>
            </w:r>
          </w:p>
        </w:tc>
        <w:tc>
          <w:tcPr>
            <w:tcW w:w="7537" w:type="dxa"/>
            <w:tcBorders>
              <w:top w:val="single" w:color="auto" w:sz="4" w:space="0"/>
            </w:tcBorders>
            <w:shd w:val="clear" w:color="auto" w:fill="auto"/>
            <w:vAlign w:val="center"/>
          </w:tcPr>
          <w:p w14:paraId="741CF993">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系统平台需以5G现网经典工程案例为原型进行设计，包含规划选址、站点勘察、方案设计、工程实施及开通验收多个建网流程，支持新建宏站与数字化室内分布系统两种网络覆盖模式。</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工程规划参数设置应多样灵活，包含系统默认参数及自定义参数两种设置模式；包括覆盖区域、覆盖半径、天线规划高度、规划频段、投资预算、建设周期、物业协调难度、建筑承重能力、基本风压的参数配置。</w:t>
            </w:r>
          </w:p>
          <w:p w14:paraId="062D660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0" w:firstLineChars="0"/>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站点选址应中包含密集市区、一般郊区、偏远山区3种城市3D模型。</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2.1 新建宏站应包含不低于9种场景模型，包括住宅小区、写字楼、酒店、商业广场、居民楼、工业厂房、小学校园、道路站、山上站。</w:t>
            </w:r>
          </w:p>
          <w:p w14:paraId="604B5D2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2.2 数字化室分应至少包含5种场景模型，包括写字楼、酒店、商业广场、大型场馆、交通枢纽。</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站点勘察应模拟真实5G网络建设场景，支持测量工具包含手持GPS测量仪、指南针、照相机、卷尺、激光测距仪测量场景详细信息，并支持输出勘察报告。</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3.1 新建宏站支持机房内勘察、机房外（天面）勘察、电源勘察、传输情况勘察、塔桅信息勘察、天线及线缆勘察。</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3.2 数字化室分支持弱电井勘察、楼宇平层勘察、地下室勘察、机房勘察、电源勘察、传输情况勘察、设备信息勘察。</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方案设计支持平面图纸设计功能，根据工程规划及勘察报告进行合理的设备类型、设备位置、走线路由平面设计。</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4.1 新建宏站应至少包含天馈安装平面图、天馈安装立面图、机房设备布置平面图、走线架布置平面图4张设计图纸；支持天线下倾角计算，天线方向角设计。</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4.2 数字化室分应包含安装平面图及系统原理图；支持信源频段、设备布放、端子选用、小区划分等参数设计。</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5</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工程预算应包括工程预算总表、建筑安装工程费用预算表、建筑安装工程量预算表、国内器材预算表、工程建设其他费用预算表，支持定额项目选择、预算表编制。</w:t>
            </w:r>
          </w:p>
          <w:p w14:paraId="609863E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center"/>
              <w:rPr>
                <w:rFonts w:hint="eastAsia" w:ascii="宋体" w:hAnsi="宋体" w:eastAsia="宋体" w:cs="宋体"/>
                <w:strike w:val="0"/>
                <w:dstrike w:val="0"/>
                <w:sz w:val="21"/>
                <w:szCs w:val="21"/>
                <w:highlight w:val="none"/>
                <w:lang w:bidi="ar"/>
              </w:rPr>
            </w:pPr>
            <w:r>
              <w:rPr>
                <w:rFonts w:hint="eastAsia" w:ascii="宋体" w:hAnsi="宋体" w:eastAsia="宋体" w:cs="宋体"/>
                <w:sz w:val="21"/>
                <w:szCs w:val="21"/>
                <w:highlight w:val="none"/>
                <w:lang w:bidi="ar"/>
              </w:rPr>
              <w:t>6</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工程实施应包括基础配套部署、动力系统部署、传输设备部署、无线设备部署4个步骤。通过硬件设备部署及设备连线完成工程实施</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6.1 支持基础配套设备（三管塔、土建机房、走线架、空调、接地排等）、无线设备（BBU、AAU、pRRU、RHUB）的硬件安装施工、室内综合布线施工等工程施工、设备调测施工环节</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6.2 支持通信机房电源系统硬件安装及连线，接地保护连接，并且支持接电端子选择。</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6.3 支持无线设备（BBU/AAU/pRRU等）电源及网元连线，接地保护连接，传输对接功能。</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6.4支持动力系统设备安装包括交流配电箱、蓄电池组、电源柜、直流电源系统等、支持传输设备安装施工（ODF、SPN等）。</w:t>
            </w:r>
          </w:p>
          <w:p w14:paraId="063C3CF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center"/>
              <w:rPr>
                <w:rFonts w:hint="eastAsia" w:ascii="宋体" w:hAnsi="宋体" w:eastAsia="宋体" w:cs="宋体"/>
                <w:sz w:val="21"/>
                <w:szCs w:val="21"/>
                <w:highlight w:val="none"/>
                <w:lang w:bidi="ar"/>
              </w:rPr>
            </w:pP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7、支持GUI图形化操作界面，使用Unity3D平台开发，便于教学、自学。</w:t>
            </w:r>
          </w:p>
          <w:p w14:paraId="42818D7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7.1 任务操作过程需与真实工作流程保持一致。</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7.2 界面要以真实工作场景为原型包含写字楼，酒店，商业广场等多种工程建设场景。</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8、支持系统自动评分功能，应呈现各个步骤中评分细节，让用户充分了解自身学习情况。</w:t>
            </w:r>
          </w:p>
          <w:p w14:paraId="6593F6F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9、支持定制化编辑实训工程任务，并在线下发至多个客户端。包括站点选址、站点勘察、方案设计、工程实施及工程验收模块。</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10、每节点配置移动终端2台</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（1）CPU：</w:t>
            </w:r>
            <w:r>
              <w:rPr>
                <w:rFonts w:hint="eastAsia" w:ascii="宋体" w:hAnsi="宋体" w:cs="宋体"/>
                <w:szCs w:val="21"/>
                <w:highlight w:val="none"/>
                <w:lang w:bidi="ar"/>
              </w:rPr>
              <w:t>10核心/16线程，单核睿频最高 4.9 GHz</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（2）内存：≥16G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（3）硬盘：≥1TB 固态</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（4）不低于14寸屏幕</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11、每节点配置高性能研发终端4台</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（1）处理器：</w:t>
            </w:r>
            <w:r>
              <w:rPr>
                <w:rFonts w:hint="eastAsia" w:ascii="宋体" w:hAnsi="宋体" w:cs="宋体"/>
                <w:szCs w:val="21"/>
                <w:highlight w:val="none"/>
                <w:lang w:bidi="ar"/>
              </w:rPr>
              <w:t>20核心/28线程，单核睿频最高 5.4 GHz</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（2）内存：≥32G；</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（3）硬盘：≥M.2 Nvme协议1T固态硬盘；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（4）显卡：≥12G独显或以上，含HDMI、DP、VGA输出接口； </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（5）整机原生含≥10个USB口（不接受转接），标配≥麦克风接口</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 xml:space="preserve">≥耳麦接口；   </w:t>
            </w:r>
            <w:r>
              <w:rPr>
                <w:rFonts w:hint="eastAsia" w:ascii="宋体" w:hAnsi="宋体" w:eastAsia="宋体" w:cs="宋体"/>
                <w:sz w:val="21"/>
                <w:szCs w:val="21"/>
                <w:highlight w:val="none"/>
                <w:lang w:bidi="ar"/>
              </w:rPr>
              <w:br w:type="textWrapping"/>
            </w:r>
            <w:r>
              <w:rPr>
                <w:rFonts w:hint="eastAsia" w:ascii="宋体" w:hAnsi="宋体" w:cs="宋体"/>
                <w:b/>
                <w:bCs/>
                <w:szCs w:val="21"/>
                <w:highlight w:val="none"/>
                <w:lang w:eastAsia="zh-CN"/>
              </w:rPr>
              <w:t>●</w:t>
            </w:r>
            <w:r>
              <w:rPr>
                <w:rFonts w:hint="eastAsia" w:ascii="宋体" w:hAnsi="宋体" w:eastAsia="宋体" w:cs="宋体"/>
                <w:sz w:val="21"/>
                <w:szCs w:val="21"/>
                <w:highlight w:val="none"/>
                <w:lang w:bidi="ar"/>
              </w:rPr>
              <w:t>（6）显示器：≥23.8英寸宽屏LED背光液晶显示器1920×1080P,亮度≥250流明, 为保护视力，显示器要具有低蓝光护眼功能，可设置调整蓝光照射比例，调整数值至少有：50%、60%模式</w:t>
            </w:r>
            <w:r>
              <w:rPr>
                <w:rFonts w:hint="eastAsia" w:ascii="宋体" w:hAnsi="宋体" w:eastAsia="宋体" w:cs="宋体"/>
                <w:sz w:val="21"/>
                <w:szCs w:val="21"/>
                <w:highlight w:val="none"/>
                <w:lang w:eastAsia="zh-CN" w:bidi="ar"/>
              </w:rPr>
              <w:t>。</w:t>
            </w:r>
          </w:p>
          <w:p w14:paraId="6D7D4794">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sz w:val="21"/>
                <w:szCs w:val="21"/>
                <w:highlight w:val="none"/>
                <w:lang w:bidi="ar"/>
              </w:rPr>
              <w:t>（7）管理配套软件：</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     a.网络同传：基于Windows操作环境下数据即时压缩克隆，提升网络克隆的速度，减少克隆时间</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     b.多点可逆还原：采用树状多点还原技术，支持建立不少于254个还原点，每个还原点皆各自独立，可同时支持不少于5个排程策略，“每次启动”“每周”“每月”等。按照设定的时间自动进入预设的还原点；可在Windows操作环境下直接创建进度，打开和关闭还原。</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     c.UNDI传输方式：可实现在Windows操作系统上进行网络复制（在Windows上拷贝Windows）</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 xml:space="preserve">     d.禁止使用USB：可禁用USB存储设备和光驱设备，禁用USB设备对USB鼠标键盘不会影响</w:t>
            </w:r>
            <w:r>
              <w:rPr>
                <w:rFonts w:hint="eastAsia" w:ascii="宋体" w:hAnsi="宋体" w:eastAsia="宋体" w:cs="宋体"/>
                <w:sz w:val="21"/>
                <w:szCs w:val="21"/>
                <w:highlight w:val="none"/>
                <w:lang w:eastAsia="zh-CN" w:bidi="ar"/>
              </w:rPr>
              <w:t>。</w:t>
            </w:r>
          </w:p>
        </w:tc>
      </w:tr>
      <w:tr w14:paraId="7FD0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459E295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w:t>
            </w:r>
          </w:p>
        </w:tc>
        <w:tc>
          <w:tcPr>
            <w:tcW w:w="1017" w:type="dxa"/>
            <w:tcBorders>
              <w:top w:val="single" w:color="auto" w:sz="4" w:space="0"/>
            </w:tcBorders>
            <w:shd w:val="clear" w:color="auto" w:fill="auto"/>
            <w:vAlign w:val="center"/>
          </w:tcPr>
          <w:p w14:paraId="61FC0BDA">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5G随身wifi</w:t>
            </w:r>
          </w:p>
        </w:tc>
        <w:tc>
          <w:tcPr>
            <w:tcW w:w="633" w:type="dxa"/>
            <w:gridSpan w:val="2"/>
            <w:tcBorders>
              <w:top w:val="single" w:color="auto" w:sz="4" w:space="0"/>
            </w:tcBorders>
            <w:shd w:val="clear" w:color="auto" w:fill="FFFFFF"/>
            <w:vAlign w:val="center"/>
          </w:tcPr>
          <w:p w14:paraId="455ED2A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tcBorders>
              <w:top w:val="single" w:color="auto" w:sz="4" w:space="0"/>
            </w:tcBorders>
            <w:shd w:val="clear" w:color="auto" w:fill="auto"/>
            <w:vAlign w:val="center"/>
          </w:tcPr>
          <w:p w14:paraId="75D4BCE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537" w:type="dxa"/>
            <w:tcBorders>
              <w:top w:val="single" w:color="auto" w:sz="4" w:space="0"/>
            </w:tcBorders>
            <w:shd w:val="clear" w:color="auto" w:fill="auto"/>
            <w:vAlign w:val="center"/>
          </w:tcPr>
          <w:p w14:paraId="3A398C27">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运营商：三网通。</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网络支持：5G。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无线协议：≥WiFi5。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最多可连接用户：10人以内（包含10人）。</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无线速率：150M及以上。</w:t>
            </w:r>
          </w:p>
        </w:tc>
      </w:tr>
      <w:tr w14:paraId="297A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65A6FFA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w:t>
            </w:r>
          </w:p>
        </w:tc>
        <w:tc>
          <w:tcPr>
            <w:tcW w:w="1017" w:type="dxa"/>
            <w:tcBorders>
              <w:top w:val="single" w:color="auto" w:sz="4" w:space="0"/>
            </w:tcBorders>
            <w:shd w:val="clear" w:color="auto" w:fill="auto"/>
            <w:vAlign w:val="center"/>
          </w:tcPr>
          <w:p w14:paraId="63074637">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系统集成及环境建设</w:t>
            </w:r>
          </w:p>
        </w:tc>
        <w:tc>
          <w:tcPr>
            <w:tcW w:w="633" w:type="dxa"/>
            <w:gridSpan w:val="2"/>
            <w:tcBorders>
              <w:top w:val="single" w:color="auto" w:sz="4" w:space="0"/>
            </w:tcBorders>
            <w:shd w:val="clear" w:color="auto" w:fill="FFFFFF"/>
            <w:vAlign w:val="center"/>
          </w:tcPr>
          <w:p w14:paraId="285991F4">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tcBorders>
              <w:top w:val="single" w:color="auto" w:sz="4" w:space="0"/>
            </w:tcBorders>
            <w:shd w:val="clear" w:color="auto" w:fill="auto"/>
            <w:vAlign w:val="center"/>
          </w:tcPr>
          <w:p w14:paraId="0847367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7537" w:type="dxa"/>
            <w:tcBorders>
              <w:top w:val="single" w:color="auto" w:sz="4" w:space="0"/>
            </w:tcBorders>
            <w:shd w:val="clear" w:color="auto" w:fill="auto"/>
            <w:vAlign w:val="center"/>
          </w:tcPr>
          <w:p w14:paraId="397D6E3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bidi="ar"/>
              </w:rPr>
              <w:t>面积不少于20㎡，</w:t>
            </w:r>
            <w:r>
              <w:rPr>
                <w:rFonts w:hint="eastAsia" w:ascii="宋体" w:hAnsi="宋体" w:eastAsia="宋体" w:cs="宋体"/>
                <w:sz w:val="21"/>
                <w:szCs w:val="21"/>
                <w:highlight w:val="none"/>
                <w:lang w:val="en-US" w:eastAsia="zh-CN" w:bidi="ar"/>
              </w:rPr>
              <w:t>施工前</w:t>
            </w:r>
            <w:r>
              <w:rPr>
                <w:rFonts w:hint="eastAsia" w:ascii="宋体" w:hAnsi="宋体" w:eastAsia="宋体" w:cs="宋体"/>
                <w:sz w:val="21"/>
                <w:szCs w:val="21"/>
                <w:highlight w:val="none"/>
                <w:lang w:bidi="ar"/>
              </w:rPr>
              <w:t>提供平面布置设计图、效果图。由采购人确认，采购人可以进行局部调整或修改。提供工作室文化设计，内容由采购人提供。</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系统集成及综合布线</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（1）含本次采购所有设备硬件安装、线槽敷设、缆线布放、缆线测试服务；设备联调，确保设备及网络正常运行；含六类网线、电源线、电源排插、水晶头、线槽等辅材。</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（2）项目完工后卫生保洁，包含人工费、辅料费、机械费等。包含改造过程中所产生垃圾装袋、清运。</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工作室文化设计</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（1）宣传栏：现场确定尺寸，校方确认。立体字机械雕刻：中文</w:t>
            </w:r>
            <w:r>
              <w:rPr>
                <w:rFonts w:hint="eastAsia" w:ascii="宋体" w:hAnsi="宋体" w:cs="宋体"/>
                <w:sz w:val="21"/>
                <w:szCs w:val="21"/>
                <w:highlight w:val="none"/>
                <w:lang w:val="en-US" w:eastAsia="zh-CN" w:bidi="ar"/>
              </w:rPr>
              <w:t>约</w:t>
            </w:r>
            <w:r>
              <w:rPr>
                <w:rFonts w:hint="eastAsia" w:ascii="宋体" w:hAnsi="宋体" w:eastAsia="宋体" w:cs="宋体"/>
                <w:sz w:val="21"/>
                <w:szCs w:val="21"/>
                <w:highlight w:val="none"/>
                <w:lang w:bidi="ar"/>
              </w:rPr>
              <w:t>20cm×20cm,英文</w:t>
            </w:r>
            <w:r>
              <w:rPr>
                <w:rFonts w:hint="eastAsia" w:ascii="宋体" w:hAnsi="宋体" w:cs="宋体"/>
                <w:sz w:val="21"/>
                <w:szCs w:val="21"/>
                <w:highlight w:val="none"/>
                <w:lang w:val="en-US" w:eastAsia="zh-CN" w:bidi="ar"/>
              </w:rPr>
              <w:t>约</w:t>
            </w:r>
            <w:r>
              <w:rPr>
                <w:rFonts w:hint="eastAsia" w:ascii="宋体" w:hAnsi="宋体" w:eastAsia="宋体" w:cs="宋体"/>
                <w:sz w:val="21"/>
                <w:szCs w:val="21"/>
                <w:highlight w:val="none"/>
                <w:lang w:bidi="ar"/>
              </w:rPr>
              <w:t>15cm×15cm，根据现场设计，可根据现场调整大小。 不低于1.2公分厚PVC板或亚克力板，机器喷漆，含人工费、辅料费、机械费。</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（2）文化牌2块：亚克力文化牌</w:t>
            </w:r>
            <w:r>
              <w:rPr>
                <w:rFonts w:hint="eastAsia" w:ascii="宋体" w:hAnsi="宋体" w:cs="宋体"/>
                <w:sz w:val="21"/>
                <w:szCs w:val="21"/>
                <w:highlight w:val="none"/>
                <w:lang w:val="en-US" w:eastAsia="zh-CN" w:bidi="ar"/>
              </w:rPr>
              <w:t>约</w:t>
            </w:r>
            <w:r>
              <w:rPr>
                <w:rFonts w:hint="eastAsia" w:ascii="宋体" w:hAnsi="宋体" w:eastAsia="宋体" w:cs="宋体"/>
                <w:sz w:val="21"/>
                <w:szCs w:val="21"/>
                <w:highlight w:val="none"/>
                <w:lang w:bidi="ar"/>
              </w:rPr>
              <w:t>200mm×400mm，根据现场设计，可根据现场调整大小和数量。文化内容由学校提供，供应商提供排版、印刷、安装，包工包料。</w:t>
            </w:r>
          </w:p>
        </w:tc>
      </w:tr>
      <w:tr w14:paraId="3220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19CD7AE">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4</w:t>
            </w:r>
          </w:p>
        </w:tc>
        <w:tc>
          <w:tcPr>
            <w:tcW w:w="1017" w:type="dxa"/>
            <w:shd w:val="clear" w:color="auto" w:fill="auto"/>
            <w:vAlign w:val="center"/>
          </w:tcPr>
          <w:p w14:paraId="22263202">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BBU</w:t>
            </w:r>
          </w:p>
        </w:tc>
        <w:tc>
          <w:tcPr>
            <w:tcW w:w="633" w:type="dxa"/>
            <w:gridSpan w:val="2"/>
            <w:shd w:val="clear" w:color="auto" w:fill="FFFFFF"/>
            <w:vAlign w:val="center"/>
          </w:tcPr>
          <w:p w14:paraId="40B0C9E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2B4BEB6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537" w:type="dxa"/>
            <w:shd w:val="clear" w:color="auto" w:fill="auto"/>
            <w:vAlign w:val="center"/>
          </w:tcPr>
          <w:p w14:paraId="476AFF4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strike/>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设备尺寸不超过19英寸宽度、2U高度</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支持</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sz w:val="21"/>
                <w:szCs w:val="21"/>
                <w:highlight w:val="none"/>
                <w:lang w:bidi="ar"/>
              </w:rPr>
              <w:t>2主控板、</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sz w:val="21"/>
                <w:szCs w:val="21"/>
                <w:highlight w:val="none"/>
                <w:lang w:bidi="ar"/>
              </w:rPr>
              <w:t>5个基带板槽位，电源板、风扇板和环境监控板固定配置在BBU内的相应位置</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3</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采用IP交换模式，提供10G/25Gbps光接口，支持射频模块星形或链形拓扑结构组网</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4</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单BBU机框支持不少于30个100MHz  NR小区</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5</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支持-48VDC（-38.4V DC～-57V DC）或220V AC内置或外置交流模块的供电方式</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6</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支持内置GNSS接收机、IEEE1588、1PPS+TOD和SyncE等多种时钟同步方式</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7</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典型功耗（S111）不高于210W，满配功耗（主控板基带板插满）不高于1045W；</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bidi="ar"/>
              </w:rPr>
              <w:t>8</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bidi="ar"/>
              </w:rPr>
              <w:t>工作温度：-10℃～+55℃（长期工作）</w:t>
            </w:r>
            <w:r>
              <w:rPr>
                <w:rFonts w:hint="eastAsia" w:ascii="宋体" w:hAnsi="宋体" w:eastAsia="宋体" w:cs="宋体"/>
                <w:sz w:val="21"/>
                <w:szCs w:val="21"/>
                <w:highlight w:val="none"/>
                <w:lang w:eastAsia="zh-CN" w:bidi="ar"/>
              </w:rPr>
              <w:t>。</w:t>
            </w:r>
          </w:p>
        </w:tc>
      </w:tr>
      <w:tr w14:paraId="7D85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3" w:type="dxa"/>
            <w:shd w:val="clear" w:color="auto" w:fill="auto"/>
            <w:vAlign w:val="center"/>
          </w:tcPr>
          <w:p w14:paraId="02B31F66">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5</w:t>
            </w:r>
          </w:p>
        </w:tc>
        <w:tc>
          <w:tcPr>
            <w:tcW w:w="1017" w:type="dxa"/>
            <w:shd w:val="clear" w:color="auto" w:fill="auto"/>
            <w:vAlign w:val="center"/>
          </w:tcPr>
          <w:p w14:paraId="66DCACB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NR基带板</w:t>
            </w:r>
          </w:p>
        </w:tc>
        <w:tc>
          <w:tcPr>
            <w:tcW w:w="633"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FE355B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6AD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c>
          <w:tcPr>
            <w:tcW w:w="7537" w:type="dxa"/>
            <w:shd w:val="clear" w:color="auto" w:fill="auto"/>
            <w:vAlign w:val="center"/>
          </w:tcPr>
          <w:p w14:paraId="5328ABA1">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bidi="ar"/>
              </w:rPr>
              <w:t>支持FDD NR: 3×50MHz 4TR小区及6×20MHz 4TR小区</w:t>
            </w:r>
            <w:r>
              <w:rPr>
                <w:rFonts w:hint="eastAsia" w:ascii="宋体" w:hAnsi="宋体" w:eastAsia="宋体" w:cs="宋体"/>
                <w:sz w:val="21"/>
                <w:szCs w:val="21"/>
                <w:highlight w:val="none"/>
                <w:lang w:eastAsia="zh-CN" w:bidi="ar"/>
              </w:rPr>
              <w:t>。</w:t>
            </w:r>
          </w:p>
          <w:p w14:paraId="26AE5705">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bidi="ar"/>
              </w:rPr>
              <w:t>4G/5G双模，兼容NSA/SA架构</w:t>
            </w:r>
            <w:r>
              <w:rPr>
                <w:rFonts w:hint="eastAsia" w:ascii="宋体" w:hAnsi="宋体" w:eastAsia="宋体" w:cs="宋体"/>
                <w:sz w:val="21"/>
                <w:szCs w:val="21"/>
                <w:highlight w:val="none"/>
                <w:lang w:eastAsia="zh-CN" w:bidi="ar"/>
              </w:rPr>
              <w:t>。</w:t>
            </w:r>
          </w:p>
          <w:p w14:paraId="49F5E77A">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bidi="ar"/>
              </w:rPr>
              <w:t>基带处理能力：最高20Gbps下行吞吐量</w:t>
            </w:r>
            <w:r>
              <w:rPr>
                <w:rFonts w:hint="eastAsia" w:ascii="宋体" w:hAnsi="宋体" w:eastAsia="宋体" w:cs="宋体"/>
                <w:sz w:val="21"/>
                <w:szCs w:val="21"/>
                <w:highlight w:val="none"/>
                <w:lang w:eastAsia="zh-CN" w:bidi="ar"/>
              </w:rPr>
              <w:t>。</w:t>
            </w:r>
          </w:p>
          <w:p w14:paraId="63B74ADF">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bidi="ar"/>
              </w:rPr>
              <w:t>支持3GPP R16协议</w:t>
            </w:r>
            <w:r>
              <w:rPr>
                <w:rFonts w:hint="eastAsia" w:ascii="宋体" w:hAnsi="宋体" w:eastAsia="宋体" w:cs="宋体"/>
                <w:sz w:val="21"/>
                <w:szCs w:val="21"/>
                <w:highlight w:val="none"/>
                <w:lang w:eastAsia="zh-CN" w:bidi="ar"/>
              </w:rPr>
              <w:t>。</w:t>
            </w:r>
          </w:p>
          <w:p w14:paraId="78E86122">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bidi="ar"/>
              </w:rPr>
              <w:t>接口：2×10GE光口，支持CPRI/eCPRI</w:t>
            </w:r>
            <w:r>
              <w:rPr>
                <w:rFonts w:hint="eastAsia" w:ascii="宋体" w:hAnsi="宋体" w:eastAsia="宋体" w:cs="宋体"/>
                <w:sz w:val="21"/>
                <w:szCs w:val="21"/>
                <w:highlight w:val="none"/>
                <w:lang w:eastAsia="zh-CN" w:bidi="ar"/>
              </w:rPr>
              <w:t>。</w:t>
            </w:r>
          </w:p>
          <w:p w14:paraId="1E91126B">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6.</w:t>
            </w:r>
            <w:r>
              <w:rPr>
                <w:rFonts w:hint="eastAsia" w:ascii="宋体" w:hAnsi="宋体" w:eastAsia="宋体" w:cs="宋体"/>
                <w:sz w:val="21"/>
                <w:szCs w:val="21"/>
                <w:highlight w:val="none"/>
                <w:lang w:bidi="ar"/>
              </w:rPr>
              <w:t xml:space="preserve"> 功耗：典型值150W，峰值200W</w:t>
            </w:r>
            <w:r>
              <w:rPr>
                <w:rFonts w:hint="eastAsia" w:ascii="宋体" w:hAnsi="宋体" w:eastAsia="宋体" w:cs="宋体"/>
                <w:sz w:val="21"/>
                <w:szCs w:val="21"/>
                <w:highlight w:val="none"/>
                <w:lang w:eastAsia="zh-CN" w:bidi="ar"/>
              </w:rPr>
              <w:t>。</w:t>
            </w:r>
          </w:p>
          <w:p w14:paraId="363185AD">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7.</w:t>
            </w:r>
            <w:r>
              <w:rPr>
                <w:rFonts w:hint="eastAsia" w:ascii="宋体" w:hAnsi="宋体" w:eastAsia="宋体" w:cs="宋体"/>
                <w:sz w:val="21"/>
                <w:szCs w:val="21"/>
                <w:highlight w:val="none"/>
                <w:lang w:bidi="ar"/>
              </w:rPr>
              <w:t>载波聚合：支持最多8CC</w:t>
            </w:r>
            <w:r>
              <w:rPr>
                <w:rFonts w:hint="eastAsia" w:ascii="宋体" w:hAnsi="宋体" w:eastAsia="宋体" w:cs="宋体"/>
                <w:sz w:val="21"/>
                <w:szCs w:val="21"/>
                <w:highlight w:val="none"/>
                <w:lang w:eastAsia="zh-CN" w:bidi="ar"/>
              </w:rPr>
              <w:t>。</w:t>
            </w:r>
          </w:p>
          <w:p w14:paraId="17EACAB9">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8.</w:t>
            </w:r>
            <w:r>
              <w:rPr>
                <w:rFonts w:hint="eastAsia" w:ascii="宋体" w:hAnsi="宋体" w:eastAsia="宋体" w:cs="宋体"/>
                <w:sz w:val="21"/>
                <w:szCs w:val="21"/>
                <w:highlight w:val="none"/>
                <w:lang w:bidi="ar"/>
              </w:rPr>
              <w:t>时延：用户面时延≤1ms</w:t>
            </w:r>
            <w:r>
              <w:rPr>
                <w:rFonts w:hint="eastAsia" w:ascii="宋体" w:hAnsi="宋体" w:eastAsia="宋体" w:cs="宋体"/>
                <w:sz w:val="21"/>
                <w:szCs w:val="21"/>
                <w:highlight w:val="none"/>
                <w:lang w:eastAsia="zh-CN" w:bidi="ar"/>
              </w:rPr>
              <w:t>。</w:t>
            </w:r>
          </w:p>
          <w:p w14:paraId="7128E268">
            <w:pPr>
              <w:pStyle w:val="59"/>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9.</w:t>
            </w:r>
            <w:r>
              <w:rPr>
                <w:rFonts w:hint="eastAsia" w:ascii="宋体" w:hAnsi="宋体" w:eastAsia="宋体" w:cs="宋体"/>
                <w:sz w:val="21"/>
                <w:szCs w:val="21"/>
                <w:highlight w:val="none"/>
                <w:lang w:bidi="ar"/>
              </w:rPr>
              <w:t>工作温度：-40°C至+55°C</w:t>
            </w:r>
            <w:r>
              <w:rPr>
                <w:rFonts w:hint="eastAsia" w:ascii="宋体" w:hAnsi="宋体" w:eastAsia="宋体" w:cs="宋体"/>
                <w:sz w:val="21"/>
                <w:szCs w:val="21"/>
                <w:highlight w:val="none"/>
                <w:lang w:eastAsia="zh-CN" w:bidi="ar"/>
              </w:rPr>
              <w:t>。</w:t>
            </w:r>
          </w:p>
          <w:p w14:paraId="116F8039">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val="en-US" w:eastAsia="zh-CN" w:bidi="ar"/>
              </w:rPr>
              <w:t>10.</w:t>
            </w:r>
            <w:r>
              <w:rPr>
                <w:rFonts w:hint="eastAsia" w:ascii="宋体" w:hAnsi="宋体" w:eastAsia="宋体" w:cs="宋体"/>
                <w:sz w:val="21"/>
                <w:szCs w:val="21"/>
                <w:highlight w:val="none"/>
                <w:lang w:bidi="ar"/>
              </w:rPr>
              <w:t>尺寸</w:t>
            </w:r>
            <w:r>
              <w:rPr>
                <w:rFonts w:hint="eastAsia" w:ascii="宋体" w:hAnsi="宋体" w:eastAsia="宋体" w:cs="宋体"/>
                <w:sz w:val="21"/>
                <w:szCs w:val="21"/>
                <w:highlight w:val="none"/>
                <w:lang w:eastAsia="zh-CN" w:bidi="ar"/>
              </w:rPr>
              <w:t>（约）</w:t>
            </w:r>
            <w:r>
              <w:rPr>
                <w:rFonts w:hint="eastAsia" w:ascii="宋体" w:hAnsi="宋体" w:eastAsia="宋体" w:cs="宋体"/>
                <w:sz w:val="21"/>
                <w:szCs w:val="21"/>
                <w:highlight w:val="none"/>
                <w:lang w:bidi="ar"/>
              </w:rPr>
              <w:t>：482.6mm×220mm×44.5mm。</w:t>
            </w:r>
          </w:p>
        </w:tc>
      </w:tr>
      <w:tr w14:paraId="1C19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CAEF43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6</w:t>
            </w:r>
          </w:p>
        </w:tc>
        <w:tc>
          <w:tcPr>
            <w:tcW w:w="1017" w:type="dxa"/>
            <w:shd w:val="clear" w:color="auto" w:fill="auto"/>
            <w:vAlign w:val="center"/>
          </w:tcPr>
          <w:p w14:paraId="4CA4B03B">
            <w:pPr>
              <w:widowControl/>
              <w:spacing w:line="440" w:lineRule="exac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GPS/BDS配套件</w:t>
            </w:r>
          </w:p>
        </w:tc>
        <w:tc>
          <w:tcPr>
            <w:tcW w:w="633" w:type="dxa"/>
            <w:gridSpan w:val="2"/>
            <w:shd w:val="clear" w:color="auto" w:fill="FFFFFF"/>
            <w:vAlign w:val="center"/>
          </w:tcPr>
          <w:p w14:paraId="75DBC96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0563D5E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套</w:t>
            </w:r>
          </w:p>
        </w:tc>
        <w:tc>
          <w:tcPr>
            <w:tcW w:w="7537" w:type="dxa"/>
            <w:shd w:val="clear" w:color="auto" w:fill="auto"/>
            <w:vAlign w:val="center"/>
          </w:tcPr>
          <w:p w14:paraId="1BE11EA7">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dstrike/>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sz w:val="21"/>
                <w:szCs w:val="21"/>
                <w:highlight w:val="none"/>
                <w:lang w:bidi="ar"/>
              </w:rPr>
              <w:t>套件包含GPS天线1副，GPS馈线1米，GPS共享套件1套，防雷器1个条，单模尾纤2条。</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bidi="ar"/>
              </w:rPr>
              <w:t>GPS&amp;北斗双模时钟天馈系统套件，包含GPS/北斗双模天线及相应馈线、安材等</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br w:type="textWrapping"/>
            </w: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bidi="ar"/>
              </w:rPr>
              <w:t>至少可支持1个BBU共用GPS&amp;北斗系统时配置</w:t>
            </w:r>
            <w:r>
              <w:rPr>
                <w:rFonts w:hint="eastAsia" w:ascii="宋体" w:hAnsi="宋体" w:eastAsia="宋体" w:cs="宋体"/>
                <w:sz w:val="21"/>
                <w:szCs w:val="21"/>
                <w:highlight w:val="none"/>
                <w:lang w:eastAsia="zh-CN" w:bidi="ar"/>
              </w:rPr>
              <w:t>。</w:t>
            </w:r>
          </w:p>
        </w:tc>
      </w:tr>
      <w:tr w14:paraId="1879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D392D00">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7</w:t>
            </w:r>
          </w:p>
        </w:tc>
        <w:tc>
          <w:tcPr>
            <w:tcW w:w="1017" w:type="dxa"/>
            <w:shd w:val="clear" w:color="auto" w:fill="auto"/>
            <w:vAlign w:val="center"/>
          </w:tcPr>
          <w:p w14:paraId="7512FC68">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NR主控板</w:t>
            </w:r>
          </w:p>
        </w:tc>
        <w:tc>
          <w:tcPr>
            <w:tcW w:w="633" w:type="dxa"/>
            <w:gridSpan w:val="2"/>
            <w:shd w:val="clear" w:color="auto" w:fill="FFFFFF"/>
            <w:vAlign w:val="center"/>
          </w:tcPr>
          <w:p w14:paraId="3F39589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4610EA8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c>
          <w:tcPr>
            <w:tcW w:w="7537" w:type="dxa"/>
            <w:shd w:val="clear" w:color="auto" w:fill="auto"/>
            <w:vAlign w:val="center"/>
          </w:tcPr>
          <w:p w14:paraId="528EAD61">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4G/5G双模基站核心控制，支持Sub-6 GHz频段</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E55D19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大规模MIMO：最高支持64T64R</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7734F5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控制面容量：最大支持2000个并发用户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341D6C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协议支持：3GPP R15/R16</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DB5870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网络管理：支持端到端切片、AI节能算法</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95044CF">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冗余设计：主备倒换时间≤50ms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E9692A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接口：2×25GE上行接口，支持FlexE</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0A1D310">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热插拔：支持在线更换</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210B24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功耗：典型值80W，峰值120W</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7EC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46A777F">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8</w:t>
            </w:r>
          </w:p>
        </w:tc>
        <w:tc>
          <w:tcPr>
            <w:tcW w:w="1017" w:type="dxa"/>
            <w:shd w:val="clear" w:color="auto" w:fill="auto"/>
            <w:vAlign w:val="center"/>
          </w:tcPr>
          <w:p w14:paraId="397EB4A3">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RRU 4T4R</w:t>
            </w:r>
          </w:p>
        </w:tc>
        <w:tc>
          <w:tcPr>
            <w:tcW w:w="633" w:type="dxa"/>
            <w:gridSpan w:val="2"/>
            <w:shd w:val="clear" w:color="auto" w:fill="FFFFFF"/>
            <w:vAlign w:val="center"/>
          </w:tcPr>
          <w:p w14:paraId="41D60A9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31600AD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537" w:type="dxa"/>
            <w:shd w:val="clear" w:color="auto" w:fill="auto"/>
            <w:vAlign w:val="center"/>
          </w:tcPr>
          <w:p w14:paraId="35087CAD">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支持1.8G+2.1G频段，输出功率：≥4×120W</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设备采用4T4R，支持4×4MIMO，提高频率效率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设备体积不高于23L，设备重量不高于23kg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防护等级:≥IP65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工作温度长期：-40℃～55℃</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510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6E3BDF3">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9</w:t>
            </w:r>
          </w:p>
        </w:tc>
        <w:tc>
          <w:tcPr>
            <w:tcW w:w="1017" w:type="dxa"/>
            <w:shd w:val="clear" w:color="auto" w:fill="auto"/>
            <w:vAlign w:val="center"/>
          </w:tcPr>
          <w:p w14:paraId="1BDDE2DA">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NR电源板</w:t>
            </w:r>
          </w:p>
        </w:tc>
        <w:tc>
          <w:tcPr>
            <w:tcW w:w="633" w:type="dxa"/>
            <w:gridSpan w:val="2"/>
            <w:shd w:val="clear" w:color="auto" w:fill="FFFFFF"/>
            <w:vAlign w:val="center"/>
          </w:tcPr>
          <w:p w14:paraId="702FA62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2751C67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c>
          <w:tcPr>
            <w:tcW w:w="7537" w:type="dxa"/>
            <w:shd w:val="clear" w:color="auto" w:fill="auto"/>
            <w:vAlign w:val="center"/>
          </w:tcPr>
          <w:p w14:paraId="747788E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输入范围：-36V至-72V DC，兼容输入电压瞬态波动（±20%）。</w:t>
            </w:r>
          </w:p>
          <w:p w14:paraId="62660A28">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支持多通道独立输出，可为子系统提供差异化供电。</w:t>
            </w:r>
          </w:p>
          <w:p w14:paraId="2AFA2AE0">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过压保护（OVP）：阈值可调（默认±10%），响应时间＜1ms。</w:t>
            </w:r>
          </w:p>
          <w:p w14:paraId="4A4F4981">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过流保护（OCP）：分级限流（轻载/过载/短路），触发后自恢复或锁定。</w:t>
            </w:r>
          </w:p>
          <w:p w14:paraId="311A38C3">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温度保护：内置热敏传感器，超温时自动降载或关断。</w:t>
            </w:r>
          </w:p>
        </w:tc>
      </w:tr>
      <w:tr w14:paraId="05EC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98E2BE1">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10</w:t>
            </w:r>
          </w:p>
        </w:tc>
        <w:tc>
          <w:tcPr>
            <w:tcW w:w="1017" w:type="dxa"/>
            <w:shd w:val="clear" w:color="auto" w:fill="auto"/>
            <w:vAlign w:val="center"/>
          </w:tcPr>
          <w:p w14:paraId="3D5ACF09">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光模块</w:t>
            </w:r>
          </w:p>
        </w:tc>
        <w:tc>
          <w:tcPr>
            <w:tcW w:w="633" w:type="dxa"/>
            <w:gridSpan w:val="2"/>
            <w:shd w:val="clear" w:color="auto" w:fill="FFFFFF"/>
            <w:vAlign w:val="center"/>
          </w:tcPr>
          <w:p w14:paraId="388EDB2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5589C2A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w:t>
            </w:r>
          </w:p>
        </w:tc>
        <w:tc>
          <w:tcPr>
            <w:tcW w:w="7537" w:type="dxa"/>
            <w:shd w:val="clear" w:color="auto" w:fill="auto"/>
            <w:vAlign w:val="center"/>
          </w:tcPr>
          <w:p w14:paraId="268BED84">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BBU到AAU/RRU/汇聚单元前传接口。</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白光单纤双向光模块，单模10公里。</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BBU侧可采用工业级温度或商业级温度，AAU/RRU/汇聚单元须满足工业级温度要求。</w:t>
            </w:r>
          </w:p>
        </w:tc>
      </w:tr>
      <w:tr w14:paraId="70E2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E5DCB66">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11</w:t>
            </w:r>
          </w:p>
        </w:tc>
        <w:tc>
          <w:tcPr>
            <w:tcW w:w="1017" w:type="dxa"/>
            <w:shd w:val="clear" w:color="auto" w:fill="auto"/>
            <w:vAlign w:val="center"/>
          </w:tcPr>
          <w:p w14:paraId="7C084E65">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交直流转换模块</w:t>
            </w:r>
          </w:p>
        </w:tc>
        <w:tc>
          <w:tcPr>
            <w:tcW w:w="633" w:type="dxa"/>
            <w:gridSpan w:val="2"/>
            <w:shd w:val="clear" w:color="auto" w:fill="FFFFFF"/>
            <w:vAlign w:val="center"/>
          </w:tcPr>
          <w:p w14:paraId="0B2E3D0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7720610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537" w:type="dxa"/>
            <w:shd w:val="clear" w:color="auto" w:fill="auto"/>
            <w:vAlign w:val="center"/>
          </w:tcPr>
          <w:p w14:paraId="5492BE9A">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室外型交直流转换模块，含相应交流辅材。支持给1个AAU/RRU进行交流转直流供电。</w:t>
            </w:r>
          </w:p>
        </w:tc>
      </w:tr>
      <w:tr w14:paraId="0C4C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1BCD793">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12</w:t>
            </w:r>
          </w:p>
        </w:tc>
        <w:tc>
          <w:tcPr>
            <w:tcW w:w="1017" w:type="dxa"/>
            <w:shd w:val="clear" w:color="auto" w:fill="auto"/>
            <w:vAlign w:val="center"/>
          </w:tcPr>
          <w:p w14:paraId="0CCAEFC6">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单极化全向吸顶天线</w:t>
            </w:r>
          </w:p>
        </w:tc>
        <w:tc>
          <w:tcPr>
            <w:tcW w:w="633" w:type="dxa"/>
            <w:gridSpan w:val="2"/>
            <w:shd w:val="clear" w:color="auto" w:fill="FFFFFF"/>
            <w:vAlign w:val="center"/>
          </w:tcPr>
          <w:p w14:paraId="389285C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2D7F3E2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p>
        </w:tc>
        <w:tc>
          <w:tcPr>
            <w:tcW w:w="7537" w:type="dxa"/>
            <w:shd w:val="clear" w:color="auto" w:fill="auto"/>
            <w:vAlign w:val="center"/>
          </w:tcPr>
          <w:p w14:paraId="672C4F48">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bidi="ar"/>
              </w:rPr>
              <w:t>频率806-960\1710-2700MMHZ\3300-3700MHZ</w:t>
            </w:r>
            <w:r>
              <w:rPr>
                <w:rFonts w:hint="eastAsia" w:ascii="宋体" w:hAnsi="宋体" w:eastAsia="宋体" w:cs="宋体"/>
                <w:sz w:val="21"/>
                <w:szCs w:val="21"/>
                <w:highlight w:val="none"/>
                <w:lang w:eastAsia="zh-CN" w:bidi="ar"/>
              </w:rPr>
              <w:t>。</w:t>
            </w:r>
          </w:p>
        </w:tc>
      </w:tr>
      <w:tr w14:paraId="02B4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5601B40">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13</w:t>
            </w:r>
          </w:p>
        </w:tc>
        <w:tc>
          <w:tcPr>
            <w:tcW w:w="1017" w:type="dxa"/>
            <w:shd w:val="clear" w:color="auto" w:fill="auto"/>
            <w:vAlign w:val="center"/>
          </w:tcPr>
          <w:p w14:paraId="60ECE8DA">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单极化定向壁挂天线</w:t>
            </w:r>
          </w:p>
        </w:tc>
        <w:tc>
          <w:tcPr>
            <w:tcW w:w="633" w:type="dxa"/>
            <w:gridSpan w:val="2"/>
            <w:shd w:val="clear" w:color="auto" w:fill="FFFFFF"/>
            <w:vAlign w:val="center"/>
          </w:tcPr>
          <w:p w14:paraId="0E5D4F6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216D98AE">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p>
        </w:tc>
        <w:tc>
          <w:tcPr>
            <w:tcW w:w="7537" w:type="dxa"/>
            <w:shd w:val="clear" w:color="auto" w:fill="auto"/>
            <w:vAlign w:val="center"/>
          </w:tcPr>
          <w:p w14:paraId="3B8EC944">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频率：806-960\1710-2500MHZ  3300-3700MHz。</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增益：≥5/7/7dBi。</w:t>
            </w:r>
          </w:p>
        </w:tc>
      </w:tr>
      <w:tr w14:paraId="74E9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83" w:type="dxa"/>
            <w:shd w:val="clear" w:color="auto" w:fill="auto"/>
            <w:vAlign w:val="center"/>
          </w:tcPr>
          <w:p w14:paraId="3171333E">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14</w:t>
            </w:r>
          </w:p>
        </w:tc>
        <w:tc>
          <w:tcPr>
            <w:tcW w:w="1017" w:type="dxa"/>
            <w:shd w:val="clear" w:color="auto" w:fill="auto"/>
            <w:vAlign w:val="center"/>
          </w:tcPr>
          <w:p w14:paraId="4586E94B">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单极化对数周期天线</w:t>
            </w:r>
          </w:p>
        </w:tc>
        <w:tc>
          <w:tcPr>
            <w:tcW w:w="633" w:type="dxa"/>
            <w:gridSpan w:val="2"/>
            <w:shd w:val="clear" w:color="auto" w:fill="FFFFFF"/>
            <w:vAlign w:val="center"/>
          </w:tcPr>
          <w:p w14:paraId="04DDE02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69B6A21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p>
        </w:tc>
        <w:tc>
          <w:tcPr>
            <w:tcW w:w="7537" w:type="dxa"/>
            <w:shd w:val="clear" w:color="auto" w:fill="auto"/>
            <w:vAlign w:val="center"/>
          </w:tcPr>
          <w:p w14:paraId="0FF027C8">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频段：806～960/1710～2500/3300～3700MHz。</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增益：≥8/8.5dBi。</w:t>
            </w:r>
          </w:p>
        </w:tc>
      </w:tr>
      <w:tr w14:paraId="2067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BE3B53A">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15</w:t>
            </w:r>
          </w:p>
        </w:tc>
        <w:tc>
          <w:tcPr>
            <w:tcW w:w="1017" w:type="dxa"/>
            <w:shd w:val="clear" w:color="auto" w:fill="auto"/>
            <w:vAlign w:val="center"/>
          </w:tcPr>
          <w:p w14:paraId="26C40B0E">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大张角射灯天线(2 口)</w:t>
            </w:r>
          </w:p>
        </w:tc>
        <w:tc>
          <w:tcPr>
            <w:tcW w:w="633" w:type="dxa"/>
            <w:gridSpan w:val="2"/>
            <w:shd w:val="clear" w:color="auto" w:fill="FFFFFF"/>
            <w:vAlign w:val="center"/>
          </w:tcPr>
          <w:p w14:paraId="2C5000E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61" w:type="dxa"/>
            <w:shd w:val="clear" w:color="auto" w:fill="auto"/>
            <w:vAlign w:val="center"/>
          </w:tcPr>
          <w:p w14:paraId="045B1A8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p>
        </w:tc>
        <w:tc>
          <w:tcPr>
            <w:tcW w:w="7537" w:type="dxa"/>
            <w:shd w:val="clear" w:color="auto" w:fill="auto"/>
            <w:vAlign w:val="center"/>
          </w:tcPr>
          <w:p w14:paraId="6B417BB4">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频段:820～960/1710～2700MHZ。</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极化方式:±45。</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增益:10～12dBi。</w:t>
            </w:r>
          </w:p>
        </w:tc>
      </w:tr>
      <w:tr w14:paraId="6F67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6ADDC21">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16</w:t>
            </w:r>
          </w:p>
        </w:tc>
        <w:tc>
          <w:tcPr>
            <w:tcW w:w="1017" w:type="dxa"/>
            <w:shd w:val="clear" w:color="auto" w:fill="auto"/>
            <w:vAlign w:val="center"/>
          </w:tcPr>
          <w:p w14:paraId="61CA811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1/2"阻燃馈线</w:t>
            </w:r>
          </w:p>
        </w:tc>
        <w:tc>
          <w:tcPr>
            <w:tcW w:w="633" w:type="dxa"/>
            <w:gridSpan w:val="2"/>
            <w:shd w:val="clear" w:color="auto" w:fill="FFFFFF"/>
            <w:vAlign w:val="center"/>
          </w:tcPr>
          <w:p w14:paraId="729F71F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561" w:type="dxa"/>
            <w:shd w:val="clear" w:color="auto" w:fill="auto"/>
            <w:vAlign w:val="center"/>
          </w:tcPr>
          <w:p w14:paraId="30F2398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米</w:t>
            </w:r>
          </w:p>
        </w:tc>
        <w:tc>
          <w:tcPr>
            <w:tcW w:w="7537" w:type="dxa"/>
            <w:shd w:val="clear" w:color="auto" w:fill="auto"/>
            <w:vAlign w:val="center"/>
          </w:tcPr>
          <w:p w14:paraId="39A0B09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1/2射频线馈线管，50欧姆，线芯直径约4.84mm。</w:t>
            </w:r>
          </w:p>
        </w:tc>
      </w:tr>
      <w:tr w14:paraId="1D41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6EC076A">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17</w:t>
            </w:r>
          </w:p>
        </w:tc>
        <w:tc>
          <w:tcPr>
            <w:tcW w:w="1017" w:type="dxa"/>
            <w:shd w:val="clear" w:color="auto" w:fill="auto"/>
            <w:vAlign w:val="center"/>
          </w:tcPr>
          <w:p w14:paraId="0568AD95">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二功分器</w:t>
            </w:r>
          </w:p>
        </w:tc>
        <w:tc>
          <w:tcPr>
            <w:tcW w:w="633" w:type="dxa"/>
            <w:gridSpan w:val="2"/>
            <w:shd w:val="clear" w:color="auto" w:fill="FFFFFF"/>
            <w:vAlign w:val="center"/>
          </w:tcPr>
          <w:p w14:paraId="1EAEEAE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561" w:type="dxa"/>
            <w:shd w:val="clear" w:color="auto" w:fill="auto"/>
            <w:vAlign w:val="center"/>
          </w:tcPr>
          <w:p w14:paraId="005846B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0829A8BA">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插入损耗：≤0.3dB。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隔离度：≥20dB。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接口：N型母头。</w:t>
            </w:r>
          </w:p>
        </w:tc>
      </w:tr>
      <w:tr w14:paraId="7054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D648034">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18</w:t>
            </w:r>
          </w:p>
        </w:tc>
        <w:tc>
          <w:tcPr>
            <w:tcW w:w="1017" w:type="dxa"/>
            <w:shd w:val="clear" w:color="auto" w:fill="auto"/>
            <w:vAlign w:val="center"/>
          </w:tcPr>
          <w:p w14:paraId="6BE00FC9">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5dB耦合器</w:t>
            </w:r>
          </w:p>
        </w:tc>
        <w:tc>
          <w:tcPr>
            <w:tcW w:w="633" w:type="dxa"/>
            <w:gridSpan w:val="2"/>
            <w:shd w:val="clear" w:color="auto" w:fill="FFFFFF"/>
            <w:vAlign w:val="center"/>
          </w:tcPr>
          <w:p w14:paraId="3D98BEA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61" w:type="dxa"/>
            <w:shd w:val="clear" w:color="auto" w:fill="auto"/>
            <w:vAlign w:val="center"/>
          </w:tcPr>
          <w:p w14:paraId="3B8D454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0F87DEEA">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耦合度：5dB±0.5dB。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插入损耗：≤0.5dB。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隔离度：≥20dB。</w:t>
            </w:r>
          </w:p>
        </w:tc>
      </w:tr>
      <w:tr w14:paraId="058A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F49F9F5">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19</w:t>
            </w:r>
          </w:p>
        </w:tc>
        <w:tc>
          <w:tcPr>
            <w:tcW w:w="1017" w:type="dxa"/>
            <w:shd w:val="clear" w:color="auto" w:fill="auto"/>
            <w:vAlign w:val="center"/>
          </w:tcPr>
          <w:p w14:paraId="0FDF135C">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合路器</w:t>
            </w:r>
          </w:p>
        </w:tc>
        <w:tc>
          <w:tcPr>
            <w:tcW w:w="633" w:type="dxa"/>
            <w:gridSpan w:val="2"/>
            <w:shd w:val="clear" w:color="auto" w:fill="FFFFFF"/>
            <w:vAlign w:val="center"/>
          </w:tcPr>
          <w:p w14:paraId="2BAF2E0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61" w:type="dxa"/>
            <w:shd w:val="clear" w:color="auto" w:fill="auto"/>
            <w:vAlign w:val="center"/>
          </w:tcPr>
          <w:p w14:paraId="1C8F127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477FE93D">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三频-1.8G/2.1G/3.5G-三路输入。</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插入损耗：≤0.5dB。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隔离度：≥25dB。</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接口：4×N型母头。</w:t>
            </w:r>
          </w:p>
        </w:tc>
      </w:tr>
      <w:tr w14:paraId="7E49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283368D">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20</w:t>
            </w:r>
          </w:p>
        </w:tc>
        <w:tc>
          <w:tcPr>
            <w:tcW w:w="1017" w:type="dxa"/>
            <w:shd w:val="clear" w:color="auto" w:fill="auto"/>
            <w:vAlign w:val="center"/>
          </w:tcPr>
          <w:p w14:paraId="276B4BE9">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200W负载</w:t>
            </w:r>
          </w:p>
        </w:tc>
        <w:tc>
          <w:tcPr>
            <w:tcW w:w="633" w:type="dxa"/>
            <w:gridSpan w:val="2"/>
            <w:shd w:val="clear" w:color="auto" w:fill="FFFFFF"/>
            <w:vAlign w:val="center"/>
          </w:tcPr>
          <w:p w14:paraId="0E6114C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561" w:type="dxa"/>
            <w:shd w:val="clear" w:color="auto" w:fill="auto"/>
            <w:vAlign w:val="center"/>
          </w:tcPr>
          <w:p w14:paraId="6789A87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5872834D">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功率容量：200W（峰值）。</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频率范围：0～6 GHz。</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驻波比：≤1.2:1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接口：N型母头。</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材质：铝合金外壳。</w:t>
            </w:r>
          </w:p>
        </w:tc>
      </w:tr>
      <w:tr w14:paraId="5DC5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97DF607">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21</w:t>
            </w:r>
          </w:p>
        </w:tc>
        <w:tc>
          <w:tcPr>
            <w:tcW w:w="1017" w:type="dxa"/>
            <w:shd w:val="clear" w:color="auto" w:fill="auto"/>
            <w:vAlign w:val="center"/>
          </w:tcPr>
          <w:p w14:paraId="4A37EA36">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电力电缆 2×10mm²(室内)</w:t>
            </w:r>
          </w:p>
        </w:tc>
        <w:tc>
          <w:tcPr>
            <w:tcW w:w="633" w:type="dxa"/>
            <w:gridSpan w:val="2"/>
            <w:shd w:val="clear" w:color="auto" w:fill="FFFFFF"/>
            <w:vAlign w:val="center"/>
          </w:tcPr>
          <w:p w14:paraId="05EA34BA">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561" w:type="dxa"/>
            <w:shd w:val="clear" w:color="auto" w:fill="auto"/>
            <w:vAlign w:val="center"/>
          </w:tcPr>
          <w:p w14:paraId="0D24BF6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米</w:t>
            </w:r>
          </w:p>
        </w:tc>
        <w:tc>
          <w:tcPr>
            <w:tcW w:w="7537" w:type="dxa"/>
            <w:shd w:val="clear" w:color="auto" w:fill="auto"/>
            <w:vAlign w:val="center"/>
          </w:tcPr>
          <w:p w14:paraId="0CF1FBA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额定电压：0.6/1 kV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导体：铜芯（2×10 mm²）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绝缘层：XLPE</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护套：PVC铠装</w:t>
            </w:r>
            <w:r>
              <w:rPr>
                <w:rFonts w:hint="eastAsia" w:ascii="宋体" w:hAnsi="宋体" w:eastAsia="宋体" w:cs="宋体"/>
                <w:sz w:val="21"/>
                <w:szCs w:val="21"/>
                <w:highlight w:val="none"/>
                <w:lang w:eastAsia="zh-CN"/>
              </w:rPr>
              <w:t>。</w:t>
            </w:r>
          </w:p>
        </w:tc>
      </w:tr>
      <w:tr w14:paraId="6E7F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155D170A">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22</w:t>
            </w:r>
          </w:p>
        </w:tc>
        <w:tc>
          <w:tcPr>
            <w:tcW w:w="1017" w:type="dxa"/>
            <w:shd w:val="clear" w:color="auto" w:fill="auto"/>
            <w:vAlign w:val="center"/>
          </w:tcPr>
          <w:p w14:paraId="2D94829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电力电缆 3×2.5mm²</w:t>
            </w:r>
          </w:p>
        </w:tc>
        <w:tc>
          <w:tcPr>
            <w:tcW w:w="633" w:type="dxa"/>
            <w:gridSpan w:val="2"/>
            <w:shd w:val="clear" w:color="auto" w:fill="FFFFFF"/>
            <w:vAlign w:val="center"/>
          </w:tcPr>
          <w:p w14:paraId="6FD80B3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561" w:type="dxa"/>
            <w:shd w:val="clear" w:color="auto" w:fill="auto"/>
            <w:vAlign w:val="center"/>
          </w:tcPr>
          <w:p w14:paraId="4C71491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米</w:t>
            </w:r>
          </w:p>
        </w:tc>
        <w:tc>
          <w:tcPr>
            <w:tcW w:w="7537" w:type="dxa"/>
            <w:shd w:val="clear" w:color="auto" w:fill="auto"/>
            <w:vAlign w:val="center"/>
          </w:tcPr>
          <w:p w14:paraId="120A9808">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rPr>
              <w:t>额定电压：0.6/1 kV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导体：铜芯（3×2.5 mm²）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绝缘层：XLPE</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护套：PVC铠装</w:t>
            </w:r>
            <w:r>
              <w:rPr>
                <w:rFonts w:hint="eastAsia" w:ascii="宋体" w:hAnsi="宋体" w:eastAsia="宋体" w:cs="宋体"/>
                <w:sz w:val="21"/>
                <w:szCs w:val="21"/>
                <w:highlight w:val="none"/>
                <w:lang w:eastAsia="zh-CN"/>
              </w:rPr>
              <w:t>。</w:t>
            </w:r>
          </w:p>
        </w:tc>
      </w:tr>
      <w:tr w14:paraId="2463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8C1F05B">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23</w:t>
            </w:r>
          </w:p>
        </w:tc>
        <w:tc>
          <w:tcPr>
            <w:tcW w:w="1017" w:type="dxa"/>
            <w:shd w:val="clear" w:color="auto" w:fill="auto"/>
            <w:vAlign w:val="center"/>
          </w:tcPr>
          <w:p w14:paraId="40AFB625">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电力电缆 3×6mm²(室内)</w:t>
            </w:r>
          </w:p>
        </w:tc>
        <w:tc>
          <w:tcPr>
            <w:tcW w:w="633" w:type="dxa"/>
            <w:gridSpan w:val="2"/>
            <w:shd w:val="clear" w:color="auto" w:fill="FFFFFF"/>
            <w:vAlign w:val="center"/>
          </w:tcPr>
          <w:p w14:paraId="4331461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561" w:type="dxa"/>
            <w:shd w:val="clear" w:color="auto" w:fill="auto"/>
            <w:vAlign w:val="center"/>
          </w:tcPr>
          <w:p w14:paraId="548AF78B">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米</w:t>
            </w:r>
          </w:p>
        </w:tc>
        <w:tc>
          <w:tcPr>
            <w:tcW w:w="7537" w:type="dxa"/>
            <w:shd w:val="clear" w:color="auto" w:fill="auto"/>
            <w:vAlign w:val="center"/>
          </w:tcPr>
          <w:p w14:paraId="54E40CF6">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额定电压：0.6/1 kV。</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导体：铜芯（3×6 mm²）。</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绝缘层：XLPE。</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护套：PVC铠装。</w:t>
            </w:r>
          </w:p>
        </w:tc>
      </w:tr>
      <w:tr w14:paraId="6E7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63B0D04">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24</w:t>
            </w:r>
          </w:p>
        </w:tc>
        <w:tc>
          <w:tcPr>
            <w:tcW w:w="1017" w:type="dxa"/>
            <w:shd w:val="clear" w:color="auto" w:fill="auto"/>
            <w:vAlign w:val="center"/>
          </w:tcPr>
          <w:p w14:paraId="216B9D81">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电力电缆 1×16mm²(室内)</w:t>
            </w:r>
          </w:p>
        </w:tc>
        <w:tc>
          <w:tcPr>
            <w:tcW w:w="633" w:type="dxa"/>
            <w:gridSpan w:val="2"/>
            <w:shd w:val="clear" w:color="auto" w:fill="FFFFFF"/>
            <w:vAlign w:val="center"/>
          </w:tcPr>
          <w:p w14:paraId="1E4E017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561" w:type="dxa"/>
            <w:shd w:val="clear" w:color="auto" w:fill="auto"/>
            <w:vAlign w:val="center"/>
          </w:tcPr>
          <w:p w14:paraId="47D0E6B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米</w:t>
            </w:r>
          </w:p>
        </w:tc>
        <w:tc>
          <w:tcPr>
            <w:tcW w:w="7537" w:type="dxa"/>
            <w:shd w:val="clear" w:color="auto" w:fill="auto"/>
            <w:vAlign w:val="center"/>
          </w:tcPr>
          <w:p w14:paraId="5ADEA889">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额定电压：0.6/1 kV。</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导体：铜芯（1×16 mm²）。</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绝缘层：XLPE。</w:t>
            </w:r>
            <w:r>
              <w:rPr>
                <w:rFonts w:hint="eastAsia" w:ascii="宋体" w:hAnsi="宋体" w:eastAsia="宋体" w:cs="宋体"/>
                <w:color w:val="000000" w:themeColor="text1"/>
                <w:sz w:val="21"/>
                <w:szCs w:val="21"/>
                <w:highlight w:val="none"/>
                <w:lang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护套：PVC铠装。</w:t>
            </w:r>
          </w:p>
        </w:tc>
      </w:tr>
      <w:tr w14:paraId="47CD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93CF96E">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25</w:t>
            </w:r>
          </w:p>
        </w:tc>
        <w:tc>
          <w:tcPr>
            <w:tcW w:w="1017" w:type="dxa"/>
            <w:shd w:val="clear" w:color="auto" w:fill="auto"/>
            <w:vAlign w:val="center"/>
          </w:tcPr>
          <w:p w14:paraId="28F0D5B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室内接地排</w:t>
            </w:r>
          </w:p>
        </w:tc>
        <w:tc>
          <w:tcPr>
            <w:tcW w:w="633" w:type="dxa"/>
            <w:gridSpan w:val="2"/>
            <w:shd w:val="clear" w:color="auto" w:fill="FFFFFF"/>
            <w:vAlign w:val="center"/>
          </w:tcPr>
          <w:p w14:paraId="67648A4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61" w:type="dxa"/>
            <w:shd w:val="clear" w:color="auto" w:fill="auto"/>
            <w:vAlign w:val="center"/>
          </w:tcPr>
          <w:p w14:paraId="175D7966">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3BF9580B">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rPr>
              <w:t>6平方铜芯电线 ZC-BVR电线电缆</w:t>
            </w:r>
            <w:r>
              <w:rPr>
                <w:rFonts w:hint="eastAsia" w:ascii="宋体" w:hAnsi="宋体" w:eastAsia="宋体" w:cs="宋体"/>
                <w:sz w:val="21"/>
                <w:szCs w:val="21"/>
                <w:highlight w:val="none"/>
                <w:lang w:eastAsia="zh-CN"/>
              </w:rPr>
              <w:t>。</w:t>
            </w:r>
          </w:p>
        </w:tc>
      </w:tr>
      <w:tr w14:paraId="1415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2407B92">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26</w:t>
            </w:r>
          </w:p>
        </w:tc>
        <w:tc>
          <w:tcPr>
            <w:tcW w:w="1017" w:type="dxa"/>
            <w:shd w:val="clear" w:color="auto" w:fill="auto"/>
            <w:vAlign w:val="center"/>
          </w:tcPr>
          <w:p w14:paraId="4F65D367">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光纤网络测试仪</w:t>
            </w:r>
          </w:p>
        </w:tc>
        <w:tc>
          <w:tcPr>
            <w:tcW w:w="633" w:type="dxa"/>
            <w:gridSpan w:val="2"/>
            <w:shd w:val="clear" w:color="auto" w:fill="FFFFFF"/>
            <w:vAlign w:val="center"/>
          </w:tcPr>
          <w:p w14:paraId="5B5CDD67">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253845E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5C1E5A60">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波长850/980/1310/1480/1550/1625nm、测量范围 -60～8dbm。</w:t>
            </w:r>
          </w:p>
        </w:tc>
      </w:tr>
      <w:tr w14:paraId="591F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386A62E7">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27</w:t>
            </w:r>
          </w:p>
        </w:tc>
        <w:tc>
          <w:tcPr>
            <w:tcW w:w="1017" w:type="dxa"/>
            <w:shd w:val="clear" w:color="auto" w:fill="auto"/>
            <w:vAlign w:val="center"/>
          </w:tcPr>
          <w:p w14:paraId="4BE03F4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光功率计转接头</w:t>
            </w:r>
          </w:p>
        </w:tc>
        <w:tc>
          <w:tcPr>
            <w:tcW w:w="633" w:type="dxa"/>
            <w:gridSpan w:val="2"/>
            <w:shd w:val="clear" w:color="auto" w:fill="FFFFFF"/>
            <w:vAlign w:val="center"/>
          </w:tcPr>
          <w:p w14:paraId="052FDD5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0EAF785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0A9FF663">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接口FC/UPC。</w:t>
            </w:r>
          </w:p>
        </w:tc>
      </w:tr>
      <w:tr w14:paraId="0E2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57554095">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28</w:t>
            </w:r>
          </w:p>
        </w:tc>
        <w:tc>
          <w:tcPr>
            <w:tcW w:w="1017" w:type="dxa"/>
            <w:shd w:val="clear" w:color="auto" w:fill="auto"/>
            <w:vAlign w:val="center"/>
          </w:tcPr>
          <w:p w14:paraId="2437A123">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烙铁</w:t>
            </w:r>
          </w:p>
        </w:tc>
        <w:tc>
          <w:tcPr>
            <w:tcW w:w="633" w:type="dxa"/>
            <w:gridSpan w:val="2"/>
            <w:shd w:val="clear" w:color="auto" w:fill="FFFFFF"/>
            <w:vAlign w:val="center"/>
          </w:tcPr>
          <w:p w14:paraId="14D620C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27B1897C">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26F43029">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功率60W、旋钮调温25～250°C。</w:t>
            </w:r>
          </w:p>
        </w:tc>
      </w:tr>
      <w:tr w14:paraId="72EF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114F9DE">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29</w:t>
            </w:r>
          </w:p>
        </w:tc>
        <w:tc>
          <w:tcPr>
            <w:tcW w:w="1017" w:type="dxa"/>
            <w:shd w:val="clear" w:color="auto" w:fill="auto"/>
            <w:vAlign w:val="center"/>
          </w:tcPr>
          <w:p w14:paraId="216103EB">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焊锡丝</w:t>
            </w:r>
          </w:p>
        </w:tc>
        <w:tc>
          <w:tcPr>
            <w:tcW w:w="633" w:type="dxa"/>
            <w:gridSpan w:val="2"/>
            <w:shd w:val="clear" w:color="auto" w:fill="FFFFFF"/>
            <w:vAlign w:val="center"/>
          </w:tcPr>
          <w:p w14:paraId="31EAA99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4FDD4645">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卷</w:t>
            </w:r>
          </w:p>
        </w:tc>
        <w:tc>
          <w:tcPr>
            <w:tcW w:w="7537" w:type="dxa"/>
            <w:shd w:val="clear" w:color="auto" w:fill="auto"/>
            <w:vAlign w:val="center"/>
          </w:tcPr>
          <w:p w14:paraId="5E598932">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直径0.5mm、内含松香助焊剂</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2D04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0240F6E4">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30</w:t>
            </w:r>
          </w:p>
        </w:tc>
        <w:tc>
          <w:tcPr>
            <w:tcW w:w="1017" w:type="dxa"/>
            <w:shd w:val="clear" w:color="auto" w:fill="auto"/>
            <w:vAlign w:val="center"/>
          </w:tcPr>
          <w:p w14:paraId="39962B3E">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数字万用表</w:t>
            </w:r>
          </w:p>
        </w:tc>
        <w:tc>
          <w:tcPr>
            <w:tcW w:w="633" w:type="dxa"/>
            <w:gridSpan w:val="2"/>
            <w:shd w:val="clear" w:color="auto" w:fill="FFFFFF"/>
            <w:vAlign w:val="center"/>
          </w:tcPr>
          <w:p w14:paraId="42784AF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32D10CE8">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6DCDDB2F">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bidi="ar"/>
              </w:rPr>
              <w:t>测量直流电压1000V、交流电压750V、交直流电流10A、电阻测量、电容测试</w:t>
            </w:r>
            <w:r>
              <w:rPr>
                <w:rFonts w:hint="eastAsia" w:ascii="宋体" w:hAnsi="宋体" w:eastAsia="宋体" w:cs="宋体"/>
                <w:sz w:val="21"/>
                <w:szCs w:val="21"/>
                <w:highlight w:val="none"/>
                <w:lang w:eastAsia="zh-CN" w:bidi="ar"/>
              </w:rPr>
              <w:t>。</w:t>
            </w:r>
          </w:p>
        </w:tc>
      </w:tr>
      <w:tr w14:paraId="79B6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6D78BFD">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31</w:t>
            </w:r>
          </w:p>
        </w:tc>
        <w:tc>
          <w:tcPr>
            <w:tcW w:w="1017" w:type="dxa"/>
            <w:shd w:val="clear" w:color="auto" w:fill="auto"/>
            <w:vAlign w:val="center"/>
          </w:tcPr>
          <w:p w14:paraId="08455B23">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1/2馈线刀</w:t>
            </w:r>
          </w:p>
        </w:tc>
        <w:tc>
          <w:tcPr>
            <w:tcW w:w="633" w:type="dxa"/>
            <w:gridSpan w:val="2"/>
            <w:shd w:val="clear" w:color="auto" w:fill="FFFFFF"/>
            <w:vAlign w:val="center"/>
          </w:tcPr>
          <w:p w14:paraId="3769A73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4B0829FD">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2739C131">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含5大1小备用刀片、易剥线、剥线整齐。</w:t>
            </w:r>
          </w:p>
        </w:tc>
      </w:tr>
      <w:tr w14:paraId="6C5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2D2A2025">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32</w:t>
            </w:r>
          </w:p>
        </w:tc>
        <w:tc>
          <w:tcPr>
            <w:tcW w:w="1017" w:type="dxa"/>
            <w:shd w:val="clear" w:color="auto" w:fill="auto"/>
            <w:vAlign w:val="center"/>
          </w:tcPr>
          <w:p w14:paraId="0BB6C1FB">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地质罗盘</w:t>
            </w:r>
          </w:p>
        </w:tc>
        <w:tc>
          <w:tcPr>
            <w:tcW w:w="633" w:type="dxa"/>
            <w:gridSpan w:val="2"/>
            <w:shd w:val="clear" w:color="auto" w:fill="FFFFFF"/>
            <w:vAlign w:val="center"/>
          </w:tcPr>
          <w:p w14:paraId="7CD56F72">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32D79E84">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4F8DE51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bidi="ar"/>
              </w:rPr>
              <w:t>测走向、倾向、倾角、直角</w:t>
            </w:r>
            <w:r>
              <w:rPr>
                <w:rFonts w:hint="eastAsia" w:ascii="宋体" w:hAnsi="宋体" w:eastAsia="宋体" w:cs="宋体"/>
                <w:sz w:val="21"/>
                <w:szCs w:val="21"/>
                <w:highlight w:val="none"/>
                <w:lang w:eastAsia="zh-CN" w:bidi="ar"/>
              </w:rPr>
              <w:t>。</w:t>
            </w:r>
          </w:p>
        </w:tc>
      </w:tr>
      <w:tr w14:paraId="355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6BA7F84C">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33</w:t>
            </w:r>
          </w:p>
        </w:tc>
        <w:tc>
          <w:tcPr>
            <w:tcW w:w="1017" w:type="dxa"/>
            <w:shd w:val="clear" w:color="auto" w:fill="auto"/>
            <w:vAlign w:val="center"/>
          </w:tcPr>
          <w:p w14:paraId="20023E9E">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液压钳</w:t>
            </w:r>
          </w:p>
        </w:tc>
        <w:tc>
          <w:tcPr>
            <w:tcW w:w="633" w:type="dxa"/>
            <w:gridSpan w:val="2"/>
            <w:shd w:val="clear" w:color="auto" w:fill="FFFFFF"/>
            <w:vAlign w:val="center"/>
          </w:tcPr>
          <w:p w14:paraId="2D2049BF">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5F246F7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3EB06654">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1.开口:16、25、35、50、70、95、120、150平方毫米</w:t>
            </w:r>
            <w:r>
              <w:rPr>
                <w:rFonts w:hint="eastAsia" w:ascii="宋体" w:hAnsi="宋体" w:cs="宋体"/>
                <w:color w:val="000000" w:themeColor="text1"/>
                <w:szCs w:val="21"/>
                <w:highlight w:val="none"/>
                <w:lang w:eastAsia="zh-CN"/>
                <w14:textFill>
                  <w14:solidFill>
                    <w14:schemeClr w14:val="tx1"/>
                  </w14:solidFill>
                </w14:textFill>
              </w:rPr>
              <w:t>。</w:t>
            </w:r>
          </w:p>
          <w:p w14:paraId="4149B905">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2.压力：60～80MPa（高压型）</w:t>
            </w:r>
            <w:r>
              <w:rPr>
                <w:rFonts w:hint="eastAsia" w:ascii="宋体" w:hAnsi="宋体" w:cs="宋体"/>
                <w:color w:val="000000" w:themeColor="text1"/>
                <w:szCs w:val="21"/>
                <w:highlight w:val="none"/>
                <w:lang w:eastAsia="zh-CN"/>
                <w14:textFill>
                  <w14:solidFill>
                    <w14:schemeClr w14:val="tx1"/>
                  </w14:solidFill>
                </w14:textFill>
              </w:rPr>
              <w:t>。</w:t>
            </w:r>
          </w:p>
          <w:p w14:paraId="455C4DE3">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3.重量：手动3～10kg，分离式15～50kg</w:t>
            </w:r>
            <w:r>
              <w:rPr>
                <w:rFonts w:hint="eastAsia" w:ascii="宋体" w:hAnsi="宋体" w:cs="宋体"/>
                <w:color w:val="000000" w:themeColor="text1"/>
                <w:szCs w:val="21"/>
                <w:highlight w:val="none"/>
                <w:lang w:eastAsia="zh-CN"/>
                <w14:textFill>
                  <w14:solidFill>
                    <w14:schemeClr w14:val="tx1"/>
                  </w14:solidFill>
                </w14:textFill>
              </w:rPr>
              <w:t>。</w:t>
            </w:r>
          </w:p>
        </w:tc>
      </w:tr>
      <w:tr w14:paraId="10DF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7727F4E3">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34</w:t>
            </w:r>
          </w:p>
        </w:tc>
        <w:tc>
          <w:tcPr>
            <w:tcW w:w="1017" w:type="dxa"/>
            <w:shd w:val="clear" w:color="auto" w:fill="auto"/>
            <w:vAlign w:val="center"/>
          </w:tcPr>
          <w:p w14:paraId="181FCF61">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光功率计</w:t>
            </w:r>
          </w:p>
        </w:tc>
        <w:tc>
          <w:tcPr>
            <w:tcW w:w="633" w:type="dxa"/>
            <w:gridSpan w:val="2"/>
            <w:shd w:val="clear" w:color="auto" w:fill="FFFFFF"/>
            <w:vAlign w:val="center"/>
          </w:tcPr>
          <w:p w14:paraId="78E8C1F3">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61" w:type="dxa"/>
            <w:shd w:val="clear" w:color="auto" w:fill="auto"/>
            <w:vAlign w:val="center"/>
          </w:tcPr>
          <w:p w14:paraId="162241D0">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7537" w:type="dxa"/>
            <w:shd w:val="clear" w:color="auto" w:fill="auto"/>
            <w:vAlign w:val="center"/>
          </w:tcPr>
          <w:p w14:paraId="06E7E30B">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含光源，光功率计各1台，测试光纤衰耗，带红光笔功能。</w:t>
            </w:r>
          </w:p>
        </w:tc>
      </w:tr>
      <w:tr w14:paraId="3FC9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shd w:val="clear" w:color="auto" w:fill="auto"/>
            <w:vAlign w:val="center"/>
          </w:tcPr>
          <w:p w14:paraId="450D3FA3">
            <w:pPr>
              <w:keepNext w:val="0"/>
              <w:keepLines w:val="0"/>
              <w:widowControl/>
              <w:suppressLineNumbers w:val="0"/>
              <w:jc w:val="righ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35</w:t>
            </w:r>
          </w:p>
        </w:tc>
        <w:tc>
          <w:tcPr>
            <w:tcW w:w="1017" w:type="dxa"/>
            <w:shd w:val="clear" w:color="auto" w:fill="auto"/>
            <w:vAlign w:val="center"/>
          </w:tcPr>
          <w:p w14:paraId="1CF3E731">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关节微电机</w:t>
            </w:r>
          </w:p>
        </w:tc>
        <w:tc>
          <w:tcPr>
            <w:tcW w:w="633" w:type="dxa"/>
            <w:gridSpan w:val="2"/>
            <w:shd w:val="clear" w:color="auto" w:fill="FFFFFF"/>
            <w:vAlign w:val="center"/>
          </w:tcPr>
          <w:p w14:paraId="38093C21">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61" w:type="dxa"/>
            <w:shd w:val="clear" w:color="auto" w:fill="auto"/>
            <w:vAlign w:val="center"/>
          </w:tcPr>
          <w:p w14:paraId="51CE2769">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w:t>
            </w:r>
          </w:p>
        </w:tc>
        <w:tc>
          <w:tcPr>
            <w:tcW w:w="7537" w:type="dxa"/>
            <w:shd w:val="clear" w:color="auto" w:fill="auto"/>
            <w:vAlign w:val="center"/>
          </w:tcPr>
          <w:p w14:paraId="4C1D6DD4">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一：具体参数</w:t>
            </w:r>
          </w:p>
          <w:p w14:paraId="336634B8">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最大扭矩：23.7NM</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AFF72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最大电流：40A</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997F5A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扭矩常数：0.63895Nm/A</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502A2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最大转速：30rad/s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FE11498">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通讯方式：高速485</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24B5F2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减速比：1:6.33</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90FBDD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通信波特率：≥4Mbps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481C60E">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通信控制频率：≥6000Hz</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4F2F976">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电机感知反馈：力矩、角度、角速度、角加速度、温度</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7BADEBC">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电机端编码器分辨率：15bit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6956F0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电机控制指令：力矩、角度、角速度、刚度、阻尼</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C566AB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使用环境：-5℃～40℃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6DB94EF">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工作电压：12V～30VDC</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2EB31F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二：附件包</w:t>
            </w:r>
          </w:p>
          <w:p w14:paraId="278CF299">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XT30电源线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736979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GH1.25数据线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8F97C3">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XT30（2+2）电源信号线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CB233D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XT30（2+2）转接板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C868310">
            <w:pPr>
              <w:keepNext w:val="0"/>
              <w:keepLines w:val="0"/>
              <w:pageBreakBefore w:val="0"/>
              <w:widowControl/>
              <w:kinsoku/>
              <w:wordWrap/>
              <w:overflowPunct/>
              <w:topLinePunct w:val="0"/>
              <w:bidi w:val="0"/>
              <w:snapToGrid/>
              <w:spacing w:line="360" w:lineRule="auto"/>
              <w:textAlignment w:val="top"/>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高速485通信模块</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C24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3D9E3B2">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一、</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 xml:space="preserve">商务条款 </w:t>
            </w:r>
          </w:p>
        </w:tc>
      </w:tr>
      <w:tr w14:paraId="5151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7E46063">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质保期</w:t>
            </w:r>
          </w:p>
        </w:tc>
        <w:tc>
          <w:tcPr>
            <w:tcW w:w="8731" w:type="dxa"/>
            <w:gridSpan w:val="4"/>
            <w:tcBorders>
              <w:top w:val="single" w:color="auto" w:sz="4" w:space="0"/>
              <w:bottom w:val="single" w:color="auto" w:sz="4" w:space="0"/>
            </w:tcBorders>
            <w:shd w:val="clear" w:color="auto" w:fill="auto"/>
            <w:vAlign w:val="center"/>
          </w:tcPr>
          <w:p w14:paraId="36BAC111">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1.按国家有关产品“三包”规定执行“三包”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自交货验收合格之日起所有硬件设备、配件提供一年的</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质保服务（分项货物要求中有特别注明的，按特别注明的执行）。软件部分，质保期自交货并验收合格之日起计不少于</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提供升级服务。若产品生产厂家质保期超过此年限的，合同履行过程中按厂家规定执行；若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质保期承诺优于产品生产厂家质保年限的，以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承诺执行。</w:t>
            </w:r>
          </w:p>
          <w:p w14:paraId="45070317">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2.从通过验收即日起质保期内所有由于质量问题导致的软、硬件产品故障以</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保修、人工及更换备件标准上门服务，并提供终身维护。</w:t>
            </w:r>
          </w:p>
          <w:p w14:paraId="58308CBE">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内无条件维修、更换配件。质保期第一年内出现非人为操作失误引发的重大故障，应予以无条件换货。保修期满前1个月内中标人应负责不少于一次无条件全面检查，并对发现的问题无条件整改好；质保期满后，以不高于市场同类同期的价格优惠提供维修服务和备件更换，所更换备件须提供原厂备件。</w:t>
            </w:r>
          </w:p>
        </w:tc>
      </w:tr>
      <w:tr w14:paraId="29A6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50BCE9FD">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val="en-US" w:eastAsia="zh-CN"/>
              </w:rPr>
              <w:t>售后服务要求</w:t>
            </w:r>
          </w:p>
        </w:tc>
        <w:tc>
          <w:tcPr>
            <w:tcW w:w="8731" w:type="dxa"/>
            <w:gridSpan w:val="4"/>
            <w:tcBorders>
              <w:top w:val="single" w:color="auto" w:sz="4" w:space="0"/>
              <w:bottom w:val="single" w:color="auto" w:sz="4" w:space="0"/>
            </w:tcBorders>
            <w:shd w:val="clear" w:color="auto" w:fill="auto"/>
            <w:vAlign w:val="center"/>
          </w:tcPr>
          <w:p w14:paraId="6DC122B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列表中“技术要求”另有要求的按要求执行，其余货物售后服务要求如下：</w:t>
            </w:r>
          </w:p>
          <w:p w14:paraId="4344EBD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1.中标人按采购人指定的地点负责送货上门、安装、调试，负责培训使用人员和维护人员。</w:t>
            </w:r>
          </w:p>
          <w:p w14:paraId="358A341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2.中标人必须提供安装、配线以及</w:t>
            </w:r>
            <w:r>
              <w:rPr>
                <w:rFonts w:hint="eastAsia" w:ascii="宋体" w:hAnsi="宋体" w:eastAsia="宋体" w:cs="宋体"/>
                <w:b w:val="0"/>
                <w:bCs w:val="0"/>
                <w:color w:val="auto"/>
                <w:sz w:val="21"/>
                <w:szCs w:val="21"/>
                <w:highlight w:val="none"/>
                <w:lang w:val="en-US" w:eastAsia="zh-CN"/>
              </w:rPr>
              <w:t>软硬件的测试和调整服务。系统安装之前，应先对</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进行现场培训。开始安装时，应让</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的硬软件和系统集成人员参与安装、检测和排除故障。中标人在施工、安装、调试等全过程中接受采购人的监督。</w:t>
            </w:r>
          </w:p>
          <w:p w14:paraId="7A1C31B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3.在中标人承诺的质保期内，设备保修包换所需要的配件均是</w:t>
            </w:r>
            <w:r>
              <w:rPr>
                <w:rFonts w:hint="eastAsia" w:ascii="宋体" w:hAnsi="宋体" w:eastAsia="宋体" w:cs="宋体"/>
                <w:b w:val="0"/>
                <w:bCs w:val="0"/>
                <w:color w:val="auto"/>
                <w:sz w:val="21"/>
                <w:szCs w:val="21"/>
                <w:highlight w:val="none"/>
                <w:lang w:val="en-US" w:eastAsia="zh-CN"/>
              </w:rPr>
              <w:t>原厂原装，不得使用兼容货物。</w:t>
            </w:r>
          </w:p>
          <w:p w14:paraId="45F0632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4.中标人在质量保证期内应当为采购人提供以下技术支持和服务：</w:t>
            </w:r>
          </w:p>
          <w:p w14:paraId="08B3FBF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（1）电话咨询</w:t>
            </w:r>
          </w:p>
          <w:p w14:paraId="6EF6531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中标人应当为采购人提供技术援助电话，解答采购人在使用中遇到的问题，及时为采购人提出解决问题的建议。</w:t>
            </w:r>
          </w:p>
          <w:p w14:paraId="403C268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（2）质量问题响应时间：按国家及行业标准进行及时处理，出现质量问题时在</w:t>
            </w:r>
            <w:r>
              <w:rPr>
                <w:rFonts w:hint="eastAsia" w:ascii="宋体" w:hAnsi="宋体" w:eastAsia="宋体" w:cs="宋体"/>
                <w:color w:val="auto"/>
                <w:kern w:val="0"/>
                <w:sz w:val="21"/>
                <w:szCs w:val="21"/>
                <w:highlight w:val="none"/>
                <w:u w:val="single"/>
                <w:lang w:val="en-US" w:eastAsia="zh-CN" w:bidi="ar-SA"/>
              </w:rPr>
              <w:t xml:space="preserve"> 2 </w:t>
            </w:r>
            <w:r>
              <w:rPr>
                <w:rFonts w:hint="eastAsia" w:ascii="宋体" w:hAnsi="宋体" w:eastAsia="宋体" w:cs="宋体"/>
                <w:b w:val="0"/>
                <w:bCs w:val="0"/>
                <w:color w:val="auto"/>
                <w:sz w:val="21"/>
                <w:szCs w:val="21"/>
                <w:highlight w:val="none"/>
                <w:lang w:val="en-US" w:eastAsia="zh-CN"/>
              </w:rPr>
              <w:t>小时内响应，</w:t>
            </w:r>
            <w:r>
              <w:rPr>
                <w:rFonts w:hint="eastAsia" w:ascii="宋体" w:hAnsi="宋体" w:eastAsia="宋体" w:cs="宋体"/>
                <w:color w:val="auto"/>
                <w:kern w:val="0"/>
                <w:sz w:val="21"/>
                <w:szCs w:val="21"/>
                <w:highlight w:val="none"/>
                <w:u w:val="single"/>
                <w:lang w:val="en-US" w:eastAsia="zh-CN" w:bidi="ar-SA"/>
              </w:rPr>
              <w:t xml:space="preserve"> 12 </w:t>
            </w:r>
            <w:r>
              <w:rPr>
                <w:rFonts w:hint="eastAsia" w:ascii="宋体" w:hAnsi="宋体" w:eastAsia="宋体" w:cs="宋体"/>
                <w:b w:val="0"/>
                <w:bCs w:val="0"/>
                <w:color w:val="auto"/>
                <w:sz w:val="21"/>
                <w:szCs w:val="21"/>
                <w:highlight w:val="none"/>
                <w:lang w:val="en-US" w:eastAsia="zh-CN"/>
              </w:rPr>
              <w:t>小时内到达现场；</w:t>
            </w:r>
            <w:r>
              <w:rPr>
                <w:rFonts w:hint="eastAsia" w:ascii="宋体" w:hAnsi="宋体" w:eastAsia="宋体" w:cs="宋体"/>
                <w:color w:val="auto"/>
                <w:kern w:val="0"/>
                <w:sz w:val="21"/>
                <w:szCs w:val="21"/>
                <w:highlight w:val="none"/>
                <w:u w:val="single"/>
                <w:lang w:val="en-US" w:eastAsia="zh-CN" w:bidi="ar-SA"/>
              </w:rPr>
              <w:t xml:space="preserve"> 24</w:t>
            </w:r>
            <w:r>
              <w:rPr>
                <w:rFonts w:hint="eastAsia" w:ascii="宋体" w:hAnsi="宋体" w:eastAsia="宋体" w:cs="宋体"/>
                <w:b w:val="0"/>
                <w:bCs w:val="0"/>
                <w:color w:val="auto"/>
                <w:sz w:val="21"/>
                <w:szCs w:val="21"/>
                <w:highlight w:val="none"/>
                <w:lang w:val="en-US" w:eastAsia="zh-CN"/>
              </w:rPr>
              <w:t>小时内解决问题，保证采购人正常使用，产生的一切费用由中标人承担。如在规定时间内无法解决质量问题，需提供备用设备，终身提供技术支持。</w:t>
            </w:r>
          </w:p>
          <w:p w14:paraId="3A0AE2A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（3）技术升级</w:t>
            </w:r>
          </w:p>
          <w:p w14:paraId="766EB1A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在质保期内，如果中标人的产品或服务升级，中标人应及时通知采购人，如采购人有相应要求，中标人应对采购人购买的产品或服务进行升级。</w:t>
            </w:r>
          </w:p>
          <w:p w14:paraId="3DC6068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5.质保期外服务要求</w:t>
            </w:r>
          </w:p>
          <w:p w14:paraId="068F7FD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质量保证期过后，采购人需要继续由原中标人提供售后服务的，中标人应提供电话咨询服务，并应承诺提供产品或服务上门维护，中标人和制造商应以优惠价格提供售后服务。</w:t>
            </w:r>
          </w:p>
          <w:p w14:paraId="294CC5C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6.备品备件及易损件</w:t>
            </w:r>
          </w:p>
          <w:p w14:paraId="055E155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中标人售后服务中，维修使用的备品备件及易损件应为原厂配件，未经采购人同意不得使用非原厂配件。</w:t>
            </w:r>
          </w:p>
          <w:p w14:paraId="698F952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7.培训要求：中标人对其提供产品或服务的使用和操作应尽培训义务。中标人应提供对本分标的使用单位进行培训服务，涉及的相关费用应计算在项目报价内，并使使用人员能独立、熟练操作系统。 </w:t>
            </w:r>
          </w:p>
          <w:p w14:paraId="546F4BA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8.备品备件及耗材等要求：有稳定的备件供应渠道，并从设备厂商的中国公司及其分销商购置整机和备件补充，</w:t>
            </w:r>
            <w:r>
              <w:rPr>
                <w:rFonts w:hint="eastAsia" w:ascii="宋体" w:hAnsi="宋体" w:cs="宋体"/>
                <w:b w:val="0"/>
                <w:bCs w:val="0"/>
                <w:color w:val="auto"/>
                <w:sz w:val="21"/>
                <w:szCs w:val="21"/>
                <w:highlight w:val="none"/>
                <w:lang w:val="en-US" w:eastAsia="zh-CN"/>
              </w:rPr>
              <w:t>可以满足采购人的设备在升级</w:t>
            </w:r>
            <w:r>
              <w:rPr>
                <w:rFonts w:hint="eastAsia" w:ascii="宋体" w:hAnsi="宋体" w:eastAsia="宋体" w:cs="宋体"/>
                <w:b w:val="0"/>
                <w:bCs w:val="0"/>
                <w:color w:val="auto"/>
                <w:sz w:val="21"/>
                <w:szCs w:val="21"/>
                <w:highlight w:val="none"/>
                <w:lang w:val="en-US" w:eastAsia="zh-CN"/>
              </w:rPr>
              <w:t>、扩充和保修服务配件及消耗品等多方面的需求，中标人就相关备品备件及耗材价格与采购人友好协商，应以优惠价格提供相关服务。</w:t>
            </w:r>
          </w:p>
          <w:p w14:paraId="0880614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9.提供设备必须是全新、未使用的原装产品，且在正常安装、使用和保养条件下，其使用寿命期内各项指标均达到质量要求。</w:t>
            </w:r>
          </w:p>
        </w:tc>
      </w:tr>
      <w:tr w14:paraId="4B50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864AE62">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交货时间及地点</w:t>
            </w:r>
          </w:p>
        </w:tc>
        <w:tc>
          <w:tcPr>
            <w:tcW w:w="8731" w:type="dxa"/>
            <w:gridSpan w:val="4"/>
            <w:tcBorders>
              <w:top w:val="single" w:color="auto" w:sz="4" w:space="0"/>
              <w:bottom w:val="single" w:color="auto" w:sz="4" w:space="0"/>
            </w:tcBorders>
            <w:shd w:val="clear" w:color="auto" w:fill="auto"/>
            <w:vAlign w:val="center"/>
          </w:tcPr>
          <w:p w14:paraId="689A060D">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1.交货时间：自签订合同之日</w:t>
            </w:r>
            <w:r>
              <w:rPr>
                <w:rFonts w:hint="eastAsia" w:ascii="宋体" w:hAnsi="宋体" w:eastAsia="宋体" w:cs="宋体"/>
                <w:sz w:val="21"/>
                <w:szCs w:val="21"/>
                <w:highlight w:val="none"/>
              </w:rPr>
              <w:t>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日历日</w:t>
            </w:r>
            <w:r>
              <w:rPr>
                <w:rFonts w:hint="eastAsia" w:ascii="宋体" w:hAnsi="宋体" w:eastAsia="宋体" w:cs="宋体"/>
                <w:sz w:val="21"/>
                <w:szCs w:val="21"/>
                <w:highlight w:val="none"/>
              </w:rPr>
              <w:t>内全部交货安装完成并经采购人验收合格。</w:t>
            </w:r>
          </w:p>
          <w:p w14:paraId="05422248">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2.交货地点：广西制造工程职业技术学院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6C0130D0">
            <w:pPr>
              <w:keepNext w:val="0"/>
              <w:keepLines w:val="0"/>
              <w:pageBreakBefore w:val="0"/>
              <w:kinsoku/>
              <w:wordWrap/>
              <w:overflowPunct/>
              <w:topLinePunct w:val="0"/>
              <w:bidi w:val="0"/>
              <w:snapToGrid/>
              <w:spacing w:line="360" w:lineRule="auto"/>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lang w:val="en-US" w:eastAsia="zh-CN"/>
              </w:rPr>
              <w:t>中标通知书发出之日</w:t>
            </w:r>
            <w:r>
              <w:rPr>
                <w:rFonts w:hint="eastAsia" w:ascii="宋体" w:hAnsi="宋体" w:eastAsia="宋体" w:cs="宋体"/>
                <w:color w:val="auto"/>
                <w:sz w:val="21"/>
                <w:szCs w:val="21"/>
                <w:highlight w:val="none"/>
              </w:rPr>
              <w:t>起25</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须与采购人签订好合同</w:t>
            </w:r>
            <w:r>
              <w:rPr>
                <w:rFonts w:hint="eastAsia" w:ascii="宋体" w:hAnsi="宋体" w:eastAsia="宋体" w:cs="宋体"/>
                <w:color w:val="auto"/>
                <w:sz w:val="21"/>
                <w:szCs w:val="21"/>
                <w:highlight w:val="none"/>
                <w:lang w:eastAsia="zh-CN"/>
              </w:rPr>
              <w:t>。</w:t>
            </w:r>
          </w:p>
          <w:p w14:paraId="5B965E97">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4.交货方式：现场交货。</w:t>
            </w:r>
          </w:p>
        </w:tc>
      </w:tr>
      <w:tr w14:paraId="629B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CF0DACF">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付款条件</w:t>
            </w:r>
          </w:p>
        </w:tc>
        <w:tc>
          <w:tcPr>
            <w:tcW w:w="8731" w:type="dxa"/>
            <w:gridSpan w:val="4"/>
            <w:tcBorders>
              <w:top w:val="single" w:color="auto" w:sz="4" w:space="0"/>
              <w:bottom w:val="single" w:color="auto" w:sz="4" w:space="0"/>
            </w:tcBorders>
            <w:shd w:val="clear" w:color="auto" w:fill="auto"/>
            <w:vAlign w:val="center"/>
          </w:tcPr>
          <w:p w14:paraId="36AE38F5">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签订合同后10个工作日内，采购人向中标人支付合同总金额的50%作为预付款；全部货物到货且经采购人确认后10个工作日内，采购人向中标人支付合同总金额的30%货款；全部安装调试，完成试运行且经采购人验收合格后10个工作日内，采购人向中标人支付合同总金额的20%余款。</w:t>
            </w:r>
          </w:p>
          <w:p w14:paraId="5C91A2AF">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2.采购人付款前，中标人应向采购人开具等额有效的增值税普通发票，采购人未收到发票的，有权不予支付相应款项直至中标人提供合格发票，并不承担延迟付款责任。发票认证通过是付款的必要前提之一。</w:t>
            </w:r>
          </w:p>
          <w:p w14:paraId="7F837F5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3.中标人须根据《广西壮族自治区财政厅关于在政府采购活动中推广使用电子保函的通知》（桂财采〔2023〕92 号）的相关要求，在中标项目签订合同后1个工作日内完成向“广西政府采购金融服务平台”申请预付款保函的事宜，并于收到项目预付款的当日向采购人提供预付款保函，保函有效期不少于90天.</w:t>
            </w:r>
          </w:p>
        </w:tc>
      </w:tr>
      <w:tr w14:paraId="1598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0B2DA1F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履约保证金</w:t>
            </w:r>
          </w:p>
        </w:tc>
        <w:tc>
          <w:tcPr>
            <w:tcW w:w="8731" w:type="dxa"/>
            <w:gridSpan w:val="4"/>
            <w:tcBorders>
              <w:top w:val="single" w:color="auto" w:sz="4" w:space="0"/>
              <w:bottom w:val="single" w:color="auto" w:sz="4" w:space="0"/>
            </w:tcBorders>
            <w:shd w:val="clear" w:color="auto" w:fill="auto"/>
            <w:vAlign w:val="center"/>
          </w:tcPr>
          <w:p w14:paraId="38FE08E1">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34ED12C0">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1C8EADF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w:t>
            </w:r>
            <w:r>
              <w:rPr>
                <w:rFonts w:hint="eastAsia" w:ascii="宋体" w:hAnsi="宋体" w:cs="宋体"/>
                <w:b w:val="0"/>
                <w:bCs w:val="0"/>
                <w:color w:val="auto"/>
                <w:sz w:val="21"/>
                <w:szCs w:val="21"/>
                <w:highlight w:val="none"/>
                <w:lang w:val="en-US" w:eastAsia="zh-CN"/>
              </w:rPr>
              <w:t>签订合同后3个工作日内由中标人转入采购人指定保证金账户。</w:t>
            </w:r>
          </w:p>
          <w:p w14:paraId="4885B1D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6270362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44C400E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7B5DEF9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09E5748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账  号：20036501040014065</w:t>
            </w:r>
          </w:p>
        </w:tc>
      </w:tr>
      <w:tr w14:paraId="3E1B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4C208C9">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报价要求</w:t>
            </w:r>
          </w:p>
        </w:tc>
        <w:tc>
          <w:tcPr>
            <w:tcW w:w="8731" w:type="dxa"/>
            <w:gridSpan w:val="4"/>
            <w:tcBorders>
              <w:top w:val="single" w:color="auto" w:sz="4" w:space="0"/>
              <w:bottom w:val="single" w:color="auto" w:sz="4" w:space="0"/>
            </w:tcBorders>
            <w:shd w:val="clear" w:color="auto" w:fill="auto"/>
            <w:vAlign w:val="center"/>
          </w:tcPr>
          <w:p w14:paraId="29A8835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本次报价须为人民币报价，报价金额实行总承包报价，包括但不限于：</w:t>
            </w:r>
          </w:p>
          <w:p w14:paraId="5016AAC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1.货物采购包括货款、标准附件、备品备件、专用工具、包装、运输、装卸、保险、税金、货到就位以及安装、调试、培训、保修等一切税金和费用；</w:t>
            </w:r>
          </w:p>
          <w:p w14:paraId="68215D1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2.服务采购包括整体服务价格以及安装调试、培训、维护等一切税金和费用；</w:t>
            </w:r>
          </w:p>
          <w:p w14:paraId="7DD0931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3.项目验收、人员服务等费用；</w:t>
            </w:r>
          </w:p>
          <w:p w14:paraId="455F77B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4.根据合同规定，履行合同可能产生的其他费用；</w:t>
            </w:r>
          </w:p>
          <w:p w14:paraId="56AA033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5.项目包含但不限于安装后可正常使用的相应设施、设备、软件、调试等，采购人不再另行支付费用。</w:t>
            </w:r>
          </w:p>
          <w:p w14:paraId="6CBDC91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6.如质量上发生争议，可由第三方检测机构进行检测，费用由中标人承担。</w:t>
            </w:r>
          </w:p>
          <w:p w14:paraId="0EF7F16E">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7.对于本文件中未列明，而供应商认为必需的费用也需列入总报价。在合同实施时，采购人将不予支付中标人没有列入的项目费用，并认为此项目的费用已包括在投标总报价中。</w:t>
            </w:r>
          </w:p>
        </w:tc>
      </w:tr>
      <w:tr w14:paraId="4B65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B068ABD">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知识产权</w:t>
            </w:r>
          </w:p>
        </w:tc>
        <w:tc>
          <w:tcPr>
            <w:tcW w:w="8731" w:type="dxa"/>
            <w:gridSpan w:val="4"/>
            <w:tcBorders>
              <w:top w:val="single" w:color="auto" w:sz="4" w:space="0"/>
              <w:bottom w:val="single" w:color="auto" w:sz="4" w:space="0"/>
            </w:tcBorders>
            <w:shd w:val="clear" w:color="auto" w:fill="auto"/>
            <w:vAlign w:val="center"/>
          </w:tcPr>
          <w:p w14:paraId="4AC309C0">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1.采购人在中华人民共和国境内使用</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提供的产品及技术服务时免受第三方提出的侵犯其专利权或其它知识产权的起诉。如果第三方提出侵权指控，</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应承担由此而引起的一切法律责任和费用。</w:t>
            </w:r>
          </w:p>
          <w:p w14:paraId="09EBA29A">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2.在货物验收时候，如发现存在虚假响应，采购人将终止合同。</w:t>
            </w:r>
          </w:p>
        </w:tc>
      </w:tr>
      <w:tr w14:paraId="3E5B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5177435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规范标准</w:t>
            </w:r>
          </w:p>
        </w:tc>
        <w:tc>
          <w:tcPr>
            <w:tcW w:w="8731" w:type="dxa"/>
            <w:gridSpan w:val="4"/>
            <w:tcBorders>
              <w:top w:val="single" w:color="auto" w:sz="4" w:space="0"/>
              <w:bottom w:val="single" w:color="auto" w:sz="4" w:space="0"/>
            </w:tcBorders>
            <w:shd w:val="clear" w:color="auto" w:fill="auto"/>
            <w:vAlign w:val="center"/>
          </w:tcPr>
          <w:p w14:paraId="618BBE1D">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采购标的需执行的国家标准、行业标准、地方标准或者其他标准、规范。多项标准的，按最新标准或较高标准执行。</w:t>
            </w:r>
          </w:p>
        </w:tc>
      </w:tr>
      <w:tr w14:paraId="44B9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6D3FA97">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其他要求</w:t>
            </w:r>
          </w:p>
        </w:tc>
        <w:tc>
          <w:tcPr>
            <w:tcW w:w="8731" w:type="dxa"/>
            <w:gridSpan w:val="4"/>
            <w:tcBorders>
              <w:top w:val="single" w:color="auto" w:sz="4" w:space="0"/>
              <w:bottom w:val="single" w:color="auto" w:sz="4" w:space="0"/>
            </w:tcBorders>
            <w:shd w:val="clear" w:color="auto" w:fill="auto"/>
            <w:vAlign w:val="center"/>
          </w:tcPr>
          <w:p w14:paraId="536EC800">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向采购人提供的货物必须是符合国家质量标准和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规定标准的全新、完整、未使用过的，本次采购货物不接受进口产品且所有产品必须有正规的合格证书。</w:t>
            </w:r>
          </w:p>
          <w:p w14:paraId="1BF3AD3C">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.为确保售后服务质量，</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必须提供不少于1人的运维服务人员名单、联系电话。</w:t>
            </w:r>
          </w:p>
          <w:p w14:paraId="609485E4">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必须严格按时间进度和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要求完成所有工作，若出现不按要求完成相关工作的，经双方协商未果，采购人有权解除合同并追究</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相关责任。</w:t>
            </w:r>
          </w:p>
          <w:p w14:paraId="5B207518">
            <w:pPr>
              <w:keepNext w:val="0"/>
              <w:keepLines w:val="0"/>
              <w:pageBreakBefore w:val="0"/>
              <w:numPr>
                <w:ilvl w:val="0"/>
                <w:numId w:val="0"/>
              </w:numPr>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提供的所有货物必须为正规厂家制造、合法渠道供应的全新产品，并保证本分标使用的任何产品不会产生因第三方提出侵犯其所有权而引起的法律和经济纠纷，如因此而引起的法律和经济纠纷，由中标人自行承担所有相关责任。</w:t>
            </w:r>
          </w:p>
          <w:p w14:paraId="278B508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5.在正常安装、使用过程中，凡是因产品质量问题所造成采购人损失的，中标人负责赔偿采购人的一切经济损失。</w:t>
            </w:r>
          </w:p>
        </w:tc>
      </w:tr>
      <w:tr w14:paraId="6623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7AEB72B">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采购标的验收标准</w:t>
            </w:r>
          </w:p>
        </w:tc>
        <w:tc>
          <w:tcPr>
            <w:tcW w:w="8731" w:type="dxa"/>
            <w:gridSpan w:val="4"/>
            <w:tcBorders>
              <w:top w:val="single" w:color="auto" w:sz="4" w:space="0"/>
              <w:bottom w:val="single" w:color="auto" w:sz="4" w:space="0"/>
            </w:tcBorders>
            <w:shd w:val="clear" w:color="auto" w:fill="auto"/>
            <w:vAlign w:val="center"/>
          </w:tcPr>
          <w:p w14:paraId="6A1F309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以根据采购项目具体情况自行组织验收，或者委托第三方机构或部门开展采购项目履约验收工作，验收过程中所产生的一切费用均由中标人承担，履约验收服务费按照分标中标金额的≤0.9%收取，投标人在投标报价时应考虑相关费用。</w:t>
            </w:r>
          </w:p>
          <w:p w14:paraId="55CDE51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2.在验收过程中发现中标人有违约问题，可暂缓资金结算，待违约问题解决后，方可办理资金结算事宜。</w:t>
            </w:r>
          </w:p>
          <w:p w14:paraId="3337C09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3.验收依据：按合同要求及国家标准进行验收。</w:t>
            </w:r>
          </w:p>
          <w:p w14:paraId="2108BAA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4.验收标准</w:t>
            </w:r>
          </w:p>
          <w:p w14:paraId="78F770E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（1）所供产品的规格、数量、功能、材质、颜色等符合招标文件采购需求及采购合同约定的要求。</w:t>
            </w:r>
          </w:p>
          <w:p w14:paraId="0F64514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（2）所供产品的外观完好，无严重碰撞、表皮脱落、五金件生锈等明显瑕疵。</w:t>
            </w:r>
          </w:p>
          <w:p w14:paraId="5C0A706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（3）所供产品结构牢固，无安全隐患。</w:t>
            </w:r>
          </w:p>
          <w:p w14:paraId="55BC903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（4）如有抽检要求的，检测结果符合招标文件采购需求及采购合同约定的要求。</w:t>
            </w:r>
          </w:p>
          <w:p w14:paraId="5C5236A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（5）所有产品均已运输至指定地点，并安装调试完毕。</w:t>
            </w:r>
          </w:p>
          <w:p w14:paraId="0E8A619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（6）招标文件采购需求及采购合同约定的附件、工具、技术资料等齐全；提供产品使用说明书、合格证。</w:t>
            </w:r>
          </w:p>
          <w:p w14:paraId="5CEEE85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（7）货物技术参数应与投标文件中偏离表或证明材料一致，性能或指标达到规定的标准。否则，以实际货物或服务技术参数与投标文件偏离表参数或证明材料比较，按如下情况处理：</w:t>
            </w:r>
          </w:p>
          <w:p w14:paraId="4153B42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①供应商投标文件偏离表或证明材料中满足或优于的技术参数，在验收时实际不满足技术参数要求的，视为供货商违约，采购人有权终止合同拒收货物，并追究供应商责任。</w:t>
            </w:r>
          </w:p>
          <w:p w14:paraId="4E66554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②供应商投标文件偏离表或证明材料中优于的技术参数，在验收时实际仅满足并未优于技术参数要求的，视为供货商违约，采购人有权终止合同拒收货物，并追究供应商责任。</w:t>
            </w:r>
          </w:p>
          <w:p w14:paraId="7712090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③供应商投标文件偏离表或证明材料中不满足的技术参数，在验收时实际满足技术参数的要求，以满足技术参数的要求验收。 </w:t>
            </w:r>
          </w:p>
          <w:p w14:paraId="6EDB8B9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④供应商投标文件偏离表或证明材料中满足的技术参数，在验收时实际优于技术参数的要求，以满足技术参数的要求验收。</w:t>
            </w:r>
          </w:p>
          <w:p w14:paraId="259CE37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⑤供应商投标文件偏离表或证明材料中优于的技术参数，在验收时实际也优于技术参数的要求，但没有达到响应表或证明材料中优于的程度，由采购人与供应商协商按是否满足要求验收。</w:t>
            </w:r>
          </w:p>
          <w:p w14:paraId="5F80A53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⑥实际货物与响应货物型号不一致的，验收时不论实际是优于还是满足技术参数的要求，采购人均有权终止合同拒收货物，并追究供应商责任。</w:t>
            </w:r>
          </w:p>
          <w:p w14:paraId="15A5FAD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5.验收要求</w:t>
            </w:r>
          </w:p>
          <w:p w14:paraId="71D0A95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验收小组以项目采购文件及采购合同为验收依据，对供货产品技术参数核对检验，如不符合技术参数要求的，中标人承担所有责任和费用。采购人保留进一步追究责任的权利。</w:t>
            </w:r>
          </w:p>
          <w:p w14:paraId="56A498D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中标人按时间节点</w:t>
            </w:r>
            <w:r>
              <w:rPr>
                <w:rFonts w:hint="eastAsia" w:ascii="宋体" w:hAnsi="宋体" w:eastAsia="宋体" w:cs="宋体"/>
                <w:b w:val="0"/>
                <w:bCs w:val="0"/>
                <w:color w:val="auto"/>
                <w:sz w:val="21"/>
                <w:szCs w:val="21"/>
                <w:highlight w:val="none"/>
                <w:lang w:val="en-US" w:eastAsia="zh-CN"/>
              </w:rPr>
              <w:t>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60CD839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（2）验收时中标人提供验收文档，包括但不限于（如有）：技术方案、实施方案、售后服务方案、培训方案、系统部署文档、测试文档、使用说明书、电子文档，以及对所有需要进行核查的原件等。</w:t>
            </w:r>
          </w:p>
          <w:p w14:paraId="2F7C4DA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169A4A9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（4）如中标人提供虚假材料的，除按相关规定做违约处理外，采购人依据相关法律规定追究中标人的责任，由此带来的一切责任及损失由中标人自行承担。</w:t>
            </w:r>
          </w:p>
          <w:p w14:paraId="4F0C89E3">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7A76642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（6）项目验收过程中，采购人需委托第三方检测机构介入的，费用由中标人另行承担。</w:t>
            </w:r>
          </w:p>
        </w:tc>
      </w:tr>
      <w:tr w14:paraId="0D28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672BD61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二、与实现项目目标相关的其他要求</w:t>
            </w:r>
          </w:p>
        </w:tc>
      </w:tr>
      <w:tr w14:paraId="4B25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449234E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（一）投标人的履约能力要求</w:t>
            </w:r>
          </w:p>
        </w:tc>
      </w:tr>
      <w:tr w14:paraId="44BB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5850B9C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质量管理、企业信用要求</w:t>
            </w:r>
          </w:p>
        </w:tc>
        <w:tc>
          <w:tcPr>
            <w:tcW w:w="8664" w:type="dxa"/>
            <w:gridSpan w:val="3"/>
            <w:tcBorders>
              <w:top w:val="single" w:color="auto" w:sz="4" w:space="0"/>
              <w:bottom w:val="single" w:color="auto" w:sz="4" w:space="0"/>
            </w:tcBorders>
            <w:shd w:val="clear" w:color="auto" w:fill="auto"/>
            <w:vAlign w:val="center"/>
          </w:tcPr>
          <w:p w14:paraId="173BD2F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460D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7F427E8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能力或者业绩要求</w:t>
            </w:r>
          </w:p>
        </w:tc>
        <w:tc>
          <w:tcPr>
            <w:tcW w:w="8664" w:type="dxa"/>
            <w:gridSpan w:val="3"/>
            <w:tcBorders>
              <w:top w:val="single" w:color="auto" w:sz="4" w:space="0"/>
              <w:bottom w:val="single" w:color="auto" w:sz="4" w:space="0"/>
            </w:tcBorders>
            <w:shd w:val="clear" w:color="auto" w:fill="auto"/>
            <w:vAlign w:val="center"/>
          </w:tcPr>
          <w:p w14:paraId="12EC0184">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4136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B194BE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（二）政策性加分条件</w:t>
            </w:r>
          </w:p>
        </w:tc>
      </w:tr>
      <w:tr w14:paraId="5342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C3113C2">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w:t>
            </w:r>
          </w:p>
        </w:tc>
      </w:tr>
      <w:tr w14:paraId="3C9E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3CDD0BEC">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（三）进口产品及核心产品说明</w:t>
            </w:r>
          </w:p>
        </w:tc>
      </w:tr>
      <w:tr w14:paraId="0BBD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1B6E073">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5D433227">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本分标第</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项产品“</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sz w:val="21"/>
                <w:szCs w:val="21"/>
                <w:highlight w:val="none"/>
                <w:u w:val="single"/>
              </w:rPr>
              <w:t>5G站点工程仿真系统</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”为核心产品</w:t>
            </w:r>
            <w:r>
              <w:rPr>
                <w:rFonts w:hint="eastAsia" w:ascii="宋体" w:hAnsi="宋体" w:eastAsia="宋体" w:cs="宋体"/>
                <w:color w:val="000000" w:themeColor="text1"/>
                <w:sz w:val="21"/>
                <w:szCs w:val="21"/>
                <w:highlight w:val="none"/>
                <w14:textFill>
                  <w14:solidFill>
                    <w14:schemeClr w14:val="tx1"/>
                  </w14:solidFill>
                </w14:textFill>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49FE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7B13013D">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三、其他说明</w:t>
            </w:r>
          </w:p>
        </w:tc>
      </w:tr>
      <w:tr w14:paraId="515C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7ACB0D5">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664" w:type="dxa"/>
            <w:gridSpan w:val="3"/>
            <w:tcBorders>
              <w:top w:val="single" w:color="auto" w:sz="4" w:space="0"/>
              <w:bottom w:val="single" w:color="auto" w:sz="4" w:space="0"/>
            </w:tcBorders>
            <w:shd w:val="clear" w:color="auto" w:fill="auto"/>
            <w:vAlign w:val="center"/>
          </w:tcPr>
          <w:p w14:paraId="288660EE">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本项目评标时以本项目预算金额为最高限价，</w:t>
            </w:r>
            <w:r>
              <w:rPr>
                <w:rFonts w:hint="eastAsia" w:ascii="宋体" w:hAnsi="宋体" w:eastAsia="宋体" w:cs="宋体"/>
                <w:b/>
                <w:bCs/>
                <w:color w:val="000000" w:themeColor="text1"/>
                <w:sz w:val="21"/>
                <w:szCs w:val="21"/>
                <w:highlight w:val="none"/>
                <w14:textFill>
                  <w14:solidFill>
                    <w14:schemeClr w14:val="tx1"/>
                  </w14:solidFill>
                </w14:textFill>
              </w:rPr>
              <w:t>评标时以最高限价为评标依据，投标人投标报价超出最高限价的作无效投标处理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718C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79F7DEE">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供应商其他要求</w:t>
            </w:r>
          </w:p>
        </w:tc>
        <w:tc>
          <w:tcPr>
            <w:tcW w:w="8664" w:type="dxa"/>
            <w:gridSpan w:val="3"/>
            <w:tcBorders>
              <w:top w:val="single" w:color="auto" w:sz="4" w:space="0"/>
              <w:bottom w:val="single" w:color="auto" w:sz="4" w:space="0"/>
            </w:tcBorders>
            <w:shd w:val="clear" w:color="auto" w:fill="auto"/>
            <w:vAlign w:val="center"/>
          </w:tcPr>
          <w:p w14:paraId="595B65A7">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kern w:val="0"/>
                <w:sz w:val="21"/>
                <w:szCs w:val="21"/>
                <w:highlight w:val="none"/>
              </w:rPr>
              <w:t>投标人</w:t>
            </w:r>
            <w:r>
              <w:rPr>
                <w:rFonts w:hint="eastAsia" w:ascii="宋体" w:hAnsi="宋体" w:eastAsia="宋体" w:cs="宋体"/>
                <w:b w:val="0"/>
                <w:bCs w:val="0"/>
                <w:sz w:val="21"/>
                <w:szCs w:val="21"/>
                <w:highlight w:val="none"/>
              </w:rPr>
              <w:t>应根据项目要求，可在投标文件中提供包括：项目实施方案、项目质量进度、控制方案、售后服务方案、信誉、业绩等内容。</w:t>
            </w:r>
          </w:p>
        </w:tc>
      </w:tr>
      <w:tr w14:paraId="4232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2C2A9898">
            <w:pPr>
              <w:spacing w:line="380" w:lineRule="exact"/>
              <w:ind w:left="142"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sz w:val="21"/>
                <w:szCs w:val="21"/>
                <w:highlight w:val="none"/>
              </w:rPr>
              <w:t>现场考察</w:t>
            </w:r>
          </w:p>
        </w:tc>
        <w:tc>
          <w:tcPr>
            <w:tcW w:w="8664" w:type="dxa"/>
            <w:gridSpan w:val="3"/>
            <w:tcBorders>
              <w:top w:val="single" w:color="auto" w:sz="4" w:space="0"/>
              <w:bottom w:val="single" w:color="auto" w:sz="4" w:space="0"/>
            </w:tcBorders>
            <w:shd w:val="clear" w:color="auto" w:fill="auto"/>
            <w:vAlign w:val="center"/>
          </w:tcPr>
          <w:p w14:paraId="7289AB95">
            <w:pPr>
              <w:spacing w:line="3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提供现场考察，有意向的投标人可到采购人现场签到进行现场考察，充分了解项目情况，否则导致投标失误由投标人自行承担。考察交通工具、费用及人身安全由各投标人自行承担。</w:t>
            </w:r>
          </w:p>
          <w:p w14:paraId="3606F6BD">
            <w:pPr>
              <w:spacing w:line="3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各投标人可于考察前一个工作日提前联系，如过后联系不上后果自负。</w:t>
            </w:r>
          </w:p>
          <w:p w14:paraId="2F1BFA88">
            <w:pPr>
              <w:spacing w:line="3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考察时间：202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年</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日上午9:30～9:45进行签到，逾时不予签到，9:45后由采购人统一安排进行考察（签到时出具授权书原件）；</w:t>
            </w:r>
          </w:p>
          <w:p w14:paraId="647C5802">
            <w:pPr>
              <w:spacing w:line="3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集中地址：</w:t>
            </w:r>
            <w:r>
              <w:rPr>
                <w:rFonts w:hint="eastAsia" w:ascii="宋体" w:hAnsi="宋体" w:eastAsia="宋体" w:cs="宋体"/>
                <w:bCs/>
                <w:sz w:val="21"/>
                <w:szCs w:val="21"/>
                <w:highlight w:val="none"/>
                <w:lang w:val="en-US" w:eastAsia="zh-CN"/>
              </w:rPr>
              <w:t>广西制造工程职业技术学院农业信息工程学院</w:t>
            </w:r>
            <w:r>
              <w:rPr>
                <w:rFonts w:hint="eastAsia" w:ascii="宋体" w:hAnsi="宋体" w:eastAsia="宋体" w:cs="宋体"/>
                <w:bCs/>
                <w:sz w:val="21"/>
                <w:szCs w:val="21"/>
                <w:highlight w:val="none"/>
              </w:rPr>
              <w:t>；</w:t>
            </w:r>
          </w:p>
          <w:p w14:paraId="7B373E2F">
            <w:pPr>
              <w:spacing w:line="38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联系人：</w:t>
            </w:r>
            <w:r>
              <w:rPr>
                <w:rFonts w:hint="eastAsia" w:ascii="宋体" w:hAnsi="宋体" w:cs="宋体"/>
                <w:bCs/>
                <w:sz w:val="21"/>
                <w:szCs w:val="21"/>
                <w:highlight w:val="none"/>
                <w:lang w:val="en-US" w:eastAsia="zh-CN"/>
              </w:rPr>
              <w:t>李老师</w:t>
            </w:r>
            <w:r>
              <w:rPr>
                <w:rFonts w:hint="eastAsia" w:ascii="宋体" w:hAnsi="宋体" w:eastAsia="宋体" w:cs="宋体"/>
                <w:bCs/>
                <w:sz w:val="21"/>
                <w:szCs w:val="21"/>
                <w:highlight w:val="none"/>
              </w:rPr>
              <w:t>；联系电话：</w:t>
            </w:r>
            <w:r>
              <w:rPr>
                <w:rFonts w:hint="eastAsia" w:ascii="宋体" w:hAnsi="宋体" w:eastAsia="宋体" w:cs="宋体"/>
                <w:bCs/>
                <w:sz w:val="21"/>
                <w:szCs w:val="21"/>
                <w:highlight w:val="none"/>
                <w:lang w:val="en-US" w:eastAsia="zh-CN"/>
              </w:rPr>
              <w:t>17687508651</w:t>
            </w:r>
            <w:r>
              <w:rPr>
                <w:rFonts w:hint="eastAsia" w:ascii="宋体" w:hAnsi="宋体" w:eastAsia="宋体" w:cs="宋体"/>
                <w:bCs/>
                <w:sz w:val="21"/>
                <w:szCs w:val="21"/>
                <w:highlight w:val="none"/>
              </w:rPr>
              <w:t>。</w:t>
            </w:r>
          </w:p>
        </w:tc>
      </w:tr>
    </w:tbl>
    <w:p w14:paraId="577962CD">
      <w:pPr>
        <w:pStyle w:val="59"/>
        <w:rPr>
          <w:color w:val="000000"/>
          <w:highlight w:val="none"/>
        </w:rPr>
      </w:pPr>
    </w:p>
    <w:p w14:paraId="68166CC0">
      <w:pPr>
        <w:pStyle w:val="59"/>
        <w:rPr>
          <w:color w:val="000000"/>
          <w:highlight w:val="none"/>
        </w:rPr>
      </w:pPr>
    </w:p>
    <w:p w14:paraId="53E84B91">
      <w:pPr>
        <w:pStyle w:val="59"/>
        <w:rPr>
          <w:color w:val="000000"/>
          <w:highlight w:val="none"/>
        </w:rPr>
      </w:pPr>
    </w:p>
    <w:p w14:paraId="0131BAE5">
      <w:pPr>
        <w:pStyle w:val="59"/>
        <w:rPr>
          <w:color w:val="000000"/>
          <w:highlight w:val="none"/>
        </w:rPr>
      </w:pPr>
    </w:p>
    <w:p w14:paraId="43DFB878">
      <w:pPr>
        <w:pStyle w:val="59"/>
        <w:rPr>
          <w:color w:val="000000"/>
          <w:highlight w:val="none"/>
        </w:rPr>
      </w:pPr>
    </w:p>
    <w:p w14:paraId="5BACCEF0">
      <w:pPr>
        <w:pStyle w:val="59"/>
        <w:rPr>
          <w:color w:val="000000"/>
          <w:highlight w:val="none"/>
        </w:rPr>
      </w:pPr>
    </w:p>
    <w:p w14:paraId="73BDA0E7">
      <w:pPr>
        <w:pStyle w:val="59"/>
        <w:rPr>
          <w:color w:val="000000"/>
          <w:highlight w:val="none"/>
        </w:rPr>
      </w:pPr>
    </w:p>
    <w:p w14:paraId="55F7C2C6">
      <w:pPr>
        <w:pStyle w:val="59"/>
        <w:rPr>
          <w:color w:val="000000"/>
          <w:highlight w:val="none"/>
        </w:rPr>
      </w:pPr>
    </w:p>
    <w:p w14:paraId="4F49DC27">
      <w:pPr>
        <w:pStyle w:val="59"/>
        <w:rPr>
          <w:color w:val="000000"/>
          <w:highlight w:val="none"/>
        </w:rPr>
      </w:pPr>
    </w:p>
    <w:p w14:paraId="5E431B90">
      <w:pPr>
        <w:pStyle w:val="59"/>
        <w:rPr>
          <w:color w:val="000000"/>
          <w:highlight w:val="none"/>
        </w:rPr>
      </w:pPr>
    </w:p>
    <w:p w14:paraId="2677EB4B">
      <w:pPr>
        <w:pStyle w:val="59"/>
        <w:rPr>
          <w:color w:val="000000"/>
          <w:highlight w:val="none"/>
        </w:rPr>
      </w:pPr>
    </w:p>
    <w:p w14:paraId="3C58A71F">
      <w:pPr>
        <w:pStyle w:val="59"/>
        <w:rPr>
          <w:color w:val="000000"/>
          <w:highlight w:val="none"/>
        </w:rPr>
      </w:pPr>
    </w:p>
    <w:p w14:paraId="600858D9">
      <w:pPr>
        <w:pStyle w:val="59"/>
        <w:rPr>
          <w:color w:val="000000"/>
          <w:highlight w:val="none"/>
        </w:rPr>
      </w:pPr>
    </w:p>
    <w:tbl>
      <w:tblPr>
        <w:tblStyle w:val="4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17"/>
        <w:gridCol w:w="67"/>
        <w:gridCol w:w="566"/>
        <w:gridCol w:w="561"/>
        <w:gridCol w:w="7537"/>
      </w:tblGrid>
      <w:tr w14:paraId="15B5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1" w:type="dxa"/>
            <w:gridSpan w:val="6"/>
            <w:tcBorders>
              <w:bottom w:val="single" w:color="auto" w:sz="4" w:space="0"/>
            </w:tcBorders>
            <w:shd w:val="clear" w:color="auto" w:fill="auto"/>
            <w:vAlign w:val="center"/>
          </w:tcPr>
          <w:p w14:paraId="161A8328">
            <w:pPr>
              <w:keepNext w:val="0"/>
              <w:keepLines w:val="0"/>
              <w:pageBreakBefore w:val="0"/>
              <w:kinsoku/>
              <w:wordWrap/>
              <w:overflowPunct/>
              <w:topLinePunct w:val="0"/>
              <w:bidi w:val="0"/>
              <w:snapToGrid/>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E分标</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数智技术通识实验实训平台建设项目</w:t>
            </w:r>
          </w:p>
        </w:tc>
      </w:tr>
      <w:tr w14:paraId="2D75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bottom w:val="single" w:color="auto" w:sz="4" w:space="0"/>
            </w:tcBorders>
            <w:shd w:val="clear" w:color="auto" w:fill="auto"/>
            <w:vAlign w:val="center"/>
          </w:tcPr>
          <w:p w14:paraId="2B5CAB1B">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17" w:type="dxa"/>
            <w:tcBorders>
              <w:bottom w:val="single" w:color="auto" w:sz="4" w:space="0"/>
            </w:tcBorders>
            <w:shd w:val="clear" w:color="auto" w:fill="auto"/>
            <w:vAlign w:val="center"/>
          </w:tcPr>
          <w:p w14:paraId="033C9FCB">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633" w:type="dxa"/>
            <w:gridSpan w:val="2"/>
            <w:tcBorders>
              <w:bottom w:val="single" w:color="auto" w:sz="4" w:space="0"/>
            </w:tcBorders>
            <w:shd w:val="clear" w:color="auto" w:fill="FFFFFF"/>
            <w:vAlign w:val="center"/>
          </w:tcPr>
          <w:p w14:paraId="449300DD">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561" w:type="dxa"/>
            <w:tcBorders>
              <w:bottom w:val="single" w:color="auto" w:sz="4" w:space="0"/>
            </w:tcBorders>
            <w:shd w:val="clear" w:color="auto" w:fill="auto"/>
            <w:vAlign w:val="center"/>
          </w:tcPr>
          <w:p w14:paraId="6A80E1C3">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7537" w:type="dxa"/>
            <w:tcBorders>
              <w:bottom w:val="single" w:color="auto" w:sz="4" w:space="0"/>
            </w:tcBorders>
            <w:shd w:val="clear" w:color="auto" w:fill="auto"/>
            <w:noWrap/>
            <w:vAlign w:val="center"/>
          </w:tcPr>
          <w:p w14:paraId="3F63562D">
            <w:pPr>
              <w:keepNext w:val="0"/>
              <w:keepLines w:val="0"/>
              <w:pageBreakBefore w:val="0"/>
              <w:kinsoku/>
              <w:wordWrap/>
              <w:overflowPunct/>
              <w:topLinePunct w:val="0"/>
              <w:bidi w:val="0"/>
              <w:snapToGrid/>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具体说明、功能及技术参数要求</w:t>
            </w:r>
          </w:p>
        </w:tc>
      </w:tr>
      <w:tr w14:paraId="3C3C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3" w:type="dxa"/>
            <w:tcBorders>
              <w:top w:val="single" w:color="auto" w:sz="4" w:space="0"/>
            </w:tcBorders>
            <w:shd w:val="clear" w:color="auto" w:fill="auto"/>
            <w:vAlign w:val="center"/>
          </w:tcPr>
          <w:p w14:paraId="187E98BC">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w:t>
            </w:r>
          </w:p>
        </w:tc>
        <w:tc>
          <w:tcPr>
            <w:tcW w:w="1017" w:type="dxa"/>
            <w:tcBorders>
              <w:top w:val="single" w:color="auto" w:sz="4" w:space="0"/>
            </w:tcBorders>
            <w:shd w:val="clear" w:color="auto" w:fill="auto"/>
            <w:vAlign w:val="center"/>
          </w:tcPr>
          <w:p w14:paraId="7DEF195F">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业财融合实践教学平台</w:t>
            </w:r>
          </w:p>
        </w:tc>
        <w:tc>
          <w:tcPr>
            <w:tcW w:w="633" w:type="dxa"/>
            <w:gridSpan w:val="2"/>
            <w:tcBorders>
              <w:top w:val="single" w:color="auto" w:sz="4" w:space="0"/>
            </w:tcBorders>
            <w:shd w:val="clear" w:color="auto" w:fill="FFFFFF"/>
            <w:vAlign w:val="center"/>
          </w:tcPr>
          <w:p w14:paraId="4198F309">
            <w:pPr>
              <w:spacing w:line="440" w:lineRule="exact"/>
              <w:jc w:val="center"/>
              <w:rPr>
                <w:rFonts w:hint="default" w:eastAsia="宋体"/>
                <w:highlight w:val="none"/>
                <w:lang w:val="en-US" w:eastAsia="zh-CN" w:bidi="ar"/>
              </w:rPr>
            </w:pPr>
            <w:r>
              <w:rPr>
                <w:rFonts w:hint="eastAsia" w:eastAsia="宋体"/>
                <w:highlight w:val="none"/>
                <w:lang w:val="en-US" w:eastAsia="zh-CN" w:bidi="ar"/>
              </w:rPr>
              <w:t>1</w:t>
            </w:r>
          </w:p>
        </w:tc>
        <w:tc>
          <w:tcPr>
            <w:tcW w:w="561" w:type="dxa"/>
            <w:tcBorders>
              <w:top w:val="single" w:color="auto" w:sz="4" w:space="0"/>
            </w:tcBorders>
            <w:shd w:val="clear" w:color="auto" w:fill="auto"/>
            <w:vAlign w:val="center"/>
          </w:tcPr>
          <w:p w14:paraId="6EA7D4EA">
            <w:pPr>
              <w:spacing w:line="440" w:lineRule="exact"/>
              <w:jc w:val="center"/>
              <w:rPr>
                <w:rFonts w:hint="default" w:eastAsia="宋体"/>
                <w:highlight w:val="none"/>
                <w:lang w:val="en-US" w:eastAsia="zh-CN" w:bidi="ar"/>
              </w:rPr>
            </w:pPr>
            <w:r>
              <w:rPr>
                <w:rFonts w:hint="eastAsia" w:eastAsia="宋体"/>
                <w:highlight w:val="none"/>
                <w:lang w:val="en-US" w:eastAsia="zh-CN" w:bidi="ar"/>
              </w:rPr>
              <w:t>套</w:t>
            </w:r>
          </w:p>
        </w:tc>
        <w:tc>
          <w:tcPr>
            <w:tcW w:w="7537" w:type="dxa"/>
            <w:tcBorders>
              <w:top w:val="single" w:color="auto" w:sz="4" w:space="0"/>
            </w:tcBorders>
            <w:shd w:val="clear" w:color="auto" w:fill="auto"/>
            <w:vAlign w:val="center"/>
          </w:tcPr>
          <w:p w14:paraId="403E7C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一、业财融合实践教学平台</w:t>
            </w:r>
          </w:p>
          <w:p w14:paraId="6A17F9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1.平台要求是采用分布式架构设计支撑的生态云平台，可以支持公有云/专属云/私有云/混合云模式部署</w:t>
            </w:r>
            <w:r>
              <w:rPr>
                <w:rFonts w:hint="eastAsia" w:ascii="宋体" w:hAnsi="宋体" w:eastAsia="宋体" w:cs="宋体"/>
                <w:sz w:val="21"/>
                <w:szCs w:val="21"/>
                <w:highlight w:val="none"/>
                <w:lang w:eastAsia="zh-CN"/>
              </w:rPr>
              <w:t>。</w:t>
            </w:r>
          </w:p>
          <w:p w14:paraId="52A340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2.平台需兼容主流浏览器（Chrome、360等），不需要安装任何客户端</w:t>
            </w:r>
            <w:r>
              <w:rPr>
                <w:rFonts w:hint="eastAsia" w:ascii="宋体" w:hAnsi="宋体" w:eastAsia="宋体" w:cs="宋体"/>
                <w:sz w:val="21"/>
                <w:szCs w:val="21"/>
                <w:highlight w:val="none"/>
                <w:lang w:eastAsia="zh-CN"/>
              </w:rPr>
              <w:t>。</w:t>
            </w:r>
          </w:p>
          <w:p w14:paraId="2EF6E7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3.平台至少支持60人同时并发在线。</w:t>
            </w:r>
          </w:p>
          <w:p w14:paraId="552553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4.平台包含的教学中心、自由训练中心、模拟考试中心、ERP企业真实应用平台需可以实现无缝衔接，实现单点登录</w:t>
            </w:r>
            <w:r>
              <w:rPr>
                <w:rFonts w:hint="eastAsia" w:ascii="宋体" w:hAnsi="宋体" w:eastAsia="宋体" w:cs="宋体"/>
                <w:sz w:val="21"/>
                <w:szCs w:val="21"/>
                <w:highlight w:val="none"/>
                <w:lang w:eastAsia="zh-CN"/>
              </w:rPr>
              <w:t>。</w:t>
            </w:r>
          </w:p>
          <w:p w14:paraId="182D03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5.平台应提供业财一体化理论教学与1+X证书业财一体信息化应用技能实操教学相结合的综合教学模式，内置丰富的教学场景和案例</w:t>
            </w:r>
            <w:r>
              <w:rPr>
                <w:rFonts w:hint="eastAsia" w:ascii="宋体" w:hAnsi="宋体" w:eastAsia="宋体" w:cs="宋体"/>
                <w:sz w:val="21"/>
                <w:szCs w:val="21"/>
                <w:highlight w:val="none"/>
                <w:lang w:eastAsia="zh-CN"/>
              </w:rPr>
              <w:t>。</w:t>
            </w:r>
          </w:p>
          <w:p w14:paraId="142CE5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平台需支持标准操作流程和自由操作流程两种模式。通过技术手段可以控制学生必须按照标准操作流程进行业财一体化业务处理操作、业财一体化财务处理操作，当操作错误时，系统会给出提示，保证学生能按照标准流程完成系统操作</w:t>
            </w:r>
            <w:r>
              <w:rPr>
                <w:rFonts w:hint="eastAsia" w:ascii="宋体" w:hAnsi="宋体" w:eastAsia="宋体" w:cs="宋体"/>
                <w:sz w:val="21"/>
                <w:szCs w:val="21"/>
                <w:highlight w:val="none"/>
                <w:lang w:eastAsia="zh-CN"/>
              </w:rPr>
              <w:t>。</w:t>
            </w:r>
          </w:p>
          <w:p w14:paraId="1C276B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7.平台支持在标准操作流程基础上进行自由操作，体验ERP企业真实应用平台实现企业实务的多路径多通道</w:t>
            </w:r>
            <w:r>
              <w:rPr>
                <w:rFonts w:hint="eastAsia" w:ascii="宋体" w:hAnsi="宋体" w:eastAsia="宋体" w:cs="宋体"/>
                <w:sz w:val="21"/>
                <w:szCs w:val="21"/>
                <w:highlight w:val="none"/>
                <w:lang w:eastAsia="zh-CN"/>
              </w:rPr>
              <w:t>。</w:t>
            </w:r>
          </w:p>
          <w:p w14:paraId="3DC10A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平台需能满足高等职业院校中财务管理、会计、会计信息管理、审计、税务、财政、统计与会计核算、工商企业管理、市场营销、电子商务、建筑经济管理、金融管理、投资与理财、中小企业创业与经营、农村金融、经济信息管理、资产评估与管理等专业学生对“1+X业财一体信息化应用”证书所要求达到的应用技能的学习、训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09A8E7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strike w:val="0"/>
                <w:dstrike w:val="0"/>
                <w:sz w:val="21"/>
                <w:szCs w:val="21"/>
                <w:highlight w:val="none"/>
              </w:rPr>
              <w:t>9</w:t>
            </w:r>
            <w:r>
              <w:rPr>
                <w:rFonts w:hint="eastAsia" w:ascii="宋体" w:hAnsi="宋体" w:eastAsia="宋体" w:cs="宋体"/>
                <w:sz w:val="21"/>
                <w:szCs w:val="21"/>
                <w:highlight w:val="none"/>
              </w:rPr>
              <w:t>.平台应至少设置中级教学训练内容，匹配1+X证书业财一体信息化应用中级所列示的工作领域、工作任务、职业技能要求，且需提供1+X证书业财一体信息化应用中级标准与学校会计相关专业教学标准衔接融通的方案，方案需体现平台训练的工作领域、工</w:t>
            </w:r>
            <w:r>
              <w:rPr>
                <w:rFonts w:hint="eastAsia" w:ascii="宋体" w:hAnsi="宋体" w:eastAsia="宋体" w:cs="宋体"/>
                <w:sz w:val="21"/>
                <w:szCs w:val="21"/>
                <w:highlight w:val="none"/>
              </w:rPr>
              <w:t>作任务、可达到的职业技能要求，及相应训练的建议学时、学分，与学校会计专业课程的对应关系方案（包括对应的专业课程名称、衔接融通关系等）</w:t>
            </w:r>
            <w:r>
              <w:rPr>
                <w:rFonts w:hint="eastAsia" w:ascii="宋体" w:hAnsi="宋体" w:eastAsia="宋体" w:cs="宋体"/>
                <w:sz w:val="21"/>
                <w:szCs w:val="21"/>
                <w:highlight w:val="none"/>
                <w:lang w:eastAsia="zh-CN"/>
              </w:rPr>
              <w:t>。</w:t>
            </w:r>
          </w:p>
          <w:p w14:paraId="25E653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10.平台需具有教学、训练、模拟考试的功能，其中教学与自由训练中心需包含业财一体化中级课程学习模块、业财一体化中级自训练模块；模拟考试中心需包</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rPr>
              <w:t>业财一体化中级模拟考试试题</w:t>
            </w:r>
            <w:r>
              <w:rPr>
                <w:rFonts w:hint="eastAsia" w:ascii="宋体" w:hAnsi="宋体" w:eastAsia="宋体" w:cs="宋体"/>
                <w:sz w:val="21"/>
                <w:szCs w:val="21"/>
                <w:highlight w:val="none"/>
                <w:lang w:eastAsia="zh-CN"/>
              </w:rPr>
              <w:t>。</w:t>
            </w:r>
          </w:p>
          <w:p w14:paraId="51B864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平台课程学习模块中设置的课程内容要求以真实企业案例、工作任务、业务数据为主体，与“业财一体信息化应用”证书中的岗位技能要求相衔接对应，可根据业财一体信息化应用证书中对技能的要求及考试配套教材大纲，演示在ERP企业真实应用平台中各岗位技能点的标准操作流程；根据配套教材任务内容，讲解该任务涉及到的业务知识点及对应系统操作标准流程，包括ERP企业真实应用平台操作讲解，税务及开票等仿真系统操作讲解；能引用“scorm演示课件”还原真实ERP企业真实应用平台的操作，跟踪式引导学生操作并判断操作正确性，带着学生演示系统标准操作流程；在演示过程中，带着学生一步一步操作，如果操作错误，会给出提示，保证学生能按照标准流程完成系统操作</w:t>
            </w:r>
            <w:r>
              <w:rPr>
                <w:rFonts w:hint="eastAsia" w:ascii="宋体" w:hAnsi="宋体" w:eastAsia="宋体" w:cs="宋体"/>
                <w:sz w:val="21"/>
                <w:szCs w:val="21"/>
                <w:highlight w:val="none"/>
                <w:lang w:eastAsia="zh-CN"/>
              </w:rPr>
              <w:t>。</w:t>
            </w:r>
          </w:p>
          <w:p w14:paraId="5C0ABC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12.平台自由训练模块需包含业财一体化应用题面、ERP企业真实应用平台标准操作训练题、ERP企业真实应用平台初始账套、ERP企业真实应用平台自由训练评分点；平台中级自由训练模块以完整的一套训练题库包含的企业经营业务为主体，可实现依托训练平台无缝衔接ERP企业真实应用平台、税务云仿真系统、电子档案仿真系统等真实企业应用软件，让学生在真实系统中按照业务顺序和要求，工作标准流程进行操作，并根据学生操作记录进行甄别，时时给出教学评价与</w:t>
            </w:r>
            <w:r>
              <w:rPr>
                <w:rFonts w:hint="eastAsia" w:ascii="宋体" w:hAnsi="宋体" w:eastAsia="宋体" w:cs="宋体"/>
                <w:sz w:val="21"/>
                <w:szCs w:val="21"/>
                <w:highlight w:val="none"/>
              </w:rPr>
              <w:t>成绩，达到自评自考的进阶训练目的</w:t>
            </w:r>
            <w:r>
              <w:rPr>
                <w:rFonts w:hint="eastAsia" w:ascii="宋体" w:hAnsi="宋体" w:eastAsia="宋体" w:cs="宋体"/>
                <w:sz w:val="21"/>
                <w:szCs w:val="21"/>
                <w:highlight w:val="none"/>
                <w:lang w:eastAsia="zh-CN"/>
              </w:rPr>
              <w:t>。</w:t>
            </w:r>
          </w:p>
          <w:p w14:paraId="3DA671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13.平台中的</w:t>
            </w:r>
            <w:r>
              <w:rPr>
                <w:rFonts w:hint="eastAsia" w:ascii="宋体" w:hAnsi="宋体" w:eastAsia="宋体" w:cs="宋体"/>
                <w:sz w:val="21"/>
                <w:szCs w:val="21"/>
                <w:highlight w:val="none"/>
              </w:rPr>
              <w:t>模拟考试中心需包含业财一体化模拟考试考务管理及模拟考试题库；与1+X业财一体信息化应用证书所要求达到的技能对应，1：1模拟考试环境，样题训练。主要功能为模拟考试训练；按照考试模式，进行模拟考试训练；以便让学生在真实的考试环境下，进行模拟训练，以提高考试成绩</w:t>
            </w:r>
            <w:r>
              <w:rPr>
                <w:rFonts w:hint="eastAsia" w:ascii="宋体" w:hAnsi="宋体" w:eastAsia="宋体" w:cs="宋体"/>
                <w:sz w:val="21"/>
                <w:szCs w:val="21"/>
                <w:highlight w:val="none"/>
                <w:lang w:eastAsia="zh-CN"/>
              </w:rPr>
              <w:t>。</w:t>
            </w:r>
          </w:p>
          <w:p w14:paraId="44301F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14.平台需满足从任务整体学习进度和单个学生学习进度两个维度提供数据化分析，为教师授课提供数据依据，以便控制进度</w:t>
            </w:r>
            <w:r>
              <w:rPr>
                <w:rFonts w:hint="eastAsia" w:ascii="宋体" w:hAnsi="宋体" w:eastAsia="宋体" w:cs="宋体"/>
                <w:sz w:val="21"/>
                <w:szCs w:val="21"/>
                <w:highlight w:val="none"/>
                <w:lang w:eastAsia="zh-CN"/>
              </w:rPr>
              <w:t>。</w:t>
            </w:r>
          </w:p>
          <w:p w14:paraId="608F33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15.平台需支持学生质量分析，支持对学生的考勤、作业、日志、学习时间、学习教学资源的次数等进行统计、分析、排名，评价学生学习态度与努力情况，需支持查看学生平时成绩、主观评分、最终成绩；可批量导出，用于教学存档</w:t>
            </w:r>
            <w:r>
              <w:rPr>
                <w:rFonts w:hint="eastAsia" w:ascii="宋体" w:hAnsi="宋体" w:eastAsia="宋体" w:cs="宋体"/>
                <w:sz w:val="21"/>
                <w:szCs w:val="21"/>
                <w:highlight w:val="none"/>
                <w:lang w:eastAsia="zh-CN"/>
              </w:rPr>
              <w:t>。</w:t>
            </w:r>
          </w:p>
          <w:p w14:paraId="144D5D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16.平台中级训练内容需匹配1+X证书业财一体信息化应用中级能力认定要求，即可以面向企业业财协同核算岗位群及信息系统管理岗位群，从事基于业财一体信息化平台业务流程实施、业财协同综合业务处理、税务业务处理、合同业务处理、售后服务处理等协同应用类工作。具有业财一体信息化平台综合应用及系统管理能力、对外协调沟通能力、内部风险应变能力和业财协同复杂业务处理能力</w:t>
            </w:r>
            <w:r>
              <w:rPr>
                <w:rFonts w:hint="eastAsia" w:ascii="宋体" w:hAnsi="宋体" w:eastAsia="宋体" w:cs="宋体"/>
                <w:sz w:val="21"/>
                <w:szCs w:val="21"/>
                <w:highlight w:val="none"/>
                <w:lang w:eastAsia="zh-CN"/>
              </w:rPr>
              <w:t>。</w:t>
            </w:r>
          </w:p>
          <w:p w14:paraId="352FAA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17.平台设计的中级训练内容包括业财一体信息化平台业务流程实施、业财一体信息化平台期初数据维护、业财一体信息化平台财务处理、业财一体信息化平台业务处理、业财一体信息化平台税务业务管理、业财一体信息化平台期末业财账务处理</w:t>
            </w:r>
            <w:r>
              <w:rPr>
                <w:rFonts w:hint="eastAsia" w:ascii="宋体" w:hAnsi="宋体" w:eastAsia="宋体" w:cs="宋体"/>
                <w:sz w:val="21"/>
                <w:szCs w:val="21"/>
                <w:highlight w:val="none"/>
                <w:lang w:eastAsia="zh-CN"/>
              </w:rPr>
              <w:t>。</w:t>
            </w:r>
          </w:p>
          <w:p w14:paraId="7B9A3C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18.平台可以实现出纳业务处理的训练内容，包括在信息化平台上查询待签字的现金、银行类凭证并进行签字处理；查询现金日记账、银行存款日记账、资金日报表的现金、银行存款科目的发生额及余额情况并保存到本地；在平台支票登记簿中增加支票、签发支票；查询银行对账单，编制银行存款余额调节表；进行现金日记账的账实核对</w:t>
            </w:r>
            <w:r>
              <w:rPr>
                <w:rFonts w:hint="eastAsia" w:ascii="宋体" w:hAnsi="宋体" w:eastAsia="宋体" w:cs="宋体"/>
                <w:sz w:val="21"/>
                <w:szCs w:val="21"/>
                <w:highlight w:val="none"/>
                <w:lang w:eastAsia="zh-CN"/>
              </w:rPr>
              <w:t>。</w:t>
            </w:r>
          </w:p>
          <w:p w14:paraId="195E7E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19.该平台需能进行增值税发票管理的训练，包括在信息化平台中录入增值税进项发票</w:t>
            </w:r>
            <w:r>
              <w:rPr>
                <w:rFonts w:hint="eastAsia" w:ascii="宋体" w:hAnsi="宋体" w:eastAsia="宋体" w:cs="宋体"/>
                <w:sz w:val="21"/>
                <w:szCs w:val="21"/>
                <w:highlight w:val="none"/>
                <w:lang w:eastAsia="zh-CN"/>
              </w:rPr>
              <w:t>。</w:t>
            </w:r>
          </w:p>
          <w:p w14:paraId="67C326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20.平台需能进行增值税发票开具的学习、训练，包括在信息化平台上进行开具增值税专用发票、增值税普通发票、电子发票</w:t>
            </w:r>
            <w:r>
              <w:rPr>
                <w:rFonts w:hint="eastAsia" w:ascii="宋体" w:hAnsi="宋体" w:eastAsia="宋体" w:cs="宋体"/>
                <w:sz w:val="21"/>
                <w:szCs w:val="21"/>
                <w:highlight w:val="none"/>
                <w:lang w:eastAsia="zh-CN"/>
              </w:rPr>
              <w:t>。</w:t>
            </w:r>
          </w:p>
          <w:p w14:paraId="351720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21.平台需能进行增值税发票验证，包括在信息化平台上进行增值税发票（教学中心给出的发票）的真伪验证</w:t>
            </w:r>
            <w:r>
              <w:rPr>
                <w:rFonts w:hint="eastAsia" w:ascii="宋体" w:hAnsi="宋体" w:eastAsia="宋体" w:cs="宋体"/>
                <w:sz w:val="21"/>
                <w:szCs w:val="21"/>
                <w:highlight w:val="none"/>
                <w:lang w:eastAsia="zh-CN"/>
              </w:rPr>
              <w:t>。</w:t>
            </w:r>
          </w:p>
          <w:p w14:paraId="19C0D1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22.平台需能进行增值税纳税申报学习训练，包括在信息化平台上计算进项税额、销项税额及应交增值税数据；填制增值税纳税申报表附表；正确填制增值税纳税申报表；并依据缴款回执生成凭证</w:t>
            </w:r>
            <w:r>
              <w:rPr>
                <w:rFonts w:hint="eastAsia" w:ascii="宋体" w:hAnsi="宋体" w:eastAsia="宋体" w:cs="宋体"/>
                <w:sz w:val="21"/>
                <w:szCs w:val="21"/>
                <w:highlight w:val="none"/>
                <w:lang w:eastAsia="zh-CN"/>
              </w:rPr>
              <w:t>。</w:t>
            </w:r>
          </w:p>
          <w:p w14:paraId="0FB250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23.会计档案电子化管理训练内容包括：在信息化平台上对电子会计档案进行归档处理，包括凭证归档、账表归档、报表归档、业务单据归档等；对电子档案进行整理、装册、归档等基本档案管理</w:t>
            </w:r>
            <w:r>
              <w:rPr>
                <w:rFonts w:hint="eastAsia" w:ascii="宋体" w:hAnsi="宋体" w:eastAsia="宋体" w:cs="宋体"/>
                <w:sz w:val="21"/>
                <w:szCs w:val="21"/>
                <w:highlight w:val="none"/>
                <w:lang w:eastAsia="zh-CN"/>
              </w:rPr>
              <w:t>。</w:t>
            </w:r>
          </w:p>
          <w:p w14:paraId="6C4642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平台中级能力训练模块中，业财期初数据稽核训练内容包括：进行固定资产期初数据账面检查，进行固定资产期初稽核；进行期初库存数据账面检查、实际盘点，进行库存期初稽核；对应收应付业务期初数据进行稽核；对合同业务、采购业务期初数据进行稽核；依据库存期初稽核结果、固定资产期初稽核结果、应收应付期初稽核结果、合同业务期初稽核结果、采购业务期初稽核结果，进行期初稽核</w:t>
            </w:r>
            <w:r>
              <w:rPr>
                <w:rFonts w:hint="eastAsia" w:ascii="宋体" w:hAnsi="宋体" w:eastAsia="宋体" w:cs="宋体"/>
                <w:sz w:val="21"/>
                <w:szCs w:val="21"/>
                <w:highlight w:val="none"/>
                <w:lang w:eastAsia="zh-CN"/>
              </w:rPr>
              <w:t>。</w:t>
            </w:r>
          </w:p>
          <w:p w14:paraId="1C25A7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25.应收应付业务处理训练内容包括：在信息化平台上对采购发票、销售发票、付款单、收款单进行录入及审核处理、核销处理，并生成记账凭证。进行收付款业务处理，并生成收付款类业务记账凭证。进行应收冲预收、应收冲应收、应收冲应付、应付冲应付、应付冲预付、应付冲应收、红票对冲等业务处理及客户供应商业务的合并或调整。进行应收应付票据业务处理，包括票据贴现、背书、转出、换票、计息、结算等业务。进行坏账业务处理，包括计提坏账准备、坏账发生、坏账收回等业务。进行取消操作、反结账操作</w:t>
            </w:r>
            <w:r>
              <w:rPr>
                <w:rFonts w:hint="eastAsia" w:ascii="宋体" w:hAnsi="宋体" w:eastAsia="宋体" w:cs="宋体"/>
                <w:sz w:val="21"/>
                <w:szCs w:val="21"/>
                <w:highlight w:val="none"/>
                <w:lang w:eastAsia="zh-CN"/>
              </w:rPr>
              <w:t>。</w:t>
            </w:r>
          </w:p>
          <w:p w14:paraId="7A3CCB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26.固定资产业务处理训练内容包括：在信息化平台进行固定资产增加业务处理，并生成记账凭证；对固定资产进行原值增减、使用部门调整、使用年限调整、累计折旧调整等变更业务处理，并按需生成凭证；进行计提固定资产折旧，并单张或批量生成记账凭证；进行资产处置、资产变卖等资产减少处理，及取消资产减少处理，并生成记账凭证；进行资产盘点业务，并进行资产盘盈盘亏处理</w:t>
            </w:r>
            <w:r>
              <w:rPr>
                <w:rFonts w:hint="eastAsia" w:ascii="宋体" w:hAnsi="宋体" w:eastAsia="宋体" w:cs="宋体"/>
                <w:sz w:val="21"/>
                <w:szCs w:val="21"/>
                <w:highlight w:val="none"/>
                <w:lang w:eastAsia="zh-CN"/>
              </w:rPr>
              <w:t>。</w:t>
            </w:r>
          </w:p>
          <w:p w14:paraId="686662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27.网</w:t>
            </w:r>
            <w:r>
              <w:rPr>
                <w:rFonts w:hint="eastAsia" w:ascii="宋体" w:hAnsi="宋体" w:eastAsia="宋体" w:cs="宋体"/>
                <w:sz w:val="21"/>
                <w:szCs w:val="21"/>
                <w:highlight w:val="none"/>
              </w:rPr>
              <w:t>上银行业务处理训练内容包括：在信息化平台进行支付的录入、复核、审批、支付及变更业务，并生成记账凭证；进行账户余额、交易明细、银行扣款明细等信息查询；进行付款单据对账</w:t>
            </w:r>
            <w:r>
              <w:rPr>
                <w:rFonts w:hint="eastAsia" w:ascii="宋体" w:hAnsi="宋体" w:eastAsia="宋体" w:cs="宋体"/>
                <w:sz w:val="21"/>
                <w:szCs w:val="21"/>
                <w:highlight w:val="none"/>
                <w:lang w:eastAsia="zh-CN"/>
              </w:rPr>
              <w:t>。</w:t>
            </w:r>
          </w:p>
          <w:p w14:paraId="6549E4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28.网上报销业务处理训练内容包括：在信息化平台进行费用申请及借款业务；进行日常报销业务；对费用申请、日常报销等进行财务审核及业务处理，并正确生成凭证；进行借款到期报警、借款账龄分析、借款统计及明细表、收支明细表等支撑操作</w:t>
            </w:r>
            <w:r>
              <w:rPr>
                <w:rFonts w:hint="eastAsia" w:ascii="宋体" w:hAnsi="宋体" w:eastAsia="宋体" w:cs="宋体"/>
                <w:sz w:val="21"/>
                <w:szCs w:val="21"/>
                <w:highlight w:val="none"/>
                <w:lang w:eastAsia="zh-CN"/>
              </w:rPr>
              <w:t>。</w:t>
            </w:r>
          </w:p>
          <w:p w14:paraId="7E9E23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29.合同业务处理训练内容包括：在信息化平台录入合同信息；录入合同执行单；进行合同结算业务，录入合同结算单；进行付款申请处理；为业务部门提供合同执行情况表、合同收付款执行情况表等合同分析报表</w:t>
            </w:r>
            <w:r>
              <w:rPr>
                <w:rFonts w:hint="eastAsia" w:ascii="宋体" w:hAnsi="宋体" w:eastAsia="宋体" w:cs="宋体"/>
                <w:sz w:val="21"/>
                <w:szCs w:val="21"/>
                <w:highlight w:val="none"/>
                <w:lang w:eastAsia="zh-CN"/>
              </w:rPr>
              <w:t>。</w:t>
            </w:r>
          </w:p>
          <w:p w14:paraId="36536E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30.采购业务处理训练内容包括：在信息化平台进行采购询比价业务处理；进行受托代销业务处理，并生成凭证；进行代管业务处理，并生成凭证；进行采购折扣业务处理，并生成凭证；进行采购付款申请业务处理，并生成凭证；进行退货退票业务处理，并生成凭证</w:t>
            </w:r>
            <w:r>
              <w:rPr>
                <w:rFonts w:hint="eastAsia" w:ascii="宋体" w:hAnsi="宋体" w:eastAsia="宋体" w:cs="宋体"/>
                <w:sz w:val="21"/>
                <w:szCs w:val="21"/>
                <w:highlight w:val="none"/>
                <w:lang w:eastAsia="zh-CN"/>
              </w:rPr>
              <w:t>。</w:t>
            </w:r>
          </w:p>
          <w:p w14:paraId="588AF8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销售业务处理训练内容包括：在信息化平台中对不同客户设置不同的价格策略；进行收取定金的销售业务，并生成凭证；进行委托代销业务处理，并生成凭证；进行零售日报业务处理，并生成凭证；进行分期收款业务处理，并生成凭证；进行直运销售业务处理，并生成凭证；进行代垫运费业务处理并生成凭证</w:t>
            </w:r>
            <w:r>
              <w:rPr>
                <w:rFonts w:hint="eastAsia" w:ascii="宋体" w:hAnsi="宋体" w:eastAsia="宋体" w:cs="宋体"/>
                <w:sz w:val="21"/>
                <w:szCs w:val="21"/>
                <w:highlight w:val="none"/>
                <w:lang w:eastAsia="zh-CN"/>
              </w:rPr>
              <w:t>。</w:t>
            </w:r>
          </w:p>
          <w:p w14:paraId="0D74DD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32.库存及存货业务处理训练内容包括：在信息化平台上录入生产领料单、材料出库单、产品入库单、产品出库单等，为产品成本计算提供数据来源。进行产品出入库业务，并按照实际选择的计价方式进行财务处理，生成凭证。进行产品调拨业务，并按照实际选择的计价方式进行财务处理，并生成凭证。进行产品借入借出业务，并按照实际选择的计价方式进行财务处理，并生成凭证。进行产品组装拆卸业务，并按照实际选择的计价方式进行财务处理，并生成凭证。进行产品形态转换业务，并按照实际选择的计价方式进行财务处理，并生成凭证。进行按仓库或按产品计提跌价准备业务进行财务处理，并生成凭证</w:t>
            </w:r>
            <w:r>
              <w:rPr>
                <w:rFonts w:hint="eastAsia" w:ascii="宋体" w:hAnsi="宋体" w:eastAsia="宋体" w:cs="宋体"/>
                <w:sz w:val="21"/>
                <w:szCs w:val="21"/>
                <w:highlight w:val="none"/>
                <w:lang w:eastAsia="zh-CN"/>
              </w:rPr>
              <w:t>。</w:t>
            </w:r>
          </w:p>
          <w:p w14:paraId="698CC1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33.售后</w:t>
            </w:r>
            <w:r>
              <w:rPr>
                <w:rFonts w:hint="eastAsia" w:ascii="宋体" w:hAnsi="宋体" w:eastAsia="宋体" w:cs="宋体"/>
                <w:sz w:val="21"/>
                <w:szCs w:val="21"/>
                <w:highlight w:val="none"/>
              </w:rPr>
              <w:t>服务业务处理训练内容包括：在信息化平台售后进行服务协议编制及修改业务。进行服务请求的录入及转服务单的业务处理。进行服务单执行录入及服务单费用的录入，以便及时进行服务结算确认收入。进行客户服务回访及客户投诉业务处理，以便正确反映服务情况进行业务提升。进行服务业务执行结算，并进行应收业务处理。为业务部门提供服务协议执行明细表及服务产品追溯表等服务业务报表</w:t>
            </w:r>
            <w:r>
              <w:rPr>
                <w:rFonts w:hint="eastAsia" w:ascii="宋体" w:hAnsi="宋体" w:eastAsia="宋体" w:cs="宋体"/>
                <w:sz w:val="21"/>
                <w:szCs w:val="21"/>
                <w:highlight w:val="none"/>
                <w:lang w:eastAsia="zh-CN"/>
              </w:rPr>
              <w:t>。</w:t>
            </w:r>
          </w:p>
          <w:p w14:paraId="2247A9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34.薪资福利业务处理训练内容包括：在信息化平台中进行工资项目调整，工资分摊公式设置；进行分类薪资计算及发放工作；进行工资分摊处理，将薪资费用计入到成本费用科目；计算员工的社会福利金额，并生成社保公积金的申报明细表</w:t>
            </w:r>
            <w:r>
              <w:rPr>
                <w:rFonts w:hint="eastAsia" w:ascii="宋体" w:hAnsi="宋体" w:eastAsia="宋体" w:cs="宋体"/>
                <w:sz w:val="21"/>
                <w:szCs w:val="21"/>
                <w:highlight w:val="none"/>
                <w:lang w:eastAsia="zh-CN"/>
              </w:rPr>
              <w:t>。</w:t>
            </w:r>
          </w:p>
          <w:p w14:paraId="616734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35.增值税业务管理训练内容包括：在信息化平台上正确开具增值税专用发票，增值税普通发票，电子发票，及发票作废工作。在信息化平台上填写增值税纳税申报表及附列资料</w:t>
            </w:r>
            <w:r>
              <w:rPr>
                <w:rFonts w:hint="eastAsia" w:ascii="宋体" w:hAnsi="宋体" w:eastAsia="宋体" w:cs="宋体"/>
                <w:sz w:val="21"/>
                <w:szCs w:val="21"/>
                <w:highlight w:val="none"/>
                <w:lang w:eastAsia="zh-CN"/>
              </w:rPr>
              <w:t>。</w:t>
            </w:r>
          </w:p>
          <w:p w14:paraId="4E266A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36.平台训练内容还需满足对其他税务处理的训练要求，进行教育费附加、地方教育费附加、城市维护建设税等税费的统计与核算。进行教育费附加、地方教育费附加、城市维护建设税等税费的申报及缴纳</w:t>
            </w:r>
            <w:r>
              <w:rPr>
                <w:rFonts w:hint="eastAsia" w:ascii="宋体" w:hAnsi="宋体" w:eastAsia="宋体" w:cs="宋体"/>
                <w:sz w:val="21"/>
                <w:szCs w:val="21"/>
                <w:highlight w:val="none"/>
                <w:lang w:eastAsia="zh-CN"/>
              </w:rPr>
              <w:t>。</w:t>
            </w:r>
          </w:p>
          <w:p w14:paraId="4382EF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37.平台可实现对期末业务处理的训练，包括在信息化平台上依据存货实际计价方式，对期末库存商品进行期末处理，为期末成本核算提供数据来源。对供应链模块进行期末结账处理。对固定资产、应收应付、发票、网上银行、网上报销模块进行期末结账处理。对业务系统进行反结账处理。进行薪资福利模块期末结账及年结</w:t>
            </w:r>
            <w:r>
              <w:rPr>
                <w:rFonts w:hint="eastAsia" w:ascii="宋体" w:hAnsi="宋体" w:eastAsia="宋体" w:cs="宋体"/>
                <w:sz w:val="21"/>
                <w:szCs w:val="21"/>
                <w:highlight w:val="none"/>
                <w:lang w:eastAsia="zh-CN"/>
              </w:rPr>
              <w:t>。</w:t>
            </w:r>
          </w:p>
          <w:p w14:paraId="0CB07A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38.平台可实现对期末账务处理的训练，包括在信息化平台进行所得税结转。进行期末损益结转。进行计提法定盈余公积业务。进行期末对账、期末结账、反结账、年结、反年结业务处理</w:t>
            </w:r>
            <w:r>
              <w:rPr>
                <w:rFonts w:hint="eastAsia" w:ascii="宋体" w:hAnsi="宋体" w:eastAsia="宋体" w:cs="宋体"/>
                <w:sz w:val="21"/>
                <w:szCs w:val="21"/>
                <w:highlight w:val="none"/>
                <w:lang w:eastAsia="zh-CN"/>
              </w:rPr>
              <w:t>。</w:t>
            </w:r>
          </w:p>
          <w:p w14:paraId="1EE93D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39.平台可实现对财务报表编制与分析的训练，包括在信息化平台上设计财务分析表的表样格式；自定义表内、表间、多表取数公式，生成财务分析报表，依据财务分析报表进行财务分析，为企业经营决策提供依据</w:t>
            </w:r>
            <w:r>
              <w:rPr>
                <w:rFonts w:hint="eastAsia" w:ascii="宋体" w:hAnsi="宋体" w:eastAsia="宋体" w:cs="宋体"/>
                <w:sz w:val="21"/>
                <w:szCs w:val="21"/>
                <w:highlight w:val="none"/>
                <w:lang w:eastAsia="zh-CN"/>
              </w:rPr>
              <w:t>。</w:t>
            </w:r>
          </w:p>
          <w:p w14:paraId="06FEBE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40.可提供良好的服务，提供线上、线下、线上线下混合式1+X业财一体信息化应用师资培训、师资认证、教学支持等；服务厂商需提供标准化全国热线服务、微信服务号线上服务等服务提交、解决、反馈机制</w:t>
            </w:r>
            <w:r>
              <w:rPr>
                <w:rFonts w:hint="eastAsia" w:ascii="宋体" w:hAnsi="宋体" w:eastAsia="宋体" w:cs="宋体"/>
                <w:sz w:val="21"/>
                <w:szCs w:val="21"/>
                <w:highlight w:val="none"/>
                <w:lang w:eastAsia="zh-CN"/>
              </w:rPr>
              <w:t>。</w:t>
            </w:r>
          </w:p>
          <w:p w14:paraId="141E90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二、ERP企业真实应用平台模块功能</w:t>
            </w:r>
          </w:p>
          <w:p w14:paraId="721253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1.总账</w:t>
            </w:r>
          </w:p>
          <w:p w14:paraId="217EE5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总账产品适用于各类企事业单位进行凭证管理、账簿处理、个人往来款管理、部门管理、项目核算和出纳管理等。</w:t>
            </w:r>
          </w:p>
          <w:p w14:paraId="11F56A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可根据需要增加、删除或修改会计科目或选用行业标准科目。</w:t>
            </w:r>
          </w:p>
          <w:p w14:paraId="16189A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严密的制单控制保证填制凭证的正确性。提供资金赤字控制、支票控制、预算控制、外币折算误差控制以及查看科目最新余额等功能，加强对发生业务的及时管理和控制。制单赤字控制可控制出纳科目、个人往来科目、客户往来科目、供应商往来科目。</w:t>
            </w:r>
          </w:p>
          <w:p w14:paraId="48E40A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凭证填制权限可控制到科目,凭证审核权限可控制到操作员。</w:t>
            </w:r>
          </w:p>
          <w:p w14:paraId="55D8F0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为出纳人员提供一个集成办公环境，加强对现金及银行存款的管理。提供支票登记簿功能，用来登记支票的领用情况；并可完成银行日记账、现金日记账，随时出最新资金日报表，余额调节表以及进行银行对账。</w:t>
            </w:r>
          </w:p>
          <w:p w14:paraId="778862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自动完成月末分摊、计提、对应转账、销售成本、汇兑损益、期间损益结转等业务。进行试算平衡、对账、结账、生成月末工作报告</w:t>
            </w:r>
            <w:r>
              <w:rPr>
                <w:rFonts w:hint="eastAsia" w:ascii="宋体" w:hAnsi="宋体" w:eastAsia="宋体" w:cs="宋体"/>
                <w:sz w:val="21"/>
                <w:szCs w:val="21"/>
                <w:highlight w:val="none"/>
                <w:lang w:val="en-US" w:eastAsia="zh-CN"/>
              </w:rPr>
              <w:t>。</w:t>
            </w:r>
          </w:p>
          <w:p w14:paraId="431353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2.固定资产</w:t>
            </w:r>
          </w:p>
          <w:p w14:paraId="607E3A57">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固定资产管理适用于各类企业和行政事业单位进行固定资产管理、折旧计提等。可同时为总账系统提供折旧凭证，为成本管理系统提供固定资产的折旧费用依据。</w:t>
            </w:r>
          </w:p>
          <w:p w14:paraId="575349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3.应收款管理</w:t>
            </w:r>
          </w:p>
          <w:p w14:paraId="0FF3BE28">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收款管理系统，通过发票、其它应收单、收款单等单据的录入，对企业的往来账款进行综合管理，及时、准确地提供客户的往来账款余额资料，提供各种分析报表，如账龄分析表，周转分析、欠款分析、坏账分析、回款情况分析等，通过各种分析报表，帮助合理地进行资金的调配，提高资金的利用效率；</w:t>
            </w:r>
          </w:p>
          <w:p w14:paraId="250F42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4.应付款管理</w:t>
            </w:r>
          </w:p>
          <w:p w14:paraId="291DB1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付款管理系统，通过发票、其它应付单、付款单等单据的录入，对企业的往来账款进行综合管理，及时、准确地提供供应商的往来账款余额资料，提供各种分析报表，帮助合理地进行资金的调配，提高资金的利用效率。</w:t>
            </w:r>
          </w:p>
          <w:p w14:paraId="091816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根据对供应商往来款项核算和管理的程度不同，系统提供了在应付款“详细核算”和“简单模型”</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两种应用方案</w:t>
            </w:r>
            <w:r>
              <w:rPr>
                <w:rFonts w:hint="eastAsia" w:ascii="宋体" w:hAnsi="宋体" w:eastAsia="宋体" w:cs="宋体"/>
                <w:sz w:val="21"/>
                <w:szCs w:val="21"/>
                <w:highlight w:val="none"/>
                <w:lang w:val="en-US" w:eastAsia="zh-CN"/>
              </w:rPr>
              <w:t>。</w:t>
            </w:r>
          </w:p>
          <w:p w14:paraId="7E661B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5.财务报表</w:t>
            </w:r>
          </w:p>
          <w:p w14:paraId="6BC86B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财务报表可以完成制作表格、数据运算、图形制作、打印等电子表</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所有功能。</w:t>
            </w:r>
          </w:p>
          <w:p w14:paraId="118170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该系统是在计算机操作平台---Windows下运行的管理型软件，继承了Windows的多任务、多媒体、电子邮件、网络通讯等特性。</w:t>
            </w:r>
          </w:p>
          <w:p w14:paraId="7BE77F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财务报表采用面向对象的开发思想。严格地以客观对象为处理目标，摆脱结构划分的弊端，使财务人员操作起来自然方便。只要掌握Windows的基本操作，就可以操作报表管理软件。</w:t>
            </w:r>
          </w:p>
          <w:p w14:paraId="25F591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财务报表与账务系统同时运行时，作为通用财经报表系统使用，适用于各行业的财务、会计、人事、计划、统计、税务、物资等部门</w:t>
            </w:r>
            <w:r>
              <w:rPr>
                <w:rFonts w:hint="eastAsia" w:ascii="宋体" w:hAnsi="宋体" w:eastAsia="宋体" w:cs="宋体"/>
                <w:sz w:val="21"/>
                <w:szCs w:val="21"/>
                <w:highlight w:val="none"/>
                <w:lang w:eastAsia="zh-CN"/>
              </w:rPr>
              <w:t>。</w:t>
            </w:r>
          </w:p>
          <w:p w14:paraId="41E249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6.销售管理</w:t>
            </w:r>
          </w:p>
          <w:p w14:paraId="73F23C12">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销售是企业生产经营成果的实现过程，是企业经营活动的中心。《销售管理》是ERP企业真实应用平台供应链的重要组成部分，提供了报价、订货、发货、开票的完整销售流程，支持普通销售、委托代销、分期收款、直运、零售、销售调拨等多种类型的销售业务，并可对销售价格和信用进行实时监控。用户可根据实际情况对系统进行定制，构建自己的销售业务管理平台</w:t>
            </w:r>
            <w:r>
              <w:rPr>
                <w:rFonts w:hint="eastAsia" w:ascii="宋体" w:hAnsi="宋体" w:eastAsia="宋体" w:cs="宋体"/>
                <w:sz w:val="21"/>
                <w:szCs w:val="21"/>
                <w:highlight w:val="none"/>
                <w:lang w:eastAsia="zh-CN"/>
              </w:rPr>
              <w:t>。</w:t>
            </w:r>
          </w:p>
          <w:p w14:paraId="447E5A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7.采购管理</w:t>
            </w:r>
          </w:p>
          <w:p w14:paraId="497555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管理》是ERP企业真实应用平台供应链的重要产品，《采购管理》帮助用户对采购业务的全部流程进行管理，提供请购、采购订货、采购到货、采购入库、采购发票、采购结算的完整采购流程，用户可根据自身实际情况进行采购流程的定制。</w:t>
            </w:r>
          </w:p>
          <w:p w14:paraId="7D6871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本系统适用于各类工业企业和商业批发、零售企业、医药、物资供销、对外贸易、图书发行等商品流通企业的采购部门和采购核算财务部门。</w:t>
            </w:r>
          </w:p>
          <w:p w14:paraId="7A2A09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《采购管理》既可以单独使用，又能与ERP企业真实应用平台其他系统集成使用，提供完整全面的业务和财务流程处理</w:t>
            </w:r>
            <w:r>
              <w:rPr>
                <w:rFonts w:hint="eastAsia" w:ascii="宋体" w:hAnsi="宋体" w:eastAsia="宋体" w:cs="宋体"/>
                <w:sz w:val="21"/>
                <w:szCs w:val="21"/>
                <w:highlight w:val="none"/>
                <w:lang w:val="en-US" w:eastAsia="zh-CN"/>
              </w:rPr>
              <w:t>.</w:t>
            </w:r>
          </w:p>
          <w:p w14:paraId="3531BA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8.库存管理</w:t>
            </w:r>
          </w:p>
          <w:p w14:paraId="491B4C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库存管理》是ERP企业真实应用平台供应链的重要产品，能够满足采购入库、销售出库、产成品入库、材料出库、其他出入库、盘点管理等业务需要，提供仓库货位管理、批次管理、保质期管理、出库跟踪入库管理、可用量管理、序列号管理等全面的业务应用。《库存管理》可以单独使用，也可以与《采购管理》、《进口管理》、《委外管理》、《销售管理》、《出口管理》、《质量管理》、《GSP质量管理》、《存货核算》、《售前分析》、《成本管理》、《预算管理》、《项目成本》、《商业智能》、《主生产计划》、《需求规划》、《车间管理》、《生产订单》、《物料清单》、《设备管理》、《服务管理》、《售后服务》、《零售管理》、《条码管理》等集成使用，发挥更加强大的应用功能。</w:t>
            </w:r>
          </w:p>
          <w:p w14:paraId="0667AA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《库存管理》适用于各种类型的工商业企业，如制造业、医药、食品、批发、零售、批零兼营、集团应用及远程仓库等。系统着重实现工商企业库存管理方面的需求，覆盖目前工业、商业的大部分库存管理工作</w:t>
            </w:r>
            <w:r>
              <w:rPr>
                <w:rFonts w:hint="eastAsia" w:ascii="宋体" w:hAnsi="宋体" w:eastAsia="宋体" w:cs="宋体"/>
                <w:sz w:val="21"/>
                <w:szCs w:val="21"/>
                <w:highlight w:val="none"/>
                <w:lang w:val="en-US" w:eastAsia="zh-CN"/>
              </w:rPr>
              <w:t>。</w:t>
            </w:r>
          </w:p>
          <w:p w14:paraId="100889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9.存货核算</w:t>
            </w:r>
          </w:p>
          <w:p w14:paraId="4A873C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存货是保证企业生产经营过程顺利进行的必要条件。为了保障生产经营过程连续不断地进行，企业要不断地购入、耗用或销售存货。存货是企业的一项重要的流动资产，其价值在企业流动资产中占有很大的比重。</w:t>
            </w:r>
          </w:p>
          <w:p w14:paraId="15B8DD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存货的核算是企业会计核算的一项重要内容，进行存货核算，应正确计算存货购入成本，促使企业努力降低存货成本；反映和监督存货的收发、领退和保管情况；反映和监督存货资金的占用情况，促进企业提高资金的使用效果。</w:t>
            </w:r>
          </w:p>
          <w:p w14:paraId="6B5C5C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10.薪资管理</w:t>
            </w:r>
          </w:p>
          <w:p w14:paraId="163B90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薪资管理系统是ERP企业真实应用平台的重要组成部分。具有功能强大、设计周到、操作方便的特点，适用于各类企业、行政、事业与科研单位，并提供了同一企业存在多种工资核算类型的解决方案。</w:t>
            </w:r>
          </w:p>
          <w:p w14:paraId="54E22F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系统可以根据企业的薪资制度、薪资结构设置企业的薪资标准体系，在发生人事变动或薪资标准调整时执行调资处理，记入员工薪资档案作为工资核算的依据；根据不同企业的需要设计工资项目、计算公式，更加方便的输入、修改各种工资数据和资料；自动计算、汇总工资数据，对形成工资、福利费等各项费用进行月末、年末账务处理，并通过转账方式向总账系统传输会计凭证，向成本管理系统传输工资费用数据。</w:t>
            </w:r>
          </w:p>
          <w:p w14:paraId="76EE14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齐全的工资报表形式、简便的工资资料查询方式、健全的核算体系，为企业多层次、多角度的工资管理提供方便</w:t>
            </w:r>
            <w:r>
              <w:rPr>
                <w:rFonts w:hint="eastAsia" w:ascii="宋体" w:hAnsi="宋体" w:eastAsia="宋体" w:cs="宋体"/>
                <w:sz w:val="21"/>
                <w:szCs w:val="21"/>
                <w:highlight w:val="none"/>
                <w:lang w:eastAsia="zh-CN"/>
              </w:rPr>
              <w:t>。</w:t>
            </w:r>
          </w:p>
          <w:p w14:paraId="212650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11.网上银行</w:t>
            </w:r>
          </w:p>
          <w:p w14:paraId="0D81D8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上银行主要业务过程是企业将收款人信息提交给银行，银行按企业要求将款项由企业账户划转到收款人账户。本系统考虑了网上支付（即上传收款方信息）、交易信息查询下载（银行对账单下载、银行账户余额、银行账户交易明细查询）等业务，集团业务和对私业务可以融合于其中。</w:t>
            </w:r>
          </w:p>
          <w:p w14:paraId="3103FF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本系统还提供了文件级对接的方式。财务软件将要输出的数据存入本地，启用网上银行后再从本地将数据引入；或者是启用网上银行系统后将其输出的数据存入本地，再从本地将数据引入财务软件系统</w:t>
            </w:r>
            <w:r>
              <w:rPr>
                <w:rFonts w:hint="eastAsia" w:ascii="宋体" w:hAnsi="宋体" w:eastAsia="宋体" w:cs="宋体"/>
                <w:sz w:val="21"/>
                <w:szCs w:val="21"/>
                <w:highlight w:val="none"/>
                <w:lang w:val="en-US" w:eastAsia="zh-CN"/>
              </w:rPr>
              <w:t>。</w:t>
            </w:r>
          </w:p>
          <w:p w14:paraId="0118CF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12.网上报销</w:t>
            </w:r>
          </w:p>
          <w:p w14:paraId="5BFF0D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上报销系统是ERP企业真实应用平台的重要组成部分。具有功能强大、设计周到、操作方便的特点，适用于各类企业、行政、事业与科研单位费用申请立项，员工日常借款的管理以及信用控制、日常费用的管理和控制。</w:t>
            </w:r>
          </w:p>
          <w:p w14:paraId="768C1E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系统作为企业、行政事业单位内部信用控制的工具，主要处理企业内部往来业务，对企业、行政事业单位内部部门、个人的借款余额、欠款笔数和欠款日期进行控制，从而及时处理企业内部欠款，提高资金使用效率。</w:t>
            </w:r>
          </w:p>
          <w:p w14:paraId="5E56FD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系统作为企业、行政事业单位费用控制的工具，主要从两个方面来对企业的费用进行控制：报销标准的控制和费用预算的控制。通过报销标准和费用预算的控制，做到对各项费用进行事前计划、事中控制，并为事后的分析考核提供数据</w:t>
            </w:r>
            <w:r>
              <w:rPr>
                <w:rFonts w:hint="eastAsia" w:ascii="宋体" w:hAnsi="宋体" w:eastAsia="宋体" w:cs="宋体"/>
                <w:sz w:val="21"/>
                <w:szCs w:val="21"/>
                <w:highlight w:val="none"/>
                <w:lang w:eastAsia="zh-CN"/>
              </w:rPr>
              <w:t>。</w:t>
            </w:r>
          </w:p>
          <w:p w14:paraId="7E8108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13.发票管理</w:t>
            </w:r>
          </w:p>
          <w:p w14:paraId="07C501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票管理产品适用于各类企事业单位进行电子发票报销验重以及电子发票开具等。报销以及开具电子发票都需要在“电子发票服务平台”开通服务后才能进行发票验真以及电子发票开具。为企业提供登记采购进项发票以及销售销项发票（非电子发票部分）功能，企业可以据此进行增值税税负平衡预测。</w:t>
            </w:r>
          </w:p>
          <w:p w14:paraId="769127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可上传电子发票到发票管理平台，上传同时进行验真操作。财务人员可以进行二次验证发票真假。网上报销系统可以参照到上传的发票，作为报销单的附件。</w:t>
            </w:r>
          </w:p>
          <w:p w14:paraId="1D7023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支持登记采购业务业务发票，选择符合条件的增值税进项发票进行认证，认证后作为税负测算的进项税额进行抵扣。</w:t>
            </w:r>
          </w:p>
          <w:p w14:paraId="5FE9A8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销售管理模块支持一键开票，支持将销售管理模块中销售发票引入发票管理模块中，可修改后再进行电子发票开具。</w:t>
            </w:r>
          </w:p>
          <w:p w14:paraId="600DF9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支持登记纸质销售发票，将企业的全部销售发票进行登记，以供后续税负测算销项税额使用。</w:t>
            </w:r>
          </w:p>
          <w:p w14:paraId="42DAD1D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税负平衡预测，依据本期的销售发票金额扣除本期抵扣的进项增值税发票金额，测算出本期应该缴纳的增值税金额</w:t>
            </w:r>
            <w:r>
              <w:rPr>
                <w:rFonts w:hint="eastAsia" w:ascii="宋体" w:hAnsi="宋体" w:eastAsia="宋体" w:cs="宋体"/>
                <w:sz w:val="21"/>
                <w:szCs w:val="21"/>
                <w:highlight w:val="none"/>
                <w:lang w:eastAsia="zh-CN"/>
              </w:rPr>
              <w:t>。</w:t>
            </w:r>
          </w:p>
          <w:p w14:paraId="15C6E0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14.合同管理</w:t>
            </w:r>
          </w:p>
          <w:p w14:paraId="3BA4A6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《合同管理》产品提供了合同资料的录入、生效、变更、结案的管理，同时对合同的执行、结算、收付款等一系列业务进行了管理及后续的跟踪，保证合同的顺利履行，为企业规避风险，实现利益的最大化；</w:t>
            </w:r>
          </w:p>
          <w:p w14:paraId="6768AC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15.售后服务</w:t>
            </w:r>
          </w:p>
          <w:p w14:paraId="06503D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售后服务是ERP企业真实应用平台产品线的一个子系统，业务可覆盖服务协议签订及结算；服务请求派发及执行；现场、返厂维修；服务收费的结算；服务完成后客户回访；服务费用管理；配件出入库业务等。</w:t>
            </w:r>
          </w:p>
          <w:p w14:paraId="37C98A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系统支持对服务产品生命周期追踪，包括服务产品档案管理。追踪服务产品发生故障情况、关键部件变更信息等。</w:t>
            </w:r>
          </w:p>
          <w:p w14:paraId="64938F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售后服务还支持对服务用户提供主动式服务，即基于产品保养周期及服务协议的拜访计划生成主动服务计划。</w:t>
            </w:r>
          </w:p>
          <w:p w14:paraId="08A81B99">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系统提供包括服务收入、故障统计、回访统计、人员考核等关键报表的分析。</w:t>
            </w:r>
          </w:p>
        </w:tc>
      </w:tr>
      <w:tr w14:paraId="052B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073737D8">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2</w:t>
            </w:r>
          </w:p>
        </w:tc>
        <w:tc>
          <w:tcPr>
            <w:tcW w:w="1017" w:type="dxa"/>
            <w:tcBorders>
              <w:top w:val="single" w:color="auto" w:sz="4" w:space="0"/>
            </w:tcBorders>
            <w:shd w:val="clear" w:color="auto" w:fill="auto"/>
            <w:vAlign w:val="center"/>
          </w:tcPr>
          <w:p w14:paraId="4C48D8D4">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Style w:val="135"/>
                <w:rFonts w:hint="eastAsia" w:asciiTheme="minorEastAsia" w:hAnsiTheme="minorEastAsia" w:eastAsiaTheme="minorEastAsia" w:cstheme="minorEastAsia"/>
                <w:sz w:val="21"/>
                <w:szCs w:val="21"/>
                <w:highlight w:val="none"/>
                <w:lang w:val="en-US" w:eastAsia="zh-CN" w:bidi="ar"/>
              </w:rPr>
              <w:t>数智技术通识实验实训平台</w:t>
            </w:r>
          </w:p>
        </w:tc>
        <w:tc>
          <w:tcPr>
            <w:tcW w:w="633" w:type="dxa"/>
            <w:gridSpan w:val="2"/>
            <w:tcBorders>
              <w:top w:val="single" w:color="auto" w:sz="4" w:space="0"/>
            </w:tcBorders>
            <w:shd w:val="clear" w:color="auto" w:fill="FFFFFF"/>
            <w:vAlign w:val="center"/>
          </w:tcPr>
          <w:p w14:paraId="5E8E0496">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61" w:type="dxa"/>
            <w:tcBorders>
              <w:top w:val="single" w:color="auto" w:sz="4" w:space="0"/>
            </w:tcBorders>
            <w:shd w:val="clear" w:color="auto" w:fill="auto"/>
            <w:vAlign w:val="center"/>
          </w:tcPr>
          <w:p w14:paraId="7A19825C">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套</w:t>
            </w:r>
          </w:p>
        </w:tc>
        <w:tc>
          <w:tcPr>
            <w:tcW w:w="7537" w:type="dxa"/>
            <w:tcBorders>
              <w:top w:val="single" w:color="auto" w:sz="4" w:space="0"/>
            </w:tcBorders>
            <w:shd w:val="clear" w:color="auto" w:fill="auto"/>
            <w:vAlign w:val="center"/>
          </w:tcPr>
          <w:p w14:paraId="70D919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一、RPA设计器功能指标</w:t>
            </w:r>
          </w:p>
          <w:p w14:paraId="3BAD5F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sz w:val="21"/>
                <w:szCs w:val="21"/>
                <w:highlight w:val="none"/>
                <w:lang w:eastAsia="zh-CN"/>
              </w:rPr>
              <w:t>●</w:t>
            </w:r>
            <w:r>
              <w:rPr>
                <w:rFonts w:hint="eastAsia" w:ascii="宋体" w:hAnsi="宋体" w:eastAsia="宋体" w:cs="宋体"/>
                <w:i w:val="0"/>
                <w:iCs w:val="0"/>
                <w:color w:val="000000"/>
                <w:kern w:val="2"/>
                <w:sz w:val="21"/>
                <w:szCs w:val="21"/>
                <w:highlight w:val="none"/>
                <w:u w:val="none"/>
                <w:lang w:val="en-US" w:eastAsia="zh-CN" w:bidi="ar-SA"/>
              </w:rPr>
              <w:t>1.信创、企业</w:t>
            </w:r>
            <w:r>
              <w:rPr>
                <w:rFonts w:hint="eastAsia" w:ascii="宋体" w:hAnsi="宋体" w:eastAsia="宋体" w:cs="宋体"/>
                <w:i w:val="0"/>
                <w:iCs w:val="0"/>
                <w:color w:val="000000"/>
                <w:kern w:val="2"/>
                <w:sz w:val="21"/>
                <w:szCs w:val="21"/>
                <w:highlight w:val="none"/>
                <w:u w:val="none"/>
                <w:lang w:val="en-US" w:eastAsia="zh-CN" w:bidi="ar-SA"/>
              </w:rPr>
              <w:t>级RPA：国内自主研发的RPA开发软件，具有独立的软件著作权，符合信创国产化趋势；支持免繁琐的安装环节，能够满足院校教学需求；支持命令、插件的自定义扩展与传播；支持与第三方系统结合的自动化操作，包括但不仅限于SAP、久其、微信、钉钉、U8、NC等；支持跨系统的流程自动化；支持机器人接口级的管控；支持做到安全审计，分级管控，规范授权，集中治理。</w:t>
            </w:r>
          </w:p>
          <w:p w14:paraId="7E8493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丰富的自动化插件：RPA设计器自动化插件内置不少于9大类，37种，380+个命令；支持浏览器插件类、ERP插件类、AI插件类、用户UI插件类、Windows插件类、数据库插件类、文件插件类、编程插件类、邮件插件类等命令的教学；支持但不仅限于Windows录制、NC录制、Chrome录制、Java录制操作的流程录制功能。支持各种命令组合，便捷高效的设计机器人流程。</w:t>
            </w:r>
          </w:p>
          <w:p w14:paraId="66CC56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3.AI OCR：支持但不仅限于对营业执照信息识别、出租车发票识别、表格识别、通用文字识别、增值税发票识别、火车票识别等。</w:t>
            </w:r>
          </w:p>
          <w:p w14:paraId="6D55B9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4.代码运行与调用：支持连接Sql Server、Oracle、MySQL数据库并执行SQL语句与数据查询操作；支持自定义插件扩展，运行Python脚本、运行Java UI脚本、启动UiPath机器人等命令。</w:t>
            </w:r>
          </w:p>
          <w:p w14:paraId="7BD721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浏览器操作：支持不少于3种市场主流浏览器进行自动化操作，如：操作Chrome(谷歌)、IE、Firefox(火狐)等；支持创建浏览器对象、查找浏览器、导航至给定的URL、获取URL等操作；支持一键获取页面Xpath位置；支持网页表格数据抓取操作应用；支持对页面进行刷新、前进、后退的操作；支持对页面元素进行点击、双击、拖拽、鼠标悬停、邮件点击、获取文本、获取属性、设置文本、清空文本等操作；支持对网页窗口进行打开、切换、关闭、切换至最后窗口等的操作；支持网页表格数据的抓取，获取网页Cookies等信息。</w:t>
            </w:r>
          </w:p>
          <w:p w14:paraId="531E91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自动化操作：支持主流邮箱(例如：QQ、163等)的邮件接收、发送、检索等操作；支持POP3、SMTP、IMAP邮件协议；支持邮件附件下载、邮件读取状态标记、关键字筛选、时间范围筛选等；支持但不仅限于Excel、Word等Office办公软件的操作；支持Excel单元格颜色标记及Word的基本操作；支持PDF文本智能识别操作；支持对文件的操作，包含但不仅限于对文件的创建、删除、解压缩、名称修改、文件属性、移动、复制操作。</w:t>
            </w:r>
          </w:p>
          <w:p w14:paraId="0C685D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二、验证码识别功能指标</w:t>
            </w:r>
          </w:p>
          <w:p w14:paraId="682A0A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1.支持对验证码中的大小写字母、数字进行识别。</w:t>
            </w:r>
          </w:p>
          <w:p w14:paraId="69C079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2.支持用户一键触发机制，通过点击即可激活验证码识别流程，快速获取识别结果。</w:t>
            </w:r>
          </w:p>
          <w:p w14:paraId="5BFE58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3.支持用户将识别结果直接复制到系统剪贴板，便于后续使用。</w:t>
            </w:r>
          </w:p>
          <w:p w14:paraId="28E1D2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4.支持自动请求并展示新的验证码图片，无需用户手动刷新页面。</w:t>
            </w:r>
          </w:p>
          <w:p w14:paraId="6BC482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5.支持下载当前显示的验证码图片，内置下载接口，用户可通过点击操作下载当前验证码图片。</w:t>
            </w:r>
          </w:p>
          <w:p w14:paraId="721D3F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三、企业信息查验系统功能指标</w:t>
            </w:r>
          </w:p>
          <w:p w14:paraId="7C5D63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1.支持按照企业名称、统一社会代码或注册号搜索企业信息。</w:t>
            </w:r>
          </w:p>
          <w:p w14:paraId="7BEDA4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2.支持查看企业股东及出资信息。</w:t>
            </w:r>
          </w:p>
          <w:p w14:paraId="24C4A3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3.支持查看企业行政许可信息、行政处罚信息、列入异常名录信息、列入严重违法失信企业名单（黑名单）信息。</w:t>
            </w:r>
          </w:p>
          <w:p w14:paraId="1605A1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4.支持企业信息查验过程中验证码输入的校验。</w:t>
            </w:r>
          </w:p>
          <w:p w14:paraId="69F43C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四、发票查验系统功能指标</w:t>
            </w:r>
          </w:p>
          <w:p w14:paraId="704523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1.支持但不仅限于对增值税专用发票、增值税普通发票的识别等。</w:t>
            </w:r>
          </w:p>
          <w:p w14:paraId="444AFE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2.支持但不仅限于发票代码、发票号码、开票日期、开票金额、验证码检查的校验等。</w:t>
            </w:r>
          </w:p>
          <w:p w14:paraId="2D35DC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3.支持但不仅限于查看发票检验的结果、发票查询次数、查验时间等。</w:t>
            </w:r>
          </w:p>
          <w:p w14:paraId="174B37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4.支持预览发票检验明细数据，包含但不仅限于：购买方、销售方、服务名称、规格型号、单价、金额、汇率、税额等。</w:t>
            </w:r>
          </w:p>
          <w:p w14:paraId="6ADC1F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5.支持发票查验数据的重置操作。</w:t>
            </w:r>
          </w:p>
          <w:p w14:paraId="289259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6.支持31个省市自治区的税务局查验端口，方便进行实践教学。</w:t>
            </w:r>
          </w:p>
          <w:p w14:paraId="742B90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五、课程模块功能指标</w:t>
            </w:r>
          </w:p>
          <w:p w14:paraId="2E47D2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1.本课程支持RPA技术基础知识的学习，课</w:t>
            </w:r>
            <w:r>
              <w:rPr>
                <w:rFonts w:hint="eastAsia" w:ascii="宋体" w:hAnsi="宋体" w:eastAsia="宋体" w:cs="宋体"/>
                <w:i w:val="0"/>
                <w:iCs w:val="0"/>
                <w:color w:val="000000"/>
                <w:kern w:val="2"/>
                <w:sz w:val="21"/>
                <w:szCs w:val="21"/>
                <w:highlight w:val="none"/>
                <w:u w:val="none"/>
                <w:lang w:val="en-US" w:eastAsia="zh-CN" w:bidi="ar-SA"/>
              </w:rPr>
              <w:t>程内置</w:t>
            </w:r>
            <w:r>
              <w:rPr>
                <w:rFonts w:hint="eastAsia" w:ascii="宋体" w:hAnsi="宋体" w:cs="宋体"/>
                <w:i w:val="0"/>
                <w:iCs w:val="0"/>
                <w:color w:val="000000"/>
                <w:kern w:val="2"/>
                <w:sz w:val="21"/>
                <w:szCs w:val="21"/>
                <w:highlight w:val="none"/>
                <w:u w:val="none"/>
                <w:lang w:val="en-US" w:eastAsia="zh-CN" w:bidi="ar-SA"/>
              </w:rPr>
              <w:t>不少于</w:t>
            </w:r>
            <w:r>
              <w:rPr>
                <w:rFonts w:hint="eastAsia" w:ascii="宋体" w:hAnsi="宋体" w:eastAsia="宋体" w:cs="宋体"/>
                <w:i w:val="0"/>
                <w:iCs w:val="0"/>
                <w:color w:val="000000"/>
                <w:kern w:val="2"/>
                <w:sz w:val="21"/>
                <w:szCs w:val="21"/>
                <w:highlight w:val="none"/>
                <w:u w:val="none"/>
                <w:lang w:val="en-US" w:eastAsia="zh-CN" w:bidi="ar-SA"/>
              </w:rPr>
              <w:t>6大章节、10个项目，89个任务，通过介绍发票查验机器人的项目导入、需求评估、方案设计、配置开发、应用及改进展现出项目化的闭环教学。课程中内置丰富的教学场景和案例，采用理论知识与任务操作相结合、RPA与业务系统相结合的方式，实现企业自动化应用场景。RPA基础包括RPA设计器、验证码识别系统、企业信息查验系统、发票查验系统的应用。</w:t>
            </w:r>
          </w:p>
          <w:p w14:paraId="606F13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sz w:val="21"/>
                <w:szCs w:val="21"/>
                <w:highlight w:val="none"/>
                <w:lang w:eastAsia="zh-CN"/>
              </w:rPr>
              <w:t>●</w:t>
            </w:r>
            <w:r>
              <w:rPr>
                <w:rFonts w:hint="eastAsia" w:ascii="宋体" w:hAnsi="宋体" w:eastAsia="宋体" w:cs="宋体"/>
                <w:i w:val="0"/>
                <w:iCs w:val="0"/>
                <w:color w:val="000000"/>
                <w:kern w:val="2"/>
                <w:sz w:val="21"/>
                <w:szCs w:val="21"/>
                <w:highlight w:val="none"/>
                <w:u w:val="none"/>
                <w:lang w:val="en-US" w:eastAsia="zh-CN" w:bidi="ar-SA"/>
              </w:rPr>
              <w:t>2.涵盖不少于10个项目，89 个任务</w:t>
            </w:r>
            <w:r>
              <w:rPr>
                <w:rFonts w:hint="eastAsia" w:ascii="宋体" w:hAnsi="宋体" w:eastAsia="宋体" w:cs="宋体"/>
                <w:i w:val="0"/>
                <w:iCs w:val="0"/>
                <w:color w:val="000000"/>
                <w:kern w:val="2"/>
                <w:sz w:val="21"/>
                <w:szCs w:val="21"/>
                <w:highlight w:val="none"/>
                <w:u w:val="none"/>
                <w:lang w:val="en-US" w:eastAsia="zh-CN" w:bidi="ar-SA"/>
              </w:rPr>
              <w:t>，14个任务说明书，3个互动课件，47个授课文档（含PPT/PDF），32个测验及作业（包含20道客观题），30个授课视频，8个脚本，26个业务数据及相关文件。</w:t>
            </w:r>
          </w:p>
          <w:p w14:paraId="5AD99F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3.RPA概述：支持RPA基础知识的认知、RPA与人工智能应用场景的应用教学；支持RPA发展历程、RPA应用场景及使用价值、RPA + AI应用的教学；支持RPA实训工具的介绍、产品的功能特性、在各行业中的应用教学；支持不少于3个真实企业场景案例描述、痛点分析、解决方案、应用价值的教学。</w:t>
            </w:r>
          </w:p>
          <w:p w14:paraId="356853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4.RPA应用平台介绍：支持RPA设计器的配置、初始化操作教学，相关的教学资源不少于3个相关文档；支持学生能够认知到学习RPA技术能够加快数字化转型，数字化驱动高效业务创新，快速实施验证业务流程教学。</w:t>
            </w:r>
          </w:p>
          <w:p w14:paraId="7D940A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5.RPA基础命令：支持不少于35+个变量操作的知识学习，包含但不仅限于：普通变量、列表变量、字典变量、条件命令、循环命令、文件命令、数值命令、字符串命令、日期命令、Excel命令等</w:t>
            </w:r>
            <w:r>
              <w:rPr>
                <w:rFonts w:hint="eastAsia" w:ascii="宋体" w:hAnsi="宋体" w:cs="宋体"/>
                <w:i w:val="0"/>
                <w:iCs w:val="0"/>
                <w:color w:val="000000"/>
                <w:kern w:val="2"/>
                <w:sz w:val="21"/>
                <w:szCs w:val="21"/>
                <w:highlight w:val="none"/>
                <w:u w:val="none"/>
                <w:lang w:val="en-US" w:eastAsia="zh-CN" w:bidi="ar-SA"/>
              </w:rPr>
              <w:t>。</w:t>
            </w:r>
          </w:p>
          <w:p w14:paraId="1726EA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6.RPA高级命令：支持不少于15+个变量操作的知识学习，包含但不仅限于：浏览器自动化、邮件自动化、屏幕录、运行Python、OCR识别、Frame切换、XPath知识教学。</w:t>
            </w:r>
          </w:p>
          <w:p w14:paraId="3507C6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7.RPA实施方法论：支持RPA实施方法论五步骤的场景教学；支持RPA业务流程进行需求评估、制定计划、流程梳理的应用教学；支持RPA业务流程进行方案设计、设计流程与流转、命名规范、代码注释、异常抓捕情况，对业务流程的版本控制的教学；支持流程配置开发、测试方案及问题跟踪与解决的教学；支持对已开发的机器人进行应用及后续流程改进的教学。</w:t>
            </w:r>
          </w:p>
          <w:p w14:paraId="5F6497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8.验证码识别机器人：支持验证码概念、验证码原理的教学；支持验证码识别机器人的开发配置与应用教学；支持验证码识别RPA应用及改进的教学；支持对验证码识别系统的应用教学。</w:t>
            </w:r>
          </w:p>
          <w:p w14:paraId="6556F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9.企业信息查验机器人：支持企业信息查验应用场景、现状体验、业务需求分析的教学；支持企业信息查验机器人的开发配置与应用教学；支持企业信息查验RPA应用及改进的教学；支持对企业信息查验系统的应用教学。</w:t>
            </w:r>
          </w:p>
          <w:p w14:paraId="06E4B7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发票查验机器人：支持发票基本概念、发票类别、发票查验的相关知识教学；支持发票查验应用场景、现状体验、业务需求分析的教学；支持发票查验机器人的开发配置与应用教学；支持发票查验RPA应用及改进的教学；支持对发票查验系统的应用教学；支持发票查验机器人的沙盘模拟教学。</w:t>
            </w:r>
          </w:p>
          <w:p w14:paraId="5A6017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11.RPA机器人应用：支持不少于3个典型的RPA应用场景；支持人民币汇率中间价数据下载、考试成绩邮件发送、企业营业执照信息获取等案例场景应用及机器人配置操作教学。</w:t>
            </w:r>
          </w:p>
          <w:p w14:paraId="53BAD7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12.RPA机器人运维管理：支持RPA机器人运维目的、服务器检查注意事项、网络设备检查注意事项、运维管理的内容、机器人故障排除的7个步骤教学。支持对机器人运行失败的流程进行问题的详细记录并给出相应的解决方案教学；支持对学生的思政教育、树立正确的人生观、价值观、建立正确的网络意识，加强自我防范意识的教学；支持对RPA未来发展与展望应用场景教学。</w:t>
            </w:r>
          </w:p>
          <w:p w14:paraId="18AAB8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bCs/>
                <w:sz w:val="21"/>
                <w:szCs w:val="21"/>
                <w:highlight w:val="none"/>
                <w:lang w:eastAsia="zh-CN"/>
              </w:rPr>
              <w:t>●</w:t>
            </w:r>
            <w:r>
              <w:rPr>
                <w:rFonts w:hint="eastAsia" w:ascii="宋体" w:hAnsi="宋体" w:eastAsia="宋体" w:cs="宋体"/>
                <w:i w:val="0"/>
                <w:iCs w:val="0"/>
                <w:color w:val="000000"/>
                <w:kern w:val="2"/>
                <w:sz w:val="21"/>
                <w:szCs w:val="21"/>
                <w:highlight w:val="none"/>
                <w:u w:val="none"/>
                <w:lang w:val="en-US" w:eastAsia="zh-CN" w:bidi="ar-SA"/>
              </w:rPr>
              <w:t>13.税务业务机器人：介绍税务业务场景的机器人应用，包括发票开具机器人的开发配置</w:t>
            </w:r>
            <w:r>
              <w:rPr>
                <w:rFonts w:hint="eastAsia" w:ascii="宋体" w:hAnsi="宋体" w:eastAsia="宋体" w:cs="宋体"/>
                <w:i w:val="0"/>
                <w:iCs w:val="0"/>
                <w:color w:val="000000"/>
                <w:kern w:val="2"/>
                <w:sz w:val="21"/>
                <w:szCs w:val="21"/>
                <w:highlight w:val="none"/>
                <w:u w:val="none"/>
                <w:lang w:val="en-US" w:eastAsia="zh-CN" w:bidi="ar-SA"/>
              </w:rPr>
              <w:t>与应用教学、发票查验机器人的开发配置与应用教学、个人所得税纳税申报机器人和增值税纳税申报机器人的开发配置与应用教学。</w:t>
            </w:r>
          </w:p>
          <w:p w14:paraId="21EFFEEE">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i w:val="0"/>
                <w:iCs w:val="0"/>
                <w:color w:val="000000"/>
                <w:kern w:val="2"/>
                <w:sz w:val="21"/>
                <w:szCs w:val="21"/>
                <w:highlight w:val="none"/>
                <w:u w:val="none"/>
                <w:lang w:val="en-US" w:eastAsia="zh-CN" w:bidi="ar-SA"/>
              </w:rPr>
              <w:t>六、其他要求：支持本地化部署，B/S架构且兼容主流浏览器，支持不少于120人同时在线使用。</w:t>
            </w:r>
          </w:p>
        </w:tc>
      </w:tr>
      <w:tr w14:paraId="4EB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tcBorders>
              <w:top w:val="single" w:color="auto" w:sz="4" w:space="0"/>
            </w:tcBorders>
            <w:shd w:val="clear" w:color="auto" w:fill="auto"/>
            <w:vAlign w:val="center"/>
          </w:tcPr>
          <w:p w14:paraId="06C52103">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3</w:t>
            </w:r>
          </w:p>
        </w:tc>
        <w:tc>
          <w:tcPr>
            <w:tcW w:w="1017" w:type="dxa"/>
            <w:tcBorders>
              <w:top w:val="single" w:color="auto" w:sz="4" w:space="0"/>
            </w:tcBorders>
            <w:shd w:val="clear" w:color="auto" w:fill="auto"/>
            <w:vAlign w:val="center"/>
          </w:tcPr>
          <w:p w14:paraId="0FAB6AA1">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EPC金税平台</w:t>
            </w:r>
          </w:p>
        </w:tc>
        <w:tc>
          <w:tcPr>
            <w:tcW w:w="633" w:type="dxa"/>
            <w:gridSpan w:val="2"/>
            <w:tcBorders>
              <w:top w:val="single" w:color="auto" w:sz="4" w:space="0"/>
            </w:tcBorders>
            <w:shd w:val="clear" w:color="auto" w:fill="FFFFFF"/>
            <w:vAlign w:val="center"/>
          </w:tcPr>
          <w:p w14:paraId="5F06C4F4">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61" w:type="dxa"/>
            <w:tcBorders>
              <w:top w:val="single" w:color="auto" w:sz="4" w:space="0"/>
            </w:tcBorders>
            <w:shd w:val="clear" w:color="auto" w:fill="auto"/>
            <w:vAlign w:val="center"/>
          </w:tcPr>
          <w:p w14:paraId="05553470">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套</w:t>
            </w:r>
          </w:p>
        </w:tc>
        <w:tc>
          <w:tcPr>
            <w:tcW w:w="7537" w:type="dxa"/>
            <w:tcBorders>
              <w:top w:val="single" w:color="auto" w:sz="4" w:space="0"/>
            </w:tcBorders>
            <w:shd w:val="clear" w:color="auto" w:fill="auto"/>
            <w:vAlign w:val="center"/>
          </w:tcPr>
          <w:p w14:paraId="4341927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一、总体技术指标</w:t>
            </w:r>
          </w:p>
          <w:p w14:paraId="17D2DC6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1.平台基于企业级分布式架构开发，具有较强的可伸缩性、灵活性、易维护性；并遵循RESTful API设计原则，开放提供专有与标准两类OpenAPI。</w:t>
            </w:r>
          </w:p>
          <w:p w14:paraId="6944F3A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2.平台支持公有云、专属云、私有云基本部署模式，能够根据学校具体情况灵活调整部署方案。</w:t>
            </w:r>
          </w:p>
          <w:p w14:paraId="328F12E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平台基于SOA面向服务架构思想设计，实现前后端分离架构；后端采用Controller/Service/DAO/Entity四层架构，整体设计清晰；前端基于业内主流框架构建，实现数据与结构分离，最大限度提高浏览器页面加载与响应速度。</w:t>
            </w:r>
          </w:p>
          <w:p w14:paraId="3D45D0C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42ECA25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5.平台及服务可部署在Windows或Linux系统服务器，支持分布式集群部署，可根据教学需要进行动态的横向扩展，提高系统处理能力，满足学校大规模用户并发的教学应用场景。</w:t>
            </w:r>
          </w:p>
          <w:p w14:paraId="5A32E43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6.平台兼容基于Chromium内核的主流浏览器，无需安装任何客户端或插件；并通过加密校验等机制保证浏览器客户端与平台服务端之间的数据传输安全，有效保障用户数据的安全。</w:t>
            </w:r>
          </w:p>
          <w:p w14:paraId="014AC68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7.平台提供严格的权限管理功能，包括功能权限管理和数据访问权限管理，通过简单的配置实现权限划分的调整，不可非法访问受限资源。</w:t>
            </w:r>
          </w:p>
          <w:p w14:paraId="1041A88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二、实训端功能参数</w:t>
            </w:r>
          </w:p>
          <w:p w14:paraId="22DFD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1.平台</w:t>
            </w:r>
            <w:r>
              <w:rPr>
                <w:rFonts w:hint="eastAsia" w:ascii="宋体" w:hAnsi="宋体" w:eastAsia="宋体" w:cs="宋体"/>
                <w:sz w:val="21"/>
                <w:szCs w:val="21"/>
                <w:highlight w:val="none"/>
              </w:rPr>
              <w:t>集成了九大仿真系统：电子税务局、开票业务、税务数字账户、自然人电子税务局（扣缴端与个人端）、业务中心、财务核算、税务优化管理及税务风险管理，专为课堂实训教学设计。各系统间数据可对接，核算与报税业务数据衔接，确保了实训的连贯性与真实性。</w:t>
            </w:r>
          </w:p>
          <w:p w14:paraId="16AC9AA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平台汇聚多行业实战企业案例，每例均含连续3月以上纳税申报数据。增值税申报时，平台实现表内数据勾稽，连续申报自动累计月度数据，确保本年度累计无缝衔接，展现数据连贯性与高度一致性，满足深度实训教学需求。</w:t>
            </w:r>
          </w:p>
          <w:p w14:paraId="2DE3238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微信小程序，支持财税知识训练，支持人机对抗训练、人人随机匹配对抗排位2种模式；支持排行功能，根据对抗段位情况进行排名；具备知识库功能，支持线上出题，采纳后自动进入知识库问答；具备信息管理功能，支持并分析系个人知识问答能力方向。</w:t>
            </w:r>
          </w:p>
          <w:p w14:paraId="1ED50C1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（一）电子税务局</w:t>
            </w:r>
          </w:p>
          <w:p w14:paraId="7120C59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电子税务局申报系统力求高度仿真真实国家电子税务局申报界面，包含五大核心模块：我的信息、我要办税、我要查询、互动中心及公众服务。其中，涵盖了纳税人信息管理、用户权限控制、我的待办事项、各类税费申报与缴纳、发票使用详情、申报信息查阅、缴款信息追踪以及欠费信息提醒等功能模块。</w:t>
            </w:r>
          </w:p>
          <w:p w14:paraId="14028CB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电子税务局-我要办税-税费申报及缴纳模块符合以下申报流程和规定：（1）申报税（费）清册，分按期应税申报、其他申报、逾期申报模块，可支持所有税种纳税申报；（2）清缴税款，支持所有税种通过三方协议与银联两种方式缴款实现网络缴纳税款；（3）申报更正/申报作废，申报结果错误的情况可通过更正/作废进行重新申报提交；（4）申报查询及打印，按照申报日期和申报所属期进行查询申报结果可支持申报表导出；（5）缴款查询及打印，已申报以及缴费的纳税税种可进行打印电子缴税凭证作为留抵凭证。</w:t>
            </w:r>
          </w:p>
          <w:p w14:paraId="627B11D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电子税务局纳税申报系统全面支持多种税种的申报，包括但不限于：增值税及附加税费纳税申报，涵盖一般纳税人和小规模纳税人不同情况；企业所得税纳税申报，适用于年度汇算、查账征收和核定征收等各类企业；消费税及附加税费纳税申报，特别针对烟类和酒类消费品；财务报表的申报，遵循企业会计准则和小企业会计准则；财产和行为税的申报，包括印花税、房产税、城镇土地使用税、土地增值税（预交和清算）、资源税、车船税、烟叶税、耕地占用税、契税和环境保护税等；同时，系统还支持社保费申报、工会经费申报、残疾人就业保障金申报等。</w:t>
            </w:r>
          </w:p>
          <w:p w14:paraId="73A7823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电子税务局纳税申报系统具备信息采集功能，其中包括财产和行为税税源信息以及社会保险费信息两个主要模块。在财产和行为税税源信息模块中，系统能够采集印花税、房产税、城镇土地使用税、土地增值税（预交和清算）、资源税、车船税、烟叶税、耕地占用税、契税以及环境保护税等10个税种的信息。这些信息可以通过财产和行为税税员信息报告明细表进行采集，并且系统会根据所登记的信息自动生成财产和行为税合并纳税申报表；在社会保险费信息模块中，系统能够采集企业员工社保的增员和减员信息。这些信息可以通过社会保险费信息采集表进行登记，并且系统会根据登记的信息自动生成社保纳税申报表。</w:t>
            </w:r>
          </w:p>
          <w:p w14:paraId="2851679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申报表配备了先进的自动取值功能，主表与附表之间实现流畅的自动计算交互，支持跨月的自动数据累计功能，设计充分满足纳税申报教学实训的需求。例如，增值税申报表中的本年累计数，便可自动从每月申报表中累计得出。</w:t>
            </w:r>
          </w:p>
          <w:p w14:paraId="3D0E93E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6.电子税务局的“我要查询”功能包含了发票信息、申报信息、缴款信息以及欠税信息等四个模块，旨在方便纳税人查询已办理的业务信息。</w:t>
            </w:r>
          </w:p>
          <w:p w14:paraId="391B9D7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（二）开票业务（数电票）</w:t>
            </w:r>
          </w:p>
          <w:p w14:paraId="2AA87E7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开票业务系统仿真国家税务总局电子税务局的开票业务实训界面，模拟企业涉税业务场景，内置连续月份的开票任务，并集成仿真日历以灵活切换月份。该系统核心涵盖蓝字发票开具、红字发票处理及开票信息维护三大功能模块，全方位模拟企业日常开票流程，确保实训教学贴近实际。</w:t>
            </w:r>
          </w:p>
          <w:p w14:paraId="1A85E79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蓝字发票开具全面覆盖数电发票，支持多种电子发票类型，包括增值税专用发票、普通发票、建筑服务、旅客运输服务、货物运输服务、不动产销售服务、不动产经营租赁服务、农产品收购、自产农产品销售，并集成差额开票，满足多样化开票教学实训需求。</w:t>
            </w:r>
          </w:p>
          <w:p w14:paraId="4542A7E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电子发票开具界面，灵活切换表单与票样视图，满足仿真实训教学需求。购买方信息录入便捷，支持手动输入与从客户信息库一键选取。开票信息模块，商品信息轻松选填，支持折扣、含税/不含税转换、行项自由增减、发票类型重新选择及一键清空重填，功能全面。备注信息提供丰富模板，覆盖多种场景，满足实训需求。</w:t>
            </w:r>
          </w:p>
          <w:p w14:paraId="7E3C605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4.纳税人的现有授信额度不足以满足其开具发票的需求，且系统自动发起的动态授信也无法满足其要求时，纳税人可以通过补充提供相关材料，向税务机关申请调整授信额度。</w:t>
            </w:r>
          </w:p>
          <w:p w14:paraId="78ED36C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5.红字发票开具模块，需要具备红字发票确认信息录入、红字发票确认信息处理、红字发票开具3个常用功能满足实训教学。</w:t>
            </w:r>
          </w:p>
          <w:p w14:paraId="5AFC0D0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6.开票信息</w:t>
            </w:r>
            <w:r>
              <w:rPr>
                <w:rFonts w:hint="eastAsia" w:ascii="宋体" w:hAnsi="宋体" w:eastAsia="宋体" w:cs="宋体"/>
                <w:sz w:val="21"/>
                <w:szCs w:val="21"/>
                <w:highlight w:val="none"/>
              </w:rPr>
              <w:t>维护模块划分为项目信息、客户信息与附加信息三大维护子模块，分别精准管理商品详情与分类、客户资料与分类、以及场景特权与额外信息，全方位覆盖开票常用信息，确保实训教学信息的高效应用。</w:t>
            </w:r>
          </w:p>
          <w:p w14:paraId="6A4DB9E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（三）税务数字账户</w:t>
            </w:r>
          </w:p>
          <w:p w14:paraId="614198A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税务数字账户系统涵盖了发票处理的核心环节，如发票的勾选确认、查询统计、在线查验、红字信息确认单管理、授信额度灵活调整及海关缴款书的数据采集等，全面模拟企业真实环境中的发票管理业务流程，确保实训教学内容高度贴近实际工作。</w:t>
            </w:r>
          </w:p>
          <w:p w14:paraId="62500DF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2.税务数字账户系统支持连续多期的发票认证，认证的所属期根据日历、增值税申报情况进行识别当前税款所属期，进行发票勾选操作。</w:t>
            </w:r>
          </w:p>
          <w:p w14:paraId="2B2AE56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3.发票抵扣勾选：支持增值税发票认证，可通过查询功能筛选增值税发票，再通过发票勾选模块进行勾选所需要认证的增值税发票；可修改发票有效税额，系统进行甄别发票转态非正常发票无法进行勾选。</w:t>
            </w:r>
          </w:p>
          <w:p w14:paraId="59D79A4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4.发票抵扣勾选：支持海关缴款书认证，可通过查询功能筛选海关缴款书，再通过发票勾选模块进行勾选所需要认证的海关缴款书；海关缴款书不符项可以进行手动修改，再进行勾选认证。</w:t>
            </w:r>
          </w:p>
          <w:p w14:paraId="13A15D3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5.税务数字账户系统支持可批量抵扣勾选，实现大量发票勾选的简便操作。</w:t>
            </w:r>
          </w:p>
          <w:p w14:paraId="537934B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海关缴款书采集功能：支持手工录入或批量导入缴款书号码、填发日期以及税款金额，能够查询已录入的海关缴款书信息，查询条件包括缴款书号码、填发日期、录入日期、稽核结果（全部、待处理、稽核中、相符、不符、缺联、重号）。</w:t>
            </w:r>
          </w:p>
          <w:p w14:paraId="28092C4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7.税务数字账户系统抵扣勾选统计模块，实现发票抵扣统计操作，符合统计申请、统计确认、撤销统计3个模块基础功能，系统允许历史所属期数据统计。</w:t>
            </w:r>
          </w:p>
          <w:p w14:paraId="36ADA43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8.税务数字账户系统满足允许的时间范围内进行多次抵扣统计操作，并将自动汇总当期多次勾选确认的数据，作为当期抵扣的参考依据。</w:t>
            </w:r>
          </w:p>
          <w:p w14:paraId="1EBD72E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（四）自然人电子税务局（扣缴端）</w:t>
            </w:r>
          </w:p>
          <w:p w14:paraId="09B91AD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1.自然人电子税务局（扣缴端）系统包括人员信息采集、专项附加扣除信息采集、综合所得申报、分类所得申报、非居民所得申报、限售股所得申报、税款缴纳、查询统计、系统设置9个实训功能。</w:t>
            </w:r>
          </w:p>
          <w:p w14:paraId="49804A2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2.人员信息采集，人员变动可以通过新增/导入/删除等功能进行人员新增或删除，支持展开条件查询，基础信息实现校验功能。</w:t>
            </w:r>
          </w:p>
          <w:p w14:paraId="1DB9893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3.专项附加扣除信息采集，采集配偶信息、子女教育支出、继续教育支出、住房贷款利息支出、住房租金支出、赡养老人支出、婴幼儿照护费用7项信息采集。</w:t>
            </w:r>
          </w:p>
          <w:p w14:paraId="04AA2D6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综合所得申报流程符合收入及减除填写、税款计算、附表填写、申报表报送4个申报步骤；综合所得申报包含正常工资薪金收入、全年一次性奖金收入、企业年金、劳务报酬、稿酬所得、特许使用权费所得、内退一次性补偿金、解除劳动合同一次性补偿金、央企负责人收入和任期奖励、单位低价职工售价、提前退休一次性补贴、个人股权激励收入、税收递延型商业养老金14个项目申报，支持附表减免事项、商业健康保险、税延养老保险、准予扣除的附表填写，支持发送申报、申报更正、撤销更正、申报作废4个申报修正功能。</w:t>
            </w:r>
          </w:p>
          <w:p w14:paraId="3E0736A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分类所得申报流程符合收入及减除填写、附表填写、申报表报送3个申报步骤；分类所得申报包含利息股息红利所得、财产租赁所得、财产转让所得、偶然所得4个项目申报，支持附表减免事项、商业健康保险、税延养老保险、准予扣除的附表填写，支持发送申报、申报更正、撤销更正、申报作废4个申报修正功能。</w:t>
            </w:r>
          </w:p>
          <w:p w14:paraId="498388C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非居民所得申报流程符合收入及减除填写、附表填写、申报表报送3个申报步骤；非居民所得申报包含无住所个人正常工资薪金、无住所个人数月奖金、解除劳动合同一次性补偿金、个人股权激励收入、税收递延型商业养老金、劳务报酬所得、稿酬所得、特许权使用费所得、利息股息红利所得、财产租赁所得、财产转让所得、偶然所得12个项目申报，支持附表减免事</w:t>
            </w:r>
            <w:r>
              <w:rPr>
                <w:rFonts w:hint="eastAsia" w:ascii="宋体" w:hAnsi="宋体" w:eastAsia="宋体" w:cs="宋体"/>
                <w:sz w:val="21"/>
                <w:szCs w:val="21"/>
                <w:highlight w:val="none"/>
              </w:rPr>
              <w:t>项、商业健康保险、税延养老保险、准予扣除的附表填写，支持发送申报、申报更正、撤销更正、申报作废4个申报修正功能。</w:t>
            </w:r>
          </w:p>
          <w:p w14:paraId="6C08EFF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7.限售所得申报项目申报流程符合收入及减除填写、申报表报送2个申报步骤；支持限售所得申报项目申报表填写，支持发送申报、申报更正、撤销更正、申报作废4个申报修正功能。</w:t>
            </w:r>
          </w:p>
          <w:p w14:paraId="61045AA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8.税款缴纳，支持三</w:t>
            </w:r>
            <w:r>
              <w:rPr>
                <w:rFonts w:hint="eastAsia" w:ascii="宋体" w:hAnsi="宋体" w:eastAsia="宋体" w:cs="宋体"/>
                <w:sz w:val="21"/>
                <w:szCs w:val="21"/>
                <w:highlight w:val="none"/>
              </w:rPr>
              <w:t>方协议缴税、银联缴款，提交申报后可进行税款缴纳。</w:t>
            </w:r>
          </w:p>
          <w:p w14:paraId="703325E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9.查询统计，支持单位申报记录、个人扣缴明细、缴税记录3个项目内容查询。</w:t>
            </w:r>
          </w:p>
          <w:p w14:paraId="3556667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10.自然人电子税务局（扣缴端）系统支持系统设置和企业管理2个项目管理，可以通过企业管理添加企业进行管理，可以通过系统设置进行单位系统信息管理及申报设置。</w:t>
            </w:r>
          </w:p>
          <w:p w14:paraId="6D86EF2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（五）自然人电子税务局（个人端）</w:t>
            </w:r>
          </w:p>
          <w:p w14:paraId="58E1D64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◆1.自然人电子税务局（个人端）系统具备综合所得年度汇算申报、专项附加扣除填报、经营所得（A表）申报、经营所得（B表）申报、缴款、查询等基础操作满足实训教学。</w:t>
            </w:r>
          </w:p>
          <w:p w14:paraId="182182D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2.综合所得年度汇算申报，申报流程满足基础信息、收入和税前扣除、税款计算3步，并支持过程劳务报酬、稿酬、特许权使用费、全年一次奖金、减免税额5个模块的数据信息登记。</w:t>
            </w:r>
          </w:p>
          <w:p w14:paraId="68480E5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3.经营所得（A类）申报，申报流程满足录入被投资单位信息、录入计税信息、录入减免税额、确认申报信息4个基础申报步骤。</w:t>
            </w:r>
          </w:p>
          <w:p w14:paraId="7C309B3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4.经营所得（B类）申报，申报流程满足录入被投资单位信息、录入收入成本信息、录入纳税调整增加/减少额、录入其他税前减免事项、确认申报信息5个基础申报步骤。</w:t>
            </w:r>
          </w:p>
          <w:p w14:paraId="00748EF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5.专项附加扣除，支持子女教育、继续教育、大病医疗、住房贷款利息、住房租金、赡养老人6项专项附加扣除登记。</w:t>
            </w:r>
          </w:p>
          <w:p w14:paraId="2A6CD6F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6.自然人电子税务局（个人端）系统支持申报查询、专项附加扣除信息查询、申报作废等基础功能。</w:t>
            </w:r>
          </w:p>
          <w:p w14:paraId="10ECD75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（六）财务核算</w:t>
            </w:r>
          </w:p>
          <w:p w14:paraId="32DFDEA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1.财务核算系统，具备录凭证、查凭证、期末处理、税务管理、薪酬管理、设置6个功能模块满足实训教学；</w:t>
            </w:r>
          </w:p>
          <w:p w14:paraId="45B2166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2.录入凭证模块，具备手工录入凭证、获取模板生成凭证、一键生成凭证3个功能模块满足传统实训教学及智能化实训教学；</w:t>
            </w:r>
          </w:p>
          <w:p w14:paraId="3FFB7F9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3.期末处理模块，具备自动计提附加税、结转未交增值税、结转损益3个功能模块，可自动生成相对应凭证；</w:t>
            </w:r>
          </w:p>
          <w:p w14:paraId="3BF6E9E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4.税务管理模块，具备统计企业各个税种申报情况，未申报情况允许自动跳转税务局完成税种申报；</w:t>
            </w:r>
          </w:p>
          <w:p w14:paraId="3BAED52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◆5.薪酬管理模块，具备员工薪酬、员工医社保、员工管理、五险一金设置、专项扣除标准5个模块功能；员工薪酬可以查看员工的薪酬明细，并能够自动生成计提工资凭证及发放工资凭证，实现智能化凭证。</w:t>
            </w:r>
          </w:p>
          <w:p w14:paraId="485B135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（七）其他功能汇总</w:t>
            </w:r>
          </w:p>
          <w:p w14:paraId="024067C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业务中心模块包含客观题单选、多选、判断、实训题、分录题5种类型题目，允许老师二次出题开发；业务中心碎片化的涉税实训内容包含：1）增值税视同销售、即征即退、差额征税、简易计税等知识点申报表填写训练；2）企业所得税减免所得、跨区经营、研发费用加计扣除等知识点申报表填写训练；3）消费税酒类复核计税、电池、化妆品等知识点申报填写训练；4）城建税及附加、房产税、印花税等10个小税种的知识点申报表填写训练。</w:t>
            </w:r>
          </w:p>
          <w:p w14:paraId="186B297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2.财务分析模块通过企业申报的财务报表进行分析企业盈利能力、营运能力、偿债能力和发展能力4个指标。</w:t>
            </w:r>
          </w:p>
          <w:p w14:paraId="2C0A2D2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3.税负分析模块企业完成增值税申报，税负率根据行业税负区间进行自动预警，教师可以通过税务管理功能对学生申报数据发起预警风险提示，并要求反馈信息。</w:t>
            </w:r>
          </w:p>
          <w:p w14:paraId="1AE44BD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4.税务优化管理模块包含了各个税种纳税筹划经典案例，每个案例以任务的形式进行学习，通过筹划思路、政策依据、方案制定分析、筹划结果4筹划过程，提供答案辅助功能，能够随时查看正确答案。</w:t>
            </w:r>
          </w:p>
          <w:p w14:paraId="7F54B8A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税务风险管理模块包含增值税税务风险管理、企业所得税税务风险管理、印花税税务风险管理3个税种风险实验，每个案例以人物的形式进行学习，分析包含销项税额、进项税额、销项变动弹性系数、增值税税负率、税负变动率与销售收入变动配比、企业所得税税负率、费用变动率、期间费用率、印花税税负率9项税务风险分析。</w:t>
            </w:r>
          </w:p>
          <w:p w14:paraId="7C345EA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（八）实训辅助功能</w:t>
            </w:r>
          </w:p>
          <w:p w14:paraId="4B10A90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智能判断教学辅助模块，智能判断在实训过程每个模块数据正确性，并在错误栏给予标红预警，学生可以查看业务提交的实训结果与得分情况，可以查看正确答案、题析（做题过程讲解与分析），支持任务作废重新做题功能。</w:t>
            </w:r>
          </w:p>
          <w:p w14:paraId="6C31AFF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2.签到功能，辅助教学/实训到勤统计，系统自行统计签到次数与签到时间。</w:t>
            </w:r>
          </w:p>
          <w:p w14:paraId="3580199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计算工具教学辅助模块包含基本计算器、金融计算器、个税计算器、EXCEL工具满足学生在办税过程中出现的各种计算应用；其中个税计算器含工资薪金所得、年终奖所得、劳务报酬所得等10种收入类型公式；金融计算器含NPV、ARR、PP、PI等23种公式；EXCEL工具学生可在平台中直接打开EXCEL电子表格，在表单上自由运算及运用函数公式计算，画图表等。</w:t>
            </w:r>
          </w:p>
          <w:p w14:paraId="4EEA8F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4.学习中心教学辅助模块具有办税指南、微课资源、税收新政、填表说明4个模块供学生进</w:t>
            </w:r>
            <w:r>
              <w:rPr>
                <w:rFonts w:hint="eastAsia" w:ascii="宋体" w:hAnsi="宋体" w:eastAsia="宋体" w:cs="宋体"/>
                <w:sz w:val="21"/>
                <w:szCs w:val="21"/>
                <w:highlight w:val="none"/>
              </w:rPr>
              <w:t>行自学；办税指南提供电子税局、开票软件、认证平台等系统的操作手册；微课资源提供申报、计算等知识点动画讲解；税收新政提供教育部、财政部、税务局等最新的财税动态，让师生及时准确地把握最新知识动态；填报说明提供平台所涉及所有纳税申报表的填表说明。</w:t>
            </w:r>
          </w:p>
          <w:p w14:paraId="3E135F3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5.学习笔记教学辅助模块支持学生在教学实训过程中记录知识点内容或申报流程等重点知识，笔记记录在系统中可以随时翻看与管理，可以将笔记所记录的内容共享给学生便于相互学习。</w:t>
            </w:r>
          </w:p>
          <w:p w14:paraId="0DDD16B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6.学生记录教学辅助模块支持记录历史学习过的痕迹，方便在下次课程开启时，根据记录继续往下学习与实训。</w:t>
            </w:r>
          </w:p>
          <w:p w14:paraId="5A6066B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7.学生答疑教学辅助模块支持学生在实训过程中遇到问题可以提交到平台，方便教师问题解答与统计，支持教师或其他学生给与问题解答。</w:t>
            </w:r>
          </w:p>
          <w:p w14:paraId="3021D57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三、管理端功能参数</w:t>
            </w:r>
          </w:p>
          <w:p w14:paraId="36B189B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1.任务管理模块，系统允许教学内容二次开发需求，可以根据需求自行添加实训案例；系统配置企业信息一键生产功能，18个基础税种模板，发票数据导入模板、客户企业信息等必备资料辅助教学内容二次开发。</w:t>
            </w:r>
          </w:p>
          <w:p w14:paraId="258B370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2.班级管理模块，可以创建多个班级，每个班级无账号数量限制，可通过单个新增、批量新增、EXCEL导入3个方法创建实训账号。</w:t>
            </w:r>
          </w:p>
          <w:p w14:paraId="5D7BEA2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课程管理模块，支持新增、修改、删除课程，可创建多个课程；系统可进行案例分数管理，学生实训数据实时反馈到课程报告/分析模块；根据学生实训情况自动生产实习报告，并允许批量下载；支持一键清除做题结果，方便教学数据清理；平台提供成绩可视化看板，方便老师分析实训情况。</w:t>
            </w:r>
          </w:p>
          <w:p w14:paraId="43FA2FA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4.资源管理模块，可以通过资源库模块上传视频、PDF等学习资料，平台内置了办税指南、微课资源、税收新政、填表说明，满足二次开发需求，可以根据需求上传学习资料。</w:t>
            </w:r>
          </w:p>
          <w:p w14:paraId="2B191D2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5.学生答疑模块，可以通过此功能查看并解答学生在教学或实训过程提交的问题。</w:t>
            </w:r>
          </w:p>
          <w:p w14:paraId="0F18271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6.单据规范管理模块，内置了上百张纳税申报表、发票、财务报表等其他单据。</w:t>
            </w:r>
          </w:p>
          <w:p w14:paraId="766CA9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7.税</w:t>
            </w:r>
            <w:r>
              <w:rPr>
                <w:rFonts w:hint="eastAsia" w:ascii="宋体" w:hAnsi="宋体" w:eastAsia="宋体" w:cs="宋体"/>
                <w:sz w:val="21"/>
                <w:szCs w:val="21"/>
                <w:highlight w:val="none"/>
              </w:rPr>
              <w:t>源模板管理模块，内置18个</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以上的种纳税申报模板，支持二次开发自行创建组合纳税申报及其他类型模板，创建的模板支持进行表内表间的公式编写，可进行模板复制。</w:t>
            </w:r>
          </w:p>
          <w:p w14:paraId="264175F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8.教师账户管理模块可以创建院校教师账户，管理员可以对教师进行管理，设定教师对平台功能权限的应用。</w:t>
            </w:r>
          </w:p>
          <w:p w14:paraId="1110716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9.系统参数设置，设置系统年限、数据库自动备份、数据库备份间隔时间、数据库备份文件保存天数，系统支持手动备份。</w:t>
            </w:r>
          </w:p>
          <w:p w14:paraId="759C257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实训报告分析，系统提供成绩总体概览，展示各成绩段的学生人数与占比，同时提供学生成绩列表，列示学生成绩总分、已完成题目数、实习总题目数的做题情况；支持教师根据学号、姓名对指定学生进行成绩查询，或按班级进行成绩查询；系统提供导出功能，支持导出全体实习报告以压缩包格式供教师下载，支持导出成绩以压缩包形式供教师下载，且成绩压缩包内含汇总成绩、各学生明细成绩多份文档。</w:t>
            </w:r>
          </w:p>
          <w:p w14:paraId="1039CE6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实训成绩可视化看板，系统提供成绩大屏可视化看板，实时展示学生成绩排名、成绩段分布、任务完成情况；展示不同业务分类的成绩可视化图表与不同实训企业的成绩可视化图表，从两个维度反应学生成绩；针对重点难点知识点，对电子税务局纳税申报、开票管理、个税申报业务提供得分图表，帮助教师把控整体教学成果与质量。</w:t>
            </w:r>
          </w:p>
          <w:p w14:paraId="6DA3243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实训学生实习报告，支持查看各个学生实习报告，报告内容含实习内容、实习形式、学生姓名、班级与学号等基本信息；汇总全实习周期内的多个实训企业成绩，展示每个实训企业名称及包含实训业务数量，列示系统评分与评语；报告总结部分展示学生实习心得、实习总结与教师总评语；系统支持直接打印实习报告，或导出PDF文档供教师进行汇总及归档。</w:t>
            </w:r>
          </w:p>
          <w:p w14:paraId="35468D9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实训学生明细成绩，支持查看各个学生明细成绩，提供企业或业务分类两种维度的成绩明细列表；企业明细成绩汇总全实习周期内的多个实训企业成绩，展示每个实训企业涉及税务风险管理、税务优化等多业务小计得分，并支持进一步查看一家实训企业内学生各业务题目得分、做题详情及参考答案；系统明细成绩汇总多个业务模块类型成绩，并支持进一步查看一种业务模块下学生各业务题目得分、做题详情及参考答案。</w:t>
            </w:r>
          </w:p>
          <w:p w14:paraId="05F0486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四、教学辅助模块</w:t>
            </w:r>
          </w:p>
          <w:p w14:paraId="754D547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14:paraId="5F47098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rPr>
              <w:t>2.提供教学互动中心知识栏目：支持为学校构建知识图谱，可通过拖动目录或文件改变知识体系架构；支持在知识内容中插入代码块、超链接、图片等资源内容。</w:t>
            </w:r>
          </w:p>
        </w:tc>
      </w:tr>
      <w:tr w14:paraId="2DC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323CDD5">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一、</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 xml:space="preserve">商务条款 </w:t>
            </w:r>
          </w:p>
        </w:tc>
      </w:tr>
      <w:tr w14:paraId="308C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3B911EB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质保期</w:t>
            </w:r>
          </w:p>
        </w:tc>
        <w:tc>
          <w:tcPr>
            <w:tcW w:w="8731" w:type="dxa"/>
            <w:gridSpan w:val="4"/>
            <w:tcBorders>
              <w:top w:val="single" w:color="auto" w:sz="4" w:space="0"/>
              <w:bottom w:val="single" w:color="auto" w:sz="4" w:space="0"/>
            </w:tcBorders>
            <w:shd w:val="clear" w:color="auto" w:fill="auto"/>
            <w:vAlign w:val="center"/>
          </w:tcPr>
          <w:p w14:paraId="67EA8FCA">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1.按国家有关产品“三包”规定执行“三包”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质保期自交货并验收合格之日起计不少于</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提供升级服务。若产品生产厂家质保期超过此年限的，合同履行过程中按厂家规定执行；若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质保期承诺优于产品生产厂家质保年限的，以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承诺执行。</w:t>
            </w:r>
          </w:p>
          <w:p w14:paraId="24114DEA">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2.从通过验收即日起质保期内所有由于质量问题导致的软、硬件产品故障以</w:t>
            </w:r>
            <w:r>
              <w:rPr>
                <w:rFonts w:hint="eastAsia" w:ascii="宋体" w:hAnsi="宋体" w:eastAsia="宋体" w:cs="宋体"/>
                <w:sz w:val="21"/>
                <w:szCs w:val="21"/>
                <w:highlight w:val="none"/>
                <w:lang w:val="en-US" w:eastAsia="zh-CN"/>
              </w:rPr>
              <w:t>无条件</w:t>
            </w:r>
            <w:r>
              <w:rPr>
                <w:rFonts w:hint="eastAsia" w:ascii="宋体" w:hAnsi="宋体" w:eastAsia="宋体" w:cs="宋体"/>
                <w:sz w:val="21"/>
                <w:szCs w:val="21"/>
                <w:highlight w:val="none"/>
              </w:rPr>
              <w:t>保修、人工及更换备件标准上门服务，并提供终身维护。</w:t>
            </w:r>
          </w:p>
        </w:tc>
      </w:tr>
      <w:tr w14:paraId="06D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7FFFF2B9">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val="en-US" w:eastAsia="zh-CN"/>
              </w:rPr>
              <w:t>售后服务要求</w:t>
            </w:r>
          </w:p>
        </w:tc>
        <w:tc>
          <w:tcPr>
            <w:tcW w:w="8731" w:type="dxa"/>
            <w:gridSpan w:val="4"/>
            <w:tcBorders>
              <w:top w:val="single" w:color="auto" w:sz="4" w:space="0"/>
              <w:bottom w:val="single" w:color="auto" w:sz="4" w:space="0"/>
            </w:tcBorders>
            <w:shd w:val="clear" w:color="auto" w:fill="auto"/>
            <w:vAlign w:val="center"/>
          </w:tcPr>
          <w:p w14:paraId="0A8AAC8A">
            <w:pPr>
              <w:keepNext w:val="0"/>
              <w:keepLines w:val="0"/>
              <w:pageBreakBefore w:val="0"/>
              <w:kinsoku/>
              <w:wordWrap/>
              <w:overflowPunct/>
              <w:topLinePunct w:val="0"/>
              <w:autoSpaceDE/>
              <w:autoSpaceDN/>
              <w:bidi w:val="0"/>
              <w:adjustRightInd/>
              <w:snapToGrid/>
              <w:spacing w:line="360" w:lineRule="auto"/>
              <w:rPr>
                <w:rFonts w:hint="eastAsia" w:ascii="宋体"/>
                <w:strike w:val="0"/>
                <w:dstrike w:val="0"/>
                <w:szCs w:val="21"/>
                <w:highlight w:val="none"/>
              </w:rPr>
            </w:pPr>
            <w:r>
              <w:rPr>
                <w:rFonts w:hint="eastAsia" w:ascii="宋体"/>
                <w:strike w:val="0"/>
                <w:dstrike w:val="0"/>
                <w:szCs w:val="21"/>
                <w:highlight w:val="none"/>
              </w:rPr>
              <w:t>1.</w:t>
            </w:r>
            <w:r>
              <w:rPr>
                <w:rFonts w:hint="eastAsia" w:ascii="宋体"/>
                <w:strike w:val="0"/>
                <w:dstrike w:val="0"/>
                <w:szCs w:val="21"/>
                <w:highlight w:val="none"/>
                <w:lang w:val="en-US" w:eastAsia="zh-CN"/>
              </w:rPr>
              <w:t>无条件</w:t>
            </w:r>
            <w:r>
              <w:rPr>
                <w:rFonts w:hint="eastAsia" w:ascii="宋体"/>
                <w:strike w:val="0"/>
                <w:dstrike w:val="0"/>
                <w:szCs w:val="21"/>
                <w:highlight w:val="none"/>
              </w:rPr>
              <w:t>送货上门。</w:t>
            </w:r>
          </w:p>
          <w:p w14:paraId="62D3C2F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无条件</w:t>
            </w:r>
            <w:r>
              <w:rPr>
                <w:rFonts w:hint="eastAsia" w:ascii="宋体" w:hAnsi="宋体" w:eastAsia="宋体" w:cs="宋体"/>
                <w:szCs w:val="21"/>
                <w:highlight w:val="none"/>
              </w:rPr>
              <w:t>安装调试和培训：</w:t>
            </w:r>
            <w:r>
              <w:rPr>
                <w:rFonts w:hint="eastAsia" w:ascii="宋体" w:hAnsi="宋体" w:eastAsia="宋体" w:cs="宋体"/>
                <w:strike w:val="0"/>
                <w:dstrike w:val="0"/>
                <w:szCs w:val="21"/>
                <w:highlight w:val="none"/>
              </w:rPr>
              <w:t>到货后，</w:t>
            </w:r>
            <w:r>
              <w:rPr>
                <w:rFonts w:hint="eastAsia" w:ascii="宋体" w:hAnsi="宋体" w:cs="宋体"/>
                <w:szCs w:val="21"/>
                <w:highlight w:val="none"/>
                <w:lang w:eastAsia="zh-CN"/>
              </w:rPr>
              <w:t>中标人</w:t>
            </w:r>
            <w:r>
              <w:rPr>
                <w:rFonts w:hint="eastAsia" w:ascii="宋体" w:hAnsi="宋体" w:eastAsia="宋体" w:cs="宋体"/>
                <w:szCs w:val="21"/>
                <w:highlight w:val="none"/>
              </w:rPr>
              <w:t>需在接到</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通知后10个工作日内进行安装调试；提供</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管理人员的现场操作使用及基本维护的培训，确保使用人员能独立、熟练使用。</w:t>
            </w:r>
          </w:p>
          <w:p w14:paraId="51F274C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rPr>
              <w:t>.接到采购人故障通知后，供应商须提供7×24小时服务响应，接故障通知后在1小时内需作出响应，8小时内到达现场并解决故障。</w:t>
            </w:r>
          </w:p>
          <w:p w14:paraId="22D23BB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质量保证期过后，中标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应同样无偿提供电话咨询服务，并应承诺提供产品或服务上门维护。</w:t>
            </w:r>
          </w:p>
          <w:p w14:paraId="5A412CC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eastAsia="宋体" w:cs="宋体"/>
                <w:szCs w:val="21"/>
                <w:highlight w:val="none"/>
              </w:rPr>
              <w:t>质量保证期过后，采购人需要继续由原中标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提供售后服务的，中标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和制造商应以优惠价格提供售后服务。</w:t>
            </w:r>
          </w:p>
          <w:p w14:paraId="52DAA6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highlight w:val="none"/>
                <w:lang w:val="en-US" w:eastAsia="zh-CN"/>
              </w:rPr>
              <w:t>7.</w:t>
            </w:r>
            <w:r>
              <w:rPr>
                <w:rFonts w:hint="eastAsia" w:ascii="宋体" w:hAnsi="宋体" w:eastAsia="宋体" w:cs="宋体"/>
                <w:szCs w:val="21"/>
                <w:highlight w:val="none"/>
              </w:rPr>
              <w:t>培训要求：中标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对其提供产品或服务的使用和操作应尽培训义务。中标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应提供对本项目的使用单位进行培训服务，涉及的相关费用应计算在项目报价内，并使使用人员能独立、熟练操作设备。</w:t>
            </w:r>
          </w:p>
        </w:tc>
      </w:tr>
      <w:tr w14:paraId="2173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550B855">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交货时间及地点</w:t>
            </w:r>
          </w:p>
        </w:tc>
        <w:tc>
          <w:tcPr>
            <w:tcW w:w="8731" w:type="dxa"/>
            <w:gridSpan w:val="4"/>
            <w:tcBorders>
              <w:top w:val="single" w:color="auto" w:sz="4" w:space="0"/>
              <w:bottom w:val="single" w:color="auto" w:sz="4" w:space="0"/>
            </w:tcBorders>
            <w:shd w:val="clear" w:color="auto" w:fill="auto"/>
            <w:vAlign w:val="center"/>
          </w:tcPr>
          <w:p w14:paraId="13A85644">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1.交货时间：自签订合同之日起</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日历日内全部交货安装完成并经采购人验收合格。</w:t>
            </w:r>
          </w:p>
          <w:p w14:paraId="4300315E">
            <w:pPr>
              <w:keepNext w:val="0"/>
              <w:keepLines w:val="0"/>
              <w:pageBreakBefore w:val="0"/>
              <w:kinsoku/>
              <w:wordWrap/>
              <w:overflowPunct/>
              <w:topLinePunct w:val="0"/>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2.交货地点：广西制造工程职业技术学院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采购人指定地点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28A27D37">
            <w:pPr>
              <w:keepNext w:val="0"/>
              <w:keepLines w:val="0"/>
              <w:pageBreakBefore w:val="0"/>
              <w:kinsoku/>
              <w:wordWrap/>
              <w:overflowPunct/>
              <w:topLinePunct w:val="0"/>
              <w:bidi w:val="0"/>
              <w:snapToGrid/>
              <w:spacing w:line="360" w:lineRule="auto"/>
              <w:rPr>
                <w:rFonts w:hint="eastAsia" w:ascii="宋体" w:hAnsi="宋体" w:eastAsia="宋体" w:cs="宋体"/>
                <w:color w:val="FF0000"/>
                <w:sz w:val="21"/>
                <w:szCs w:val="21"/>
                <w:highlight w:val="none"/>
                <w:lang w:eastAsia="zh-CN"/>
              </w:rPr>
            </w:pPr>
            <w:r>
              <w:rPr>
                <w:rFonts w:hint="eastAsia" w:ascii="宋体" w:hAnsi="宋体" w:eastAsia="宋体" w:cs="宋体"/>
                <w:color w:val="auto"/>
                <w:sz w:val="21"/>
                <w:szCs w:val="21"/>
                <w:highlight w:val="none"/>
              </w:rPr>
              <w:t>3.自</w:t>
            </w:r>
            <w:r>
              <w:rPr>
                <w:rFonts w:hint="eastAsia" w:ascii="宋体" w:hAnsi="宋体" w:eastAsia="宋体" w:cs="宋体"/>
                <w:color w:val="auto"/>
                <w:sz w:val="21"/>
                <w:szCs w:val="21"/>
                <w:highlight w:val="none"/>
                <w:lang w:val="en-US" w:eastAsia="zh-CN"/>
              </w:rPr>
              <w:t>中标通知书发出之日</w:t>
            </w:r>
            <w:r>
              <w:rPr>
                <w:rFonts w:hint="eastAsia" w:ascii="宋体" w:hAnsi="宋体" w:eastAsia="宋体" w:cs="宋体"/>
                <w:color w:val="auto"/>
                <w:sz w:val="21"/>
                <w:szCs w:val="21"/>
                <w:highlight w:val="none"/>
              </w:rPr>
              <w:t>起25</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须与采购人签订好合同</w:t>
            </w:r>
            <w:r>
              <w:rPr>
                <w:rFonts w:hint="eastAsia" w:ascii="宋体" w:hAnsi="宋体" w:eastAsia="宋体" w:cs="宋体"/>
                <w:color w:val="auto"/>
                <w:sz w:val="21"/>
                <w:szCs w:val="21"/>
                <w:highlight w:val="none"/>
                <w:lang w:eastAsia="zh-CN"/>
              </w:rPr>
              <w:t>。</w:t>
            </w:r>
          </w:p>
          <w:p w14:paraId="64D45F45">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4.交货方式：现场交货。</w:t>
            </w:r>
          </w:p>
        </w:tc>
      </w:tr>
      <w:tr w14:paraId="6FC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F0D9D8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付款条件</w:t>
            </w:r>
          </w:p>
        </w:tc>
        <w:tc>
          <w:tcPr>
            <w:tcW w:w="8731" w:type="dxa"/>
            <w:gridSpan w:val="4"/>
            <w:tcBorders>
              <w:top w:val="single" w:color="auto" w:sz="4" w:space="0"/>
              <w:bottom w:val="single" w:color="auto" w:sz="4" w:space="0"/>
            </w:tcBorders>
            <w:shd w:val="clear" w:color="auto" w:fill="auto"/>
            <w:vAlign w:val="center"/>
          </w:tcPr>
          <w:p w14:paraId="759D1F30">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签订合同后10个工作日内，采购人向中标人支付合同总金额的50%作为预付款；全部货物到货且经采购人确认后10个工作日内，采购人向中标人支付合同总金额的30%货款；全部安装调试，完成试运行且经采购人验收合格后10个工作日内，采购人向中标人支付合同总金额的20%余款。</w:t>
            </w:r>
          </w:p>
          <w:p w14:paraId="7FBA0157">
            <w:pPr>
              <w:keepNext w:val="0"/>
              <w:keepLines w:val="0"/>
              <w:pageBreakBefore w:val="0"/>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2.采购人付款前，中标人应向采购人开具等额有效的增值税普通发票，采购人未收到发票的，有权不予支付相应款项直至中标人提供合格发票，并不承担延迟付款责任。发票认证通过是付款的必要前提之一。</w:t>
            </w:r>
          </w:p>
          <w:p w14:paraId="59F0EEBF">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3.中标人须根据《广西壮族自治区财政厅关于在政府采购活动中推广使用电子保函的通知》（桂财采〔2023〕92 号）的相关要求，在中标项目签订合同后1个工作日内完成向“广西政府采购金融服务平台”申请预付款保函的事宜，并于收到项目预付款的当日向采购人提供预付款保函，保函有效期不少于90天.</w:t>
            </w:r>
          </w:p>
        </w:tc>
      </w:tr>
      <w:tr w14:paraId="1D1D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13F67D65">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履约保证金</w:t>
            </w:r>
          </w:p>
        </w:tc>
        <w:tc>
          <w:tcPr>
            <w:tcW w:w="8731" w:type="dxa"/>
            <w:gridSpan w:val="4"/>
            <w:tcBorders>
              <w:top w:val="single" w:color="auto" w:sz="4" w:space="0"/>
              <w:bottom w:val="single" w:color="auto" w:sz="4" w:space="0"/>
            </w:tcBorders>
            <w:shd w:val="clear" w:color="auto" w:fill="auto"/>
            <w:vAlign w:val="center"/>
          </w:tcPr>
          <w:p w14:paraId="5102BD96">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0C220E3F">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6E63500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3.履约保证金递交时间：签订合同后</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个工作日内由中标人转入采购人指定保证金账户。</w:t>
            </w:r>
          </w:p>
          <w:p w14:paraId="1CB6FB1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18DC51E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14361AF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742A558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5C61F21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账  号：20036501040014065</w:t>
            </w:r>
          </w:p>
        </w:tc>
      </w:tr>
      <w:tr w14:paraId="73CF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084A620C">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报价要求</w:t>
            </w:r>
          </w:p>
        </w:tc>
        <w:tc>
          <w:tcPr>
            <w:tcW w:w="8731" w:type="dxa"/>
            <w:gridSpan w:val="4"/>
            <w:tcBorders>
              <w:top w:val="single" w:color="auto" w:sz="4" w:space="0"/>
              <w:bottom w:val="single" w:color="auto" w:sz="4" w:space="0"/>
            </w:tcBorders>
            <w:shd w:val="clear" w:color="auto" w:fill="auto"/>
            <w:vAlign w:val="center"/>
          </w:tcPr>
          <w:p w14:paraId="39D2A33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报价为采购人指定地点的现场交货价，包括但不限于：</w:t>
            </w:r>
          </w:p>
          <w:p w14:paraId="37165E3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软件开发部署</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现场指导服务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安装、调试、试运行等费用</w:t>
            </w:r>
            <w:r>
              <w:rPr>
                <w:rFonts w:hint="eastAsia" w:ascii="宋体" w:hAnsi="宋体" w:eastAsia="宋体" w:cs="宋体"/>
                <w:color w:val="000000" w:themeColor="text1"/>
                <w:sz w:val="21"/>
                <w:szCs w:val="21"/>
                <w:highlight w:val="none"/>
                <w14:textFill>
                  <w14:solidFill>
                    <w14:schemeClr w14:val="tx1"/>
                  </w14:solidFill>
                </w14:textFill>
              </w:rPr>
              <w:t>；</w:t>
            </w:r>
          </w:p>
          <w:p w14:paraId="671BE4E4">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2）现场培训、技术支持、售后服务等费用；</w:t>
            </w:r>
          </w:p>
          <w:p w14:paraId="5E8B3448">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3）必要的保险费用和各项税费；</w:t>
            </w:r>
          </w:p>
          <w:p w14:paraId="15AA9C79">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）验收费用等及其他所有可能发生的一切费用。合同实施时，采购人将不予支付成交供</w:t>
            </w:r>
          </w:p>
          <w:p w14:paraId="50A42C3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应商没有列入的项目费用，并认为此项目的费用已包括在总报价中。</w:t>
            </w:r>
          </w:p>
        </w:tc>
      </w:tr>
      <w:tr w14:paraId="546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3AC407B8">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知识产权</w:t>
            </w:r>
          </w:p>
        </w:tc>
        <w:tc>
          <w:tcPr>
            <w:tcW w:w="8731" w:type="dxa"/>
            <w:gridSpan w:val="4"/>
            <w:tcBorders>
              <w:top w:val="single" w:color="auto" w:sz="4" w:space="0"/>
              <w:bottom w:val="single" w:color="auto" w:sz="4" w:space="0"/>
            </w:tcBorders>
            <w:shd w:val="clear" w:color="auto" w:fill="auto"/>
            <w:vAlign w:val="center"/>
          </w:tcPr>
          <w:p w14:paraId="32E00642">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1.采购人在中华人民共和国境内使用</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提供的产品及技术服务时免受第三方提出的侵犯其专利权或其它知识产权的起诉。如果第三方提出侵权指控，</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应承担由此而引起的一切法律责任和费用。</w:t>
            </w:r>
          </w:p>
          <w:p w14:paraId="30A3F4FA">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2.在货物验收时候，如发现存在虚假响应，采购人将终止合同。</w:t>
            </w:r>
          </w:p>
        </w:tc>
      </w:tr>
      <w:tr w14:paraId="0A53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40D42E7C">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规范标准</w:t>
            </w:r>
          </w:p>
        </w:tc>
        <w:tc>
          <w:tcPr>
            <w:tcW w:w="8731" w:type="dxa"/>
            <w:gridSpan w:val="4"/>
            <w:tcBorders>
              <w:top w:val="single" w:color="auto" w:sz="4" w:space="0"/>
              <w:bottom w:val="single" w:color="auto" w:sz="4" w:space="0"/>
            </w:tcBorders>
            <w:shd w:val="clear" w:color="auto" w:fill="auto"/>
            <w:vAlign w:val="center"/>
          </w:tcPr>
          <w:p w14:paraId="3068DC52">
            <w:pPr>
              <w:keepNext w:val="0"/>
              <w:keepLines w:val="0"/>
              <w:pageBreakBefore w:val="0"/>
              <w:kinsoku/>
              <w:wordWrap/>
              <w:overflowPunct/>
              <w:topLinePunct w:val="0"/>
              <w:bidi w:val="0"/>
              <w:snapToGri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sz w:val="21"/>
                <w:szCs w:val="21"/>
                <w:highlight w:val="none"/>
              </w:rPr>
              <w:t>采购标的需执行的国家标准、行业标准、地方标准或者其他标准、规范。多项标准的，按最新标准或较高标准执行。</w:t>
            </w:r>
          </w:p>
        </w:tc>
      </w:tr>
      <w:tr w14:paraId="1D65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5EA68322">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其他要求</w:t>
            </w:r>
          </w:p>
        </w:tc>
        <w:tc>
          <w:tcPr>
            <w:tcW w:w="8731" w:type="dxa"/>
            <w:gridSpan w:val="4"/>
            <w:tcBorders>
              <w:top w:val="single" w:color="auto" w:sz="4" w:space="0"/>
              <w:bottom w:val="single" w:color="auto" w:sz="4" w:space="0"/>
            </w:tcBorders>
            <w:shd w:val="clear" w:color="auto" w:fill="auto"/>
            <w:vAlign w:val="center"/>
          </w:tcPr>
          <w:p w14:paraId="5020AFA0">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向采购人提供的货物必须是符合国家质量标准和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规定标准的全新、完整、未使用过的，本次采购货物不接受进口产品且所有产品必须有正规的合格证书。</w:t>
            </w:r>
          </w:p>
          <w:p w14:paraId="114ECE45">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.为确保售后服务质量，</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必须提供不少于1人的运维服务人员名单、联系电话。</w:t>
            </w:r>
          </w:p>
          <w:p w14:paraId="5E2BB93D">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必须严格按时间进度和</w:t>
            </w:r>
            <w:r>
              <w:rPr>
                <w:rFonts w:hint="eastAsia" w:ascii="宋体" w:hAnsi="宋体" w:eastAsia="宋体" w:cs="宋体"/>
                <w:bCs/>
                <w:sz w:val="21"/>
                <w:szCs w:val="21"/>
                <w:highlight w:val="none"/>
                <w:lang w:eastAsia="zh-CN"/>
              </w:rPr>
              <w:t>本分标</w:t>
            </w:r>
            <w:r>
              <w:rPr>
                <w:rFonts w:hint="eastAsia" w:ascii="宋体" w:hAnsi="宋体" w:eastAsia="宋体" w:cs="宋体"/>
                <w:bCs/>
                <w:sz w:val="21"/>
                <w:szCs w:val="21"/>
                <w:highlight w:val="none"/>
              </w:rPr>
              <w:t>要求完成所有工作，若出现不按要求完成相关工作的，经双方协商未果，采购人有权解除合同并追究</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相关责任。</w:t>
            </w:r>
          </w:p>
          <w:p w14:paraId="4EA6CC75">
            <w:pPr>
              <w:keepNext w:val="0"/>
              <w:keepLines w:val="0"/>
              <w:pageBreakBefore w:val="0"/>
              <w:numPr>
                <w:ilvl w:val="0"/>
                <w:numId w:val="0"/>
              </w:numPr>
              <w:kinsoku/>
              <w:wordWrap/>
              <w:overflowPunct/>
              <w:topLinePunct w:val="0"/>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中标人提供的所有货物必须为正规厂家制造、合法渠道供应的全新产品，并保证本分标使用的任何产品不会产生因第三方提出侵犯其所有权而引起的法律和经济纠纷，如因此而引起的法律和经济纠纷，由中标人自行承担所有相关责任。</w:t>
            </w:r>
          </w:p>
          <w:p w14:paraId="4AEF6D8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5.在正常安装、使用过程中，凡是因产品质量问题所造成采购人损失的，中标人负责赔偿采购人的一切经济损失。</w:t>
            </w:r>
          </w:p>
        </w:tc>
      </w:tr>
      <w:tr w14:paraId="5FC3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gridSpan w:val="2"/>
            <w:tcBorders>
              <w:top w:val="single" w:color="auto" w:sz="4" w:space="0"/>
              <w:bottom w:val="single" w:color="auto" w:sz="4" w:space="0"/>
            </w:tcBorders>
            <w:shd w:val="clear" w:color="auto" w:fill="auto"/>
            <w:vAlign w:val="center"/>
          </w:tcPr>
          <w:p w14:paraId="27B6D93C">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采购标的验收标准</w:t>
            </w:r>
          </w:p>
        </w:tc>
        <w:tc>
          <w:tcPr>
            <w:tcW w:w="8731" w:type="dxa"/>
            <w:gridSpan w:val="4"/>
            <w:tcBorders>
              <w:top w:val="single" w:color="auto" w:sz="4" w:space="0"/>
              <w:bottom w:val="single" w:color="auto" w:sz="4" w:space="0"/>
            </w:tcBorders>
            <w:shd w:val="clear" w:color="auto" w:fill="auto"/>
            <w:vAlign w:val="center"/>
          </w:tcPr>
          <w:p w14:paraId="187EC61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以根据采购项目具体情况自行组织验收，或者委托第三方机构或部门开展采购项目履约验收工作，验收过程中所产生的一切费用均由中标人承担，履约验收服务费按照分标中标金额的≤0.9%收取，投标人在投标报价时应考虑相关费用。</w:t>
            </w:r>
          </w:p>
          <w:p w14:paraId="4CA1DD6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2.在验收过程中发现中标人有违约问题，可暂缓资金结算，待违约问题解决后，方可办理资金结算事宜。</w:t>
            </w:r>
          </w:p>
          <w:p w14:paraId="163A891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3.验收依据：按合同要求及国家标准进行验收。</w:t>
            </w:r>
          </w:p>
          <w:p w14:paraId="6F18CC3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4.验收标准</w:t>
            </w:r>
          </w:p>
          <w:p w14:paraId="4740C89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（1）所供产品的规格、数量、功能等符合招标文件采购需求及采购合同约定的要求。</w:t>
            </w:r>
          </w:p>
          <w:p w14:paraId="789E3B4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）如有抽检要求的，检测结果符合招标文件采购需求及采购合同约定的要求。</w:t>
            </w:r>
          </w:p>
          <w:p w14:paraId="7C2C25C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）所有产品均已运输至指定地点，并安装调试完毕。</w:t>
            </w:r>
          </w:p>
          <w:p w14:paraId="3E0C25A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）招标文件采购需求及采购合同约定的附件、工具、技术资料等齐全；提供产品使用说明书、合格证。</w:t>
            </w:r>
          </w:p>
          <w:p w14:paraId="3084C4A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）货物技术参数应与投标文件中偏离表或证明材料一致，性能或指标达到规定的标准。否则，以实际货物或服务技术参数与投标文件偏离表参数或证明材料比较，按如下情况处理：</w:t>
            </w:r>
          </w:p>
          <w:p w14:paraId="1CBEA30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①供应商投标文件偏离表或证明材料中满足或优于的技术参数，在验收时实际不满足技术参数要求的，视为供货商违约，采购人有权终止合同拒收货物，并追究供应商责任。</w:t>
            </w:r>
          </w:p>
          <w:p w14:paraId="330D7608">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②供应商投标文件偏离表或证明材料中优于的技术参数，在验收时实际仅满足并未优于技术参数要求的，视为供货商违约，采购人有权终止合同拒收货物，并追究供应商责任。</w:t>
            </w:r>
          </w:p>
          <w:p w14:paraId="26BA4FB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③供应商投标文件偏离表或证明材料中不满足的技术参数，在验收时实际满足技术参数的要求，以满足技术参数的要求验收。 </w:t>
            </w:r>
          </w:p>
          <w:p w14:paraId="0AEB44F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④供应商投标文件偏离表或证明材料中满足的技术参数，在验收时实际优于技术参数的要求，以满足技术参数的要求验收。</w:t>
            </w:r>
          </w:p>
          <w:p w14:paraId="7610B75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⑤供应商投标文件偏离表或证明材料中优于的技术参数，在验收时实际也优于技术参数的要求，但没有达到响应表或证明材料中优于的程度，由采购人与供应商协商按是否满足要求验收。</w:t>
            </w:r>
          </w:p>
          <w:p w14:paraId="0507664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⑥实际货物与响应货物型号不一致的，验收时不论实际是优于还是满足技术参数的要求，采购人均有权终止合同拒收货物，并追究供应商责任。</w:t>
            </w:r>
          </w:p>
          <w:p w14:paraId="1873095E">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5.验收要求</w:t>
            </w:r>
          </w:p>
          <w:p w14:paraId="181F59D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验收小组以项目采购文件及采购合同为验收依据，对供货产品技术参数核对检验，如不符合技术参数要求的，中标人承担所有责任和费用。采购人保留进一步追究责任的权利。</w:t>
            </w:r>
          </w:p>
          <w:p w14:paraId="424F4A70">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57B537A5">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（2）验收时中标人提供验收文档，包括但不限于（如有）：技术方案、实施方案、售后服务方案、培训方案、系统部署文档、测试文档、使用说明书、电子文档，以及对所有需要进行核查的原件等。</w:t>
            </w:r>
          </w:p>
          <w:p w14:paraId="36E142F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4783D84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（4）如中标人提供虚假材料的，除按相关规定做违约处理外，采购人依据相关法律规定追究中标人的责任，由此带来的一切责任及损失由中标人自行承担。</w:t>
            </w:r>
          </w:p>
          <w:p w14:paraId="34B3C3C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48CD88E1">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（6）项目验收过程中，采购人需委托第三方检测机构介入的，费用由中标人另行承担。</w:t>
            </w:r>
          </w:p>
        </w:tc>
      </w:tr>
      <w:tr w14:paraId="12CB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3CE4D4CF">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二、与实现项目目标相关的其他要求</w:t>
            </w:r>
          </w:p>
        </w:tc>
      </w:tr>
      <w:tr w14:paraId="5A4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6A896D66">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（一）投标人的履约能力要求</w:t>
            </w:r>
          </w:p>
        </w:tc>
      </w:tr>
      <w:tr w14:paraId="71E3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0254188C">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质量管理、企业信用要求</w:t>
            </w:r>
          </w:p>
        </w:tc>
        <w:tc>
          <w:tcPr>
            <w:tcW w:w="8664" w:type="dxa"/>
            <w:gridSpan w:val="3"/>
            <w:tcBorders>
              <w:top w:val="single" w:color="auto" w:sz="4" w:space="0"/>
              <w:bottom w:val="single" w:color="auto" w:sz="4" w:space="0"/>
            </w:tcBorders>
            <w:shd w:val="clear" w:color="auto" w:fill="auto"/>
            <w:vAlign w:val="center"/>
          </w:tcPr>
          <w:p w14:paraId="1AF908F9">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6EAE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7CE61F8B">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能力或者业绩要求</w:t>
            </w:r>
          </w:p>
        </w:tc>
        <w:tc>
          <w:tcPr>
            <w:tcW w:w="8664" w:type="dxa"/>
            <w:gridSpan w:val="3"/>
            <w:tcBorders>
              <w:top w:val="single" w:color="auto" w:sz="4" w:space="0"/>
              <w:bottom w:val="single" w:color="auto" w:sz="4" w:space="0"/>
            </w:tcBorders>
            <w:shd w:val="clear" w:color="auto" w:fill="auto"/>
            <w:vAlign w:val="center"/>
          </w:tcPr>
          <w:p w14:paraId="4295ED5E">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如有，请结合本招标文件“评标办法及评分标准”在投标文件中自行提供。</w:t>
            </w:r>
          </w:p>
        </w:tc>
      </w:tr>
      <w:tr w14:paraId="05D4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D89F292">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（二）政策性加分条件</w:t>
            </w:r>
          </w:p>
        </w:tc>
      </w:tr>
      <w:tr w14:paraId="1246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1DF4B6F4">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w:t>
            </w:r>
          </w:p>
        </w:tc>
      </w:tr>
      <w:tr w14:paraId="6D77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593F005">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（三）进口产品及核心产品说明</w:t>
            </w:r>
          </w:p>
        </w:tc>
      </w:tr>
      <w:tr w14:paraId="711D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33B23F72">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15625BC9">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本分标第</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项产品“</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b/>
                <w:szCs w:val="21"/>
                <w:highlight w:val="none"/>
                <w:u w:val="single"/>
              </w:rPr>
              <w:t>业财融合实践教学平台</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”为核心产品</w:t>
            </w:r>
            <w:r>
              <w:rPr>
                <w:rFonts w:hint="eastAsia" w:ascii="宋体" w:hAnsi="宋体" w:eastAsia="宋体" w:cs="宋体"/>
                <w:color w:val="000000" w:themeColor="text1"/>
                <w:sz w:val="21"/>
                <w:szCs w:val="21"/>
                <w:highlight w:val="none"/>
                <w14:textFill>
                  <w14:solidFill>
                    <w14:schemeClr w14:val="tx1"/>
                  </w14:solidFill>
                </w14:textFill>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514B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31" w:type="dxa"/>
            <w:gridSpan w:val="6"/>
            <w:tcBorders>
              <w:top w:val="single" w:color="auto" w:sz="4" w:space="0"/>
              <w:bottom w:val="single" w:color="auto" w:sz="4" w:space="0"/>
            </w:tcBorders>
            <w:shd w:val="clear" w:color="auto" w:fill="auto"/>
            <w:vAlign w:val="center"/>
          </w:tcPr>
          <w:p w14:paraId="5D75AA3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三、其他说明</w:t>
            </w:r>
          </w:p>
        </w:tc>
      </w:tr>
      <w:tr w14:paraId="1A40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1360FCC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664" w:type="dxa"/>
            <w:gridSpan w:val="3"/>
            <w:tcBorders>
              <w:top w:val="single" w:color="auto" w:sz="4" w:space="0"/>
              <w:bottom w:val="single" w:color="auto" w:sz="4" w:space="0"/>
            </w:tcBorders>
            <w:shd w:val="clear" w:color="auto" w:fill="auto"/>
            <w:vAlign w:val="center"/>
          </w:tcPr>
          <w:p w14:paraId="39B1E546">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本项目评标时以本项目预算金额为最高限价，</w:t>
            </w:r>
            <w:r>
              <w:rPr>
                <w:rFonts w:hint="eastAsia" w:ascii="宋体" w:hAnsi="宋体" w:eastAsia="宋体" w:cs="宋体"/>
                <w:b/>
                <w:bCs/>
                <w:color w:val="000000" w:themeColor="text1"/>
                <w:sz w:val="21"/>
                <w:szCs w:val="21"/>
                <w:highlight w:val="none"/>
                <w14:textFill>
                  <w14:solidFill>
                    <w14:schemeClr w14:val="tx1"/>
                  </w14:solidFill>
                </w14:textFill>
              </w:rPr>
              <w:t>评标时以最高限价为评标依据，投标人投标报价超出最高限价的作无效投标处理</w:t>
            </w:r>
            <w:r>
              <w:rPr>
                <w:rFonts w:hint="eastAsia" w:ascii="宋体" w:hAnsi="宋体" w:eastAsia="宋体" w:cs="宋体"/>
                <w:color w:val="000000" w:themeColor="text1"/>
                <w:sz w:val="21"/>
                <w:szCs w:val="21"/>
                <w:highlight w:val="none"/>
                <w14:textFill>
                  <w14:solidFill>
                    <w14:schemeClr w14:val="tx1"/>
                  </w14:solidFill>
                </w14:textFill>
              </w:rPr>
              <w:t>。</w:t>
            </w:r>
          </w:p>
        </w:tc>
      </w:tr>
      <w:tr w14:paraId="10F8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7" w:type="dxa"/>
            <w:gridSpan w:val="3"/>
            <w:tcBorders>
              <w:top w:val="single" w:color="auto" w:sz="4" w:space="0"/>
              <w:bottom w:val="single" w:color="auto" w:sz="4" w:space="0"/>
            </w:tcBorders>
            <w:shd w:val="clear" w:color="auto" w:fill="auto"/>
            <w:vAlign w:val="center"/>
          </w:tcPr>
          <w:p w14:paraId="4F40B5E8">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供应商其他要求</w:t>
            </w:r>
          </w:p>
        </w:tc>
        <w:tc>
          <w:tcPr>
            <w:tcW w:w="8664" w:type="dxa"/>
            <w:gridSpan w:val="3"/>
            <w:tcBorders>
              <w:top w:val="single" w:color="auto" w:sz="4" w:space="0"/>
              <w:bottom w:val="single" w:color="auto" w:sz="4" w:space="0"/>
            </w:tcBorders>
            <w:shd w:val="clear" w:color="auto" w:fill="auto"/>
            <w:vAlign w:val="center"/>
          </w:tcPr>
          <w:p w14:paraId="14A064B1">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kern w:val="0"/>
                <w:sz w:val="21"/>
                <w:szCs w:val="21"/>
                <w:highlight w:val="none"/>
              </w:rPr>
              <w:t>投标人</w:t>
            </w:r>
            <w:r>
              <w:rPr>
                <w:rFonts w:hint="eastAsia" w:ascii="宋体" w:hAnsi="宋体" w:eastAsia="宋体" w:cs="宋体"/>
                <w:sz w:val="21"/>
                <w:szCs w:val="21"/>
                <w:highlight w:val="none"/>
              </w:rPr>
              <w:t>应根据项目要求，可在投标文件中提供包括：项目实施方案、项目质量进度、控制方案、售后服务方案</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信誉、业绩等内容。</w:t>
            </w:r>
          </w:p>
        </w:tc>
      </w:tr>
      <w:tr w14:paraId="28D3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567" w:type="dxa"/>
            <w:gridSpan w:val="3"/>
            <w:tcBorders>
              <w:top w:val="single" w:color="auto" w:sz="4" w:space="0"/>
              <w:bottom w:val="single" w:color="auto" w:sz="4" w:space="0"/>
            </w:tcBorders>
            <w:shd w:val="clear" w:color="auto" w:fill="auto"/>
            <w:vAlign w:val="center"/>
          </w:tcPr>
          <w:p w14:paraId="16BFCD8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szCs w:val="21"/>
                <w:highlight w:val="none"/>
              </w:rPr>
              <w:t>演示要求</w:t>
            </w:r>
          </w:p>
        </w:tc>
        <w:tc>
          <w:tcPr>
            <w:tcW w:w="8664" w:type="dxa"/>
            <w:gridSpan w:val="3"/>
            <w:tcBorders>
              <w:top w:val="single" w:color="auto" w:sz="4" w:space="0"/>
              <w:bottom w:val="single" w:color="auto" w:sz="4" w:space="0"/>
            </w:tcBorders>
            <w:shd w:val="clear" w:color="auto" w:fill="auto"/>
            <w:vAlign w:val="center"/>
          </w:tcPr>
          <w:p w14:paraId="0215BA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投标人需在评审时（具体时间由采购代理机构通知）对《具体说明、功能及技术参数要求》中标注“◆”功能通过广西政府采购云平台进行在线详细讲解和阐述。供应商自行准备线上演示所需的摄像头、话筒等设备，每家供应商线上演示时间均不超过15分钟，演示的过程作为评审的重要依据，不演示不得分，具体内容详见《评标方法及评标标准》。</w:t>
            </w:r>
          </w:p>
        </w:tc>
      </w:tr>
    </w:tbl>
    <w:p w14:paraId="7424D6D5">
      <w:pPr>
        <w:pStyle w:val="59"/>
        <w:rPr>
          <w:color w:val="000000"/>
          <w:highlight w:val="none"/>
        </w:rPr>
        <w:sectPr>
          <w:footerReference r:id="rId8" w:type="default"/>
          <w:pgSz w:w="11906" w:h="16838"/>
          <w:pgMar w:top="1701" w:right="1701" w:bottom="1701" w:left="1701" w:header="851" w:footer="992" w:gutter="0"/>
          <w:cols w:space="720" w:num="1"/>
          <w:titlePg/>
          <w:docGrid w:linePitch="312" w:charSpace="0"/>
        </w:sectPr>
      </w:pPr>
    </w:p>
    <w:p w14:paraId="411444C0">
      <w:pPr>
        <w:jc w:val="both"/>
        <w:rPr>
          <w:rFonts w:ascii="Arial Unicode MS" w:hAnsi="Arial Unicode MS" w:cs="Arial Unicode MS"/>
          <w:b/>
          <w:bCs/>
          <w:sz w:val="32"/>
          <w:szCs w:val="32"/>
          <w:highlight w:val="none"/>
        </w:rPr>
      </w:pPr>
      <w:r>
        <w:rPr>
          <w:rFonts w:hint="eastAsia" w:ascii="Arial Unicode MS" w:hAnsi="Arial Unicode MS" w:cs="Arial Unicode MS"/>
          <w:b/>
          <w:bCs/>
          <w:sz w:val="32"/>
          <w:szCs w:val="32"/>
          <w:highlight w:val="none"/>
        </w:rPr>
        <w:t>附件3：节能产品政府采购品目清单</w:t>
      </w:r>
    </w:p>
    <w:p w14:paraId="4D8445A2">
      <w:pPr>
        <w:rPr>
          <w:highlight w:val="none"/>
        </w:rPr>
      </w:pPr>
    </w:p>
    <w:tbl>
      <w:tblPr>
        <w:tblStyle w:val="4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14:paraId="0AF5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14:paraId="78355C99">
            <w:pPr>
              <w:pStyle w:val="32"/>
              <w:spacing w:line="400" w:lineRule="exact"/>
              <w:jc w:val="both"/>
              <w:rPr>
                <w:rFonts w:ascii="宋体" w:hAnsi="宋体" w:cs="宋体"/>
                <w:b/>
                <w:bCs/>
                <w:sz w:val="21"/>
                <w:szCs w:val="21"/>
                <w:highlight w:val="none"/>
              </w:rPr>
            </w:pPr>
            <w:r>
              <w:rPr>
                <w:rFonts w:hint="eastAsia" w:ascii="宋体" w:hAnsi="宋体" w:cs="宋体"/>
                <w:b/>
                <w:bCs/>
                <w:sz w:val="21"/>
                <w:szCs w:val="21"/>
                <w:highlight w:val="none"/>
              </w:rPr>
              <w:t>品目序号</w:t>
            </w:r>
          </w:p>
        </w:tc>
        <w:tc>
          <w:tcPr>
            <w:tcW w:w="4456" w:type="dxa"/>
            <w:gridSpan w:val="3"/>
            <w:vAlign w:val="center"/>
          </w:tcPr>
          <w:p w14:paraId="02D2C708">
            <w:pPr>
              <w:spacing w:line="400" w:lineRule="exact"/>
              <w:jc w:val="center"/>
              <w:rPr>
                <w:rFonts w:ascii="宋体" w:hAnsi="宋体" w:cs="宋体"/>
                <w:b/>
                <w:bCs/>
                <w:szCs w:val="21"/>
                <w:highlight w:val="none"/>
              </w:rPr>
            </w:pPr>
            <w:r>
              <w:rPr>
                <w:rFonts w:hint="eastAsia" w:ascii="宋体" w:hAnsi="宋体" w:cs="宋体"/>
                <w:b/>
                <w:bCs/>
                <w:szCs w:val="21"/>
                <w:highlight w:val="none"/>
              </w:rPr>
              <w:t>名称</w:t>
            </w:r>
          </w:p>
        </w:tc>
        <w:tc>
          <w:tcPr>
            <w:tcW w:w="4051" w:type="dxa"/>
            <w:vAlign w:val="center"/>
          </w:tcPr>
          <w:p w14:paraId="3E2645B9">
            <w:pPr>
              <w:spacing w:line="400" w:lineRule="exact"/>
              <w:jc w:val="center"/>
              <w:rPr>
                <w:rFonts w:ascii="宋体" w:hAnsi="宋体" w:cs="宋体"/>
                <w:b/>
                <w:bCs/>
                <w:szCs w:val="21"/>
                <w:highlight w:val="none"/>
              </w:rPr>
            </w:pPr>
            <w:r>
              <w:rPr>
                <w:rFonts w:hint="eastAsia" w:ascii="宋体" w:hAnsi="宋体" w:cs="宋体"/>
                <w:b/>
                <w:bCs/>
                <w:szCs w:val="21"/>
                <w:highlight w:val="none"/>
              </w:rPr>
              <w:t>依据</w:t>
            </w:r>
          </w:p>
        </w:tc>
      </w:tr>
      <w:tr w14:paraId="0843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42C0979D">
            <w:pPr>
              <w:pStyle w:val="120"/>
              <w:spacing w:line="320" w:lineRule="exact"/>
              <w:jc w:val="both"/>
              <w:rPr>
                <w:rFonts w:ascii="宋体" w:hAnsi="宋体" w:cs="宋体"/>
                <w:kern w:val="2"/>
                <w:sz w:val="21"/>
                <w:szCs w:val="21"/>
                <w:highlight w:val="none"/>
                <w:lang w:eastAsia="zh-CN"/>
              </w:rPr>
            </w:pPr>
          </w:p>
          <w:p w14:paraId="2FA10274">
            <w:pPr>
              <w:pStyle w:val="120"/>
              <w:spacing w:line="320" w:lineRule="exact"/>
              <w:jc w:val="both"/>
              <w:rPr>
                <w:rFonts w:ascii="宋体" w:hAnsi="宋体" w:cs="宋体"/>
                <w:kern w:val="2"/>
                <w:sz w:val="21"/>
                <w:szCs w:val="21"/>
                <w:highlight w:val="none"/>
                <w:lang w:eastAsia="zh-CN"/>
              </w:rPr>
            </w:pPr>
          </w:p>
          <w:p w14:paraId="459E7C96">
            <w:pPr>
              <w:pStyle w:val="120"/>
              <w:spacing w:line="320" w:lineRule="exact"/>
              <w:jc w:val="both"/>
              <w:rPr>
                <w:rFonts w:ascii="宋体" w:hAnsi="宋体" w:cs="宋体"/>
                <w:kern w:val="2"/>
                <w:sz w:val="21"/>
                <w:szCs w:val="21"/>
                <w:highlight w:val="none"/>
                <w:lang w:eastAsia="zh-CN"/>
              </w:rPr>
            </w:pPr>
          </w:p>
          <w:p w14:paraId="495F0623">
            <w:pPr>
              <w:pStyle w:val="120"/>
              <w:spacing w:line="320" w:lineRule="exact"/>
              <w:jc w:val="both"/>
              <w:rPr>
                <w:rFonts w:ascii="宋体" w:hAnsi="宋体" w:cs="宋体"/>
                <w:kern w:val="2"/>
                <w:sz w:val="21"/>
                <w:szCs w:val="21"/>
                <w:highlight w:val="none"/>
                <w:lang w:eastAsia="zh-CN"/>
              </w:rPr>
            </w:pPr>
          </w:p>
          <w:p w14:paraId="3BE1DC21">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w:t>
            </w:r>
          </w:p>
        </w:tc>
        <w:tc>
          <w:tcPr>
            <w:tcW w:w="1000" w:type="dxa"/>
            <w:vMerge w:val="restart"/>
            <w:vAlign w:val="center"/>
          </w:tcPr>
          <w:p w14:paraId="5F42CF73">
            <w:pPr>
              <w:pStyle w:val="120"/>
              <w:spacing w:line="320" w:lineRule="exact"/>
              <w:jc w:val="both"/>
              <w:rPr>
                <w:rFonts w:ascii="宋体" w:hAnsi="宋体" w:cs="宋体"/>
                <w:kern w:val="2"/>
                <w:sz w:val="21"/>
                <w:szCs w:val="21"/>
                <w:highlight w:val="none"/>
                <w:lang w:eastAsia="zh-CN"/>
              </w:rPr>
            </w:pPr>
          </w:p>
          <w:p w14:paraId="0F29B80E">
            <w:pPr>
              <w:pStyle w:val="120"/>
              <w:spacing w:line="320" w:lineRule="exact"/>
              <w:jc w:val="both"/>
              <w:rPr>
                <w:rFonts w:ascii="宋体" w:hAnsi="宋体" w:cs="宋体"/>
                <w:kern w:val="2"/>
                <w:sz w:val="21"/>
                <w:szCs w:val="21"/>
                <w:highlight w:val="none"/>
                <w:lang w:eastAsia="zh-CN"/>
              </w:rPr>
            </w:pPr>
          </w:p>
          <w:p w14:paraId="46A469CC">
            <w:pPr>
              <w:pStyle w:val="120"/>
              <w:spacing w:line="320" w:lineRule="exact"/>
              <w:jc w:val="both"/>
              <w:rPr>
                <w:rFonts w:ascii="宋体" w:hAnsi="宋体" w:cs="宋体"/>
                <w:kern w:val="2"/>
                <w:sz w:val="21"/>
                <w:szCs w:val="21"/>
                <w:highlight w:val="none"/>
                <w:lang w:eastAsia="zh-CN"/>
              </w:rPr>
            </w:pPr>
          </w:p>
          <w:p w14:paraId="3316DEE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A020101计算</w:t>
            </w:r>
          </w:p>
          <w:p w14:paraId="625620D2">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机设备</w:t>
            </w:r>
          </w:p>
        </w:tc>
        <w:tc>
          <w:tcPr>
            <w:tcW w:w="1875" w:type="dxa"/>
            <w:vAlign w:val="center"/>
          </w:tcPr>
          <w:p w14:paraId="780E7C7C">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★A02010104台式计算机</w:t>
            </w:r>
          </w:p>
        </w:tc>
        <w:tc>
          <w:tcPr>
            <w:tcW w:w="1581" w:type="dxa"/>
            <w:vAlign w:val="center"/>
          </w:tcPr>
          <w:p w14:paraId="10C92446">
            <w:pPr>
              <w:spacing w:line="320" w:lineRule="exact"/>
              <w:rPr>
                <w:rFonts w:ascii="宋体" w:hAnsi="宋体" w:cs="宋体"/>
                <w:szCs w:val="21"/>
                <w:highlight w:val="none"/>
              </w:rPr>
            </w:pPr>
          </w:p>
        </w:tc>
        <w:tc>
          <w:tcPr>
            <w:tcW w:w="4051" w:type="dxa"/>
            <w:vAlign w:val="center"/>
          </w:tcPr>
          <w:p w14:paraId="28B5886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《微型计算机能效限定值及能效等级》（GB28380）</w:t>
            </w:r>
          </w:p>
        </w:tc>
      </w:tr>
      <w:tr w14:paraId="09CA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132F425">
            <w:pPr>
              <w:spacing w:line="320" w:lineRule="exact"/>
              <w:rPr>
                <w:rFonts w:ascii="宋体" w:hAnsi="宋体" w:cs="宋体"/>
                <w:szCs w:val="21"/>
                <w:highlight w:val="none"/>
              </w:rPr>
            </w:pPr>
          </w:p>
        </w:tc>
        <w:tc>
          <w:tcPr>
            <w:tcW w:w="1000" w:type="dxa"/>
            <w:vMerge w:val="continue"/>
            <w:vAlign w:val="center"/>
          </w:tcPr>
          <w:p w14:paraId="64550A1E">
            <w:pPr>
              <w:spacing w:line="320" w:lineRule="exact"/>
              <w:rPr>
                <w:rFonts w:ascii="宋体" w:hAnsi="宋体" w:cs="宋体"/>
                <w:szCs w:val="21"/>
                <w:highlight w:val="none"/>
              </w:rPr>
            </w:pPr>
          </w:p>
        </w:tc>
        <w:tc>
          <w:tcPr>
            <w:tcW w:w="1875" w:type="dxa"/>
            <w:vAlign w:val="center"/>
          </w:tcPr>
          <w:p w14:paraId="612F8EDA">
            <w:pPr>
              <w:spacing w:line="320" w:lineRule="exact"/>
              <w:rPr>
                <w:rFonts w:ascii="宋体" w:hAnsi="宋体" w:cs="宋体"/>
                <w:szCs w:val="21"/>
                <w:highlight w:val="none"/>
              </w:rPr>
            </w:pPr>
            <w:r>
              <w:rPr>
                <w:rFonts w:hint="eastAsia" w:ascii="宋体" w:hAnsi="宋体" w:cs="宋体"/>
                <w:szCs w:val="21"/>
                <w:highlight w:val="none"/>
              </w:rPr>
              <w:t>★A02010105便携式计算机</w:t>
            </w:r>
          </w:p>
        </w:tc>
        <w:tc>
          <w:tcPr>
            <w:tcW w:w="1581" w:type="dxa"/>
            <w:vAlign w:val="center"/>
          </w:tcPr>
          <w:p w14:paraId="7BE45773">
            <w:pPr>
              <w:spacing w:line="320" w:lineRule="exact"/>
              <w:rPr>
                <w:rFonts w:ascii="宋体" w:hAnsi="宋体" w:cs="宋体"/>
                <w:szCs w:val="21"/>
                <w:highlight w:val="none"/>
              </w:rPr>
            </w:pPr>
          </w:p>
        </w:tc>
        <w:tc>
          <w:tcPr>
            <w:tcW w:w="4051" w:type="dxa"/>
            <w:vAlign w:val="center"/>
          </w:tcPr>
          <w:p w14:paraId="5285AD2E">
            <w:pPr>
              <w:spacing w:line="320" w:lineRule="exact"/>
              <w:rPr>
                <w:rFonts w:ascii="宋体" w:hAnsi="宋体" w:cs="宋体"/>
                <w:szCs w:val="21"/>
                <w:highlight w:val="none"/>
              </w:rPr>
            </w:pPr>
            <w:r>
              <w:rPr>
                <w:rFonts w:hint="eastAsia" w:ascii="宋体" w:hAnsi="宋体" w:cs="宋体"/>
                <w:szCs w:val="21"/>
                <w:highlight w:val="none"/>
              </w:rPr>
              <w:t>《微型计算机能效限定值及能效等级》（GB28380）</w:t>
            </w:r>
          </w:p>
        </w:tc>
      </w:tr>
      <w:tr w14:paraId="070A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0C3D16E">
            <w:pPr>
              <w:spacing w:line="320" w:lineRule="exact"/>
              <w:rPr>
                <w:rFonts w:ascii="宋体" w:hAnsi="宋体" w:cs="宋体"/>
                <w:szCs w:val="21"/>
                <w:highlight w:val="none"/>
              </w:rPr>
            </w:pPr>
          </w:p>
        </w:tc>
        <w:tc>
          <w:tcPr>
            <w:tcW w:w="1000" w:type="dxa"/>
            <w:vMerge w:val="continue"/>
            <w:vAlign w:val="center"/>
          </w:tcPr>
          <w:p w14:paraId="467BB221">
            <w:pPr>
              <w:spacing w:line="320" w:lineRule="exact"/>
              <w:rPr>
                <w:rFonts w:ascii="宋体" w:hAnsi="宋体" w:cs="宋体"/>
                <w:szCs w:val="21"/>
                <w:highlight w:val="none"/>
              </w:rPr>
            </w:pPr>
          </w:p>
        </w:tc>
        <w:tc>
          <w:tcPr>
            <w:tcW w:w="1875" w:type="dxa"/>
            <w:vAlign w:val="center"/>
          </w:tcPr>
          <w:p w14:paraId="2AB37FC7">
            <w:pPr>
              <w:spacing w:line="320" w:lineRule="exact"/>
              <w:rPr>
                <w:rFonts w:ascii="宋体" w:hAnsi="宋体" w:cs="宋体"/>
                <w:szCs w:val="21"/>
                <w:highlight w:val="none"/>
              </w:rPr>
            </w:pPr>
            <w:r>
              <w:rPr>
                <w:rFonts w:hint="eastAsia" w:ascii="宋体" w:hAnsi="宋体" w:cs="宋体"/>
                <w:szCs w:val="21"/>
                <w:highlight w:val="none"/>
              </w:rPr>
              <w:t>★A02010107平板式微型计算机</w:t>
            </w:r>
          </w:p>
        </w:tc>
        <w:tc>
          <w:tcPr>
            <w:tcW w:w="1581" w:type="dxa"/>
            <w:vAlign w:val="center"/>
          </w:tcPr>
          <w:p w14:paraId="2E364E5E">
            <w:pPr>
              <w:spacing w:line="320" w:lineRule="exact"/>
              <w:rPr>
                <w:rFonts w:ascii="宋体" w:hAnsi="宋体" w:cs="宋体"/>
                <w:szCs w:val="21"/>
                <w:highlight w:val="none"/>
              </w:rPr>
            </w:pPr>
          </w:p>
        </w:tc>
        <w:tc>
          <w:tcPr>
            <w:tcW w:w="4051" w:type="dxa"/>
            <w:vAlign w:val="center"/>
          </w:tcPr>
          <w:p w14:paraId="5E23B934">
            <w:pPr>
              <w:spacing w:line="320" w:lineRule="exact"/>
              <w:rPr>
                <w:rFonts w:ascii="宋体" w:hAnsi="宋体" w:cs="宋体"/>
                <w:szCs w:val="21"/>
                <w:highlight w:val="none"/>
              </w:rPr>
            </w:pPr>
            <w:r>
              <w:rPr>
                <w:rFonts w:hint="eastAsia" w:ascii="宋体" w:hAnsi="宋体" w:cs="宋体"/>
                <w:szCs w:val="21"/>
                <w:highlight w:val="none"/>
              </w:rPr>
              <w:t>《微型计算机能效限定值及能效等级》（GB28380）</w:t>
            </w:r>
          </w:p>
        </w:tc>
      </w:tr>
      <w:tr w14:paraId="3458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44DF620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2</w:t>
            </w:r>
          </w:p>
        </w:tc>
        <w:tc>
          <w:tcPr>
            <w:tcW w:w="1000" w:type="dxa"/>
            <w:vMerge w:val="restart"/>
            <w:vAlign w:val="center"/>
          </w:tcPr>
          <w:p w14:paraId="3FA4EE1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A020106输入</w:t>
            </w:r>
          </w:p>
          <w:p w14:paraId="1BECC425">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输出设备</w:t>
            </w:r>
          </w:p>
        </w:tc>
        <w:tc>
          <w:tcPr>
            <w:tcW w:w="1875" w:type="dxa"/>
            <w:vMerge w:val="restart"/>
            <w:vAlign w:val="center"/>
          </w:tcPr>
          <w:p w14:paraId="1C86012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A02010601打印设备</w:t>
            </w:r>
          </w:p>
        </w:tc>
        <w:tc>
          <w:tcPr>
            <w:tcW w:w="1581" w:type="dxa"/>
            <w:vAlign w:val="center"/>
          </w:tcPr>
          <w:p w14:paraId="40391974">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A0201060101喷墨打印机</w:t>
            </w:r>
          </w:p>
        </w:tc>
        <w:tc>
          <w:tcPr>
            <w:tcW w:w="4051" w:type="dxa"/>
            <w:vAlign w:val="center"/>
          </w:tcPr>
          <w:p w14:paraId="4B7EA24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《复印机、打印机和传真机能效限定值及能效等级》（GB21521）</w:t>
            </w:r>
          </w:p>
        </w:tc>
      </w:tr>
      <w:tr w14:paraId="37E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DD22AB2">
            <w:pPr>
              <w:spacing w:line="320" w:lineRule="exact"/>
              <w:rPr>
                <w:rFonts w:ascii="宋体" w:hAnsi="宋体" w:cs="宋体"/>
                <w:szCs w:val="21"/>
                <w:highlight w:val="none"/>
              </w:rPr>
            </w:pPr>
          </w:p>
        </w:tc>
        <w:tc>
          <w:tcPr>
            <w:tcW w:w="1000" w:type="dxa"/>
            <w:vMerge w:val="continue"/>
            <w:vAlign w:val="center"/>
          </w:tcPr>
          <w:p w14:paraId="251D8E18">
            <w:pPr>
              <w:spacing w:line="320" w:lineRule="exact"/>
              <w:rPr>
                <w:rFonts w:ascii="宋体" w:hAnsi="宋体" w:cs="宋体"/>
                <w:szCs w:val="21"/>
                <w:highlight w:val="none"/>
              </w:rPr>
            </w:pPr>
          </w:p>
        </w:tc>
        <w:tc>
          <w:tcPr>
            <w:tcW w:w="1875" w:type="dxa"/>
            <w:vMerge w:val="continue"/>
            <w:vAlign w:val="center"/>
          </w:tcPr>
          <w:p w14:paraId="4ADCDE52">
            <w:pPr>
              <w:spacing w:line="320" w:lineRule="exact"/>
              <w:rPr>
                <w:rFonts w:ascii="宋体" w:hAnsi="宋体" w:cs="宋体"/>
                <w:szCs w:val="21"/>
                <w:highlight w:val="none"/>
              </w:rPr>
            </w:pPr>
          </w:p>
        </w:tc>
        <w:tc>
          <w:tcPr>
            <w:tcW w:w="1581" w:type="dxa"/>
            <w:vAlign w:val="center"/>
          </w:tcPr>
          <w:p w14:paraId="2ABAF99B">
            <w:pPr>
              <w:spacing w:line="320" w:lineRule="exact"/>
              <w:rPr>
                <w:rFonts w:ascii="宋体" w:hAnsi="宋体" w:cs="宋体"/>
                <w:szCs w:val="21"/>
                <w:highlight w:val="none"/>
              </w:rPr>
            </w:pPr>
            <w:r>
              <w:rPr>
                <w:rFonts w:hint="eastAsia" w:ascii="宋体" w:hAnsi="宋体" w:cs="宋体"/>
                <w:szCs w:val="21"/>
                <w:highlight w:val="none"/>
              </w:rPr>
              <w:t>★A0201060102激光打印机</w:t>
            </w:r>
          </w:p>
        </w:tc>
        <w:tc>
          <w:tcPr>
            <w:tcW w:w="4051" w:type="dxa"/>
            <w:vAlign w:val="center"/>
          </w:tcPr>
          <w:p w14:paraId="3DB79CD7">
            <w:pPr>
              <w:spacing w:line="320" w:lineRule="exact"/>
              <w:rPr>
                <w:rFonts w:ascii="宋体" w:hAnsi="宋体" w:cs="宋体"/>
                <w:szCs w:val="21"/>
                <w:highlight w:val="none"/>
              </w:rPr>
            </w:pPr>
            <w:r>
              <w:rPr>
                <w:rFonts w:hint="eastAsia" w:ascii="宋体" w:hAnsi="宋体" w:cs="宋体"/>
                <w:szCs w:val="21"/>
                <w:highlight w:val="none"/>
              </w:rPr>
              <w:t>《复印机、打印机和传真机能效限定值及能效等级》（GB21521）</w:t>
            </w:r>
          </w:p>
        </w:tc>
      </w:tr>
      <w:tr w14:paraId="61A2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F6006B7">
            <w:pPr>
              <w:spacing w:line="320" w:lineRule="exact"/>
              <w:rPr>
                <w:rFonts w:ascii="宋体" w:hAnsi="宋体" w:cs="宋体"/>
                <w:szCs w:val="21"/>
                <w:highlight w:val="none"/>
              </w:rPr>
            </w:pPr>
          </w:p>
        </w:tc>
        <w:tc>
          <w:tcPr>
            <w:tcW w:w="1000" w:type="dxa"/>
            <w:vMerge w:val="continue"/>
            <w:vAlign w:val="center"/>
          </w:tcPr>
          <w:p w14:paraId="428950ED">
            <w:pPr>
              <w:spacing w:line="320" w:lineRule="exact"/>
              <w:rPr>
                <w:rFonts w:ascii="宋体" w:hAnsi="宋体" w:cs="宋体"/>
                <w:szCs w:val="21"/>
                <w:highlight w:val="none"/>
              </w:rPr>
            </w:pPr>
          </w:p>
        </w:tc>
        <w:tc>
          <w:tcPr>
            <w:tcW w:w="1875" w:type="dxa"/>
            <w:vMerge w:val="continue"/>
            <w:vAlign w:val="center"/>
          </w:tcPr>
          <w:p w14:paraId="571F3157">
            <w:pPr>
              <w:spacing w:line="320" w:lineRule="exact"/>
              <w:rPr>
                <w:rFonts w:ascii="宋体" w:hAnsi="宋体" w:cs="宋体"/>
                <w:szCs w:val="21"/>
                <w:highlight w:val="none"/>
              </w:rPr>
            </w:pPr>
          </w:p>
        </w:tc>
        <w:tc>
          <w:tcPr>
            <w:tcW w:w="1581" w:type="dxa"/>
            <w:vAlign w:val="center"/>
          </w:tcPr>
          <w:p w14:paraId="0F42AA51">
            <w:pPr>
              <w:spacing w:line="320" w:lineRule="exact"/>
              <w:rPr>
                <w:rFonts w:ascii="宋体" w:hAnsi="宋体" w:cs="宋体"/>
                <w:szCs w:val="21"/>
                <w:highlight w:val="none"/>
              </w:rPr>
            </w:pPr>
            <w:r>
              <w:rPr>
                <w:rFonts w:hint="eastAsia" w:ascii="宋体" w:hAnsi="宋体" w:cs="宋体"/>
                <w:szCs w:val="21"/>
                <w:highlight w:val="none"/>
              </w:rPr>
              <w:t>★A0201060104针式打印机</w:t>
            </w:r>
          </w:p>
        </w:tc>
        <w:tc>
          <w:tcPr>
            <w:tcW w:w="4051" w:type="dxa"/>
            <w:vAlign w:val="center"/>
          </w:tcPr>
          <w:p w14:paraId="610B7B5E">
            <w:pPr>
              <w:spacing w:line="320" w:lineRule="exact"/>
              <w:rPr>
                <w:rFonts w:ascii="宋体" w:hAnsi="宋体" w:cs="宋体"/>
                <w:szCs w:val="21"/>
                <w:highlight w:val="none"/>
              </w:rPr>
            </w:pPr>
            <w:r>
              <w:rPr>
                <w:rFonts w:hint="eastAsia" w:ascii="宋体" w:hAnsi="宋体" w:cs="宋体"/>
                <w:szCs w:val="21"/>
                <w:highlight w:val="none"/>
              </w:rPr>
              <w:t>《复印机、打印机和传真机能效限定值及能效等级》（GB21521）</w:t>
            </w:r>
          </w:p>
        </w:tc>
      </w:tr>
      <w:tr w14:paraId="1B2A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599A817">
            <w:pPr>
              <w:spacing w:line="320" w:lineRule="exact"/>
              <w:rPr>
                <w:rFonts w:ascii="宋体" w:hAnsi="宋体" w:cs="宋体"/>
                <w:szCs w:val="21"/>
                <w:highlight w:val="none"/>
              </w:rPr>
            </w:pPr>
          </w:p>
        </w:tc>
        <w:tc>
          <w:tcPr>
            <w:tcW w:w="1000" w:type="dxa"/>
            <w:vMerge w:val="continue"/>
            <w:vAlign w:val="center"/>
          </w:tcPr>
          <w:p w14:paraId="0F78D285">
            <w:pPr>
              <w:spacing w:line="320" w:lineRule="exact"/>
              <w:rPr>
                <w:rFonts w:ascii="宋体" w:hAnsi="宋体" w:cs="宋体"/>
                <w:szCs w:val="21"/>
                <w:highlight w:val="none"/>
              </w:rPr>
            </w:pPr>
          </w:p>
        </w:tc>
        <w:tc>
          <w:tcPr>
            <w:tcW w:w="1875" w:type="dxa"/>
            <w:vAlign w:val="center"/>
          </w:tcPr>
          <w:p w14:paraId="17C80330">
            <w:pPr>
              <w:spacing w:line="320" w:lineRule="exact"/>
              <w:rPr>
                <w:rFonts w:ascii="宋体" w:hAnsi="宋体" w:cs="宋体"/>
                <w:szCs w:val="21"/>
                <w:highlight w:val="none"/>
              </w:rPr>
            </w:pPr>
            <w:r>
              <w:rPr>
                <w:rFonts w:hint="eastAsia" w:ascii="宋体" w:hAnsi="宋体" w:cs="宋体"/>
                <w:szCs w:val="21"/>
                <w:highlight w:val="none"/>
              </w:rPr>
              <w:t>A02010604显示设备</w:t>
            </w:r>
          </w:p>
        </w:tc>
        <w:tc>
          <w:tcPr>
            <w:tcW w:w="1581" w:type="dxa"/>
            <w:vAlign w:val="center"/>
          </w:tcPr>
          <w:p w14:paraId="67566D56">
            <w:pPr>
              <w:spacing w:line="320" w:lineRule="exact"/>
              <w:rPr>
                <w:rFonts w:ascii="宋体" w:hAnsi="宋体" w:cs="宋体"/>
                <w:szCs w:val="21"/>
                <w:highlight w:val="none"/>
              </w:rPr>
            </w:pPr>
            <w:r>
              <w:rPr>
                <w:rFonts w:hint="eastAsia" w:ascii="宋体" w:hAnsi="宋体" w:cs="宋体"/>
                <w:szCs w:val="21"/>
                <w:highlight w:val="none"/>
              </w:rPr>
              <w:t>★A0201060401液晶显示器</w:t>
            </w:r>
          </w:p>
        </w:tc>
        <w:tc>
          <w:tcPr>
            <w:tcW w:w="4051" w:type="dxa"/>
            <w:vAlign w:val="center"/>
          </w:tcPr>
          <w:p w14:paraId="58A71AFF">
            <w:pPr>
              <w:spacing w:line="320" w:lineRule="exact"/>
              <w:rPr>
                <w:rFonts w:ascii="宋体" w:hAnsi="宋体" w:cs="宋体"/>
                <w:szCs w:val="21"/>
                <w:highlight w:val="none"/>
              </w:rPr>
            </w:pPr>
            <w:r>
              <w:rPr>
                <w:rFonts w:hint="eastAsia" w:ascii="宋体" w:hAnsi="宋体" w:cs="宋体"/>
                <w:szCs w:val="21"/>
                <w:highlight w:val="none"/>
              </w:rPr>
              <w:t>《计算机显示器能效限定值及能效等级》（GB21520）</w:t>
            </w:r>
          </w:p>
        </w:tc>
      </w:tr>
      <w:tr w14:paraId="3697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2F43D1C">
            <w:pPr>
              <w:spacing w:line="320" w:lineRule="exact"/>
              <w:rPr>
                <w:rFonts w:ascii="宋体" w:hAnsi="宋体" w:cs="宋体"/>
                <w:szCs w:val="21"/>
                <w:highlight w:val="none"/>
              </w:rPr>
            </w:pPr>
          </w:p>
        </w:tc>
        <w:tc>
          <w:tcPr>
            <w:tcW w:w="1000" w:type="dxa"/>
            <w:vMerge w:val="continue"/>
            <w:vAlign w:val="center"/>
          </w:tcPr>
          <w:p w14:paraId="1458C52A">
            <w:pPr>
              <w:spacing w:line="320" w:lineRule="exact"/>
              <w:rPr>
                <w:rFonts w:ascii="宋体" w:hAnsi="宋体" w:cs="宋体"/>
                <w:szCs w:val="21"/>
                <w:highlight w:val="none"/>
              </w:rPr>
            </w:pPr>
          </w:p>
        </w:tc>
        <w:tc>
          <w:tcPr>
            <w:tcW w:w="1875" w:type="dxa"/>
            <w:vAlign w:val="center"/>
          </w:tcPr>
          <w:p w14:paraId="7AE1A9F2">
            <w:pPr>
              <w:spacing w:line="320" w:lineRule="exact"/>
              <w:rPr>
                <w:rFonts w:ascii="宋体" w:hAnsi="宋体" w:cs="宋体"/>
                <w:szCs w:val="21"/>
                <w:highlight w:val="none"/>
              </w:rPr>
            </w:pPr>
            <w:r>
              <w:rPr>
                <w:rFonts w:hint="eastAsia" w:ascii="宋体" w:hAnsi="宋体" w:cs="宋体"/>
                <w:szCs w:val="21"/>
                <w:highlight w:val="none"/>
              </w:rPr>
              <w:t>A02010609图形图像输入设备</w:t>
            </w:r>
          </w:p>
        </w:tc>
        <w:tc>
          <w:tcPr>
            <w:tcW w:w="1581" w:type="dxa"/>
            <w:vAlign w:val="center"/>
          </w:tcPr>
          <w:p w14:paraId="0F8C1060">
            <w:pPr>
              <w:spacing w:line="320" w:lineRule="exact"/>
              <w:rPr>
                <w:rFonts w:ascii="宋体" w:hAnsi="宋体" w:cs="宋体"/>
                <w:szCs w:val="21"/>
                <w:highlight w:val="none"/>
              </w:rPr>
            </w:pPr>
            <w:r>
              <w:rPr>
                <w:rFonts w:hint="eastAsia" w:ascii="宋体" w:hAnsi="宋体" w:cs="宋体"/>
                <w:szCs w:val="21"/>
                <w:highlight w:val="none"/>
              </w:rPr>
              <w:t>A0201060901扫描仪</w:t>
            </w:r>
          </w:p>
        </w:tc>
        <w:tc>
          <w:tcPr>
            <w:tcW w:w="4051" w:type="dxa"/>
            <w:vAlign w:val="center"/>
          </w:tcPr>
          <w:p w14:paraId="34A9DA54">
            <w:pPr>
              <w:spacing w:line="320" w:lineRule="exact"/>
              <w:rPr>
                <w:rFonts w:ascii="宋体" w:hAnsi="宋体" w:cs="宋体"/>
                <w:szCs w:val="21"/>
                <w:highlight w:val="none"/>
              </w:rPr>
            </w:pPr>
            <w:r>
              <w:rPr>
                <w:rFonts w:hint="eastAsia" w:ascii="宋体" w:hAnsi="宋体" w:cs="宋体"/>
                <w:szCs w:val="21"/>
                <w:highlight w:val="none"/>
              </w:rPr>
              <w:t>参照《复印机、打印机和传真机能效限定值及能效等级》（GB21521</w:t>
            </w:r>
          </w:p>
          <w:p w14:paraId="51C58B2D">
            <w:pPr>
              <w:spacing w:line="320" w:lineRule="exact"/>
              <w:rPr>
                <w:rFonts w:ascii="宋体" w:hAnsi="宋体" w:cs="宋体"/>
                <w:szCs w:val="21"/>
                <w:highlight w:val="none"/>
              </w:rPr>
            </w:pPr>
            <w:r>
              <w:rPr>
                <w:rFonts w:hint="eastAsia" w:ascii="宋体" w:hAnsi="宋体" w:cs="宋体"/>
                <w:szCs w:val="21"/>
                <w:highlight w:val="none"/>
              </w:rPr>
              <w:t>中打印速度为15页/分的针式打印机相关要求</w:t>
            </w:r>
          </w:p>
        </w:tc>
      </w:tr>
      <w:tr w14:paraId="144B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2139233">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3</w:t>
            </w:r>
          </w:p>
        </w:tc>
        <w:tc>
          <w:tcPr>
            <w:tcW w:w="1000" w:type="dxa"/>
            <w:vAlign w:val="center"/>
          </w:tcPr>
          <w:p w14:paraId="7C14E2ED">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A020202投影</w:t>
            </w:r>
          </w:p>
          <w:p w14:paraId="66240D8B">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仪</w:t>
            </w:r>
          </w:p>
        </w:tc>
        <w:tc>
          <w:tcPr>
            <w:tcW w:w="1875" w:type="dxa"/>
            <w:vAlign w:val="center"/>
          </w:tcPr>
          <w:p w14:paraId="1DF4E4A0">
            <w:pPr>
              <w:spacing w:line="320" w:lineRule="exact"/>
              <w:rPr>
                <w:rFonts w:ascii="宋体" w:hAnsi="宋体" w:cs="宋体"/>
                <w:szCs w:val="21"/>
                <w:highlight w:val="none"/>
              </w:rPr>
            </w:pPr>
          </w:p>
        </w:tc>
        <w:tc>
          <w:tcPr>
            <w:tcW w:w="1581" w:type="dxa"/>
            <w:vAlign w:val="center"/>
          </w:tcPr>
          <w:p w14:paraId="5245E207">
            <w:pPr>
              <w:spacing w:line="320" w:lineRule="exact"/>
              <w:rPr>
                <w:rFonts w:ascii="宋体" w:hAnsi="宋体" w:cs="宋体"/>
                <w:szCs w:val="21"/>
                <w:highlight w:val="none"/>
              </w:rPr>
            </w:pPr>
          </w:p>
        </w:tc>
        <w:tc>
          <w:tcPr>
            <w:tcW w:w="4051" w:type="dxa"/>
            <w:vAlign w:val="center"/>
          </w:tcPr>
          <w:p w14:paraId="45AE1D57">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《投影机能效限定值及能效等级</w:t>
            </w:r>
          </w:p>
          <w:p w14:paraId="3ED9AD6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（GB32028）</w:t>
            </w:r>
          </w:p>
        </w:tc>
      </w:tr>
      <w:tr w14:paraId="4E1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B2C71EC">
            <w:pPr>
              <w:pStyle w:val="120"/>
              <w:spacing w:line="320" w:lineRule="exact"/>
              <w:jc w:val="both"/>
              <w:rPr>
                <w:rFonts w:ascii="宋体" w:hAnsi="宋体" w:cs="宋体"/>
                <w:kern w:val="2"/>
                <w:sz w:val="21"/>
                <w:szCs w:val="21"/>
                <w:highlight w:val="none"/>
                <w:lang w:eastAsia="zh-CN"/>
              </w:rPr>
            </w:pPr>
          </w:p>
          <w:p w14:paraId="291A2621">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4</w:t>
            </w:r>
          </w:p>
        </w:tc>
        <w:tc>
          <w:tcPr>
            <w:tcW w:w="1000" w:type="dxa"/>
            <w:vAlign w:val="center"/>
          </w:tcPr>
          <w:p w14:paraId="407A684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A020204多功</w:t>
            </w:r>
          </w:p>
          <w:p w14:paraId="5DB18327">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能一体机</w:t>
            </w:r>
          </w:p>
        </w:tc>
        <w:tc>
          <w:tcPr>
            <w:tcW w:w="1875" w:type="dxa"/>
            <w:vAlign w:val="center"/>
          </w:tcPr>
          <w:p w14:paraId="172ABABA">
            <w:pPr>
              <w:spacing w:line="320" w:lineRule="exact"/>
              <w:rPr>
                <w:rFonts w:ascii="宋体" w:hAnsi="宋体" w:cs="宋体"/>
                <w:szCs w:val="21"/>
                <w:highlight w:val="none"/>
              </w:rPr>
            </w:pPr>
          </w:p>
        </w:tc>
        <w:tc>
          <w:tcPr>
            <w:tcW w:w="1581" w:type="dxa"/>
            <w:vAlign w:val="center"/>
          </w:tcPr>
          <w:p w14:paraId="1F98C119">
            <w:pPr>
              <w:spacing w:line="320" w:lineRule="exact"/>
              <w:rPr>
                <w:rFonts w:ascii="宋体" w:hAnsi="宋体" w:cs="宋体"/>
                <w:szCs w:val="21"/>
                <w:highlight w:val="none"/>
              </w:rPr>
            </w:pPr>
          </w:p>
        </w:tc>
        <w:tc>
          <w:tcPr>
            <w:tcW w:w="4051" w:type="dxa"/>
            <w:vAlign w:val="center"/>
          </w:tcPr>
          <w:p w14:paraId="6D4AF81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《复印机、打印机和传真机能效限定值及能效等级》（GB21521）</w:t>
            </w:r>
          </w:p>
        </w:tc>
      </w:tr>
      <w:tr w14:paraId="014D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5A9BAD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5</w:t>
            </w:r>
          </w:p>
        </w:tc>
        <w:tc>
          <w:tcPr>
            <w:tcW w:w="1000" w:type="dxa"/>
            <w:vAlign w:val="center"/>
          </w:tcPr>
          <w:p w14:paraId="7179CF3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A020519泵</w:t>
            </w:r>
          </w:p>
        </w:tc>
        <w:tc>
          <w:tcPr>
            <w:tcW w:w="1875" w:type="dxa"/>
            <w:vAlign w:val="center"/>
          </w:tcPr>
          <w:p w14:paraId="15B45A28">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A02051901离心泵</w:t>
            </w:r>
          </w:p>
        </w:tc>
        <w:tc>
          <w:tcPr>
            <w:tcW w:w="1581" w:type="dxa"/>
            <w:vAlign w:val="center"/>
          </w:tcPr>
          <w:p w14:paraId="74D67729">
            <w:pPr>
              <w:spacing w:line="320" w:lineRule="exact"/>
              <w:rPr>
                <w:rFonts w:ascii="宋体" w:hAnsi="宋体" w:cs="宋体"/>
                <w:szCs w:val="21"/>
                <w:highlight w:val="none"/>
              </w:rPr>
            </w:pPr>
          </w:p>
        </w:tc>
        <w:tc>
          <w:tcPr>
            <w:tcW w:w="4051" w:type="dxa"/>
            <w:vAlign w:val="center"/>
          </w:tcPr>
          <w:p w14:paraId="76D41D2C">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《清水离心泵能效限定值及节能评价值》（GB19762）</w:t>
            </w:r>
          </w:p>
        </w:tc>
      </w:tr>
      <w:tr w14:paraId="5764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4287BC66">
            <w:pPr>
              <w:pStyle w:val="120"/>
              <w:spacing w:line="320" w:lineRule="exact"/>
              <w:jc w:val="both"/>
              <w:rPr>
                <w:rFonts w:ascii="宋体" w:hAnsi="宋体" w:cs="宋体"/>
                <w:kern w:val="2"/>
                <w:sz w:val="21"/>
                <w:szCs w:val="21"/>
                <w:highlight w:val="none"/>
                <w:lang w:eastAsia="zh-CN"/>
              </w:rPr>
            </w:pPr>
          </w:p>
          <w:p w14:paraId="29E4CB25">
            <w:pPr>
              <w:pStyle w:val="120"/>
              <w:spacing w:line="320" w:lineRule="exact"/>
              <w:jc w:val="both"/>
              <w:rPr>
                <w:rFonts w:ascii="宋体" w:hAnsi="宋体" w:cs="宋体"/>
                <w:kern w:val="2"/>
                <w:sz w:val="21"/>
                <w:szCs w:val="21"/>
                <w:highlight w:val="none"/>
                <w:lang w:eastAsia="zh-CN"/>
              </w:rPr>
            </w:pPr>
          </w:p>
          <w:p w14:paraId="7DB9FB8C">
            <w:pPr>
              <w:pStyle w:val="120"/>
              <w:spacing w:line="320" w:lineRule="exact"/>
              <w:jc w:val="both"/>
              <w:rPr>
                <w:rFonts w:ascii="宋体" w:hAnsi="宋体" w:cs="宋体"/>
                <w:kern w:val="2"/>
                <w:sz w:val="21"/>
                <w:szCs w:val="21"/>
                <w:highlight w:val="none"/>
                <w:lang w:eastAsia="zh-CN"/>
              </w:rPr>
            </w:pPr>
          </w:p>
          <w:p w14:paraId="40733891">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6</w:t>
            </w:r>
          </w:p>
        </w:tc>
        <w:tc>
          <w:tcPr>
            <w:tcW w:w="1000" w:type="dxa"/>
            <w:vMerge w:val="restart"/>
            <w:vAlign w:val="center"/>
          </w:tcPr>
          <w:p w14:paraId="3FC5764A">
            <w:pPr>
              <w:pStyle w:val="120"/>
              <w:spacing w:line="320" w:lineRule="exact"/>
              <w:jc w:val="both"/>
              <w:rPr>
                <w:rFonts w:ascii="宋体" w:hAnsi="宋体" w:cs="宋体"/>
                <w:kern w:val="2"/>
                <w:sz w:val="21"/>
                <w:szCs w:val="21"/>
                <w:highlight w:val="none"/>
                <w:lang w:eastAsia="zh-CN"/>
              </w:rPr>
            </w:pPr>
          </w:p>
          <w:p w14:paraId="13F42373">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A020523制冷</w:t>
            </w:r>
          </w:p>
          <w:p w14:paraId="6CF22AF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空调设备</w:t>
            </w:r>
          </w:p>
        </w:tc>
        <w:tc>
          <w:tcPr>
            <w:tcW w:w="1875" w:type="dxa"/>
            <w:vMerge w:val="restart"/>
            <w:vAlign w:val="center"/>
          </w:tcPr>
          <w:p w14:paraId="1B5EF462">
            <w:pPr>
              <w:spacing w:line="320" w:lineRule="exact"/>
              <w:rPr>
                <w:rFonts w:ascii="宋体" w:hAnsi="宋体" w:cs="宋体"/>
                <w:szCs w:val="21"/>
                <w:highlight w:val="none"/>
              </w:rPr>
            </w:pPr>
            <w:r>
              <w:rPr>
                <w:rFonts w:hint="eastAsia" w:ascii="宋体" w:hAnsi="宋体" w:cs="宋体"/>
                <w:szCs w:val="21"/>
                <w:highlight w:val="none"/>
              </w:rPr>
              <w:t>★A02052301制冷压缩机</w:t>
            </w:r>
          </w:p>
        </w:tc>
        <w:tc>
          <w:tcPr>
            <w:tcW w:w="1581" w:type="dxa"/>
            <w:vAlign w:val="center"/>
          </w:tcPr>
          <w:p w14:paraId="0D4B6C3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冷水机组</w:t>
            </w:r>
          </w:p>
        </w:tc>
        <w:tc>
          <w:tcPr>
            <w:tcW w:w="4051" w:type="dxa"/>
            <w:vAlign w:val="center"/>
          </w:tcPr>
          <w:p w14:paraId="75021D0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《冷水机组能效限定值及能效等级》（GB19577），《低环境温度空气源热泵（冷水）机组能效限定值及能效等级》（GB37480）</w:t>
            </w:r>
          </w:p>
        </w:tc>
      </w:tr>
      <w:tr w14:paraId="41B6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18B8A4F">
            <w:pPr>
              <w:spacing w:line="320" w:lineRule="exact"/>
              <w:rPr>
                <w:rFonts w:ascii="宋体" w:hAnsi="宋体" w:cs="宋体"/>
                <w:szCs w:val="21"/>
                <w:highlight w:val="none"/>
              </w:rPr>
            </w:pPr>
          </w:p>
        </w:tc>
        <w:tc>
          <w:tcPr>
            <w:tcW w:w="1000" w:type="dxa"/>
            <w:vMerge w:val="continue"/>
            <w:vAlign w:val="center"/>
          </w:tcPr>
          <w:p w14:paraId="79BDFF81">
            <w:pPr>
              <w:spacing w:line="320" w:lineRule="exact"/>
              <w:rPr>
                <w:rFonts w:ascii="宋体" w:hAnsi="宋体" w:cs="宋体"/>
                <w:szCs w:val="21"/>
                <w:highlight w:val="none"/>
              </w:rPr>
            </w:pPr>
          </w:p>
        </w:tc>
        <w:tc>
          <w:tcPr>
            <w:tcW w:w="1875" w:type="dxa"/>
            <w:vMerge w:val="continue"/>
            <w:vAlign w:val="center"/>
          </w:tcPr>
          <w:p w14:paraId="22552E10">
            <w:pPr>
              <w:spacing w:line="320" w:lineRule="exact"/>
              <w:rPr>
                <w:rFonts w:ascii="宋体" w:hAnsi="宋体" w:cs="宋体"/>
                <w:szCs w:val="21"/>
                <w:highlight w:val="none"/>
              </w:rPr>
            </w:pPr>
          </w:p>
        </w:tc>
        <w:tc>
          <w:tcPr>
            <w:tcW w:w="1581" w:type="dxa"/>
            <w:vAlign w:val="center"/>
          </w:tcPr>
          <w:p w14:paraId="5E0AD2BD">
            <w:pPr>
              <w:spacing w:line="320" w:lineRule="exact"/>
              <w:rPr>
                <w:rFonts w:ascii="宋体" w:hAnsi="宋体" w:cs="宋体"/>
                <w:szCs w:val="21"/>
                <w:highlight w:val="none"/>
              </w:rPr>
            </w:pPr>
            <w:r>
              <w:rPr>
                <w:rFonts w:hint="eastAsia" w:ascii="宋体" w:hAnsi="宋体" w:cs="宋体"/>
                <w:szCs w:val="21"/>
                <w:highlight w:val="none"/>
              </w:rPr>
              <w:t>水源热泵机组</w:t>
            </w:r>
          </w:p>
        </w:tc>
        <w:tc>
          <w:tcPr>
            <w:tcW w:w="4051" w:type="dxa"/>
            <w:vAlign w:val="center"/>
          </w:tcPr>
          <w:p w14:paraId="345FECCF">
            <w:pPr>
              <w:spacing w:line="320" w:lineRule="exact"/>
              <w:rPr>
                <w:rFonts w:ascii="宋体" w:hAnsi="宋体" w:cs="宋体"/>
                <w:szCs w:val="21"/>
                <w:highlight w:val="none"/>
              </w:rPr>
            </w:pPr>
            <w:r>
              <w:rPr>
                <w:rFonts w:hint="eastAsia" w:ascii="宋体" w:hAnsi="宋体" w:cs="宋体"/>
                <w:szCs w:val="21"/>
                <w:highlight w:val="none"/>
              </w:rPr>
              <w:t>《水（地）源热泵机组能效限定值及能效等级》（GB30721）</w:t>
            </w:r>
          </w:p>
        </w:tc>
      </w:tr>
      <w:tr w14:paraId="07A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23191DA">
            <w:pPr>
              <w:spacing w:line="320" w:lineRule="exact"/>
              <w:rPr>
                <w:rFonts w:ascii="宋体" w:hAnsi="宋体" w:cs="宋体"/>
                <w:szCs w:val="21"/>
                <w:highlight w:val="none"/>
              </w:rPr>
            </w:pPr>
          </w:p>
        </w:tc>
        <w:tc>
          <w:tcPr>
            <w:tcW w:w="1000" w:type="dxa"/>
            <w:vMerge w:val="continue"/>
            <w:vAlign w:val="center"/>
          </w:tcPr>
          <w:p w14:paraId="356FD541">
            <w:pPr>
              <w:spacing w:line="320" w:lineRule="exact"/>
              <w:rPr>
                <w:rFonts w:ascii="宋体" w:hAnsi="宋体" w:cs="宋体"/>
                <w:szCs w:val="21"/>
                <w:highlight w:val="none"/>
              </w:rPr>
            </w:pPr>
          </w:p>
        </w:tc>
        <w:tc>
          <w:tcPr>
            <w:tcW w:w="1875" w:type="dxa"/>
            <w:vMerge w:val="continue"/>
            <w:vAlign w:val="center"/>
          </w:tcPr>
          <w:p w14:paraId="2576C080">
            <w:pPr>
              <w:spacing w:line="320" w:lineRule="exact"/>
              <w:rPr>
                <w:rFonts w:ascii="宋体" w:hAnsi="宋体" w:cs="宋体"/>
                <w:szCs w:val="21"/>
                <w:highlight w:val="none"/>
              </w:rPr>
            </w:pPr>
          </w:p>
        </w:tc>
        <w:tc>
          <w:tcPr>
            <w:tcW w:w="1581" w:type="dxa"/>
            <w:vAlign w:val="center"/>
          </w:tcPr>
          <w:p w14:paraId="6A24ABDA">
            <w:pPr>
              <w:spacing w:line="320" w:lineRule="exact"/>
              <w:rPr>
                <w:rFonts w:ascii="宋体" w:hAnsi="宋体" w:cs="宋体"/>
                <w:szCs w:val="21"/>
                <w:highlight w:val="none"/>
              </w:rPr>
            </w:pPr>
            <w:r>
              <w:rPr>
                <w:rFonts w:hint="eastAsia" w:ascii="宋体" w:hAnsi="宋体" w:cs="宋体"/>
                <w:szCs w:val="21"/>
                <w:highlight w:val="none"/>
              </w:rPr>
              <w:t>溴化锂吸收式冷水机组</w:t>
            </w:r>
          </w:p>
        </w:tc>
        <w:tc>
          <w:tcPr>
            <w:tcW w:w="4051" w:type="dxa"/>
            <w:vAlign w:val="center"/>
          </w:tcPr>
          <w:p w14:paraId="12B7C352">
            <w:pPr>
              <w:spacing w:line="320" w:lineRule="exact"/>
              <w:rPr>
                <w:rFonts w:ascii="宋体" w:hAnsi="宋体" w:cs="宋体"/>
                <w:szCs w:val="21"/>
                <w:highlight w:val="none"/>
              </w:rPr>
            </w:pPr>
            <w:r>
              <w:rPr>
                <w:rFonts w:hint="eastAsia" w:ascii="宋体" w:hAnsi="宋体" w:cs="宋体"/>
                <w:szCs w:val="21"/>
                <w:highlight w:val="none"/>
              </w:rPr>
              <w:t>《溴化锂吸收式冷水机组能效限</w:t>
            </w:r>
          </w:p>
          <w:p w14:paraId="0913E02C">
            <w:pPr>
              <w:spacing w:line="320" w:lineRule="exact"/>
              <w:rPr>
                <w:rFonts w:ascii="宋体" w:hAnsi="宋体" w:cs="宋体"/>
                <w:szCs w:val="21"/>
                <w:highlight w:val="none"/>
              </w:rPr>
            </w:pPr>
            <w:r>
              <w:rPr>
                <w:rFonts w:hint="eastAsia" w:ascii="宋体" w:hAnsi="宋体" w:cs="宋体"/>
                <w:szCs w:val="21"/>
                <w:highlight w:val="none"/>
              </w:rPr>
              <w:t>定值及能效等级》（GB29540）</w:t>
            </w:r>
          </w:p>
        </w:tc>
      </w:tr>
      <w:tr w14:paraId="7F87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9AE6E4B">
            <w:pPr>
              <w:spacing w:line="320" w:lineRule="exact"/>
              <w:rPr>
                <w:rFonts w:ascii="宋体" w:hAnsi="宋体" w:cs="宋体"/>
                <w:szCs w:val="21"/>
                <w:highlight w:val="none"/>
              </w:rPr>
            </w:pPr>
          </w:p>
        </w:tc>
        <w:tc>
          <w:tcPr>
            <w:tcW w:w="1000" w:type="dxa"/>
            <w:vMerge w:val="continue"/>
            <w:vAlign w:val="center"/>
          </w:tcPr>
          <w:p w14:paraId="71DCD985">
            <w:pPr>
              <w:spacing w:line="320" w:lineRule="exact"/>
              <w:rPr>
                <w:rFonts w:ascii="宋体" w:hAnsi="宋体" w:cs="宋体"/>
                <w:szCs w:val="21"/>
                <w:highlight w:val="none"/>
              </w:rPr>
            </w:pPr>
          </w:p>
        </w:tc>
        <w:tc>
          <w:tcPr>
            <w:tcW w:w="1875" w:type="dxa"/>
            <w:vMerge w:val="restart"/>
            <w:vAlign w:val="center"/>
          </w:tcPr>
          <w:p w14:paraId="6D40518B">
            <w:pPr>
              <w:spacing w:line="320" w:lineRule="exact"/>
              <w:rPr>
                <w:rFonts w:ascii="宋体" w:hAnsi="宋体" w:cs="宋体"/>
                <w:szCs w:val="21"/>
                <w:highlight w:val="none"/>
              </w:rPr>
            </w:pPr>
            <w:r>
              <w:rPr>
                <w:rFonts w:hint="eastAsia" w:ascii="宋体" w:hAnsi="宋体" w:cs="宋体"/>
                <w:szCs w:val="21"/>
                <w:highlight w:val="none"/>
              </w:rPr>
              <w:t>★A02052305空调机组</w:t>
            </w:r>
          </w:p>
        </w:tc>
        <w:tc>
          <w:tcPr>
            <w:tcW w:w="1581" w:type="dxa"/>
            <w:vAlign w:val="center"/>
          </w:tcPr>
          <w:p w14:paraId="43AC513F">
            <w:pPr>
              <w:spacing w:line="320" w:lineRule="exact"/>
              <w:rPr>
                <w:rFonts w:ascii="宋体" w:hAnsi="宋体" w:cs="宋体"/>
                <w:szCs w:val="21"/>
                <w:highlight w:val="none"/>
              </w:rPr>
            </w:pPr>
            <w:r>
              <w:rPr>
                <w:rFonts w:hint="eastAsia" w:ascii="宋体" w:hAnsi="宋体" w:cs="宋体"/>
                <w:szCs w:val="21"/>
                <w:highlight w:val="none"/>
              </w:rPr>
              <w:t>多联式空调（热泵）机组(制冷量&gt;14000W)</w:t>
            </w:r>
          </w:p>
        </w:tc>
        <w:tc>
          <w:tcPr>
            <w:tcW w:w="4051" w:type="dxa"/>
            <w:vAlign w:val="center"/>
          </w:tcPr>
          <w:p w14:paraId="6107B88E">
            <w:pPr>
              <w:spacing w:line="320" w:lineRule="exact"/>
              <w:rPr>
                <w:rFonts w:ascii="宋体" w:hAnsi="宋体" w:cs="宋体"/>
                <w:szCs w:val="21"/>
                <w:highlight w:val="none"/>
              </w:rPr>
            </w:pPr>
            <w:r>
              <w:rPr>
                <w:rFonts w:hint="eastAsia" w:ascii="宋体" w:hAnsi="宋体" w:cs="宋体"/>
                <w:szCs w:val="21"/>
                <w:highlight w:val="none"/>
              </w:rPr>
              <w:t>《多联式空调（热泵）机组能效限定值及能源效率等级》（GB21454）</w:t>
            </w:r>
          </w:p>
        </w:tc>
      </w:tr>
      <w:tr w14:paraId="5258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576C8F3">
            <w:pPr>
              <w:spacing w:line="320" w:lineRule="exact"/>
              <w:rPr>
                <w:rFonts w:ascii="宋体" w:hAnsi="宋体" w:cs="宋体"/>
                <w:szCs w:val="21"/>
                <w:highlight w:val="none"/>
              </w:rPr>
            </w:pPr>
          </w:p>
        </w:tc>
        <w:tc>
          <w:tcPr>
            <w:tcW w:w="1000" w:type="dxa"/>
            <w:vMerge w:val="continue"/>
            <w:vAlign w:val="center"/>
          </w:tcPr>
          <w:p w14:paraId="04C1D154">
            <w:pPr>
              <w:spacing w:line="320" w:lineRule="exact"/>
              <w:rPr>
                <w:rFonts w:ascii="宋体" w:hAnsi="宋体" w:cs="宋体"/>
                <w:szCs w:val="21"/>
                <w:highlight w:val="none"/>
              </w:rPr>
            </w:pPr>
          </w:p>
        </w:tc>
        <w:tc>
          <w:tcPr>
            <w:tcW w:w="1875" w:type="dxa"/>
            <w:vMerge w:val="continue"/>
            <w:vAlign w:val="center"/>
          </w:tcPr>
          <w:p w14:paraId="00A56921">
            <w:pPr>
              <w:spacing w:line="320" w:lineRule="exact"/>
              <w:rPr>
                <w:rFonts w:ascii="宋体" w:hAnsi="宋体" w:cs="宋体"/>
                <w:szCs w:val="21"/>
                <w:highlight w:val="none"/>
              </w:rPr>
            </w:pPr>
          </w:p>
        </w:tc>
        <w:tc>
          <w:tcPr>
            <w:tcW w:w="1581" w:type="dxa"/>
            <w:vAlign w:val="center"/>
          </w:tcPr>
          <w:p w14:paraId="302F902C">
            <w:pPr>
              <w:spacing w:line="320" w:lineRule="exact"/>
              <w:rPr>
                <w:rFonts w:ascii="宋体" w:hAnsi="宋体" w:cs="宋体"/>
                <w:szCs w:val="21"/>
                <w:highlight w:val="none"/>
              </w:rPr>
            </w:pPr>
            <w:r>
              <w:rPr>
                <w:rFonts w:hint="eastAsia" w:ascii="宋体" w:hAnsi="宋体" w:cs="宋体"/>
                <w:szCs w:val="21"/>
                <w:highlight w:val="none"/>
              </w:rPr>
              <w:t>单元式空气调节机</w:t>
            </w:r>
          </w:p>
          <w:p w14:paraId="18EA5FE9">
            <w:pPr>
              <w:spacing w:line="320" w:lineRule="exact"/>
              <w:rPr>
                <w:rFonts w:ascii="宋体" w:hAnsi="宋体" w:cs="宋体"/>
                <w:szCs w:val="21"/>
                <w:highlight w:val="none"/>
              </w:rPr>
            </w:pPr>
            <w:r>
              <w:rPr>
                <w:rFonts w:hint="eastAsia" w:ascii="宋体" w:hAnsi="宋体" w:cs="宋体"/>
                <w:szCs w:val="21"/>
                <w:highlight w:val="none"/>
              </w:rPr>
              <w:t>(制冷量&gt;14000W)</w:t>
            </w:r>
          </w:p>
        </w:tc>
        <w:tc>
          <w:tcPr>
            <w:tcW w:w="4051" w:type="dxa"/>
            <w:vAlign w:val="center"/>
          </w:tcPr>
          <w:p w14:paraId="406E37B6">
            <w:pPr>
              <w:spacing w:line="320" w:lineRule="exact"/>
              <w:rPr>
                <w:rFonts w:ascii="宋体" w:hAnsi="宋体" w:cs="宋体"/>
                <w:szCs w:val="21"/>
                <w:highlight w:val="none"/>
              </w:rPr>
            </w:pPr>
            <w:r>
              <w:rPr>
                <w:rFonts w:hint="eastAsia" w:ascii="宋体" w:hAnsi="宋体" w:cs="宋体"/>
                <w:szCs w:val="21"/>
                <w:highlight w:val="none"/>
              </w:rPr>
              <w:t>《单元式空气调节机能效限定值及能效等级》（GB19576）《风管送风式空调机组能效限定值及能效等级》（GB37479）</w:t>
            </w:r>
          </w:p>
        </w:tc>
      </w:tr>
      <w:tr w14:paraId="58FE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631C247">
            <w:pPr>
              <w:spacing w:line="320" w:lineRule="exact"/>
              <w:rPr>
                <w:rFonts w:ascii="宋体" w:hAnsi="宋体" w:cs="宋体"/>
                <w:szCs w:val="21"/>
                <w:highlight w:val="none"/>
              </w:rPr>
            </w:pPr>
          </w:p>
        </w:tc>
        <w:tc>
          <w:tcPr>
            <w:tcW w:w="1000" w:type="dxa"/>
            <w:vMerge w:val="continue"/>
            <w:vAlign w:val="center"/>
          </w:tcPr>
          <w:p w14:paraId="6473A9E8">
            <w:pPr>
              <w:spacing w:line="320" w:lineRule="exact"/>
              <w:rPr>
                <w:rFonts w:ascii="宋体" w:hAnsi="宋体" w:cs="宋体"/>
                <w:szCs w:val="21"/>
                <w:highlight w:val="none"/>
              </w:rPr>
            </w:pPr>
          </w:p>
        </w:tc>
        <w:tc>
          <w:tcPr>
            <w:tcW w:w="1875" w:type="dxa"/>
            <w:vAlign w:val="center"/>
          </w:tcPr>
          <w:p w14:paraId="552A41BC">
            <w:pPr>
              <w:spacing w:line="320" w:lineRule="exact"/>
              <w:rPr>
                <w:rFonts w:ascii="宋体" w:hAnsi="宋体" w:cs="宋体"/>
                <w:szCs w:val="21"/>
                <w:highlight w:val="none"/>
              </w:rPr>
            </w:pPr>
            <w:r>
              <w:rPr>
                <w:rFonts w:hint="eastAsia" w:ascii="宋体" w:hAnsi="宋体" w:cs="宋体"/>
                <w:szCs w:val="21"/>
                <w:highlight w:val="none"/>
              </w:rPr>
              <w:t>★A02052309专用制冷、空调设备</w:t>
            </w:r>
          </w:p>
        </w:tc>
        <w:tc>
          <w:tcPr>
            <w:tcW w:w="1581" w:type="dxa"/>
            <w:vAlign w:val="center"/>
          </w:tcPr>
          <w:p w14:paraId="5F7D8267">
            <w:pPr>
              <w:spacing w:line="320" w:lineRule="exact"/>
              <w:rPr>
                <w:rFonts w:ascii="宋体" w:hAnsi="宋体" w:cs="宋体"/>
                <w:szCs w:val="21"/>
                <w:highlight w:val="none"/>
              </w:rPr>
            </w:pPr>
            <w:r>
              <w:rPr>
                <w:rFonts w:hint="eastAsia" w:ascii="宋体" w:hAnsi="宋体" w:cs="宋体"/>
                <w:szCs w:val="21"/>
                <w:highlight w:val="none"/>
              </w:rPr>
              <w:t>机房空调</w:t>
            </w:r>
          </w:p>
        </w:tc>
        <w:tc>
          <w:tcPr>
            <w:tcW w:w="4051" w:type="dxa"/>
            <w:vAlign w:val="center"/>
          </w:tcPr>
          <w:p w14:paraId="58D9181D">
            <w:pPr>
              <w:spacing w:line="320" w:lineRule="exact"/>
              <w:rPr>
                <w:rFonts w:ascii="宋体" w:hAnsi="宋体" w:cs="宋体"/>
                <w:szCs w:val="21"/>
                <w:highlight w:val="none"/>
              </w:rPr>
            </w:pPr>
            <w:r>
              <w:rPr>
                <w:rFonts w:hint="eastAsia" w:ascii="宋体" w:hAnsi="宋体" w:cs="宋体"/>
                <w:szCs w:val="21"/>
                <w:highlight w:val="none"/>
              </w:rPr>
              <w:t>《单元式空气调节机能效限定值及能效等级》（GB19576）</w:t>
            </w:r>
          </w:p>
        </w:tc>
      </w:tr>
      <w:tr w14:paraId="648B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EBA66D3">
            <w:pPr>
              <w:spacing w:line="320" w:lineRule="exact"/>
              <w:rPr>
                <w:rFonts w:ascii="宋体" w:hAnsi="宋体" w:cs="宋体"/>
                <w:szCs w:val="21"/>
                <w:highlight w:val="none"/>
              </w:rPr>
            </w:pPr>
          </w:p>
        </w:tc>
        <w:tc>
          <w:tcPr>
            <w:tcW w:w="1000" w:type="dxa"/>
            <w:vMerge w:val="continue"/>
            <w:vAlign w:val="center"/>
          </w:tcPr>
          <w:p w14:paraId="2ACDF044">
            <w:pPr>
              <w:spacing w:line="320" w:lineRule="exact"/>
              <w:rPr>
                <w:rFonts w:ascii="宋体" w:hAnsi="宋体" w:cs="宋体"/>
                <w:szCs w:val="21"/>
                <w:highlight w:val="none"/>
              </w:rPr>
            </w:pPr>
          </w:p>
        </w:tc>
        <w:tc>
          <w:tcPr>
            <w:tcW w:w="1875" w:type="dxa"/>
            <w:vAlign w:val="center"/>
          </w:tcPr>
          <w:p w14:paraId="063E0DEE">
            <w:pPr>
              <w:spacing w:line="320" w:lineRule="exact"/>
              <w:rPr>
                <w:rFonts w:ascii="宋体" w:hAnsi="宋体" w:cs="宋体"/>
                <w:szCs w:val="21"/>
                <w:highlight w:val="none"/>
              </w:rPr>
            </w:pPr>
            <w:r>
              <w:rPr>
                <w:rFonts w:hint="eastAsia" w:ascii="宋体" w:hAnsi="宋体" w:cs="宋体"/>
                <w:szCs w:val="21"/>
                <w:highlight w:val="none"/>
              </w:rPr>
              <w:t>A02052399其他制冷空调设备</w:t>
            </w:r>
          </w:p>
        </w:tc>
        <w:tc>
          <w:tcPr>
            <w:tcW w:w="1581" w:type="dxa"/>
            <w:vAlign w:val="center"/>
          </w:tcPr>
          <w:p w14:paraId="78E5B6DB">
            <w:pPr>
              <w:spacing w:line="320" w:lineRule="exact"/>
              <w:rPr>
                <w:rFonts w:ascii="宋体" w:hAnsi="宋体" w:cs="宋体"/>
                <w:szCs w:val="21"/>
                <w:highlight w:val="none"/>
              </w:rPr>
            </w:pPr>
            <w:r>
              <w:rPr>
                <w:rFonts w:hint="eastAsia" w:ascii="宋体" w:hAnsi="宋体" w:cs="宋体"/>
                <w:szCs w:val="21"/>
                <w:highlight w:val="none"/>
              </w:rPr>
              <w:t>冷却塔</w:t>
            </w:r>
          </w:p>
        </w:tc>
        <w:tc>
          <w:tcPr>
            <w:tcW w:w="4051" w:type="dxa"/>
            <w:vAlign w:val="center"/>
          </w:tcPr>
          <w:p w14:paraId="2783515C">
            <w:pPr>
              <w:spacing w:line="320" w:lineRule="exact"/>
              <w:rPr>
                <w:rFonts w:ascii="宋体" w:hAnsi="宋体" w:cs="宋体"/>
                <w:szCs w:val="21"/>
                <w:highlight w:val="none"/>
              </w:rPr>
            </w:pPr>
          </w:p>
          <w:p w14:paraId="4AFBE593">
            <w:pPr>
              <w:spacing w:line="320" w:lineRule="exact"/>
              <w:rPr>
                <w:rFonts w:ascii="宋体" w:hAnsi="宋体" w:cs="宋体"/>
                <w:szCs w:val="21"/>
                <w:highlight w:val="none"/>
              </w:rPr>
            </w:pPr>
            <w:r>
              <w:rPr>
                <w:rFonts w:hint="eastAsia" w:ascii="宋体" w:hAnsi="宋体" w:cs="宋体"/>
                <w:szCs w:val="21"/>
                <w:highlight w:val="none"/>
              </w:rPr>
              <w:t>《机械通风冷却塔第1部分：中小型开式冷却塔》（GB/T7190.1）《机械通风冷却塔第2部分：大型开式冷却塔》（GB/T7190.2</w:t>
            </w:r>
          </w:p>
        </w:tc>
      </w:tr>
      <w:tr w14:paraId="4DDD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04595C6">
            <w:pPr>
              <w:pStyle w:val="120"/>
              <w:spacing w:line="320" w:lineRule="exact"/>
              <w:jc w:val="both"/>
              <w:rPr>
                <w:rFonts w:ascii="宋体" w:hAnsi="宋体" w:cs="宋体"/>
                <w:kern w:val="2"/>
                <w:sz w:val="21"/>
                <w:szCs w:val="21"/>
                <w:highlight w:val="none"/>
                <w:lang w:eastAsia="zh-CN"/>
              </w:rPr>
            </w:pPr>
          </w:p>
          <w:p w14:paraId="6627F133">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7</w:t>
            </w:r>
          </w:p>
        </w:tc>
        <w:tc>
          <w:tcPr>
            <w:tcW w:w="1000" w:type="dxa"/>
            <w:vAlign w:val="center"/>
          </w:tcPr>
          <w:p w14:paraId="45D16875">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A020601电机</w:t>
            </w:r>
          </w:p>
        </w:tc>
        <w:tc>
          <w:tcPr>
            <w:tcW w:w="1875" w:type="dxa"/>
            <w:vAlign w:val="center"/>
          </w:tcPr>
          <w:p w14:paraId="1CEF0385">
            <w:pPr>
              <w:spacing w:line="320" w:lineRule="exact"/>
              <w:rPr>
                <w:rFonts w:ascii="宋体" w:hAnsi="宋体" w:cs="宋体"/>
                <w:szCs w:val="21"/>
                <w:highlight w:val="none"/>
              </w:rPr>
            </w:pPr>
          </w:p>
        </w:tc>
        <w:tc>
          <w:tcPr>
            <w:tcW w:w="1581" w:type="dxa"/>
            <w:vAlign w:val="center"/>
          </w:tcPr>
          <w:p w14:paraId="131DA8C2">
            <w:pPr>
              <w:spacing w:line="320" w:lineRule="exact"/>
              <w:rPr>
                <w:rFonts w:ascii="宋体" w:hAnsi="宋体" w:cs="宋体"/>
                <w:szCs w:val="21"/>
                <w:highlight w:val="none"/>
              </w:rPr>
            </w:pPr>
          </w:p>
        </w:tc>
        <w:tc>
          <w:tcPr>
            <w:tcW w:w="4051" w:type="dxa"/>
            <w:vAlign w:val="center"/>
          </w:tcPr>
          <w:p w14:paraId="7DC3431B">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《中小型三相异步电动机能效限定值及能效等级》（GB18613）</w:t>
            </w:r>
          </w:p>
        </w:tc>
      </w:tr>
      <w:tr w14:paraId="14A8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A8C9BAA">
            <w:pPr>
              <w:pStyle w:val="120"/>
              <w:spacing w:line="320" w:lineRule="exact"/>
              <w:jc w:val="both"/>
              <w:rPr>
                <w:rFonts w:ascii="宋体" w:hAnsi="宋体" w:cs="宋体"/>
                <w:kern w:val="2"/>
                <w:sz w:val="21"/>
                <w:szCs w:val="21"/>
                <w:highlight w:val="none"/>
                <w:lang w:eastAsia="zh-CN"/>
              </w:rPr>
            </w:pPr>
          </w:p>
          <w:p w14:paraId="19F1759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8</w:t>
            </w:r>
          </w:p>
        </w:tc>
        <w:tc>
          <w:tcPr>
            <w:tcW w:w="1000" w:type="dxa"/>
            <w:vAlign w:val="center"/>
          </w:tcPr>
          <w:p w14:paraId="319295E4">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A020602变压器</w:t>
            </w:r>
          </w:p>
        </w:tc>
        <w:tc>
          <w:tcPr>
            <w:tcW w:w="1875" w:type="dxa"/>
            <w:vAlign w:val="center"/>
          </w:tcPr>
          <w:p w14:paraId="77F05FD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配电变压器</w:t>
            </w:r>
          </w:p>
        </w:tc>
        <w:tc>
          <w:tcPr>
            <w:tcW w:w="1581" w:type="dxa"/>
            <w:vAlign w:val="center"/>
          </w:tcPr>
          <w:p w14:paraId="32CE5C95">
            <w:pPr>
              <w:spacing w:line="320" w:lineRule="exact"/>
              <w:rPr>
                <w:rFonts w:ascii="宋体" w:hAnsi="宋体" w:cs="宋体"/>
                <w:szCs w:val="21"/>
                <w:highlight w:val="none"/>
              </w:rPr>
            </w:pPr>
          </w:p>
        </w:tc>
        <w:tc>
          <w:tcPr>
            <w:tcW w:w="4051" w:type="dxa"/>
            <w:vAlign w:val="center"/>
          </w:tcPr>
          <w:p w14:paraId="11EB835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《三相配电变压器能效限定值及能效等级》（GB20052）</w:t>
            </w:r>
          </w:p>
        </w:tc>
      </w:tr>
      <w:tr w14:paraId="5E7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A5C4104">
            <w:pPr>
              <w:pStyle w:val="120"/>
              <w:spacing w:line="320" w:lineRule="exact"/>
              <w:jc w:val="both"/>
              <w:rPr>
                <w:rFonts w:ascii="宋体" w:hAnsi="宋体" w:cs="宋体"/>
                <w:kern w:val="2"/>
                <w:sz w:val="21"/>
                <w:szCs w:val="21"/>
                <w:highlight w:val="none"/>
                <w:lang w:eastAsia="zh-CN"/>
              </w:rPr>
            </w:pPr>
          </w:p>
          <w:p w14:paraId="63AD95D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9</w:t>
            </w:r>
          </w:p>
        </w:tc>
        <w:tc>
          <w:tcPr>
            <w:tcW w:w="1000" w:type="dxa"/>
            <w:vAlign w:val="center"/>
          </w:tcPr>
          <w:p w14:paraId="63816FE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A020609镇流器</w:t>
            </w:r>
          </w:p>
        </w:tc>
        <w:tc>
          <w:tcPr>
            <w:tcW w:w="1875" w:type="dxa"/>
            <w:vAlign w:val="center"/>
          </w:tcPr>
          <w:p w14:paraId="1DF1A09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管型荧光灯镇流器</w:t>
            </w:r>
          </w:p>
        </w:tc>
        <w:tc>
          <w:tcPr>
            <w:tcW w:w="1581" w:type="dxa"/>
            <w:vAlign w:val="center"/>
          </w:tcPr>
          <w:p w14:paraId="66D41E4E">
            <w:pPr>
              <w:spacing w:line="320" w:lineRule="exact"/>
              <w:rPr>
                <w:rFonts w:ascii="宋体" w:hAnsi="宋体" w:cs="宋体"/>
                <w:szCs w:val="21"/>
                <w:highlight w:val="none"/>
              </w:rPr>
            </w:pPr>
          </w:p>
        </w:tc>
        <w:tc>
          <w:tcPr>
            <w:tcW w:w="4051" w:type="dxa"/>
            <w:vAlign w:val="center"/>
          </w:tcPr>
          <w:p w14:paraId="2F09E93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《管形荧光灯镇流器能效限定值及能效等级》（GB17896）</w:t>
            </w:r>
          </w:p>
        </w:tc>
      </w:tr>
      <w:tr w14:paraId="2DC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14:paraId="27655C3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10</w:t>
            </w:r>
          </w:p>
        </w:tc>
        <w:tc>
          <w:tcPr>
            <w:tcW w:w="1000" w:type="dxa"/>
            <w:vMerge w:val="restart"/>
            <w:vAlign w:val="center"/>
          </w:tcPr>
          <w:p w14:paraId="37460DE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A020618生活</w:t>
            </w:r>
          </w:p>
          <w:p w14:paraId="14BE1D2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用电器</w:t>
            </w:r>
          </w:p>
        </w:tc>
        <w:tc>
          <w:tcPr>
            <w:tcW w:w="1875" w:type="dxa"/>
            <w:vAlign w:val="center"/>
          </w:tcPr>
          <w:p w14:paraId="74E45F95">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A0206180101电冰箱</w:t>
            </w:r>
          </w:p>
        </w:tc>
        <w:tc>
          <w:tcPr>
            <w:tcW w:w="1581" w:type="dxa"/>
            <w:vAlign w:val="center"/>
          </w:tcPr>
          <w:p w14:paraId="346FA935">
            <w:pPr>
              <w:spacing w:line="320" w:lineRule="exact"/>
              <w:rPr>
                <w:rFonts w:ascii="宋体" w:hAnsi="宋体" w:cs="宋体"/>
                <w:szCs w:val="21"/>
                <w:highlight w:val="none"/>
              </w:rPr>
            </w:pPr>
          </w:p>
        </w:tc>
        <w:tc>
          <w:tcPr>
            <w:tcW w:w="4051" w:type="dxa"/>
            <w:vAlign w:val="center"/>
          </w:tcPr>
          <w:p w14:paraId="7D8D152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《家用电冰箱耗电量限定值及能效等级》（GB</w:t>
            </w:r>
            <w:r>
              <w:rPr>
                <w:rFonts w:hint="eastAsia" w:ascii="宋体" w:hAnsi="宋体" w:cs="宋体"/>
                <w:kern w:val="2"/>
                <w:sz w:val="21"/>
                <w:szCs w:val="21"/>
                <w:highlight w:val="none"/>
                <w:lang w:eastAsia="zh-CN"/>
              </w:rPr>
              <w:tab/>
            </w:r>
            <w:r>
              <w:rPr>
                <w:rFonts w:hint="eastAsia" w:ascii="宋体" w:hAnsi="宋体" w:cs="宋体"/>
                <w:kern w:val="2"/>
                <w:sz w:val="21"/>
                <w:szCs w:val="21"/>
                <w:highlight w:val="none"/>
                <w:lang w:eastAsia="zh-CN"/>
              </w:rPr>
              <w:t>12021.2）</w:t>
            </w:r>
          </w:p>
        </w:tc>
      </w:tr>
      <w:tr w14:paraId="0684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928F2F4">
            <w:pPr>
              <w:spacing w:line="320" w:lineRule="exact"/>
              <w:rPr>
                <w:rFonts w:ascii="宋体" w:hAnsi="宋体" w:cs="宋体"/>
                <w:szCs w:val="21"/>
                <w:highlight w:val="none"/>
              </w:rPr>
            </w:pPr>
          </w:p>
        </w:tc>
        <w:tc>
          <w:tcPr>
            <w:tcW w:w="1000" w:type="dxa"/>
            <w:vMerge w:val="continue"/>
            <w:vAlign w:val="center"/>
          </w:tcPr>
          <w:p w14:paraId="7239BEC5">
            <w:pPr>
              <w:spacing w:line="320" w:lineRule="exact"/>
              <w:rPr>
                <w:rFonts w:ascii="宋体" w:hAnsi="宋体" w:cs="宋体"/>
                <w:szCs w:val="21"/>
                <w:highlight w:val="none"/>
              </w:rPr>
            </w:pPr>
          </w:p>
        </w:tc>
        <w:tc>
          <w:tcPr>
            <w:tcW w:w="1875" w:type="dxa"/>
            <w:vMerge w:val="restart"/>
            <w:vAlign w:val="center"/>
          </w:tcPr>
          <w:p w14:paraId="7E5E800B">
            <w:pPr>
              <w:spacing w:line="320" w:lineRule="exact"/>
              <w:rPr>
                <w:rFonts w:ascii="宋体" w:hAnsi="宋体" w:cs="宋体"/>
                <w:szCs w:val="21"/>
                <w:highlight w:val="none"/>
              </w:rPr>
            </w:pPr>
            <w:r>
              <w:rPr>
                <w:rFonts w:hint="eastAsia" w:ascii="宋体" w:hAnsi="宋体" w:cs="宋体"/>
                <w:szCs w:val="21"/>
                <w:highlight w:val="none"/>
              </w:rPr>
              <w:t>★A0206180203空调机</w:t>
            </w:r>
          </w:p>
          <w:p w14:paraId="47839841">
            <w:pPr>
              <w:spacing w:line="320" w:lineRule="exact"/>
              <w:rPr>
                <w:rFonts w:ascii="宋体" w:hAnsi="宋体" w:cs="宋体"/>
                <w:szCs w:val="21"/>
                <w:highlight w:val="none"/>
              </w:rPr>
            </w:pPr>
          </w:p>
        </w:tc>
        <w:tc>
          <w:tcPr>
            <w:tcW w:w="1581" w:type="dxa"/>
            <w:vAlign w:val="center"/>
          </w:tcPr>
          <w:p w14:paraId="09F551AD">
            <w:pPr>
              <w:spacing w:line="320" w:lineRule="exact"/>
              <w:rPr>
                <w:rFonts w:ascii="宋体" w:hAnsi="宋体" w:cs="宋体"/>
                <w:szCs w:val="21"/>
                <w:highlight w:val="none"/>
              </w:rPr>
            </w:pPr>
            <w:r>
              <w:rPr>
                <w:rFonts w:hint="eastAsia" w:ascii="宋体" w:hAnsi="宋体" w:cs="宋体"/>
                <w:szCs w:val="21"/>
                <w:highlight w:val="none"/>
              </w:rPr>
              <w:t>房间空气调节器</w:t>
            </w:r>
          </w:p>
        </w:tc>
        <w:tc>
          <w:tcPr>
            <w:tcW w:w="4051" w:type="dxa"/>
            <w:vAlign w:val="center"/>
          </w:tcPr>
          <w:p w14:paraId="2FFC2C12">
            <w:pPr>
              <w:spacing w:line="320" w:lineRule="exact"/>
              <w:rPr>
                <w:rFonts w:ascii="宋体" w:hAnsi="宋体" w:cs="宋体"/>
                <w:szCs w:val="21"/>
                <w:highlight w:val="none"/>
              </w:rPr>
            </w:pPr>
            <w:r>
              <w:rPr>
                <w:rFonts w:hint="eastAsia" w:ascii="宋体" w:hAnsi="宋体" w:cs="宋体"/>
                <w:szCs w:val="21"/>
                <w:highlight w:val="none"/>
              </w:rPr>
              <w:t>《转速可控型房间空气调节器能效限定值及能效等级》（GB21455-2013），待2019年修订发布后，按《房间空气调节器能效限定值及能效等级》（GB21455-2019实施。</w:t>
            </w:r>
          </w:p>
        </w:tc>
      </w:tr>
      <w:tr w14:paraId="4A63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98C30AF">
            <w:pPr>
              <w:spacing w:line="320" w:lineRule="exact"/>
              <w:rPr>
                <w:rFonts w:ascii="宋体" w:hAnsi="宋体" w:cs="宋体"/>
                <w:szCs w:val="21"/>
                <w:highlight w:val="none"/>
              </w:rPr>
            </w:pPr>
          </w:p>
        </w:tc>
        <w:tc>
          <w:tcPr>
            <w:tcW w:w="1000" w:type="dxa"/>
            <w:vMerge w:val="continue"/>
            <w:vAlign w:val="center"/>
          </w:tcPr>
          <w:p w14:paraId="12FADB63">
            <w:pPr>
              <w:spacing w:line="320" w:lineRule="exact"/>
              <w:rPr>
                <w:rFonts w:ascii="宋体" w:hAnsi="宋体" w:cs="宋体"/>
                <w:szCs w:val="21"/>
                <w:highlight w:val="none"/>
              </w:rPr>
            </w:pPr>
          </w:p>
        </w:tc>
        <w:tc>
          <w:tcPr>
            <w:tcW w:w="1875" w:type="dxa"/>
            <w:vMerge w:val="continue"/>
            <w:vAlign w:val="center"/>
          </w:tcPr>
          <w:p w14:paraId="7A03ABAE">
            <w:pPr>
              <w:spacing w:line="320" w:lineRule="exact"/>
              <w:rPr>
                <w:rFonts w:ascii="宋体" w:hAnsi="宋体" w:cs="宋体"/>
                <w:szCs w:val="21"/>
                <w:highlight w:val="none"/>
              </w:rPr>
            </w:pPr>
          </w:p>
        </w:tc>
        <w:tc>
          <w:tcPr>
            <w:tcW w:w="1581" w:type="dxa"/>
            <w:vAlign w:val="center"/>
          </w:tcPr>
          <w:p w14:paraId="1092F12E">
            <w:pPr>
              <w:spacing w:line="320" w:lineRule="exact"/>
              <w:rPr>
                <w:rFonts w:ascii="宋体" w:hAnsi="宋体" w:cs="宋体"/>
                <w:szCs w:val="21"/>
                <w:highlight w:val="none"/>
              </w:rPr>
            </w:pPr>
            <w:r>
              <w:rPr>
                <w:rFonts w:hint="eastAsia" w:ascii="宋体" w:hAnsi="宋体" w:cs="宋体"/>
                <w:szCs w:val="21"/>
                <w:highlight w:val="none"/>
              </w:rPr>
              <w:t>多联式空调（热泵）机组（制冷量≤ 14000W）</w:t>
            </w:r>
          </w:p>
        </w:tc>
        <w:tc>
          <w:tcPr>
            <w:tcW w:w="4051" w:type="dxa"/>
            <w:vAlign w:val="center"/>
          </w:tcPr>
          <w:p w14:paraId="11DB7455">
            <w:pPr>
              <w:spacing w:line="320" w:lineRule="exact"/>
              <w:rPr>
                <w:rFonts w:ascii="宋体" w:hAnsi="宋体" w:cs="宋体"/>
                <w:szCs w:val="21"/>
                <w:highlight w:val="none"/>
              </w:rPr>
            </w:pPr>
            <w:r>
              <w:rPr>
                <w:rFonts w:hint="eastAsia" w:ascii="宋体" w:hAnsi="宋体" w:cs="宋体"/>
                <w:szCs w:val="21"/>
                <w:highlight w:val="none"/>
              </w:rPr>
              <w:t>《多联式空调（热泵）机组能效限定值及能源效率等级》（GB21454</w:t>
            </w:r>
          </w:p>
        </w:tc>
      </w:tr>
      <w:tr w14:paraId="7542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14:paraId="6C3C26F1">
            <w:pPr>
              <w:spacing w:line="320" w:lineRule="exact"/>
              <w:rPr>
                <w:rFonts w:ascii="宋体" w:hAnsi="宋体" w:cs="宋体"/>
                <w:szCs w:val="21"/>
                <w:highlight w:val="none"/>
              </w:rPr>
            </w:pPr>
          </w:p>
        </w:tc>
        <w:tc>
          <w:tcPr>
            <w:tcW w:w="1000" w:type="dxa"/>
            <w:vMerge w:val="continue"/>
            <w:vAlign w:val="center"/>
          </w:tcPr>
          <w:p w14:paraId="52034211">
            <w:pPr>
              <w:spacing w:line="320" w:lineRule="exact"/>
              <w:rPr>
                <w:rFonts w:ascii="宋体" w:hAnsi="宋体" w:cs="宋体"/>
                <w:szCs w:val="21"/>
                <w:highlight w:val="none"/>
              </w:rPr>
            </w:pPr>
          </w:p>
        </w:tc>
        <w:tc>
          <w:tcPr>
            <w:tcW w:w="1875" w:type="dxa"/>
            <w:vMerge w:val="continue"/>
            <w:vAlign w:val="center"/>
          </w:tcPr>
          <w:p w14:paraId="164DC5BA">
            <w:pPr>
              <w:spacing w:line="320" w:lineRule="exact"/>
              <w:rPr>
                <w:rFonts w:ascii="宋体" w:hAnsi="宋体" w:cs="宋体"/>
                <w:szCs w:val="21"/>
                <w:highlight w:val="none"/>
              </w:rPr>
            </w:pPr>
          </w:p>
        </w:tc>
        <w:tc>
          <w:tcPr>
            <w:tcW w:w="1581" w:type="dxa"/>
            <w:vAlign w:val="center"/>
          </w:tcPr>
          <w:p w14:paraId="0D406650">
            <w:pPr>
              <w:spacing w:line="320" w:lineRule="exact"/>
              <w:rPr>
                <w:rFonts w:ascii="宋体" w:hAnsi="宋体" w:cs="宋体"/>
                <w:szCs w:val="21"/>
                <w:highlight w:val="none"/>
              </w:rPr>
            </w:pPr>
            <w:r>
              <w:rPr>
                <w:rFonts w:hint="eastAsia" w:ascii="宋体" w:hAnsi="宋体" w:cs="宋体"/>
                <w:szCs w:val="21"/>
                <w:highlight w:val="none"/>
              </w:rPr>
              <w:t>单元式空气调节机</w:t>
            </w:r>
          </w:p>
          <w:p w14:paraId="3FA3CDD7">
            <w:pPr>
              <w:spacing w:line="320" w:lineRule="exact"/>
              <w:rPr>
                <w:rFonts w:ascii="宋体" w:hAnsi="宋体" w:cs="宋体"/>
                <w:szCs w:val="21"/>
                <w:highlight w:val="none"/>
              </w:rPr>
            </w:pPr>
            <w:r>
              <w:rPr>
                <w:rFonts w:hint="eastAsia" w:ascii="宋体" w:hAnsi="宋体" w:cs="宋体"/>
                <w:szCs w:val="21"/>
                <w:highlight w:val="none"/>
              </w:rPr>
              <w:t>(制冷量≤14000W)</w:t>
            </w:r>
          </w:p>
        </w:tc>
        <w:tc>
          <w:tcPr>
            <w:tcW w:w="4051" w:type="dxa"/>
            <w:vAlign w:val="center"/>
          </w:tcPr>
          <w:p w14:paraId="51C0E1EA">
            <w:pPr>
              <w:spacing w:line="320" w:lineRule="exact"/>
              <w:rPr>
                <w:rFonts w:ascii="宋体" w:hAnsi="宋体" w:cs="宋体"/>
                <w:szCs w:val="21"/>
                <w:highlight w:val="none"/>
              </w:rPr>
            </w:pPr>
            <w:r>
              <w:rPr>
                <w:rFonts w:hint="eastAsia" w:ascii="宋体" w:hAnsi="宋体" w:cs="宋体"/>
                <w:szCs w:val="21"/>
                <w:highlight w:val="none"/>
              </w:rPr>
              <w:t>《单元式空气调节机能效限定值及能源效率等级》（GB19576）《风管送风式空调机组能效限定值及能效等级》（GB37479）</w:t>
            </w:r>
          </w:p>
        </w:tc>
      </w:tr>
      <w:tr w14:paraId="76C7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DF4FE1F">
            <w:pPr>
              <w:spacing w:line="320" w:lineRule="exact"/>
              <w:rPr>
                <w:rFonts w:ascii="宋体" w:hAnsi="宋体" w:cs="宋体"/>
                <w:szCs w:val="21"/>
                <w:highlight w:val="none"/>
              </w:rPr>
            </w:pPr>
          </w:p>
        </w:tc>
        <w:tc>
          <w:tcPr>
            <w:tcW w:w="1000" w:type="dxa"/>
            <w:vMerge w:val="continue"/>
            <w:vAlign w:val="center"/>
          </w:tcPr>
          <w:p w14:paraId="43E2F99E">
            <w:pPr>
              <w:spacing w:line="320" w:lineRule="exact"/>
              <w:rPr>
                <w:rFonts w:ascii="宋体" w:hAnsi="宋体" w:cs="宋体"/>
                <w:szCs w:val="21"/>
                <w:highlight w:val="none"/>
              </w:rPr>
            </w:pPr>
          </w:p>
        </w:tc>
        <w:tc>
          <w:tcPr>
            <w:tcW w:w="1875" w:type="dxa"/>
            <w:vAlign w:val="center"/>
          </w:tcPr>
          <w:p w14:paraId="1C379DA2">
            <w:pPr>
              <w:spacing w:line="320" w:lineRule="exact"/>
              <w:rPr>
                <w:rFonts w:ascii="宋体" w:hAnsi="宋体" w:cs="宋体"/>
                <w:szCs w:val="21"/>
                <w:highlight w:val="none"/>
              </w:rPr>
            </w:pPr>
            <w:r>
              <w:rPr>
                <w:rFonts w:hint="eastAsia" w:ascii="宋体" w:hAnsi="宋体" w:cs="宋体"/>
                <w:szCs w:val="21"/>
                <w:highlight w:val="none"/>
              </w:rPr>
              <w:t>A0206180301洗衣机</w:t>
            </w:r>
          </w:p>
        </w:tc>
        <w:tc>
          <w:tcPr>
            <w:tcW w:w="1581" w:type="dxa"/>
            <w:vAlign w:val="center"/>
          </w:tcPr>
          <w:p w14:paraId="6BC0D5D5">
            <w:pPr>
              <w:spacing w:line="320" w:lineRule="exact"/>
              <w:rPr>
                <w:rFonts w:ascii="宋体" w:hAnsi="宋体" w:cs="宋体"/>
                <w:szCs w:val="21"/>
                <w:highlight w:val="none"/>
              </w:rPr>
            </w:pPr>
          </w:p>
        </w:tc>
        <w:tc>
          <w:tcPr>
            <w:tcW w:w="4051" w:type="dxa"/>
            <w:vAlign w:val="center"/>
          </w:tcPr>
          <w:p w14:paraId="2AF28033">
            <w:pPr>
              <w:spacing w:line="320" w:lineRule="exact"/>
              <w:rPr>
                <w:rFonts w:ascii="宋体" w:hAnsi="宋体" w:cs="宋体"/>
                <w:szCs w:val="21"/>
                <w:highlight w:val="none"/>
              </w:rPr>
            </w:pPr>
            <w:r>
              <w:rPr>
                <w:rFonts w:hint="eastAsia" w:ascii="宋体" w:hAnsi="宋体" w:cs="宋体"/>
                <w:szCs w:val="21"/>
                <w:highlight w:val="none"/>
              </w:rPr>
              <w:t>《电动洗衣机能效水效限定值及等级》（GB12021.4）</w:t>
            </w:r>
          </w:p>
        </w:tc>
      </w:tr>
      <w:tr w14:paraId="256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D3590CC">
            <w:pPr>
              <w:spacing w:line="320" w:lineRule="exact"/>
              <w:rPr>
                <w:rFonts w:ascii="宋体" w:hAnsi="宋体" w:cs="宋体"/>
                <w:szCs w:val="21"/>
                <w:highlight w:val="none"/>
              </w:rPr>
            </w:pPr>
          </w:p>
        </w:tc>
        <w:tc>
          <w:tcPr>
            <w:tcW w:w="1000" w:type="dxa"/>
            <w:vMerge w:val="continue"/>
            <w:vAlign w:val="center"/>
          </w:tcPr>
          <w:p w14:paraId="6968F73A">
            <w:pPr>
              <w:spacing w:line="320" w:lineRule="exact"/>
              <w:rPr>
                <w:rFonts w:ascii="宋体" w:hAnsi="宋体" w:cs="宋体"/>
                <w:szCs w:val="21"/>
                <w:highlight w:val="none"/>
              </w:rPr>
            </w:pPr>
          </w:p>
        </w:tc>
        <w:tc>
          <w:tcPr>
            <w:tcW w:w="1875" w:type="dxa"/>
            <w:vMerge w:val="restart"/>
            <w:vAlign w:val="center"/>
          </w:tcPr>
          <w:p w14:paraId="722789E5">
            <w:pPr>
              <w:spacing w:line="320" w:lineRule="exact"/>
              <w:rPr>
                <w:rFonts w:ascii="宋体" w:hAnsi="宋体" w:cs="宋体"/>
                <w:szCs w:val="21"/>
                <w:highlight w:val="none"/>
              </w:rPr>
            </w:pPr>
          </w:p>
          <w:p w14:paraId="1F90DF1A">
            <w:pPr>
              <w:spacing w:line="320" w:lineRule="exact"/>
              <w:rPr>
                <w:rFonts w:ascii="宋体" w:hAnsi="宋体" w:cs="宋体"/>
                <w:szCs w:val="21"/>
                <w:highlight w:val="none"/>
              </w:rPr>
            </w:pPr>
          </w:p>
          <w:p w14:paraId="150A34FE">
            <w:pPr>
              <w:spacing w:line="320" w:lineRule="exact"/>
              <w:rPr>
                <w:rFonts w:ascii="宋体" w:hAnsi="宋体" w:cs="宋体"/>
                <w:szCs w:val="21"/>
                <w:highlight w:val="none"/>
              </w:rPr>
            </w:pPr>
          </w:p>
          <w:p w14:paraId="4BBD1490">
            <w:pPr>
              <w:spacing w:line="320" w:lineRule="exact"/>
              <w:rPr>
                <w:rFonts w:ascii="宋体" w:hAnsi="宋体" w:cs="宋体"/>
                <w:szCs w:val="21"/>
                <w:highlight w:val="none"/>
              </w:rPr>
            </w:pPr>
          </w:p>
          <w:p w14:paraId="7EC71EB9">
            <w:pPr>
              <w:spacing w:line="320" w:lineRule="exact"/>
              <w:rPr>
                <w:rFonts w:ascii="宋体" w:hAnsi="宋体" w:cs="宋体"/>
                <w:szCs w:val="21"/>
                <w:highlight w:val="none"/>
              </w:rPr>
            </w:pPr>
          </w:p>
          <w:p w14:paraId="5C9A333B">
            <w:pPr>
              <w:spacing w:line="320" w:lineRule="exact"/>
              <w:rPr>
                <w:rFonts w:ascii="宋体" w:hAnsi="宋体" w:cs="宋体"/>
                <w:szCs w:val="21"/>
                <w:highlight w:val="none"/>
              </w:rPr>
            </w:pPr>
            <w:r>
              <w:rPr>
                <w:rFonts w:hint="eastAsia" w:ascii="宋体" w:hAnsi="宋体" w:cs="宋体"/>
                <w:szCs w:val="21"/>
                <w:highlight w:val="none"/>
              </w:rPr>
              <w:t>A02061808热水器</w:t>
            </w:r>
          </w:p>
        </w:tc>
        <w:tc>
          <w:tcPr>
            <w:tcW w:w="1581" w:type="dxa"/>
            <w:vAlign w:val="center"/>
          </w:tcPr>
          <w:p w14:paraId="1640EBB5">
            <w:pPr>
              <w:spacing w:line="320" w:lineRule="exact"/>
              <w:rPr>
                <w:rFonts w:ascii="宋体" w:hAnsi="宋体" w:cs="宋体"/>
                <w:szCs w:val="21"/>
                <w:highlight w:val="none"/>
              </w:rPr>
            </w:pPr>
          </w:p>
          <w:p w14:paraId="7FB79364">
            <w:pPr>
              <w:spacing w:line="320" w:lineRule="exact"/>
              <w:rPr>
                <w:rFonts w:ascii="宋体" w:hAnsi="宋体" w:cs="宋体"/>
                <w:szCs w:val="21"/>
                <w:highlight w:val="none"/>
              </w:rPr>
            </w:pPr>
            <w:r>
              <w:rPr>
                <w:rFonts w:hint="eastAsia" w:ascii="宋体" w:hAnsi="宋体" w:cs="宋体"/>
                <w:szCs w:val="21"/>
                <w:highlight w:val="none"/>
              </w:rPr>
              <w:t>★电热水器</w:t>
            </w:r>
          </w:p>
        </w:tc>
        <w:tc>
          <w:tcPr>
            <w:tcW w:w="4051" w:type="dxa"/>
            <w:vAlign w:val="center"/>
          </w:tcPr>
          <w:p w14:paraId="2F3AE4F9">
            <w:pPr>
              <w:spacing w:line="320" w:lineRule="exact"/>
              <w:rPr>
                <w:rFonts w:ascii="宋体" w:hAnsi="宋体" w:cs="宋体"/>
                <w:szCs w:val="21"/>
                <w:highlight w:val="none"/>
              </w:rPr>
            </w:pPr>
            <w:r>
              <w:rPr>
                <w:rFonts w:hint="eastAsia" w:ascii="宋体" w:hAnsi="宋体" w:cs="宋体"/>
                <w:szCs w:val="21"/>
                <w:highlight w:val="none"/>
              </w:rPr>
              <w:t>《储水式电热水器能效限定值及能效等级》（GB21519）</w:t>
            </w:r>
          </w:p>
        </w:tc>
      </w:tr>
      <w:tr w14:paraId="0EB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4229F29">
            <w:pPr>
              <w:spacing w:line="320" w:lineRule="exact"/>
              <w:rPr>
                <w:rFonts w:ascii="宋体" w:hAnsi="宋体" w:cs="宋体"/>
                <w:szCs w:val="21"/>
                <w:highlight w:val="none"/>
              </w:rPr>
            </w:pPr>
          </w:p>
        </w:tc>
        <w:tc>
          <w:tcPr>
            <w:tcW w:w="1000" w:type="dxa"/>
            <w:vMerge w:val="continue"/>
            <w:vAlign w:val="center"/>
          </w:tcPr>
          <w:p w14:paraId="0DADFEB0">
            <w:pPr>
              <w:spacing w:line="320" w:lineRule="exact"/>
              <w:rPr>
                <w:rFonts w:ascii="宋体" w:hAnsi="宋体" w:cs="宋体"/>
                <w:szCs w:val="21"/>
                <w:highlight w:val="none"/>
              </w:rPr>
            </w:pPr>
          </w:p>
        </w:tc>
        <w:tc>
          <w:tcPr>
            <w:tcW w:w="1875" w:type="dxa"/>
            <w:vMerge w:val="continue"/>
            <w:vAlign w:val="center"/>
          </w:tcPr>
          <w:p w14:paraId="6ADC79E0">
            <w:pPr>
              <w:spacing w:line="320" w:lineRule="exact"/>
              <w:rPr>
                <w:rFonts w:ascii="宋体" w:hAnsi="宋体" w:cs="宋体"/>
                <w:szCs w:val="21"/>
                <w:highlight w:val="none"/>
              </w:rPr>
            </w:pPr>
          </w:p>
        </w:tc>
        <w:tc>
          <w:tcPr>
            <w:tcW w:w="1581" w:type="dxa"/>
            <w:vAlign w:val="center"/>
          </w:tcPr>
          <w:p w14:paraId="38A19A76">
            <w:pPr>
              <w:spacing w:line="320" w:lineRule="exact"/>
              <w:rPr>
                <w:rFonts w:ascii="宋体" w:hAnsi="宋体" w:cs="宋体"/>
                <w:szCs w:val="21"/>
                <w:highlight w:val="none"/>
              </w:rPr>
            </w:pPr>
            <w:r>
              <w:rPr>
                <w:rFonts w:hint="eastAsia" w:ascii="宋体" w:hAnsi="宋体" w:cs="宋体"/>
                <w:szCs w:val="21"/>
                <w:highlight w:val="none"/>
              </w:rPr>
              <w:t>燃气热水器</w:t>
            </w:r>
          </w:p>
        </w:tc>
        <w:tc>
          <w:tcPr>
            <w:tcW w:w="4051" w:type="dxa"/>
            <w:vAlign w:val="center"/>
          </w:tcPr>
          <w:p w14:paraId="578D8960">
            <w:pPr>
              <w:spacing w:line="320" w:lineRule="exact"/>
              <w:rPr>
                <w:rFonts w:ascii="宋体" w:hAnsi="宋体" w:cs="宋体"/>
                <w:szCs w:val="21"/>
                <w:highlight w:val="none"/>
              </w:rPr>
            </w:pPr>
            <w:r>
              <w:rPr>
                <w:rFonts w:hint="eastAsia" w:ascii="宋体" w:hAnsi="宋体" w:cs="宋体"/>
                <w:szCs w:val="21"/>
                <w:highlight w:val="none"/>
              </w:rPr>
              <w:t>《家用燃气快速热水器和燃气采暖热水炉能效限定值及能效等级（GB20665）</w:t>
            </w:r>
          </w:p>
        </w:tc>
      </w:tr>
      <w:tr w14:paraId="45F0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2CE7FDB">
            <w:pPr>
              <w:spacing w:line="320" w:lineRule="exact"/>
              <w:rPr>
                <w:rFonts w:ascii="宋体" w:hAnsi="宋体" w:cs="宋体"/>
                <w:szCs w:val="21"/>
                <w:highlight w:val="none"/>
              </w:rPr>
            </w:pPr>
          </w:p>
        </w:tc>
        <w:tc>
          <w:tcPr>
            <w:tcW w:w="1000" w:type="dxa"/>
            <w:vMerge w:val="continue"/>
            <w:vAlign w:val="center"/>
          </w:tcPr>
          <w:p w14:paraId="5E0C2CDF">
            <w:pPr>
              <w:spacing w:line="320" w:lineRule="exact"/>
              <w:rPr>
                <w:rFonts w:ascii="宋体" w:hAnsi="宋体" w:cs="宋体"/>
                <w:szCs w:val="21"/>
                <w:highlight w:val="none"/>
              </w:rPr>
            </w:pPr>
          </w:p>
        </w:tc>
        <w:tc>
          <w:tcPr>
            <w:tcW w:w="1875" w:type="dxa"/>
            <w:vMerge w:val="continue"/>
            <w:vAlign w:val="center"/>
          </w:tcPr>
          <w:p w14:paraId="013F460E">
            <w:pPr>
              <w:spacing w:line="320" w:lineRule="exact"/>
              <w:rPr>
                <w:rFonts w:ascii="宋体" w:hAnsi="宋体" w:cs="宋体"/>
                <w:szCs w:val="21"/>
                <w:highlight w:val="none"/>
              </w:rPr>
            </w:pPr>
          </w:p>
        </w:tc>
        <w:tc>
          <w:tcPr>
            <w:tcW w:w="1581" w:type="dxa"/>
            <w:vAlign w:val="center"/>
          </w:tcPr>
          <w:p w14:paraId="054DF0E4">
            <w:pPr>
              <w:spacing w:line="320" w:lineRule="exact"/>
              <w:rPr>
                <w:rFonts w:ascii="宋体" w:hAnsi="宋体" w:cs="宋体"/>
                <w:szCs w:val="21"/>
                <w:highlight w:val="none"/>
              </w:rPr>
            </w:pPr>
            <w:r>
              <w:rPr>
                <w:rFonts w:hint="eastAsia" w:ascii="宋体" w:hAnsi="宋体" w:cs="宋体"/>
                <w:szCs w:val="21"/>
                <w:highlight w:val="none"/>
              </w:rPr>
              <w:t>热泵热水器</w:t>
            </w:r>
          </w:p>
        </w:tc>
        <w:tc>
          <w:tcPr>
            <w:tcW w:w="4051" w:type="dxa"/>
            <w:vAlign w:val="center"/>
          </w:tcPr>
          <w:p w14:paraId="2C816993">
            <w:pPr>
              <w:spacing w:line="320" w:lineRule="exact"/>
              <w:rPr>
                <w:rFonts w:ascii="宋体" w:hAnsi="宋体" w:cs="宋体"/>
                <w:szCs w:val="21"/>
                <w:highlight w:val="none"/>
              </w:rPr>
            </w:pPr>
            <w:r>
              <w:rPr>
                <w:rFonts w:hint="eastAsia" w:ascii="宋体" w:hAnsi="宋体" w:cs="宋体"/>
                <w:szCs w:val="21"/>
                <w:highlight w:val="none"/>
              </w:rPr>
              <w:t>《热泵热水机（器）能效限定值及能效等级》（GB29541）</w:t>
            </w:r>
          </w:p>
        </w:tc>
      </w:tr>
      <w:tr w14:paraId="67CE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42C48A7">
            <w:pPr>
              <w:spacing w:line="320" w:lineRule="exact"/>
              <w:rPr>
                <w:rFonts w:ascii="宋体" w:hAnsi="宋体" w:cs="宋体"/>
                <w:szCs w:val="21"/>
                <w:highlight w:val="none"/>
              </w:rPr>
            </w:pPr>
          </w:p>
        </w:tc>
        <w:tc>
          <w:tcPr>
            <w:tcW w:w="1000" w:type="dxa"/>
            <w:vMerge w:val="continue"/>
            <w:vAlign w:val="center"/>
          </w:tcPr>
          <w:p w14:paraId="74EE7BEE">
            <w:pPr>
              <w:spacing w:line="320" w:lineRule="exact"/>
              <w:rPr>
                <w:rFonts w:ascii="宋体" w:hAnsi="宋体" w:cs="宋体"/>
                <w:szCs w:val="21"/>
                <w:highlight w:val="none"/>
              </w:rPr>
            </w:pPr>
          </w:p>
        </w:tc>
        <w:tc>
          <w:tcPr>
            <w:tcW w:w="1875" w:type="dxa"/>
            <w:vMerge w:val="continue"/>
            <w:vAlign w:val="center"/>
          </w:tcPr>
          <w:p w14:paraId="4A3697C8">
            <w:pPr>
              <w:spacing w:line="320" w:lineRule="exact"/>
              <w:rPr>
                <w:rFonts w:ascii="宋体" w:hAnsi="宋体" w:cs="宋体"/>
                <w:szCs w:val="21"/>
                <w:highlight w:val="none"/>
              </w:rPr>
            </w:pPr>
          </w:p>
        </w:tc>
        <w:tc>
          <w:tcPr>
            <w:tcW w:w="1581" w:type="dxa"/>
            <w:vAlign w:val="center"/>
          </w:tcPr>
          <w:p w14:paraId="1ED23D50">
            <w:pPr>
              <w:spacing w:line="320" w:lineRule="exact"/>
              <w:rPr>
                <w:rFonts w:ascii="宋体" w:hAnsi="宋体" w:cs="宋体"/>
                <w:szCs w:val="21"/>
                <w:highlight w:val="none"/>
              </w:rPr>
            </w:pPr>
            <w:r>
              <w:rPr>
                <w:rFonts w:hint="eastAsia" w:ascii="宋体" w:hAnsi="宋体" w:cs="宋体"/>
                <w:szCs w:val="21"/>
                <w:highlight w:val="none"/>
              </w:rPr>
              <w:t>太阳能热水系统</w:t>
            </w:r>
          </w:p>
        </w:tc>
        <w:tc>
          <w:tcPr>
            <w:tcW w:w="4051" w:type="dxa"/>
            <w:vAlign w:val="center"/>
          </w:tcPr>
          <w:p w14:paraId="7526B27A">
            <w:pPr>
              <w:spacing w:line="320" w:lineRule="exact"/>
              <w:rPr>
                <w:rFonts w:ascii="宋体" w:hAnsi="宋体" w:cs="宋体"/>
                <w:szCs w:val="21"/>
                <w:highlight w:val="none"/>
              </w:rPr>
            </w:pPr>
            <w:r>
              <w:rPr>
                <w:rFonts w:hint="eastAsia" w:ascii="宋体" w:hAnsi="宋体" w:cs="宋体"/>
                <w:szCs w:val="21"/>
                <w:highlight w:val="none"/>
              </w:rPr>
              <w:t>《家用太阳能热水系统能效限定值及能效等级》（GB26969）</w:t>
            </w:r>
          </w:p>
        </w:tc>
      </w:tr>
      <w:tr w14:paraId="6B3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1A4E6FF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11</w:t>
            </w:r>
          </w:p>
        </w:tc>
        <w:tc>
          <w:tcPr>
            <w:tcW w:w="1000" w:type="dxa"/>
            <w:vMerge w:val="restart"/>
            <w:vAlign w:val="center"/>
          </w:tcPr>
          <w:p w14:paraId="2BBB4A3C">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A020619照明</w:t>
            </w:r>
          </w:p>
          <w:p w14:paraId="540B6875">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设备</w:t>
            </w:r>
          </w:p>
        </w:tc>
        <w:tc>
          <w:tcPr>
            <w:tcW w:w="1875" w:type="dxa"/>
            <w:vAlign w:val="center"/>
          </w:tcPr>
          <w:p w14:paraId="66FEA7E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★普通照明用双端荧光灯</w:t>
            </w:r>
          </w:p>
        </w:tc>
        <w:tc>
          <w:tcPr>
            <w:tcW w:w="1581" w:type="dxa"/>
            <w:vAlign w:val="center"/>
          </w:tcPr>
          <w:p w14:paraId="3DEE2A80">
            <w:pPr>
              <w:spacing w:line="320" w:lineRule="exact"/>
              <w:rPr>
                <w:rFonts w:ascii="宋体" w:hAnsi="宋体" w:cs="宋体"/>
                <w:szCs w:val="21"/>
                <w:highlight w:val="none"/>
              </w:rPr>
            </w:pPr>
          </w:p>
        </w:tc>
        <w:tc>
          <w:tcPr>
            <w:tcW w:w="4051" w:type="dxa"/>
            <w:vAlign w:val="center"/>
          </w:tcPr>
          <w:p w14:paraId="408F9F2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《普通照明用双端荧光灯能效限定值及能效等级》（GB19043）</w:t>
            </w:r>
          </w:p>
        </w:tc>
      </w:tr>
      <w:tr w14:paraId="389F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1129C80">
            <w:pPr>
              <w:spacing w:line="320" w:lineRule="exact"/>
              <w:rPr>
                <w:rFonts w:ascii="宋体" w:hAnsi="宋体" w:cs="宋体"/>
                <w:szCs w:val="21"/>
                <w:highlight w:val="none"/>
              </w:rPr>
            </w:pPr>
          </w:p>
        </w:tc>
        <w:tc>
          <w:tcPr>
            <w:tcW w:w="1000" w:type="dxa"/>
            <w:vMerge w:val="continue"/>
            <w:vAlign w:val="center"/>
          </w:tcPr>
          <w:p w14:paraId="160F2413">
            <w:pPr>
              <w:spacing w:line="320" w:lineRule="exact"/>
              <w:rPr>
                <w:rFonts w:ascii="宋体" w:hAnsi="宋体" w:cs="宋体"/>
                <w:szCs w:val="21"/>
                <w:highlight w:val="none"/>
              </w:rPr>
            </w:pPr>
          </w:p>
        </w:tc>
        <w:tc>
          <w:tcPr>
            <w:tcW w:w="1875" w:type="dxa"/>
            <w:vAlign w:val="center"/>
          </w:tcPr>
          <w:p w14:paraId="7BB8760C">
            <w:pPr>
              <w:spacing w:line="320" w:lineRule="exact"/>
              <w:rPr>
                <w:rFonts w:ascii="宋体" w:hAnsi="宋体" w:cs="宋体"/>
                <w:szCs w:val="21"/>
                <w:highlight w:val="none"/>
              </w:rPr>
            </w:pPr>
            <w:r>
              <w:rPr>
                <w:rFonts w:hint="eastAsia" w:ascii="宋体" w:hAnsi="宋体" w:cs="宋体"/>
                <w:szCs w:val="21"/>
                <w:highlight w:val="none"/>
              </w:rPr>
              <w:t>LED道路/隧道照明产品</w:t>
            </w:r>
          </w:p>
        </w:tc>
        <w:tc>
          <w:tcPr>
            <w:tcW w:w="1581" w:type="dxa"/>
            <w:vAlign w:val="center"/>
          </w:tcPr>
          <w:p w14:paraId="3AF08792">
            <w:pPr>
              <w:spacing w:line="320" w:lineRule="exact"/>
              <w:rPr>
                <w:rFonts w:ascii="宋体" w:hAnsi="宋体" w:cs="宋体"/>
                <w:szCs w:val="21"/>
                <w:highlight w:val="none"/>
              </w:rPr>
            </w:pPr>
          </w:p>
        </w:tc>
        <w:tc>
          <w:tcPr>
            <w:tcW w:w="4051" w:type="dxa"/>
            <w:vAlign w:val="center"/>
          </w:tcPr>
          <w:p w14:paraId="0D247EB0">
            <w:pPr>
              <w:spacing w:line="320" w:lineRule="exact"/>
              <w:rPr>
                <w:rFonts w:ascii="宋体" w:hAnsi="宋体" w:cs="宋体"/>
                <w:szCs w:val="21"/>
                <w:highlight w:val="none"/>
              </w:rPr>
            </w:pPr>
            <w:r>
              <w:rPr>
                <w:rFonts w:hint="eastAsia" w:ascii="宋体" w:hAnsi="宋体" w:cs="宋体"/>
                <w:szCs w:val="21"/>
                <w:highlight w:val="none"/>
              </w:rPr>
              <w:t>《道路和隧道照明用LED灯具能效限定值及能效等级》（GB37478</w:t>
            </w:r>
          </w:p>
        </w:tc>
      </w:tr>
      <w:tr w14:paraId="26D2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E7F8839">
            <w:pPr>
              <w:spacing w:line="320" w:lineRule="exact"/>
              <w:rPr>
                <w:rFonts w:ascii="宋体" w:hAnsi="宋体" w:cs="宋体"/>
                <w:szCs w:val="21"/>
                <w:highlight w:val="none"/>
              </w:rPr>
            </w:pPr>
          </w:p>
        </w:tc>
        <w:tc>
          <w:tcPr>
            <w:tcW w:w="1000" w:type="dxa"/>
            <w:vMerge w:val="continue"/>
            <w:vAlign w:val="center"/>
          </w:tcPr>
          <w:p w14:paraId="278B9DBA">
            <w:pPr>
              <w:spacing w:line="320" w:lineRule="exact"/>
              <w:rPr>
                <w:rFonts w:ascii="宋体" w:hAnsi="宋体" w:cs="宋体"/>
                <w:szCs w:val="21"/>
                <w:highlight w:val="none"/>
              </w:rPr>
            </w:pPr>
          </w:p>
        </w:tc>
        <w:tc>
          <w:tcPr>
            <w:tcW w:w="1875" w:type="dxa"/>
            <w:vAlign w:val="center"/>
          </w:tcPr>
          <w:p w14:paraId="5AFEE96A">
            <w:pPr>
              <w:spacing w:line="320" w:lineRule="exact"/>
              <w:rPr>
                <w:rFonts w:ascii="宋体" w:hAnsi="宋体" w:cs="宋体"/>
                <w:szCs w:val="21"/>
                <w:highlight w:val="none"/>
              </w:rPr>
            </w:pPr>
          </w:p>
          <w:p w14:paraId="1309D261">
            <w:pPr>
              <w:spacing w:line="320" w:lineRule="exact"/>
              <w:rPr>
                <w:rFonts w:ascii="宋体" w:hAnsi="宋体" w:cs="宋体"/>
                <w:szCs w:val="21"/>
                <w:highlight w:val="none"/>
              </w:rPr>
            </w:pPr>
            <w:r>
              <w:rPr>
                <w:rFonts w:hint="eastAsia" w:ascii="宋体" w:hAnsi="宋体" w:cs="宋体"/>
                <w:szCs w:val="21"/>
                <w:highlight w:val="none"/>
              </w:rPr>
              <w:t>LED筒灯</w:t>
            </w:r>
          </w:p>
        </w:tc>
        <w:tc>
          <w:tcPr>
            <w:tcW w:w="1581" w:type="dxa"/>
            <w:vAlign w:val="center"/>
          </w:tcPr>
          <w:p w14:paraId="2797F5CB">
            <w:pPr>
              <w:spacing w:line="320" w:lineRule="exact"/>
              <w:rPr>
                <w:rFonts w:ascii="宋体" w:hAnsi="宋体" w:cs="宋体"/>
                <w:szCs w:val="21"/>
                <w:highlight w:val="none"/>
              </w:rPr>
            </w:pPr>
          </w:p>
        </w:tc>
        <w:tc>
          <w:tcPr>
            <w:tcW w:w="4051" w:type="dxa"/>
            <w:vAlign w:val="center"/>
          </w:tcPr>
          <w:p w14:paraId="2CA5953B">
            <w:pPr>
              <w:spacing w:line="320" w:lineRule="exact"/>
              <w:rPr>
                <w:rFonts w:ascii="宋体" w:hAnsi="宋体" w:cs="宋体"/>
                <w:szCs w:val="21"/>
                <w:highlight w:val="none"/>
              </w:rPr>
            </w:pPr>
            <w:r>
              <w:rPr>
                <w:rFonts w:hint="eastAsia" w:ascii="宋体" w:hAnsi="宋体" w:cs="宋体"/>
                <w:szCs w:val="21"/>
                <w:highlight w:val="none"/>
              </w:rPr>
              <w:t>《室内照明用LED产品能效限定值及能效等级》（GB30255）</w:t>
            </w:r>
          </w:p>
        </w:tc>
      </w:tr>
      <w:tr w14:paraId="0D6A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792523E">
            <w:pPr>
              <w:spacing w:line="320" w:lineRule="exact"/>
              <w:rPr>
                <w:rFonts w:ascii="宋体" w:hAnsi="宋体" w:cs="宋体"/>
                <w:szCs w:val="21"/>
                <w:highlight w:val="none"/>
              </w:rPr>
            </w:pPr>
          </w:p>
        </w:tc>
        <w:tc>
          <w:tcPr>
            <w:tcW w:w="1000" w:type="dxa"/>
            <w:vMerge w:val="continue"/>
            <w:vAlign w:val="center"/>
          </w:tcPr>
          <w:p w14:paraId="3DC67D16">
            <w:pPr>
              <w:spacing w:line="320" w:lineRule="exact"/>
              <w:rPr>
                <w:rFonts w:ascii="宋体" w:hAnsi="宋体" w:cs="宋体"/>
                <w:szCs w:val="21"/>
                <w:highlight w:val="none"/>
              </w:rPr>
            </w:pPr>
          </w:p>
        </w:tc>
        <w:tc>
          <w:tcPr>
            <w:tcW w:w="1875" w:type="dxa"/>
            <w:vAlign w:val="center"/>
          </w:tcPr>
          <w:p w14:paraId="2FE36ED4">
            <w:pPr>
              <w:spacing w:line="320" w:lineRule="exact"/>
              <w:rPr>
                <w:rFonts w:ascii="宋体" w:hAnsi="宋体" w:cs="宋体"/>
                <w:szCs w:val="21"/>
                <w:highlight w:val="none"/>
              </w:rPr>
            </w:pPr>
            <w:r>
              <w:rPr>
                <w:rFonts w:hint="eastAsia" w:ascii="宋体" w:hAnsi="宋体" w:cs="宋体"/>
                <w:szCs w:val="21"/>
                <w:highlight w:val="none"/>
              </w:rPr>
              <w:t>普通照明用非定向自镇流LED灯</w:t>
            </w:r>
          </w:p>
        </w:tc>
        <w:tc>
          <w:tcPr>
            <w:tcW w:w="1581" w:type="dxa"/>
            <w:vAlign w:val="center"/>
          </w:tcPr>
          <w:p w14:paraId="1FED68D7">
            <w:pPr>
              <w:spacing w:line="320" w:lineRule="exact"/>
              <w:rPr>
                <w:rFonts w:ascii="宋体" w:hAnsi="宋体" w:cs="宋体"/>
                <w:szCs w:val="21"/>
                <w:highlight w:val="none"/>
              </w:rPr>
            </w:pPr>
          </w:p>
        </w:tc>
        <w:tc>
          <w:tcPr>
            <w:tcW w:w="4051" w:type="dxa"/>
            <w:vAlign w:val="center"/>
          </w:tcPr>
          <w:p w14:paraId="54417DC1">
            <w:pPr>
              <w:spacing w:line="320" w:lineRule="exact"/>
              <w:rPr>
                <w:rFonts w:ascii="宋体" w:hAnsi="宋体" w:cs="宋体"/>
                <w:szCs w:val="21"/>
                <w:highlight w:val="none"/>
              </w:rPr>
            </w:pPr>
            <w:r>
              <w:rPr>
                <w:rFonts w:hint="eastAsia" w:ascii="宋体" w:hAnsi="宋体" w:cs="宋体"/>
                <w:szCs w:val="21"/>
                <w:highlight w:val="none"/>
              </w:rPr>
              <w:t>《室内照明用LED产品能效限定值及能效等级》（GB30255）</w:t>
            </w:r>
          </w:p>
        </w:tc>
      </w:tr>
      <w:tr w14:paraId="5F72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B01E62B">
            <w:pPr>
              <w:pStyle w:val="120"/>
              <w:spacing w:line="320" w:lineRule="exact"/>
              <w:jc w:val="both"/>
              <w:rPr>
                <w:rFonts w:ascii="宋体" w:hAnsi="宋体" w:cs="宋体"/>
                <w:kern w:val="2"/>
                <w:sz w:val="21"/>
                <w:szCs w:val="21"/>
                <w:highlight w:val="none"/>
                <w:lang w:eastAsia="zh-CN"/>
              </w:rPr>
            </w:pPr>
          </w:p>
          <w:p w14:paraId="379B838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12</w:t>
            </w:r>
          </w:p>
        </w:tc>
        <w:tc>
          <w:tcPr>
            <w:tcW w:w="1000" w:type="dxa"/>
            <w:vAlign w:val="center"/>
          </w:tcPr>
          <w:p w14:paraId="598A14E2">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★A020910电视设备</w:t>
            </w:r>
          </w:p>
        </w:tc>
        <w:tc>
          <w:tcPr>
            <w:tcW w:w="1875" w:type="dxa"/>
            <w:vAlign w:val="center"/>
          </w:tcPr>
          <w:p w14:paraId="30353296">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A02091001普通电视设备（电视机）</w:t>
            </w:r>
          </w:p>
        </w:tc>
        <w:tc>
          <w:tcPr>
            <w:tcW w:w="1581" w:type="dxa"/>
            <w:vAlign w:val="center"/>
          </w:tcPr>
          <w:p w14:paraId="1E4E0BF5">
            <w:pPr>
              <w:spacing w:line="320" w:lineRule="exact"/>
              <w:rPr>
                <w:rFonts w:ascii="宋体" w:hAnsi="宋体" w:cs="宋体"/>
                <w:szCs w:val="21"/>
                <w:highlight w:val="none"/>
              </w:rPr>
            </w:pPr>
          </w:p>
        </w:tc>
        <w:tc>
          <w:tcPr>
            <w:tcW w:w="4051" w:type="dxa"/>
            <w:vAlign w:val="center"/>
          </w:tcPr>
          <w:p w14:paraId="721A359E">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《平板电视能效限定值及能效等级》（GB24850）</w:t>
            </w:r>
          </w:p>
        </w:tc>
      </w:tr>
      <w:tr w14:paraId="549B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2B3AA6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13</w:t>
            </w:r>
          </w:p>
        </w:tc>
        <w:tc>
          <w:tcPr>
            <w:tcW w:w="1000" w:type="dxa"/>
            <w:vAlign w:val="center"/>
          </w:tcPr>
          <w:p w14:paraId="2B4C8C4C">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★A020911视频设备</w:t>
            </w:r>
          </w:p>
        </w:tc>
        <w:tc>
          <w:tcPr>
            <w:tcW w:w="1875" w:type="dxa"/>
            <w:vAlign w:val="center"/>
          </w:tcPr>
          <w:p w14:paraId="6F0127F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A02091107视频监控设备</w:t>
            </w:r>
          </w:p>
        </w:tc>
        <w:tc>
          <w:tcPr>
            <w:tcW w:w="1581" w:type="dxa"/>
            <w:vAlign w:val="center"/>
          </w:tcPr>
          <w:p w14:paraId="55F6A8CD">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监视器</w:t>
            </w:r>
          </w:p>
        </w:tc>
        <w:tc>
          <w:tcPr>
            <w:tcW w:w="4051" w:type="dxa"/>
            <w:vAlign w:val="center"/>
          </w:tcPr>
          <w:p w14:paraId="030130A4">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2D02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F2ED544">
            <w:pPr>
              <w:pStyle w:val="120"/>
              <w:spacing w:line="320" w:lineRule="exact"/>
              <w:jc w:val="both"/>
              <w:rPr>
                <w:rFonts w:ascii="宋体" w:hAnsi="宋体" w:cs="宋体"/>
                <w:kern w:val="2"/>
                <w:sz w:val="21"/>
                <w:szCs w:val="21"/>
                <w:highlight w:val="none"/>
                <w:lang w:eastAsia="zh-CN"/>
              </w:rPr>
            </w:pPr>
          </w:p>
          <w:p w14:paraId="78B6E651">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14</w:t>
            </w:r>
          </w:p>
        </w:tc>
        <w:tc>
          <w:tcPr>
            <w:tcW w:w="1000" w:type="dxa"/>
            <w:vAlign w:val="center"/>
          </w:tcPr>
          <w:p w14:paraId="67DDA44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A031210饮食炊事机械</w:t>
            </w:r>
          </w:p>
        </w:tc>
        <w:tc>
          <w:tcPr>
            <w:tcW w:w="1875" w:type="dxa"/>
            <w:vAlign w:val="center"/>
          </w:tcPr>
          <w:p w14:paraId="1705D232">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商用燃气灶具</w:t>
            </w:r>
          </w:p>
        </w:tc>
        <w:tc>
          <w:tcPr>
            <w:tcW w:w="1581" w:type="dxa"/>
            <w:vAlign w:val="center"/>
          </w:tcPr>
          <w:p w14:paraId="2450BDAF">
            <w:pPr>
              <w:spacing w:line="320" w:lineRule="exact"/>
              <w:rPr>
                <w:rFonts w:ascii="宋体" w:hAnsi="宋体" w:cs="宋体"/>
                <w:szCs w:val="21"/>
                <w:highlight w:val="none"/>
              </w:rPr>
            </w:pPr>
          </w:p>
        </w:tc>
        <w:tc>
          <w:tcPr>
            <w:tcW w:w="4051" w:type="dxa"/>
            <w:vAlign w:val="center"/>
          </w:tcPr>
          <w:p w14:paraId="6088C644">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《商用燃气灶具能效限定值及能效等级》（GB30531）</w:t>
            </w:r>
          </w:p>
        </w:tc>
      </w:tr>
      <w:tr w14:paraId="6EAA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7A5CFE71">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15</w:t>
            </w:r>
          </w:p>
          <w:p w14:paraId="32AB60AA">
            <w:pPr>
              <w:spacing w:line="320" w:lineRule="exact"/>
              <w:rPr>
                <w:rFonts w:ascii="宋体" w:hAnsi="宋体" w:cs="宋体"/>
                <w:szCs w:val="21"/>
                <w:highlight w:val="none"/>
              </w:rPr>
            </w:pPr>
          </w:p>
        </w:tc>
        <w:tc>
          <w:tcPr>
            <w:tcW w:w="1000" w:type="dxa"/>
            <w:vMerge w:val="restart"/>
            <w:vAlign w:val="center"/>
          </w:tcPr>
          <w:p w14:paraId="6BF10BEF">
            <w:pPr>
              <w:pStyle w:val="120"/>
              <w:spacing w:line="320" w:lineRule="exact"/>
              <w:jc w:val="both"/>
              <w:rPr>
                <w:rFonts w:ascii="宋体" w:hAnsi="宋体" w:cs="宋体"/>
                <w:kern w:val="2"/>
                <w:sz w:val="21"/>
                <w:szCs w:val="21"/>
                <w:highlight w:val="none"/>
              </w:rPr>
            </w:pPr>
            <w:r>
              <w:rPr>
                <w:rFonts w:hint="eastAsia" w:ascii="宋体" w:hAnsi="宋体" w:cs="宋体"/>
                <w:kern w:val="2"/>
                <w:sz w:val="21"/>
                <w:szCs w:val="21"/>
                <w:highlight w:val="none"/>
                <w:lang w:eastAsia="zh-CN"/>
              </w:rPr>
              <w:t>★A060805便器</w:t>
            </w:r>
          </w:p>
          <w:p w14:paraId="11E95F3B">
            <w:pPr>
              <w:spacing w:line="320" w:lineRule="exact"/>
              <w:rPr>
                <w:rFonts w:ascii="宋体" w:hAnsi="宋体" w:cs="宋体"/>
                <w:szCs w:val="21"/>
                <w:highlight w:val="none"/>
              </w:rPr>
            </w:pPr>
          </w:p>
        </w:tc>
        <w:tc>
          <w:tcPr>
            <w:tcW w:w="1875" w:type="dxa"/>
            <w:vAlign w:val="center"/>
          </w:tcPr>
          <w:p w14:paraId="44237F64">
            <w:pPr>
              <w:pStyle w:val="120"/>
              <w:spacing w:line="320" w:lineRule="exact"/>
              <w:jc w:val="both"/>
              <w:rPr>
                <w:rFonts w:ascii="宋体" w:hAnsi="宋体" w:cs="宋体"/>
                <w:kern w:val="2"/>
                <w:sz w:val="21"/>
                <w:szCs w:val="21"/>
                <w:highlight w:val="none"/>
                <w:lang w:eastAsia="zh-CN"/>
              </w:rPr>
            </w:pPr>
          </w:p>
          <w:p w14:paraId="0969C87F">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坐便器</w:t>
            </w:r>
          </w:p>
        </w:tc>
        <w:tc>
          <w:tcPr>
            <w:tcW w:w="1581" w:type="dxa"/>
            <w:vAlign w:val="center"/>
          </w:tcPr>
          <w:p w14:paraId="5156F847">
            <w:pPr>
              <w:spacing w:line="320" w:lineRule="exact"/>
              <w:rPr>
                <w:rFonts w:ascii="宋体" w:hAnsi="宋体" w:cs="宋体"/>
                <w:szCs w:val="21"/>
                <w:highlight w:val="none"/>
              </w:rPr>
            </w:pPr>
          </w:p>
        </w:tc>
        <w:tc>
          <w:tcPr>
            <w:tcW w:w="4051" w:type="dxa"/>
            <w:vAlign w:val="center"/>
          </w:tcPr>
          <w:p w14:paraId="6FBC9FF9">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《坐便器水效限定值及水效等级</w:t>
            </w:r>
          </w:p>
          <w:p w14:paraId="0967F19C">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（GB25502）</w:t>
            </w:r>
          </w:p>
        </w:tc>
      </w:tr>
      <w:tr w14:paraId="60E4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42B4773">
            <w:pPr>
              <w:spacing w:line="320" w:lineRule="exact"/>
              <w:rPr>
                <w:rFonts w:ascii="宋体" w:hAnsi="宋体" w:cs="宋体"/>
                <w:szCs w:val="21"/>
                <w:highlight w:val="none"/>
              </w:rPr>
            </w:pPr>
          </w:p>
        </w:tc>
        <w:tc>
          <w:tcPr>
            <w:tcW w:w="1000" w:type="dxa"/>
            <w:vMerge w:val="continue"/>
            <w:vAlign w:val="center"/>
          </w:tcPr>
          <w:p w14:paraId="6C7485A1">
            <w:pPr>
              <w:spacing w:line="320" w:lineRule="exact"/>
              <w:rPr>
                <w:rFonts w:ascii="宋体" w:hAnsi="宋体" w:cs="宋体"/>
                <w:szCs w:val="21"/>
                <w:highlight w:val="none"/>
              </w:rPr>
            </w:pPr>
          </w:p>
        </w:tc>
        <w:tc>
          <w:tcPr>
            <w:tcW w:w="1875" w:type="dxa"/>
            <w:vAlign w:val="center"/>
          </w:tcPr>
          <w:p w14:paraId="1CC26AC8">
            <w:pPr>
              <w:spacing w:line="320" w:lineRule="exact"/>
              <w:rPr>
                <w:rFonts w:ascii="宋体" w:hAnsi="宋体" w:cs="宋体"/>
                <w:szCs w:val="21"/>
                <w:highlight w:val="none"/>
              </w:rPr>
            </w:pPr>
          </w:p>
          <w:p w14:paraId="4ACDD679">
            <w:pPr>
              <w:spacing w:line="320" w:lineRule="exact"/>
              <w:rPr>
                <w:rFonts w:ascii="宋体" w:hAnsi="宋体" w:cs="宋体"/>
                <w:szCs w:val="21"/>
                <w:highlight w:val="none"/>
              </w:rPr>
            </w:pPr>
            <w:r>
              <w:rPr>
                <w:rFonts w:hint="eastAsia" w:ascii="宋体" w:hAnsi="宋体" w:cs="宋体"/>
                <w:szCs w:val="21"/>
                <w:highlight w:val="none"/>
              </w:rPr>
              <w:t>蹲便器</w:t>
            </w:r>
          </w:p>
        </w:tc>
        <w:tc>
          <w:tcPr>
            <w:tcW w:w="1581" w:type="dxa"/>
            <w:vAlign w:val="center"/>
          </w:tcPr>
          <w:p w14:paraId="6FFFBDF1">
            <w:pPr>
              <w:spacing w:line="320" w:lineRule="exact"/>
              <w:rPr>
                <w:rFonts w:ascii="宋体" w:hAnsi="宋体" w:cs="宋体"/>
                <w:szCs w:val="21"/>
                <w:highlight w:val="none"/>
              </w:rPr>
            </w:pPr>
          </w:p>
        </w:tc>
        <w:tc>
          <w:tcPr>
            <w:tcW w:w="4051" w:type="dxa"/>
            <w:vAlign w:val="center"/>
          </w:tcPr>
          <w:p w14:paraId="6D1B84D8">
            <w:pPr>
              <w:spacing w:line="320" w:lineRule="exact"/>
              <w:rPr>
                <w:rFonts w:ascii="宋体" w:hAnsi="宋体" w:cs="宋体"/>
                <w:szCs w:val="21"/>
                <w:highlight w:val="none"/>
              </w:rPr>
            </w:pPr>
            <w:r>
              <w:rPr>
                <w:rFonts w:hint="eastAsia" w:ascii="宋体" w:hAnsi="宋体" w:cs="宋体"/>
                <w:szCs w:val="21"/>
                <w:highlight w:val="none"/>
              </w:rPr>
              <w:t>《蹲便器用水效率限定值及用水效率等级》（GB30717）</w:t>
            </w:r>
          </w:p>
        </w:tc>
      </w:tr>
      <w:tr w14:paraId="2C1D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14:paraId="41138425">
            <w:pPr>
              <w:spacing w:line="320" w:lineRule="exact"/>
              <w:rPr>
                <w:rFonts w:ascii="宋体" w:hAnsi="宋体" w:cs="宋体"/>
                <w:szCs w:val="21"/>
                <w:highlight w:val="none"/>
              </w:rPr>
            </w:pPr>
          </w:p>
        </w:tc>
        <w:tc>
          <w:tcPr>
            <w:tcW w:w="1000" w:type="dxa"/>
            <w:vMerge w:val="continue"/>
            <w:vAlign w:val="center"/>
          </w:tcPr>
          <w:p w14:paraId="748F940E">
            <w:pPr>
              <w:spacing w:line="320" w:lineRule="exact"/>
              <w:rPr>
                <w:rFonts w:ascii="宋体" w:hAnsi="宋体" w:cs="宋体"/>
                <w:szCs w:val="21"/>
                <w:highlight w:val="none"/>
              </w:rPr>
            </w:pPr>
          </w:p>
        </w:tc>
        <w:tc>
          <w:tcPr>
            <w:tcW w:w="1875" w:type="dxa"/>
            <w:vAlign w:val="center"/>
          </w:tcPr>
          <w:p w14:paraId="4470049E">
            <w:pPr>
              <w:spacing w:line="320" w:lineRule="exact"/>
              <w:rPr>
                <w:rFonts w:ascii="宋体" w:hAnsi="宋体" w:cs="宋体"/>
                <w:szCs w:val="21"/>
                <w:highlight w:val="none"/>
              </w:rPr>
            </w:pPr>
          </w:p>
          <w:p w14:paraId="4FDD2218">
            <w:pPr>
              <w:spacing w:line="320" w:lineRule="exact"/>
              <w:rPr>
                <w:rFonts w:ascii="宋体" w:hAnsi="宋体" w:cs="宋体"/>
                <w:szCs w:val="21"/>
                <w:highlight w:val="none"/>
              </w:rPr>
            </w:pPr>
            <w:r>
              <w:rPr>
                <w:rFonts w:hint="eastAsia" w:ascii="宋体" w:hAnsi="宋体" w:cs="宋体"/>
                <w:szCs w:val="21"/>
                <w:highlight w:val="none"/>
              </w:rPr>
              <w:t>小便器</w:t>
            </w:r>
          </w:p>
        </w:tc>
        <w:tc>
          <w:tcPr>
            <w:tcW w:w="1581" w:type="dxa"/>
            <w:vAlign w:val="center"/>
          </w:tcPr>
          <w:p w14:paraId="77EDE1F0">
            <w:pPr>
              <w:spacing w:line="320" w:lineRule="exact"/>
              <w:rPr>
                <w:rFonts w:ascii="宋体" w:hAnsi="宋体" w:cs="宋体"/>
                <w:szCs w:val="21"/>
                <w:highlight w:val="none"/>
              </w:rPr>
            </w:pPr>
          </w:p>
        </w:tc>
        <w:tc>
          <w:tcPr>
            <w:tcW w:w="4051" w:type="dxa"/>
            <w:vAlign w:val="center"/>
          </w:tcPr>
          <w:p w14:paraId="3107C884">
            <w:pPr>
              <w:spacing w:line="320" w:lineRule="exact"/>
              <w:rPr>
                <w:rFonts w:ascii="宋体" w:hAnsi="宋体" w:cs="宋体"/>
                <w:szCs w:val="21"/>
                <w:highlight w:val="none"/>
              </w:rPr>
            </w:pPr>
            <w:r>
              <w:rPr>
                <w:rFonts w:hint="eastAsia" w:ascii="宋体" w:hAnsi="宋体" w:cs="宋体"/>
                <w:szCs w:val="21"/>
                <w:highlight w:val="none"/>
              </w:rPr>
              <w:t>《小便器用水效率限定值及用水效率等级》（GB28377）</w:t>
            </w:r>
          </w:p>
        </w:tc>
      </w:tr>
      <w:tr w14:paraId="0EF6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CA7FA0A">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16</w:t>
            </w:r>
          </w:p>
        </w:tc>
        <w:tc>
          <w:tcPr>
            <w:tcW w:w="1000" w:type="dxa"/>
            <w:vAlign w:val="center"/>
          </w:tcPr>
          <w:p w14:paraId="20AF24E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★A060806水嘴</w:t>
            </w:r>
          </w:p>
        </w:tc>
        <w:tc>
          <w:tcPr>
            <w:tcW w:w="1875" w:type="dxa"/>
            <w:vAlign w:val="center"/>
          </w:tcPr>
          <w:p w14:paraId="7DCA4B5D">
            <w:pPr>
              <w:spacing w:line="320" w:lineRule="exact"/>
              <w:rPr>
                <w:rFonts w:ascii="宋体" w:hAnsi="宋体" w:cs="宋体"/>
                <w:szCs w:val="21"/>
                <w:highlight w:val="none"/>
              </w:rPr>
            </w:pPr>
          </w:p>
        </w:tc>
        <w:tc>
          <w:tcPr>
            <w:tcW w:w="1581" w:type="dxa"/>
            <w:vAlign w:val="center"/>
          </w:tcPr>
          <w:p w14:paraId="242E4355">
            <w:pPr>
              <w:spacing w:line="320" w:lineRule="exact"/>
              <w:rPr>
                <w:rFonts w:ascii="宋体" w:hAnsi="宋体" w:cs="宋体"/>
                <w:szCs w:val="21"/>
                <w:highlight w:val="none"/>
              </w:rPr>
            </w:pPr>
          </w:p>
        </w:tc>
        <w:tc>
          <w:tcPr>
            <w:tcW w:w="4051" w:type="dxa"/>
            <w:vAlign w:val="center"/>
          </w:tcPr>
          <w:p w14:paraId="00F82D02">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《水嘴用水效率限定值及用水效率等级》（GB 25501）</w:t>
            </w:r>
          </w:p>
        </w:tc>
      </w:tr>
      <w:tr w14:paraId="3057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D3B35CF">
            <w:pPr>
              <w:pStyle w:val="120"/>
              <w:spacing w:line="320" w:lineRule="exact"/>
              <w:jc w:val="both"/>
              <w:rPr>
                <w:rFonts w:ascii="宋体" w:hAnsi="宋体" w:cs="宋体"/>
                <w:kern w:val="2"/>
                <w:sz w:val="21"/>
                <w:szCs w:val="21"/>
                <w:highlight w:val="none"/>
                <w:lang w:eastAsia="zh-CN"/>
              </w:rPr>
            </w:pPr>
          </w:p>
          <w:p w14:paraId="77EB6088">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17</w:t>
            </w:r>
          </w:p>
        </w:tc>
        <w:tc>
          <w:tcPr>
            <w:tcW w:w="1000" w:type="dxa"/>
            <w:vAlign w:val="center"/>
          </w:tcPr>
          <w:p w14:paraId="11E246A8">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A060807便器冲洗阀</w:t>
            </w:r>
          </w:p>
        </w:tc>
        <w:tc>
          <w:tcPr>
            <w:tcW w:w="1875" w:type="dxa"/>
            <w:vAlign w:val="center"/>
          </w:tcPr>
          <w:p w14:paraId="16A9616C">
            <w:pPr>
              <w:spacing w:line="320" w:lineRule="exact"/>
              <w:rPr>
                <w:rFonts w:ascii="宋体" w:hAnsi="宋体" w:cs="宋体"/>
                <w:szCs w:val="21"/>
                <w:highlight w:val="none"/>
              </w:rPr>
            </w:pPr>
          </w:p>
        </w:tc>
        <w:tc>
          <w:tcPr>
            <w:tcW w:w="1581" w:type="dxa"/>
            <w:vAlign w:val="center"/>
          </w:tcPr>
          <w:p w14:paraId="4B60D165">
            <w:pPr>
              <w:spacing w:line="320" w:lineRule="exact"/>
              <w:rPr>
                <w:rFonts w:ascii="宋体" w:hAnsi="宋体" w:cs="宋体"/>
                <w:szCs w:val="21"/>
                <w:highlight w:val="none"/>
              </w:rPr>
            </w:pPr>
          </w:p>
        </w:tc>
        <w:tc>
          <w:tcPr>
            <w:tcW w:w="4051" w:type="dxa"/>
            <w:vAlign w:val="center"/>
          </w:tcPr>
          <w:p w14:paraId="1793CF90">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《便器冲洗阀用水效率限定值及用水效率等级》（GB28379）</w:t>
            </w:r>
          </w:p>
        </w:tc>
      </w:tr>
      <w:tr w14:paraId="7A0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4A2C853">
            <w:pPr>
              <w:pStyle w:val="120"/>
              <w:spacing w:line="320" w:lineRule="exact"/>
              <w:jc w:val="both"/>
              <w:rPr>
                <w:rFonts w:ascii="宋体" w:hAnsi="宋体" w:cs="宋体"/>
                <w:kern w:val="2"/>
                <w:sz w:val="21"/>
                <w:szCs w:val="21"/>
                <w:highlight w:val="none"/>
                <w:lang w:eastAsia="zh-CN"/>
              </w:rPr>
            </w:pPr>
          </w:p>
          <w:p w14:paraId="1EC988E8">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18</w:t>
            </w:r>
          </w:p>
        </w:tc>
        <w:tc>
          <w:tcPr>
            <w:tcW w:w="1000" w:type="dxa"/>
            <w:vAlign w:val="center"/>
          </w:tcPr>
          <w:p w14:paraId="053CF3DB">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A060810淋浴器</w:t>
            </w:r>
          </w:p>
        </w:tc>
        <w:tc>
          <w:tcPr>
            <w:tcW w:w="1875" w:type="dxa"/>
            <w:vAlign w:val="center"/>
          </w:tcPr>
          <w:p w14:paraId="56CEC342">
            <w:pPr>
              <w:spacing w:line="320" w:lineRule="exact"/>
              <w:rPr>
                <w:rFonts w:ascii="宋体" w:hAnsi="宋体" w:cs="宋体"/>
                <w:szCs w:val="21"/>
                <w:highlight w:val="none"/>
              </w:rPr>
            </w:pPr>
          </w:p>
        </w:tc>
        <w:tc>
          <w:tcPr>
            <w:tcW w:w="1581" w:type="dxa"/>
            <w:vAlign w:val="center"/>
          </w:tcPr>
          <w:p w14:paraId="0325A257">
            <w:pPr>
              <w:spacing w:line="320" w:lineRule="exact"/>
              <w:rPr>
                <w:rFonts w:ascii="宋体" w:hAnsi="宋体" w:cs="宋体"/>
                <w:szCs w:val="21"/>
                <w:highlight w:val="none"/>
              </w:rPr>
            </w:pPr>
          </w:p>
        </w:tc>
        <w:tc>
          <w:tcPr>
            <w:tcW w:w="4051" w:type="dxa"/>
            <w:vAlign w:val="center"/>
          </w:tcPr>
          <w:p w14:paraId="652B48DB">
            <w:pPr>
              <w:pStyle w:val="120"/>
              <w:spacing w:line="320" w:lineRule="exact"/>
              <w:jc w:val="both"/>
              <w:rPr>
                <w:rFonts w:ascii="宋体" w:hAnsi="宋体" w:cs="宋体"/>
                <w:kern w:val="2"/>
                <w:sz w:val="21"/>
                <w:szCs w:val="21"/>
                <w:highlight w:val="none"/>
                <w:lang w:eastAsia="zh-CN"/>
              </w:rPr>
            </w:pPr>
            <w:r>
              <w:rPr>
                <w:rFonts w:hint="eastAsia" w:ascii="宋体" w:hAnsi="宋体" w:cs="宋体"/>
                <w:kern w:val="2"/>
                <w:sz w:val="21"/>
                <w:szCs w:val="21"/>
                <w:highlight w:val="none"/>
                <w:lang w:eastAsia="zh-CN"/>
              </w:rPr>
              <w:t>《淋浴器用水效率限定值及用水效率等级》（GB28378）</w:t>
            </w:r>
          </w:p>
        </w:tc>
      </w:tr>
    </w:tbl>
    <w:p w14:paraId="5E4F598D">
      <w:pPr>
        <w:pStyle w:val="19"/>
        <w:spacing w:line="360" w:lineRule="auto"/>
        <w:rPr>
          <w:rFonts w:ascii="宋体" w:hAnsi="宋体" w:cs="宋体"/>
          <w:sz w:val="21"/>
          <w:szCs w:val="21"/>
          <w:highlight w:val="none"/>
        </w:rPr>
      </w:pPr>
      <w:r>
        <w:rPr>
          <w:rFonts w:hint="eastAsia" w:ascii="宋体" w:hAnsi="宋体" w:cs="宋体"/>
          <w:spacing w:val="-3"/>
          <w:sz w:val="21"/>
          <w:szCs w:val="21"/>
          <w:highlight w:val="none"/>
        </w:rPr>
        <w:t>注：1.节能产品认证应依据相关国家标准的最新版本，依据国家标准中二级能效（水效）</w:t>
      </w:r>
      <w:r>
        <w:rPr>
          <w:rFonts w:hint="eastAsia" w:ascii="宋体" w:hAnsi="宋体" w:cs="宋体"/>
          <w:sz w:val="21"/>
          <w:szCs w:val="21"/>
          <w:highlight w:val="none"/>
        </w:rPr>
        <w:t>指标。</w:t>
      </w:r>
    </w:p>
    <w:p w14:paraId="63AFC911">
      <w:pPr>
        <w:pStyle w:val="19"/>
        <w:spacing w:line="360" w:lineRule="auto"/>
        <w:rPr>
          <w:rFonts w:ascii="宋体" w:hAnsi="宋体" w:cs="宋体"/>
          <w:sz w:val="21"/>
          <w:szCs w:val="21"/>
          <w:highlight w:val="none"/>
        </w:rPr>
      </w:pPr>
      <w:r>
        <w:rPr>
          <w:rFonts w:hint="eastAsia" w:ascii="宋体" w:hAnsi="宋体" w:cs="宋体"/>
          <w:sz w:val="21"/>
          <w:szCs w:val="21"/>
          <w:highlight w:val="none"/>
        </w:rPr>
        <w:t xml:space="preserve">    2.上述产品中认证标准发生变更的，依据原认证标准获得的、仍在有效期内的认证证书可使用至2019年6月1日。</w:t>
      </w:r>
    </w:p>
    <w:p w14:paraId="2F9FADC9">
      <w:pPr>
        <w:widowControl/>
        <w:jc w:val="left"/>
        <w:rPr>
          <w:rFonts w:ascii="宋体" w:hAnsi="宋体" w:cs="宋体"/>
          <w:szCs w:val="21"/>
          <w:highlight w:val="none"/>
        </w:rPr>
      </w:pPr>
      <w:r>
        <w:rPr>
          <w:rFonts w:hint="eastAsia" w:ascii="宋体" w:hAnsi="宋体" w:cs="宋体"/>
          <w:szCs w:val="21"/>
          <w:highlight w:val="none"/>
        </w:rPr>
        <w:t xml:space="preserve">    3.以“★”标注的为政府强制采购产品。</w:t>
      </w:r>
    </w:p>
    <w:p w14:paraId="3B935384">
      <w:pPr>
        <w:spacing w:line="528" w:lineRule="exact"/>
        <w:ind w:left="1871"/>
        <w:rPr>
          <w:rFonts w:ascii="微软雅黑" w:hAnsi="微软雅黑" w:eastAsia="微软雅黑" w:cs="微软雅黑"/>
          <w:sz w:val="40"/>
          <w:szCs w:val="40"/>
          <w:highlight w:val="none"/>
        </w:rPr>
        <w:sectPr>
          <w:pgSz w:w="11906" w:h="16838"/>
          <w:pgMar w:top="1304" w:right="1418" w:bottom="1304" w:left="1418" w:header="851" w:footer="992" w:gutter="0"/>
          <w:cols w:space="720" w:num="1"/>
          <w:docGrid w:linePitch="312" w:charSpace="0"/>
        </w:sectPr>
      </w:pPr>
    </w:p>
    <w:p w14:paraId="69581AF7">
      <w:pPr>
        <w:widowControl/>
        <w:jc w:val="left"/>
        <w:rPr>
          <w:rFonts w:ascii="宋体" w:hAnsi="宋体" w:cs="宋体"/>
          <w:b/>
          <w:bCs/>
          <w:sz w:val="32"/>
          <w:szCs w:val="32"/>
          <w:highlight w:val="none"/>
        </w:rPr>
      </w:pPr>
      <w:r>
        <w:rPr>
          <w:rFonts w:hint="eastAsia" w:ascii="宋体" w:hAnsi="宋体" w:cs="宋体"/>
          <w:b/>
          <w:bCs/>
          <w:sz w:val="32"/>
          <w:szCs w:val="32"/>
          <w:highlight w:val="none"/>
        </w:rPr>
        <w:t>附件4：</w:t>
      </w:r>
    </w:p>
    <w:p w14:paraId="12EE19C7">
      <w:pPr>
        <w:pStyle w:val="19"/>
        <w:spacing w:line="360" w:lineRule="auto"/>
        <w:jc w:val="center"/>
        <w:rPr>
          <w:rFonts w:ascii="宋体" w:hAnsi="宋体" w:cs="宋体"/>
          <w:b/>
          <w:sz w:val="28"/>
          <w:szCs w:val="28"/>
          <w:highlight w:val="none"/>
        </w:rPr>
      </w:pPr>
      <w:r>
        <w:rPr>
          <w:rFonts w:hint="eastAsia" w:ascii="宋体" w:hAnsi="宋体" w:cs="宋体"/>
          <w:b/>
          <w:sz w:val="28"/>
          <w:szCs w:val="28"/>
          <w:highlight w:val="none"/>
        </w:rPr>
        <w:t>中小企业划型标准规定</w:t>
      </w:r>
    </w:p>
    <w:p w14:paraId="1CB65DE4">
      <w:pPr>
        <w:pStyle w:val="19"/>
        <w:spacing w:line="360" w:lineRule="auto"/>
        <w:jc w:val="center"/>
        <w:rPr>
          <w:rFonts w:ascii="宋体" w:hAnsi="宋体" w:cs="宋体"/>
          <w:sz w:val="21"/>
          <w:szCs w:val="21"/>
          <w:highlight w:val="none"/>
        </w:rPr>
      </w:pPr>
      <w:r>
        <w:rPr>
          <w:rFonts w:hint="eastAsia" w:ascii="宋体" w:hAnsi="宋体" w:cs="宋体"/>
          <w:szCs w:val="21"/>
          <w:highlight w:val="none"/>
        </w:rPr>
        <w:t>工信部联企业[2011]300号</w:t>
      </w:r>
    </w:p>
    <w:p w14:paraId="5931E5B0">
      <w:pPr>
        <w:pStyle w:val="19"/>
        <w:spacing w:line="360" w:lineRule="auto"/>
        <w:rPr>
          <w:rFonts w:ascii="宋体" w:hAnsi="宋体" w:cs="宋体"/>
          <w:szCs w:val="21"/>
          <w:highlight w:val="none"/>
        </w:rPr>
      </w:pPr>
    </w:p>
    <w:p w14:paraId="279A5CE7">
      <w:pPr>
        <w:pStyle w:val="19"/>
        <w:spacing w:line="420" w:lineRule="exact"/>
        <w:rPr>
          <w:rFonts w:ascii="宋体" w:hAnsi="宋体" w:cs="宋体"/>
          <w:szCs w:val="21"/>
          <w:highlight w:val="none"/>
        </w:rPr>
      </w:pPr>
      <w:r>
        <w:rPr>
          <w:rFonts w:hint="eastAsia" w:ascii="宋体" w:hAnsi="宋体" w:cs="宋体"/>
          <w:szCs w:val="21"/>
          <w:highlight w:val="none"/>
        </w:rPr>
        <w:t>　　一、根据《中华人民共和国中小企业促进法》和《国务院关于进一步促进中小企业发展的若干意见》(国发[2009]36号)，制定本规定。</w:t>
      </w:r>
    </w:p>
    <w:p w14:paraId="621F51DB">
      <w:pPr>
        <w:pStyle w:val="19"/>
        <w:spacing w:line="420" w:lineRule="exact"/>
        <w:rPr>
          <w:rFonts w:ascii="宋体" w:hAnsi="宋体" w:cs="宋体"/>
          <w:szCs w:val="21"/>
          <w:highlight w:val="none"/>
        </w:rPr>
      </w:pPr>
      <w:r>
        <w:rPr>
          <w:rFonts w:hint="eastAsia" w:ascii="宋体" w:hAnsi="宋体" w:cs="宋体"/>
          <w:szCs w:val="21"/>
          <w:highlight w:val="none"/>
        </w:rPr>
        <w:t>　　二、中小企业划分为中型、小型、微型三种类型，具体标准根据企业从业人员、营业收入、资产总额等指标，结合行业特点制定。</w:t>
      </w:r>
    </w:p>
    <w:p w14:paraId="09344C26">
      <w:pPr>
        <w:pStyle w:val="19"/>
        <w:spacing w:line="420" w:lineRule="exact"/>
        <w:rPr>
          <w:rFonts w:ascii="宋体" w:hAnsi="宋体" w:cs="宋体"/>
          <w:szCs w:val="21"/>
          <w:highlight w:val="none"/>
        </w:rPr>
      </w:pPr>
      <w:r>
        <w:rPr>
          <w:rFonts w:hint="eastAsia" w:ascii="宋体" w:hAnsi="宋体" w:cs="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3961B4F">
      <w:pPr>
        <w:pStyle w:val="19"/>
        <w:spacing w:line="420" w:lineRule="exact"/>
        <w:rPr>
          <w:rFonts w:ascii="宋体" w:hAnsi="宋体" w:cs="宋体"/>
          <w:szCs w:val="21"/>
          <w:highlight w:val="none"/>
        </w:rPr>
      </w:pPr>
      <w:r>
        <w:rPr>
          <w:rFonts w:hint="eastAsia" w:ascii="宋体" w:hAnsi="宋体" w:cs="宋体"/>
          <w:szCs w:val="21"/>
          <w:highlight w:val="none"/>
        </w:rPr>
        <w:t>　　四、各行业划型标准为：</w:t>
      </w:r>
    </w:p>
    <w:p w14:paraId="23B37299">
      <w:pPr>
        <w:pStyle w:val="19"/>
        <w:spacing w:line="420" w:lineRule="exact"/>
        <w:rPr>
          <w:rFonts w:ascii="宋体" w:hAnsi="宋体" w:cs="宋体"/>
          <w:szCs w:val="21"/>
          <w:highlight w:val="none"/>
        </w:rPr>
      </w:pPr>
      <w:r>
        <w:rPr>
          <w:rFonts w:hint="eastAsia" w:ascii="宋体" w:hAnsi="宋体" w:cs="宋体"/>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F78B5B1">
      <w:pPr>
        <w:pStyle w:val="19"/>
        <w:spacing w:line="420" w:lineRule="exact"/>
        <w:rPr>
          <w:rFonts w:ascii="宋体" w:hAnsi="宋体" w:cs="宋体"/>
          <w:szCs w:val="21"/>
          <w:highlight w:val="none"/>
        </w:rPr>
      </w:pPr>
      <w:r>
        <w:rPr>
          <w:rFonts w:hint="eastAsia" w:ascii="宋体" w:hAnsi="宋体" w:cs="宋体"/>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82CD87">
      <w:pPr>
        <w:pStyle w:val="19"/>
        <w:spacing w:line="420" w:lineRule="exact"/>
        <w:rPr>
          <w:rFonts w:ascii="宋体" w:hAnsi="宋体" w:cs="宋体"/>
          <w:szCs w:val="21"/>
          <w:highlight w:val="none"/>
        </w:rPr>
      </w:pPr>
      <w:r>
        <w:rPr>
          <w:rFonts w:hint="eastAsia" w:ascii="宋体" w:hAnsi="宋体" w:cs="宋体"/>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FF2E59">
      <w:pPr>
        <w:pStyle w:val="19"/>
        <w:spacing w:line="420" w:lineRule="exact"/>
        <w:rPr>
          <w:rFonts w:ascii="宋体" w:hAnsi="宋体" w:cs="宋体"/>
          <w:szCs w:val="21"/>
          <w:highlight w:val="none"/>
        </w:rPr>
      </w:pPr>
      <w:r>
        <w:rPr>
          <w:rFonts w:hint="eastAsia" w:ascii="宋体" w:hAnsi="宋体" w:cs="宋体"/>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EAE29A">
      <w:pPr>
        <w:pStyle w:val="19"/>
        <w:spacing w:line="420" w:lineRule="exact"/>
        <w:rPr>
          <w:rFonts w:ascii="宋体" w:hAnsi="宋体" w:cs="宋体"/>
          <w:szCs w:val="21"/>
          <w:highlight w:val="none"/>
        </w:rPr>
      </w:pPr>
      <w:r>
        <w:rPr>
          <w:rFonts w:hint="eastAsia" w:ascii="宋体" w:hAnsi="宋体" w:cs="宋体"/>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C32F6A">
      <w:pPr>
        <w:pStyle w:val="19"/>
        <w:spacing w:line="420" w:lineRule="exact"/>
        <w:rPr>
          <w:rFonts w:ascii="宋体" w:hAnsi="宋体" w:cs="宋体"/>
          <w:szCs w:val="21"/>
          <w:highlight w:val="none"/>
        </w:rPr>
      </w:pPr>
      <w:r>
        <w:rPr>
          <w:rFonts w:hint="eastAsia" w:ascii="宋体" w:hAnsi="宋体" w:cs="宋体"/>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472761">
      <w:pPr>
        <w:pStyle w:val="19"/>
        <w:spacing w:line="420" w:lineRule="exact"/>
        <w:rPr>
          <w:rFonts w:ascii="宋体" w:hAnsi="宋体" w:cs="宋体"/>
          <w:szCs w:val="21"/>
          <w:highlight w:val="none"/>
        </w:rPr>
      </w:pPr>
      <w:r>
        <w:rPr>
          <w:rFonts w:hint="eastAsia" w:ascii="宋体" w:hAnsi="宋体" w:cs="宋体"/>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D8F150">
      <w:pPr>
        <w:pStyle w:val="19"/>
        <w:spacing w:line="420" w:lineRule="exact"/>
        <w:rPr>
          <w:rFonts w:ascii="宋体" w:hAnsi="宋体" w:cs="宋体"/>
          <w:szCs w:val="21"/>
          <w:highlight w:val="none"/>
        </w:rPr>
      </w:pPr>
      <w:r>
        <w:rPr>
          <w:rFonts w:hint="eastAsia" w:ascii="宋体" w:hAnsi="宋体" w:cs="宋体"/>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9FB982">
      <w:pPr>
        <w:pStyle w:val="19"/>
        <w:spacing w:line="420" w:lineRule="exact"/>
        <w:rPr>
          <w:rFonts w:ascii="宋体" w:hAnsi="宋体" w:cs="宋体"/>
          <w:szCs w:val="21"/>
          <w:highlight w:val="none"/>
        </w:rPr>
      </w:pPr>
      <w:r>
        <w:rPr>
          <w:rFonts w:hint="eastAsia" w:ascii="宋体" w:hAnsi="宋体" w:cs="宋体"/>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ACB093">
      <w:pPr>
        <w:pStyle w:val="19"/>
        <w:spacing w:line="420" w:lineRule="exact"/>
        <w:rPr>
          <w:rFonts w:ascii="宋体" w:hAnsi="宋体" w:cs="宋体"/>
          <w:szCs w:val="21"/>
          <w:highlight w:val="none"/>
        </w:rPr>
      </w:pPr>
      <w:r>
        <w:rPr>
          <w:rFonts w:hint="eastAsia" w:ascii="宋体" w:hAnsi="宋体" w:cs="宋体"/>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140368">
      <w:pPr>
        <w:pStyle w:val="19"/>
        <w:spacing w:line="420" w:lineRule="exact"/>
        <w:rPr>
          <w:rFonts w:ascii="宋体" w:hAnsi="宋体" w:cs="宋体"/>
          <w:szCs w:val="21"/>
          <w:highlight w:val="none"/>
        </w:rPr>
      </w:pPr>
      <w:r>
        <w:rPr>
          <w:rFonts w:hint="eastAsia" w:ascii="宋体" w:hAnsi="宋体" w:cs="宋体"/>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D5AF04">
      <w:pPr>
        <w:pStyle w:val="19"/>
        <w:spacing w:line="420" w:lineRule="exact"/>
        <w:rPr>
          <w:rFonts w:ascii="宋体" w:hAnsi="宋体" w:cs="宋体"/>
          <w:szCs w:val="21"/>
          <w:highlight w:val="none"/>
        </w:rPr>
      </w:pPr>
      <w:r>
        <w:rPr>
          <w:rFonts w:hint="eastAsia" w:ascii="宋体" w:hAnsi="宋体" w:cs="宋体"/>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34363F">
      <w:pPr>
        <w:pStyle w:val="19"/>
        <w:spacing w:line="420" w:lineRule="exact"/>
        <w:rPr>
          <w:rFonts w:ascii="宋体" w:hAnsi="宋体" w:cs="宋体"/>
          <w:szCs w:val="21"/>
          <w:highlight w:val="none"/>
        </w:rPr>
      </w:pPr>
      <w:r>
        <w:rPr>
          <w:rFonts w:hint="eastAsia" w:ascii="宋体" w:hAnsi="宋体" w:cs="宋体"/>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141A5D">
      <w:pPr>
        <w:pStyle w:val="19"/>
        <w:spacing w:line="420" w:lineRule="exact"/>
        <w:rPr>
          <w:rFonts w:ascii="宋体" w:hAnsi="宋体" w:cs="宋体"/>
          <w:szCs w:val="21"/>
          <w:highlight w:val="none"/>
        </w:rPr>
      </w:pPr>
      <w:r>
        <w:rPr>
          <w:rFonts w:hint="eastAsia" w:ascii="宋体" w:hAnsi="宋体" w:cs="宋体"/>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C2747E">
      <w:pPr>
        <w:pStyle w:val="19"/>
        <w:spacing w:line="420" w:lineRule="exact"/>
        <w:rPr>
          <w:rFonts w:ascii="宋体" w:hAnsi="宋体" w:cs="宋体"/>
          <w:szCs w:val="21"/>
          <w:highlight w:val="none"/>
        </w:rPr>
      </w:pPr>
      <w:r>
        <w:rPr>
          <w:rFonts w:hint="eastAsia" w:ascii="宋体" w:hAnsi="宋体" w:cs="宋体"/>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CE794C">
      <w:pPr>
        <w:pStyle w:val="19"/>
        <w:spacing w:line="420" w:lineRule="exact"/>
        <w:rPr>
          <w:rFonts w:ascii="宋体" w:hAnsi="宋体" w:cs="宋体"/>
          <w:szCs w:val="21"/>
          <w:highlight w:val="none"/>
        </w:rPr>
      </w:pPr>
      <w:r>
        <w:rPr>
          <w:rFonts w:hint="eastAsia" w:ascii="宋体" w:hAnsi="宋体" w:cs="宋体"/>
          <w:szCs w:val="21"/>
          <w:highlight w:val="none"/>
        </w:rPr>
        <w:t>　　（十六）其他未列明行业。从业人员300人以下的为中小微型企业。其中，从业人员100人及以上的为中型企业；从业人员10人及以上的为小型企业；从业人员10人以下的为微型企业。</w:t>
      </w:r>
    </w:p>
    <w:p w14:paraId="4AF96A85">
      <w:pPr>
        <w:pStyle w:val="19"/>
        <w:spacing w:line="420" w:lineRule="exact"/>
        <w:rPr>
          <w:rFonts w:ascii="宋体" w:hAnsi="宋体" w:cs="宋体"/>
          <w:szCs w:val="21"/>
          <w:highlight w:val="none"/>
        </w:rPr>
      </w:pPr>
      <w:r>
        <w:rPr>
          <w:rFonts w:hint="eastAsia" w:ascii="宋体" w:hAnsi="宋体" w:cs="宋体"/>
          <w:szCs w:val="21"/>
          <w:highlight w:val="none"/>
        </w:rPr>
        <w:t>　　五、企业类型的划分以统计部门的统计数据为依据。</w:t>
      </w:r>
    </w:p>
    <w:p w14:paraId="5EA54831">
      <w:pPr>
        <w:pStyle w:val="19"/>
        <w:spacing w:line="420" w:lineRule="exact"/>
        <w:rPr>
          <w:rFonts w:ascii="宋体" w:hAnsi="宋体" w:cs="宋体"/>
          <w:szCs w:val="21"/>
          <w:highlight w:val="none"/>
        </w:rPr>
      </w:pPr>
      <w:r>
        <w:rPr>
          <w:rFonts w:hint="eastAsia" w:ascii="宋体" w:hAnsi="宋体" w:cs="宋体"/>
          <w:szCs w:val="21"/>
          <w:highlight w:val="none"/>
        </w:rPr>
        <w:t>　　六、本规定适用于在中华人民共和国境内依法设立的各类所有制和各种组织形式的企业。个体工商户和本规定以外的行业，参照本规定进行划型。</w:t>
      </w:r>
    </w:p>
    <w:p w14:paraId="6ABBC06A">
      <w:pPr>
        <w:pStyle w:val="19"/>
        <w:spacing w:line="420" w:lineRule="exact"/>
        <w:rPr>
          <w:rFonts w:ascii="宋体" w:hAnsi="宋体" w:cs="宋体"/>
          <w:szCs w:val="21"/>
          <w:highlight w:val="none"/>
        </w:rPr>
      </w:pPr>
      <w:r>
        <w:rPr>
          <w:rFonts w:hint="eastAsia" w:ascii="宋体" w:hAnsi="宋体" w:cs="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E2FE05E">
      <w:pPr>
        <w:pStyle w:val="19"/>
        <w:spacing w:line="420" w:lineRule="exact"/>
        <w:rPr>
          <w:rFonts w:ascii="宋体" w:hAnsi="宋体" w:cs="宋体"/>
          <w:szCs w:val="21"/>
          <w:highlight w:val="none"/>
        </w:rPr>
      </w:pPr>
      <w:r>
        <w:rPr>
          <w:rFonts w:hint="eastAsia" w:ascii="宋体" w:hAnsi="宋体" w:cs="宋体"/>
          <w:szCs w:val="21"/>
          <w:highlight w:val="none"/>
        </w:rPr>
        <w:t>　　八、本规定由工业和信息化部、国家统计局会同有关部门根据《国民经济行业分类》修订情况和企业发展变化情况适时修订。</w:t>
      </w:r>
    </w:p>
    <w:p w14:paraId="683EC757">
      <w:pPr>
        <w:pStyle w:val="19"/>
        <w:spacing w:line="420" w:lineRule="exact"/>
        <w:rPr>
          <w:rFonts w:ascii="宋体" w:hAnsi="宋体" w:cs="宋体"/>
          <w:szCs w:val="21"/>
          <w:highlight w:val="none"/>
        </w:rPr>
      </w:pPr>
      <w:r>
        <w:rPr>
          <w:rFonts w:hint="eastAsia" w:ascii="宋体" w:hAnsi="宋体" w:cs="宋体"/>
          <w:szCs w:val="21"/>
          <w:highlight w:val="none"/>
        </w:rPr>
        <w:t>　　九、本规定由工业和信息化部、国家统计局会同有关部门负责解释。</w:t>
      </w:r>
    </w:p>
    <w:p w14:paraId="50775943">
      <w:pPr>
        <w:pStyle w:val="19"/>
        <w:spacing w:line="420" w:lineRule="exact"/>
        <w:ind w:firstLine="420"/>
        <w:rPr>
          <w:rFonts w:ascii="宋体" w:hAnsi="宋体" w:cs="宋体"/>
          <w:szCs w:val="21"/>
          <w:highlight w:val="none"/>
        </w:rPr>
      </w:pPr>
      <w:r>
        <w:rPr>
          <w:rFonts w:hint="eastAsia" w:ascii="宋体" w:hAnsi="宋体" w:cs="宋体"/>
          <w:szCs w:val="21"/>
          <w:highlight w:val="none"/>
        </w:rPr>
        <w:t>十、本规定自发布之日起执行，原国家经贸委、原国家计委、财政部和国家统计局2003年颁布的《中小企业标准暂行规定》同时废止。</w:t>
      </w:r>
    </w:p>
    <w:p w14:paraId="0F56B9AE">
      <w:pPr>
        <w:pStyle w:val="2"/>
        <w:spacing w:before="0" w:after="0" w:line="360" w:lineRule="auto"/>
        <w:jc w:val="left"/>
        <w:rPr>
          <w:highlight w:val="none"/>
        </w:rPr>
        <w:sectPr>
          <w:pgSz w:w="11906" w:h="16838"/>
          <w:pgMar w:top="1304" w:right="1418" w:bottom="1304" w:left="1418" w:header="851" w:footer="992" w:gutter="0"/>
          <w:cols w:space="720" w:num="1"/>
          <w:docGrid w:linePitch="312" w:charSpace="0"/>
        </w:sectPr>
      </w:pPr>
    </w:p>
    <w:p w14:paraId="60317BC7">
      <w:pPr>
        <w:pStyle w:val="2"/>
        <w:spacing w:before="0" w:after="0" w:line="360" w:lineRule="auto"/>
        <w:jc w:val="center"/>
        <w:rPr>
          <w:color w:val="000000"/>
          <w:highlight w:val="none"/>
        </w:rPr>
      </w:pPr>
      <w:bookmarkStart w:id="50" w:name="_Toc74320802"/>
      <w:r>
        <w:rPr>
          <w:rFonts w:hint="eastAsia"/>
          <w:color w:val="000000"/>
          <w:highlight w:val="none"/>
        </w:rPr>
        <w:t>第三章  投标人须知</w:t>
      </w:r>
      <w:bookmarkEnd w:id="50"/>
    </w:p>
    <w:p w14:paraId="5F19854D">
      <w:pPr>
        <w:jc w:val="center"/>
        <w:rPr>
          <w:color w:val="000000"/>
          <w:sz w:val="36"/>
          <w:szCs w:val="36"/>
          <w:highlight w:val="none"/>
        </w:rPr>
      </w:pPr>
      <w:bookmarkStart w:id="51" w:name="_Toc254970667"/>
      <w:bookmarkStart w:id="52" w:name="_Toc254970526"/>
      <w:r>
        <w:rPr>
          <w:rFonts w:hint="eastAsia"/>
          <w:color w:val="000000"/>
          <w:sz w:val="36"/>
          <w:szCs w:val="36"/>
          <w:highlight w:val="none"/>
        </w:rPr>
        <w:t>投标人须知前附表</w:t>
      </w:r>
      <w:bookmarkEnd w:id="51"/>
      <w:bookmarkEnd w:id="52"/>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14:paraId="11220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65973AB">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条款号</w:t>
            </w:r>
          </w:p>
        </w:tc>
        <w:tc>
          <w:tcPr>
            <w:tcW w:w="7654" w:type="dxa"/>
            <w:tcBorders>
              <w:top w:val="single" w:color="auto" w:sz="4" w:space="0"/>
              <w:left w:val="single" w:color="auto" w:sz="4" w:space="0"/>
              <w:bottom w:val="single" w:color="auto" w:sz="4" w:space="0"/>
              <w:right w:val="single" w:color="auto" w:sz="4" w:space="0"/>
            </w:tcBorders>
            <w:vAlign w:val="center"/>
          </w:tcPr>
          <w:p w14:paraId="631BF97A">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编列内容</w:t>
            </w:r>
          </w:p>
        </w:tc>
      </w:tr>
      <w:tr w14:paraId="2F8F9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0BC965F">
            <w:pPr>
              <w:spacing w:line="400" w:lineRule="exact"/>
              <w:jc w:val="center"/>
              <w:rPr>
                <w:rFonts w:ascii="宋体" w:hAnsi="宋体"/>
                <w:color w:val="000000"/>
                <w:szCs w:val="21"/>
                <w:highlight w:val="none"/>
              </w:rPr>
            </w:pPr>
            <w:r>
              <w:rPr>
                <w:rFonts w:hint="eastAsia" w:ascii="宋体" w:hAnsi="宋体"/>
                <w:color w:val="000000"/>
                <w:szCs w:val="21"/>
                <w:highlight w:val="none"/>
              </w:rPr>
              <w:t>3</w:t>
            </w:r>
          </w:p>
        </w:tc>
        <w:tc>
          <w:tcPr>
            <w:tcW w:w="7654" w:type="dxa"/>
            <w:tcBorders>
              <w:top w:val="single" w:color="auto" w:sz="4" w:space="0"/>
              <w:left w:val="single" w:color="auto" w:sz="4" w:space="0"/>
              <w:bottom w:val="single" w:color="auto" w:sz="4" w:space="0"/>
              <w:right w:val="single" w:color="auto" w:sz="4" w:space="0"/>
            </w:tcBorders>
            <w:vAlign w:val="center"/>
          </w:tcPr>
          <w:p w14:paraId="72C6DDC3">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投标人的资格要求详见招标公告。</w:t>
            </w:r>
          </w:p>
          <w:p w14:paraId="45D29131">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投标人出现下列情形之一的，不得参加政府采购活动：</w:t>
            </w:r>
          </w:p>
          <w:p w14:paraId="699110CD">
            <w:pPr>
              <w:snapToGrid w:val="0"/>
              <w:spacing w:line="400" w:lineRule="exact"/>
              <w:jc w:val="left"/>
              <w:rPr>
                <w:rFonts w:ascii="宋体" w:hAnsi="宋体"/>
                <w:color w:val="000000"/>
                <w:szCs w:val="21"/>
                <w:highlight w:val="none"/>
              </w:rPr>
            </w:pPr>
            <w:r>
              <w:rPr>
                <w:rFonts w:ascii="宋体" w:hAnsi="宋体"/>
                <w:color w:val="000000"/>
                <w:szCs w:val="21"/>
                <w:highlight w:val="none"/>
              </w:rPr>
              <w:t>2.1</w:t>
            </w:r>
            <w:r>
              <w:rPr>
                <w:rFonts w:hint="eastAsia" w:ascii="宋体" w:hAnsi="宋体"/>
                <w:color w:val="00000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42FB7C">
            <w:pPr>
              <w:snapToGrid w:val="0"/>
              <w:spacing w:line="400" w:lineRule="exact"/>
              <w:jc w:val="left"/>
              <w:rPr>
                <w:rFonts w:ascii="宋体" w:hAnsi="宋体"/>
                <w:color w:val="000000"/>
                <w:szCs w:val="21"/>
                <w:highlight w:val="none"/>
              </w:rPr>
            </w:pPr>
            <w:r>
              <w:rPr>
                <w:rFonts w:ascii="宋体" w:hAnsi="宋体"/>
                <w:color w:val="000000"/>
                <w:szCs w:val="21"/>
                <w:highlight w:val="none"/>
              </w:rPr>
              <w:t>2.2</w:t>
            </w:r>
            <w:r>
              <w:rPr>
                <w:rFonts w:hint="eastAsia" w:ascii="宋体" w:hAnsi="宋体"/>
                <w:color w:val="00000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396A099">
            <w:pPr>
              <w:pStyle w:val="19"/>
              <w:rPr>
                <w:color w:val="000000"/>
                <w:highlight w:val="none"/>
              </w:rPr>
            </w:pPr>
            <w:r>
              <w:rPr>
                <w:rFonts w:hint="eastAsia" w:ascii="宋体" w:hAnsi="宋体"/>
                <w:color w:val="000000"/>
                <w:kern w:val="2"/>
                <w:sz w:val="21"/>
                <w:szCs w:val="21"/>
                <w:highlight w:val="none"/>
              </w:rPr>
              <w:t>2.3本项目不接受未购买本招标文件的投标人参与投标。</w:t>
            </w:r>
          </w:p>
        </w:tc>
      </w:tr>
      <w:tr w14:paraId="3D304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59" w:type="dxa"/>
            <w:tcBorders>
              <w:top w:val="single" w:color="auto" w:sz="4" w:space="0"/>
              <w:left w:val="single" w:color="auto" w:sz="4" w:space="0"/>
              <w:bottom w:val="single" w:color="auto" w:sz="4" w:space="0"/>
              <w:right w:val="single" w:color="auto" w:sz="4" w:space="0"/>
            </w:tcBorders>
            <w:vAlign w:val="center"/>
          </w:tcPr>
          <w:p w14:paraId="084EF51B">
            <w:pPr>
              <w:spacing w:line="400" w:lineRule="exact"/>
              <w:jc w:val="center"/>
              <w:rPr>
                <w:rFonts w:ascii="宋体" w:hAnsi="宋体"/>
                <w:color w:val="000000"/>
                <w:szCs w:val="21"/>
                <w:highlight w:val="none"/>
              </w:rPr>
            </w:pPr>
            <w:bookmarkStart w:id="53" w:name="_5"/>
            <w:bookmarkEnd w:id="53"/>
            <w:bookmarkStart w:id="54" w:name="_9.2"/>
            <w:bookmarkEnd w:id="54"/>
            <w:bookmarkStart w:id="55" w:name="_8.1"/>
            <w:bookmarkEnd w:id="55"/>
            <w:r>
              <w:rPr>
                <w:rFonts w:hint="eastAsia" w:ascii="宋体" w:hAnsi="宋体"/>
                <w:color w:val="000000"/>
                <w:szCs w:val="21"/>
                <w:highlight w:val="none"/>
              </w:rPr>
              <w:t>6.1</w:t>
            </w:r>
          </w:p>
        </w:tc>
        <w:tc>
          <w:tcPr>
            <w:tcW w:w="7654" w:type="dxa"/>
            <w:tcBorders>
              <w:top w:val="single" w:color="auto" w:sz="4" w:space="0"/>
              <w:left w:val="single" w:color="auto" w:sz="4" w:space="0"/>
              <w:bottom w:val="single" w:color="auto" w:sz="4" w:space="0"/>
              <w:right w:val="single" w:color="auto" w:sz="4" w:space="0"/>
            </w:tcBorders>
            <w:vAlign w:val="center"/>
          </w:tcPr>
          <w:p w14:paraId="51F8B35E">
            <w:pPr>
              <w:pStyle w:val="17"/>
              <w:spacing w:line="400" w:lineRule="exact"/>
              <w:rPr>
                <w:rFonts w:ascii="宋体" w:hAnsi="宋体"/>
                <w:color w:val="000000"/>
                <w:szCs w:val="21"/>
                <w:highlight w:val="none"/>
              </w:rPr>
            </w:pPr>
            <w:r>
              <w:rPr>
                <w:rFonts w:hint="eastAsia" w:ascii="宋体" w:hAnsi="宋体"/>
                <w:color w:val="000000"/>
                <w:szCs w:val="21"/>
                <w:highlight w:val="none"/>
              </w:rPr>
              <w:t>本项目是否接受联合体投标：详见招标公告。</w:t>
            </w:r>
          </w:p>
        </w:tc>
      </w:tr>
      <w:tr w14:paraId="7B354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F0D69EE">
            <w:pPr>
              <w:spacing w:line="400" w:lineRule="exact"/>
              <w:jc w:val="center"/>
              <w:rPr>
                <w:rFonts w:ascii="宋体" w:hAnsi="宋体"/>
                <w:color w:val="000000"/>
                <w:szCs w:val="21"/>
                <w:highlight w:val="none"/>
              </w:rPr>
            </w:pPr>
            <w:r>
              <w:rPr>
                <w:rFonts w:ascii="宋体" w:hAnsi="宋体"/>
                <w:color w:val="000000"/>
                <w:szCs w:val="21"/>
                <w:highlight w:val="none"/>
              </w:rPr>
              <w:t>6.2</w:t>
            </w:r>
          </w:p>
        </w:tc>
        <w:tc>
          <w:tcPr>
            <w:tcW w:w="7654" w:type="dxa"/>
            <w:tcBorders>
              <w:top w:val="single" w:color="auto" w:sz="4" w:space="0"/>
              <w:left w:val="single" w:color="auto" w:sz="4" w:space="0"/>
              <w:bottom w:val="single" w:color="auto" w:sz="4" w:space="0"/>
              <w:right w:val="single" w:color="auto" w:sz="4" w:space="0"/>
            </w:tcBorders>
            <w:vAlign w:val="center"/>
          </w:tcPr>
          <w:p w14:paraId="2D590CB3">
            <w:pPr>
              <w:pStyle w:val="17"/>
              <w:spacing w:line="400" w:lineRule="exact"/>
              <w:rPr>
                <w:rFonts w:ascii="宋体" w:hAnsi="宋体"/>
                <w:color w:val="000000"/>
                <w:szCs w:val="21"/>
                <w:highlight w:val="none"/>
              </w:rPr>
            </w:pPr>
            <w:bookmarkStart w:id="56" w:name="_Hlk54105293"/>
            <w:r>
              <w:rPr>
                <w:rFonts w:hint="eastAsia" w:ascii="宋体" w:hAnsi="宋体"/>
                <w:color w:val="000000"/>
                <w:szCs w:val="21"/>
                <w:highlight w:val="none"/>
              </w:rPr>
              <w:t>如接受联合体投标，</w:t>
            </w:r>
            <w:bookmarkEnd w:id="56"/>
            <w:r>
              <w:rPr>
                <w:rFonts w:hint="eastAsia" w:ascii="宋体" w:hAnsi="宋体"/>
                <w:color w:val="000000"/>
                <w:szCs w:val="21"/>
                <w:highlight w:val="none"/>
              </w:rPr>
              <w:t>联合体投标要求如下：</w:t>
            </w:r>
          </w:p>
          <w:p w14:paraId="725F73E4">
            <w:pPr>
              <w:pStyle w:val="17"/>
              <w:spacing w:line="400" w:lineRule="exac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两个以上投标人可以组成一个投标联合体，以一个投标人的身份共同参加投标。联合体投标的，须提供《联合体投标协议书》（格式后附）。</w:t>
            </w:r>
          </w:p>
          <w:p w14:paraId="0B9023FD">
            <w:pPr>
              <w:pStyle w:val="17"/>
              <w:spacing w:line="400" w:lineRule="exact"/>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A5B7A18">
            <w:pPr>
              <w:pStyle w:val="17"/>
              <w:spacing w:line="400" w:lineRule="exact"/>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w:t>
            </w:r>
            <w:r>
              <w:rPr>
                <w:rFonts w:hint="eastAsia" w:ascii="宋体" w:hAnsi="宋体"/>
                <w:color w:val="000000"/>
                <w:szCs w:val="21"/>
                <w:highlight w:val="none"/>
              </w:rPr>
              <w:t>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b/>
                <w:bCs/>
                <w:color w:val="000000"/>
                <w:szCs w:val="21"/>
                <w:highlight w:val="none"/>
              </w:rPr>
              <w:t>联合体投标无效</w:t>
            </w:r>
            <w:r>
              <w:rPr>
                <w:rFonts w:hint="eastAsia" w:ascii="宋体" w:hAnsi="宋体"/>
                <w:color w:val="000000"/>
                <w:szCs w:val="21"/>
                <w:highlight w:val="none"/>
              </w:rPr>
              <w:t>），并将联合投标协议放入投标文件。联合体各方必须共同与采购人签订采购合同，就采购合同约定的事项对采购人承担连带责任。</w:t>
            </w:r>
          </w:p>
          <w:p w14:paraId="1264ECB0">
            <w:pPr>
              <w:pStyle w:val="17"/>
              <w:spacing w:line="400" w:lineRule="exact"/>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以联合体形式参加政府采购活动的，联合体各方不得再单独参加或者与其他投标人另外组成联合体参加同一合同项下的政府采购活动。</w:t>
            </w:r>
          </w:p>
          <w:p w14:paraId="6A2405B1">
            <w:pPr>
              <w:pStyle w:val="17"/>
              <w:spacing w:line="400" w:lineRule="exact"/>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联合体中有同类资质的投标人按照联合体分工承担相同工作的，应当按照资质等级较低的投标人确定资质等级。</w:t>
            </w:r>
          </w:p>
          <w:p w14:paraId="69CC11E1">
            <w:pPr>
              <w:pStyle w:val="17"/>
              <w:spacing w:line="400" w:lineRule="exact"/>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w:t>
            </w:r>
            <w:r>
              <w:rPr>
                <w:rFonts w:hint="eastAsia" w:ascii="宋体" w:hAnsi="宋体"/>
                <w:color w:val="000000"/>
                <w:szCs w:val="21"/>
                <w:highlight w:val="none"/>
              </w:rPr>
              <w:t>联合体投标业绩、履约能力按照联合体各方其中较高的一方认定并计算（招标文件另有规定的除外）。</w:t>
            </w:r>
          </w:p>
          <w:p w14:paraId="4D6E033E">
            <w:pPr>
              <w:pStyle w:val="17"/>
              <w:spacing w:line="400" w:lineRule="exact"/>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w:t>
            </w:r>
            <w:r>
              <w:rPr>
                <w:rFonts w:hint="eastAsia" w:ascii="宋体" w:hAnsi="宋体"/>
                <w:color w:val="000000"/>
                <w:szCs w:val="21"/>
                <w:highlight w:val="none"/>
              </w:rPr>
              <w:t>投标人为联合体的，可以由联合体中的一方或者多方共同交纳投标保证金，其交纳的保证金对联合体各方均具有约束力。</w:t>
            </w:r>
          </w:p>
          <w:p w14:paraId="0BFDD62E">
            <w:pPr>
              <w:pStyle w:val="17"/>
              <w:spacing w:line="400" w:lineRule="exact"/>
              <w:rPr>
                <w:rFonts w:ascii="宋体" w:hAns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联合体各方均应按照招标文件的规定提交资格证明文件。</w:t>
            </w:r>
          </w:p>
        </w:tc>
      </w:tr>
      <w:tr w14:paraId="5A673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F6D8629">
            <w:pPr>
              <w:spacing w:line="400" w:lineRule="exact"/>
              <w:jc w:val="center"/>
              <w:rPr>
                <w:rFonts w:ascii="宋体" w:hAnsi="宋体"/>
                <w:color w:val="000000"/>
                <w:szCs w:val="21"/>
                <w:highlight w:val="none"/>
              </w:rPr>
            </w:pPr>
            <w:r>
              <w:rPr>
                <w:rFonts w:hint="eastAsia" w:ascii="宋体" w:hAnsi="宋体"/>
                <w:color w:val="000000"/>
                <w:szCs w:val="21"/>
                <w:highlight w:val="none"/>
              </w:rPr>
              <w:t>7.2</w:t>
            </w:r>
          </w:p>
        </w:tc>
        <w:tc>
          <w:tcPr>
            <w:tcW w:w="7654" w:type="dxa"/>
            <w:tcBorders>
              <w:top w:val="single" w:color="auto" w:sz="4" w:space="0"/>
              <w:left w:val="single" w:color="auto" w:sz="4" w:space="0"/>
              <w:bottom w:val="single" w:color="auto" w:sz="4" w:space="0"/>
              <w:right w:val="single" w:color="auto" w:sz="4" w:space="0"/>
            </w:tcBorders>
            <w:vAlign w:val="center"/>
          </w:tcPr>
          <w:p w14:paraId="2E979716">
            <w:pPr>
              <w:pStyle w:val="17"/>
              <w:spacing w:line="400" w:lineRule="exact"/>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不允许分包</w:t>
            </w:r>
          </w:p>
          <w:p w14:paraId="77A77E38">
            <w:pPr>
              <w:pStyle w:val="17"/>
              <w:spacing w:line="400" w:lineRule="exact"/>
              <w:rPr>
                <w:rFonts w:ascii="宋体" w:hAnsi="宋体"/>
                <w:color w:val="000000"/>
                <w:szCs w:val="21"/>
                <w:highlight w:val="none"/>
              </w:rPr>
            </w:pPr>
            <w:r>
              <w:rPr>
                <w:rFonts w:hint="eastAsia" w:ascii="宋体" w:hAnsi="宋体"/>
                <w:color w:val="000000"/>
                <w:szCs w:val="21"/>
                <w:highlight w:val="none"/>
              </w:rPr>
              <w:t>□允许分包</w:t>
            </w:r>
          </w:p>
          <w:p w14:paraId="54579310">
            <w:pPr>
              <w:pStyle w:val="17"/>
              <w:spacing w:line="400" w:lineRule="exact"/>
              <w:rPr>
                <w:rFonts w:ascii="宋体" w:hAnsi="宋体"/>
                <w:color w:val="000000"/>
                <w:szCs w:val="21"/>
                <w:highlight w:val="none"/>
                <w:u w:val="single"/>
              </w:rPr>
            </w:pPr>
            <w:r>
              <w:rPr>
                <w:rFonts w:hint="eastAsia" w:ascii="宋体" w:hAnsi="宋体"/>
                <w:color w:val="000000"/>
                <w:szCs w:val="21"/>
                <w:highlight w:val="none"/>
              </w:rPr>
              <w:t>分包内容：</w:t>
            </w:r>
            <w:r>
              <w:rPr>
                <w:rFonts w:hint="eastAsia" w:ascii="宋体" w:hAnsi="宋体"/>
                <w:color w:val="000000"/>
                <w:szCs w:val="21"/>
                <w:highlight w:val="none"/>
                <w:u w:val="single"/>
              </w:rPr>
              <w:t xml:space="preserve">                                     。</w:t>
            </w:r>
          </w:p>
          <w:p w14:paraId="786E00A2">
            <w:pPr>
              <w:pStyle w:val="17"/>
              <w:spacing w:line="400" w:lineRule="exact"/>
              <w:jc w:val="both"/>
              <w:rPr>
                <w:rFonts w:ascii="宋体" w:hAnsi="宋体"/>
                <w:color w:val="000000"/>
                <w:szCs w:val="21"/>
                <w:highlight w:val="none"/>
                <w:u w:val="single"/>
              </w:rPr>
            </w:pPr>
            <w:r>
              <w:rPr>
                <w:rFonts w:hint="eastAsia" w:ascii="宋体" w:hAnsi="宋体"/>
                <w:color w:val="000000"/>
                <w:szCs w:val="21"/>
                <w:highlight w:val="none"/>
              </w:rPr>
              <w:t>分包金额或者比例：</w:t>
            </w:r>
            <w:r>
              <w:rPr>
                <w:rFonts w:hint="eastAsia" w:ascii="宋体" w:hAnsi="宋体"/>
                <w:color w:val="000000"/>
                <w:szCs w:val="21"/>
                <w:highlight w:val="none"/>
                <w:u w:val="single"/>
              </w:rPr>
              <w:t xml:space="preserve">                                     。</w:t>
            </w:r>
          </w:p>
        </w:tc>
      </w:tr>
      <w:tr w14:paraId="29319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590412E">
            <w:pPr>
              <w:spacing w:line="400" w:lineRule="exact"/>
              <w:jc w:val="center"/>
              <w:rPr>
                <w:rFonts w:ascii="宋体" w:hAnsi="宋体"/>
                <w:color w:val="000000"/>
                <w:szCs w:val="21"/>
                <w:highlight w:val="none"/>
              </w:rPr>
            </w:pPr>
            <w:r>
              <w:rPr>
                <w:rFonts w:hint="eastAsia" w:ascii="宋体" w:hAnsi="宋体"/>
                <w:color w:val="000000"/>
                <w:szCs w:val="21"/>
                <w:highlight w:val="none"/>
              </w:rPr>
              <w:t>8.1</w:t>
            </w:r>
          </w:p>
        </w:tc>
        <w:tc>
          <w:tcPr>
            <w:tcW w:w="7654" w:type="dxa"/>
            <w:tcBorders>
              <w:top w:val="single" w:color="auto" w:sz="4" w:space="0"/>
              <w:left w:val="single" w:color="auto" w:sz="4" w:space="0"/>
              <w:bottom w:val="single" w:color="auto" w:sz="4" w:space="0"/>
              <w:right w:val="single" w:color="auto" w:sz="4" w:space="0"/>
            </w:tcBorders>
            <w:vAlign w:val="center"/>
          </w:tcPr>
          <w:p w14:paraId="424FC29A">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采用综合评分法的采购项目，提供相同品牌产品（非单一产品采购项目的，指核心产品）的不同投标人评审得分相同时，按照下列方式确定一个投标人获得中标人推荐资格：</w:t>
            </w:r>
          </w:p>
          <w:p w14:paraId="542A9D91">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依次按投标报价低的优先、政策分得分高的优先、技术评分高的优先、商务评分高的优先、保修期长优先、交货期短优先、故障响应时间短优先的顺序推荐；</w:t>
            </w:r>
          </w:p>
          <w:p w14:paraId="38A48B22">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□随机抽取；</w:t>
            </w:r>
          </w:p>
        </w:tc>
      </w:tr>
      <w:tr w14:paraId="4438F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restart"/>
            <w:tcBorders>
              <w:top w:val="single" w:color="auto" w:sz="4" w:space="0"/>
              <w:left w:val="single" w:color="auto" w:sz="4" w:space="0"/>
              <w:right w:val="single" w:color="auto" w:sz="4" w:space="0"/>
            </w:tcBorders>
            <w:vAlign w:val="center"/>
          </w:tcPr>
          <w:p w14:paraId="36560CEE">
            <w:pPr>
              <w:spacing w:line="4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1.2</w:t>
            </w:r>
          </w:p>
        </w:tc>
        <w:tc>
          <w:tcPr>
            <w:tcW w:w="7654" w:type="dxa"/>
            <w:tcBorders>
              <w:top w:val="single" w:color="auto" w:sz="4" w:space="0"/>
              <w:left w:val="single" w:color="auto" w:sz="4" w:space="0"/>
              <w:bottom w:val="single" w:color="auto" w:sz="4" w:space="0"/>
              <w:right w:val="single" w:color="auto" w:sz="4" w:space="0"/>
            </w:tcBorders>
            <w:vAlign w:val="center"/>
          </w:tcPr>
          <w:p w14:paraId="23070C1B">
            <w:pPr>
              <w:snapToGrid w:val="0"/>
              <w:spacing w:line="400" w:lineRule="exact"/>
              <w:rPr>
                <w:rFonts w:ascii="宋体" w:hAnsi="宋体"/>
                <w:color w:val="000000"/>
                <w:szCs w:val="21"/>
                <w:highlight w:val="none"/>
              </w:rPr>
            </w:pPr>
            <w:r>
              <w:rPr>
                <w:rFonts w:hint="eastAsia" w:ascii="宋体" w:hAnsi="宋体"/>
                <w:color w:val="000000"/>
                <w:szCs w:val="21"/>
                <w:highlight w:val="none"/>
              </w:rPr>
              <w:t>是否组织现场考察详见第二章《采购需求》中的《</w:t>
            </w:r>
            <w:r>
              <w:rPr>
                <w:rFonts w:hint="eastAsia" w:ascii="宋体" w:hAnsi="宋体" w:cs="宋体"/>
                <w:szCs w:val="21"/>
                <w:highlight w:val="none"/>
              </w:rPr>
              <w:t>涉及项目的其他要求及说明</w:t>
            </w:r>
            <w:r>
              <w:rPr>
                <w:rFonts w:hint="eastAsia" w:ascii="宋体" w:hAnsi="宋体"/>
                <w:color w:val="000000"/>
                <w:szCs w:val="21"/>
                <w:highlight w:val="none"/>
              </w:rPr>
              <w:t>》。</w:t>
            </w:r>
          </w:p>
        </w:tc>
      </w:tr>
      <w:tr w14:paraId="705E2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14:paraId="53A863B6">
            <w:pPr>
              <w:spacing w:line="400" w:lineRule="exact"/>
              <w:jc w:val="center"/>
              <w:rPr>
                <w:rFonts w:ascii="宋体" w:hAnsi="宋体"/>
                <w:color w:val="000000"/>
                <w:szCs w:val="21"/>
                <w:highlight w:val="none"/>
              </w:rPr>
            </w:pPr>
          </w:p>
        </w:tc>
        <w:tc>
          <w:tcPr>
            <w:tcW w:w="7654" w:type="dxa"/>
            <w:tcBorders>
              <w:top w:val="single" w:color="auto" w:sz="4" w:space="0"/>
              <w:left w:val="single" w:color="auto" w:sz="4" w:space="0"/>
              <w:bottom w:val="single" w:color="auto" w:sz="4" w:space="0"/>
              <w:right w:val="single" w:color="auto" w:sz="4" w:space="0"/>
            </w:tcBorders>
            <w:vAlign w:val="center"/>
          </w:tcPr>
          <w:p w14:paraId="76CFEF77">
            <w:pPr>
              <w:snapToGrid w:val="0"/>
              <w:spacing w:line="400" w:lineRule="exact"/>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不组织召开开标前答疑会</w:t>
            </w:r>
          </w:p>
          <w:p w14:paraId="613D01C0">
            <w:pPr>
              <w:snapToGrid w:val="0"/>
              <w:spacing w:line="400" w:lineRule="exact"/>
              <w:rPr>
                <w:rFonts w:ascii="宋体" w:hAnsi="宋体"/>
                <w:color w:val="000000"/>
                <w:szCs w:val="21"/>
                <w:highlight w:val="none"/>
              </w:rPr>
            </w:pPr>
            <w:r>
              <w:rPr>
                <w:rFonts w:hint="eastAsia" w:ascii="宋体" w:hAnsi="宋体"/>
                <w:color w:val="000000"/>
                <w:szCs w:val="21"/>
                <w:highlight w:val="none"/>
              </w:rPr>
              <w:t>□组织召开开标前答疑会</w:t>
            </w:r>
          </w:p>
          <w:p w14:paraId="32135EDB">
            <w:pPr>
              <w:snapToGrid w:val="0"/>
              <w:spacing w:line="400" w:lineRule="exact"/>
              <w:rPr>
                <w:rFonts w:ascii="宋体" w:hAnsi="宋体"/>
                <w:color w:val="000000"/>
                <w:szCs w:val="21"/>
                <w:highlight w:val="none"/>
              </w:rPr>
            </w:pPr>
            <w:r>
              <w:rPr>
                <w:rFonts w:hint="eastAsia" w:ascii="宋体" w:hAnsi="宋体"/>
                <w:color w:val="000000"/>
                <w:szCs w:val="21"/>
                <w:highlight w:val="none"/>
              </w:rPr>
              <w:t>会议开始时间：</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r>
              <w:rPr>
                <w:rFonts w:hint="eastAsia" w:ascii="宋体" w:hAnsi="宋体"/>
                <w:color w:val="000000"/>
                <w:szCs w:val="21"/>
                <w:highlight w:val="none"/>
                <w:u w:val="single"/>
              </w:rPr>
              <w:t xml:space="preserve">  </w:t>
            </w:r>
            <w:r>
              <w:rPr>
                <w:rFonts w:hint="eastAsia" w:ascii="宋体" w:hAnsi="宋体"/>
                <w:color w:val="000000"/>
                <w:szCs w:val="21"/>
                <w:highlight w:val="none"/>
              </w:rPr>
              <w:t>时</w:t>
            </w:r>
            <w:r>
              <w:rPr>
                <w:rFonts w:hint="eastAsia" w:ascii="宋体" w:hAnsi="宋体"/>
                <w:color w:val="000000"/>
                <w:szCs w:val="21"/>
                <w:highlight w:val="none"/>
                <w:u w:val="single"/>
              </w:rPr>
              <w:t xml:space="preserve">  分</w:t>
            </w:r>
            <w:r>
              <w:rPr>
                <w:rFonts w:hint="eastAsia" w:ascii="宋体" w:hAnsi="宋体"/>
                <w:color w:val="000000"/>
                <w:szCs w:val="21"/>
                <w:highlight w:val="none"/>
              </w:rPr>
              <w:t>，逾期后果自负。会议地点：</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tc>
      </w:tr>
      <w:tr w14:paraId="456D9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44D09157">
            <w:pPr>
              <w:spacing w:line="400" w:lineRule="exact"/>
              <w:jc w:val="center"/>
              <w:rPr>
                <w:rFonts w:ascii="宋体" w:hAnsi="宋体"/>
                <w:color w:val="000000"/>
                <w:szCs w:val="21"/>
                <w:highlight w:val="none"/>
              </w:rPr>
            </w:pPr>
            <w:bookmarkStart w:id="57" w:name="_13.1"/>
            <w:bookmarkEnd w:id="57"/>
            <w:r>
              <w:rPr>
                <w:rFonts w:hint="eastAsia" w:ascii="宋体" w:hAnsi="宋体"/>
                <w:color w:val="000000"/>
                <w:szCs w:val="21"/>
                <w:highlight w:val="none"/>
              </w:rPr>
              <w:t>13</w:t>
            </w:r>
          </w:p>
        </w:tc>
        <w:tc>
          <w:tcPr>
            <w:tcW w:w="7654" w:type="dxa"/>
            <w:tcBorders>
              <w:top w:val="single" w:color="auto" w:sz="4" w:space="0"/>
              <w:left w:val="single" w:color="auto" w:sz="4" w:space="0"/>
              <w:bottom w:val="single" w:color="auto" w:sz="4" w:space="0"/>
              <w:right w:val="single" w:color="auto" w:sz="4" w:space="0"/>
            </w:tcBorders>
            <w:vAlign w:val="center"/>
          </w:tcPr>
          <w:p w14:paraId="1FC36990">
            <w:pPr>
              <w:snapToGrid w:val="0"/>
              <w:spacing w:line="400" w:lineRule="exact"/>
              <w:jc w:val="left"/>
              <w:rPr>
                <w:rFonts w:ascii="宋体" w:hAnsi="宋体" w:cs="Courier New"/>
                <w:b/>
                <w:color w:val="000000"/>
                <w:szCs w:val="21"/>
                <w:highlight w:val="none"/>
              </w:rPr>
            </w:pPr>
            <w:r>
              <w:rPr>
                <w:rFonts w:hint="eastAsia" w:ascii="宋体" w:hAnsi="宋体" w:cs="Courier New"/>
                <w:b/>
                <w:color w:val="000000"/>
                <w:szCs w:val="21"/>
                <w:highlight w:val="none"/>
              </w:rPr>
              <w:t>报价文件：</w:t>
            </w:r>
          </w:p>
          <w:p w14:paraId="18292184">
            <w:pPr>
              <w:tabs>
                <w:tab w:val="left" w:pos="34"/>
              </w:tabs>
              <w:snapToGrid w:val="0"/>
              <w:spacing w:line="400" w:lineRule="exact"/>
              <w:jc w:val="left"/>
              <w:rPr>
                <w:rFonts w:ascii="宋体" w:hAnsi="宋体"/>
                <w:color w:val="000000"/>
                <w:szCs w:val="21"/>
                <w:highlight w:val="none"/>
              </w:rPr>
            </w:pPr>
            <w:r>
              <w:rPr>
                <w:rFonts w:ascii="宋体" w:hAnsi="宋体"/>
                <w:color w:val="000000"/>
                <w:sz w:val="24"/>
                <w:highlight w:val="none"/>
              </w:rPr>
              <w:t>1.</w:t>
            </w:r>
            <w:r>
              <w:rPr>
                <w:rFonts w:hint="eastAsia" w:ascii="宋体" w:hAnsi="宋体"/>
                <w:color w:val="000000"/>
                <w:szCs w:val="21"/>
                <w:highlight w:val="none"/>
              </w:rPr>
              <w:t>投标函（格式后附）；</w:t>
            </w:r>
            <w:r>
              <w:rPr>
                <w:rFonts w:hint="eastAsia" w:ascii="宋体" w:hAnsi="宋体"/>
                <w:b/>
                <w:color w:val="000000"/>
                <w:szCs w:val="21"/>
                <w:highlight w:val="none"/>
              </w:rPr>
              <w:t>（必须提供，否则按无效投标处理）</w:t>
            </w:r>
          </w:p>
          <w:p w14:paraId="40155A9B">
            <w:pPr>
              <w:tabs>
                <w:tab w:val="left" w:pos="34"/>
              </w:tabs>
              <w:snapToGrid w:val="0"/>
              <w:spacing w:line="400" w:lineRule="exact"/>
              <w:jc w:val="left"/>
              <w:rPr>
                <w:rFonts w:ascii="宋体" w:hAnsi="宋体"/>
                <w:color w:val="000000"/>
                <w:szCs w:val="21"/>
                <w:highlight w:val="none"/>
              </w:rPr>
            </w:pPr>
            <w:bookmarkStart w:id="58" w:name="_Hlk71299233"/>
            <w:r>
              <w:rPr>
                <w:rFonts w:ascii="宋体" w:hAnsi="宋体"/>
                <w:color w:val="000000"/>
                <w:sz w:val="24"/>
                <w:highlight w:val="none"/>
              </w:rPr>
              <w:t>2.</w:t>
            </w:r>
            <w:r>
              <w:rPr>
                <w:rFonts w:hint="eastAsia" w:ascii="宋体" w:hAnsi="宋体"/>
                <w:color w:val="000000"/>
                <w:szCs w:val="21"/>
                <w:highlight w:val="none"/>
              </w:rPr>
              <w:t>开标一览表</w:t>
            </w:r>
            <w:bookmarkEnd w:id="58"/>
            <w:r>
              <w:rPr>
                <w:rFonts w:hint="eastAsia" w:ascii="宋体" w:hAnsi="宋体"/>
                <w:color w:val="000000"/>
                <w:szCs w:val="21"/>
                <w:highlight w:val="none"/>
              </w:rPr>
              <w:t>（格式后附）； （</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04413083">
            <w:pPr>
              <w:tabs>
                <w:tab w:val="left" w:pos="34"/>
              </w:tabs>
              <w:snapToGrid w:val="0"/>
              <w:spacing w:line="400" w:lineRule="exact"/>
              <w:jc w:val="left"/>
              <w:rPr>
                <w:rFonts w:ascii="宋体" w:hAnsi="宋体"/>
                <w:color w:val="000000"/>
                <w:szCs w:val="21"/>
                <w:highlight w:val="none"/>
              </w:rPr>
            </w:pPr>
            <w:r>
              <w:rPr>
                <w:rFonts w:ascii="宋体" w:hAnsi="宋体"/>
                <w:color w:val="000000"/>
                <w:sz w:val="24"/>
                <w:highlight w:val="none"/>
              </w:rPr>
              <w:t>3.</w:t>
            </w:r>
            <w:r>
              <w:rPr>
                <w:rFonts w:hint="eastAsia" w:ascii="宋体" w:hAnsi="宋体"/>
                <w:color w:val="000000"/>
                <w:szCs w:val="21"/>
                <w:highlight w:val="none"/>
              </w:rPr>
              <w:t>投标人针对报价需要说明的其他文件和说明（格式自拟）。</w:t>
            </w:r>
          </w:p>
          <w:p w14:paraId="68373EDF">
            <w:pPr>
              <w:tabs>
                <w:tab w:val="left" w:pos="34"/>
              </w:tabs>
              <w:snapToGrid w:val="0"/>
              <w:spacing w:line="400" w:lineRule="exact"/>
              <w:jc w:val="left"/>
              <w:rPr>
                <w:rFonts w:ascii="宋体" w:hAnsi="宋体"/>
                <w:color w:val="000000"/>
                <w:szCs w:val="21"/>
                <w:highlight w:val="none"/>
              </w:rPr>
            </w:pPr>
            <w:r>
              <w:rPr>
                <w:rFonts w:hint="eastAsia" w:ascii="宋体" w:hAnsi="宋体"/>
                <w:b/>
                <w:bCs/>
                <w:color w:val="000000"/>
                <w:szCs w:val="21"/>
                <w:highlight w:val="none"/>
              </w:rPr>
              <w:t>注：投标函、开标一览表必须由法定代表人（或负责人）或者委托代理人在规定签章处逐一签字或者电子签名并加盖投标人公章，否则按无效投标</w:t>
            </w:r>
            <w:r>
              <w:rPr>
                <w:rFonts w:hint="eastAsia" w:ascii="宋体" w:hAnsi="宋体" w:cs="Courier New"/>
                <w:b/>
                <w:color w:val="000000"/>
                <w:szCs w:val="21"/>
                <w:highlight w:val="none"/>
              </w:rPr>
              <w:t>处理</w:t>
            </w:r>
            <w:r>
              <w:rPr>
                <w:rFonts w:hint="eastAsia" w:ascii="宋体" w:hAnsi="宋体"/>
                <w:b/>
                <w:bCs/>
                <w:color w:val="000000"/>
                <w:szCs w:val="21"/>
                <w:highlight w:val="none"/>
              </w:rPr>
              <w:t>。</w:t>
            </w:r>
          </w:p>
        </w:tc>
      </w:tr>
      <w:tr w14:paraId="4FC49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4CEF9814">
            <w:pPr>
              <w:spacing w:line="400" w:lineRule="exact"/>
              <w:rPr>
                <w:rFonts w:ascii="宋体" w:hAnsi="宋体"/>
                <w:color w:val="000000"/>
                <w:szCs w:val="21"/>
                <w:highlight w:val="none"/>
              </w:rPr>
            </w:pPr>
            <w:bookmarkStart w:id="59" w:name="_13.2"/>
            <w:bookmarkEnd w:id="59"/>
          </w:p>
        </w:tc>
        <w:tc>
          <w:tcPr>
            <w:tcW w:w="7654" w:type="dxa"/>
            <w:tcBorders>
              <w:top w:val="single" w:color="auto" w:sz="4" w:space="0"/>
              <w:left w:val="single" w:color="auto" w:sz="4" w:space="0"/>
              <w:bottom w:val="single" w:color="auto" w:sz="4" w:space="0"/>
              <w:right w:val="single" w:color="auto" w:sz="4" w:space="0"/>
            </w:tcBorders>
            <w:vAlign w:val="center"/>
          </w:tcPr>
          <w:p w14:paraId="70B19AB0">
            <w:pPr>
              <w:snapToGrid w:val="0"/>
              <w:spacing w:line="400" w:lineRule="exact"/>
              <w:jc w:val="left"/>
              <w:rPr>
                <w:rFonts w:ascii="宋体" w:hAnsi="宋体" w:cs="Courier New"/>
                <w:b/>
                <w:color w:val="000000"/>
                <w:szCs w:val="21"/>
                <w:highlight w:val="none"/>
              </w:rPr>
            </w:pPr>
            <w:r>
              <w:rPr>
                <w:rFonts w:hint="eastAsia" w:ascii="宋体" w:hAnsi="宋体" w:cs="Courier New"/>
                <w:b/>
                <w:color w:val="000000"/>
                <w:szCs w:val="21"/>
                <w:highlight w:val="none"/>
              </w:rPr>
              <w:t>资格证明文件</w:t>
            </w:r>
          </w:p>
          <w:p w14:paraId="60894DCE">
            <w:pPr>
              <w:snapToGrid w:val="0"/>
              <w:spacing w:line="400" w:lineRule="exact"/>
              <w:jc w:val="left"/>
              <w:rPr>
                <w:rFonts w:ascii="宋体" w:hAnsi="宋体" w:cs="Courier New"/>
                <w:b/>
                <w:color w:val="000000"/>
                <w:szCs w:val="21"/>
                <w:highlight w:val="none"/>
              </w:rPr>
            </w:pPr>
            <w:r>
              <w:rPr>
                <w:rFonts w:hint="eastAsia" w:ascii="宋体" w:hAnsi="宋体"/>
                <w:color w:val="000000"/>
                <w:szCs w:val="21"/>
                <w:highlight w:val="none"/>
              </w:rPr>
              <w:t>1.投标人为法人或者其他组织的，提供营业执照等证明文件</w:t>
            </w:r>
            <w:r>
              <w:rPr>
                <w:rFonts w:hint="eastAsia" w:ascii="宋体" w:hAnsi="宋体" w:cs="宋体"/>
                <w:color w:val="000000"/>
                <w:szCs w:val="21"/>
                <w:highlight w:val="none"/>
              </w:rPr>
              <w:t>（如营业执照或者事业单位法人证书或者</w:t>
            </w:r>
            <w:r>
              <w:rPr>
                <w:rStyle w:val="107"/>
                <w:sz w:val="21"/>
                <w:szCs w:val="21"/>
                <w:highlight w:val="none"/>
              </w:rPr>
              <w:t>执业许可证</w:t>
            </w:r>
            <w:r>
              <w:rPr>
                <w:rFonts w:hint="eastAsia" w:ascii="宋体" w:hAnsi="宋体" w:cs="宋体"/>
                <w:color w:val="000000"/>
                <w:szCs w:val="21"/>
                <w:highlight w:val="none"/>
              </w:rPr>
              <w:t>或者登记证书等）</w:t>
            </w:r>
            <w:r>
              <w:rPr>
                <w:rFonts w:hint="eastAsia" w:ascii="宋体" w:hAnsi="宋体"/>
                <w:color w:val="000000"/>
                <w:szCs w:val="21"/>
                <w:highlight w:val="none"/>
              </w:rPr>
              <w:t>，投标人为自然人的，提供身份证</w:t>
            </w:r>
            <w:r>
              <w:rPr>
                <w:rFonts w:hint="eastAsia" w:ascii="宋体" w:hAnsi="宋体" w:cs="宋体"/>
                <w:color w:val="000000"/>
                <w:szCs w:val="21"/>
                <w:highlight w:val="none"/>
              </w:rPr>
              <w:t>复印件</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5F93DE72">
            <w:pPr>
              <w:snapToGrid w:val="0"/>
              <w:spacing w:line="400" w:lineRule="exact"/>
              <w:jc w:val="left"/>
              <w:rPr>
                <w:rFonts w:ascii="宋体" w:hAnsi="宋体" w:cs="Courier New"/>
                <w:b/>
                <w:color w:val="000000"/>
                <w:szCs w:val="21"/>
                <w:highlight w:val="none"/>
              </w:rPr>
            </w:pPr>
            <w:r>
              <w:rPr>
                <w:rFonts w:hint="eastAsia" w:ascii="宋体" w:hAnsi="宋体" w:cs="宋体"/>
                <w:color w:val="000000"/>
                <w:szCs w:val="21"/>
                <w:highlight w:val="none"/>
              </w:rPr>
              <w:t>2.投标人依法缴纳税收的相关材料（20</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年12月至20</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年5月内任意</w:t>
            </w:r>
            <w:r>
              <w:rPr>
                <w:rFonts w:hint="eastAsia" w:ascii="宋体" w:hAnsi="宋体" w:cs="宋体"/>
                <w:color w:val="000000"/>
                <w:szCs w:val="21"/>
                <w:highlight w:val="none"/>
                <w:u w:val="single"/>
              </w:rPr>
              <w:t xml:space="preserve"> 1</w:t>
            </w:r>
            <w:r>
              <w:rPr>
                <w:rFonts w:hint="eastAsia" w:ascii="宋体" w:hAnsi="宋体" w:cs="宋体"/>
                <w:color w:val="000000"/>
                <w:szCs w:val="21"/>
                <w:highlight w:val="none"/>
              </w:rPr>
              <w:t>个月的依法缴纳税收的凭据复印件；</w:t>
            </w:r>
            <w:r>
              <w:rPr>
                <w:rFonts w:hint="eastAsia" w:ascii="宋体" w:hAnsi="宋体"/>
                <w:color w:val="000000"/>
                <w:szCs w:val="21"/>
                <w:highlight w:val="none"/>
              </w:rPr>
              <w:t>依法免税的供应商，必须提供相应文件证明其依法免税。</w:t>
            </w:r>
            <w:r>
              <w:rPr>
                <w:rFonts w:hint="eastAsia" w:ascii="宋体" w:hAnsi="宋体" w:cs="宋体"/>
                <w:color w:val="000000"/>
                <w:szCs w:val="21"/>
                <w:highlight w:val="none"/>
              </w:rPr>
              <w:t>从</w:t>
            </w:r>
            <w:r>
              <w:rPr>
                <w:rFonts w:hint="eastAsia" w:ascii="宋体" w:hAnsi="宋体"/>
                <w:color w:val="000000"/>
                <w:szCs w:val="21"/>
                <w:highlight w:val="none"/>
              </w:rPr>
              <w:t>成立之日</w:t>
            </w:r>
            <w:r>
              <w:rPr>
                <w:rFonts w:hint="eastAsia" w:ascii="宋体" w:hAnsi="宋体" w:cs="宋体"/>
                <w:color w:val="000000"/>
                <w:szCs w:val="21"/>
                <w:highlight w:val="none"/>
              </w:rPr>
              <w:t>起到投标文件提交截止时间止不足要求月数的，只需提供从</w:t>
            </w:r>
            <w:r>
              <w:rPr>
                <w:rFonts w:hint="eastAsia" w:ascii="宋体" w:hAnsi="宋体"/>
                <w:color w:val="000000"/>
                <w:szCs w:val="21"/>
                <w:highlight w:val="none"/>
              </w:rPr>
              <w:t>成立之日起</w:t>
            </w:r>
            <w:r>
              <w:rPr>
                <w:rFonts w:hint="eastAsia" w:ascii="宋体" w:hAnsi="宋体" w:cs="宋体"/>
                <w:color w:val="000000"/>
                <w:szCs w:val="21"/>
                <w:highlight w:val="none"/>
              </w:rPr>
              <w:t>的依法缴纳税收</w:t>
            </w:r>
            <w:r>
              <w:rPr>
                <w:rFonts w:hint="eastAsia" w:ascii="宋体" w:hAnsi="宋体"/>
                <w:color w:val="000000"/>
                <w:szCs w:val="21"/>
                <w:highlight w:val="none"/>
              </w:rPr>
              <w:t>相应证明文件</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01F47B01">
            <w:pPr>
              <w:snapToGrid w:val="0"/>
              <w:spacing w:line="400" w:lineRule="exact"/>
              <w:jc w:val="left"/>
              <w:rPr>
                <w:rFonts w:ascii="宋体" w:hAnsi="宋体" w:cs="Courier New"/>
                <w:b/>
                <w:color w:val="000000"/>
                <w:szCs w:val="21"/>
                <w:highlight w:val="none"/>
              </w:rPr>
            </w:pPr>
            <w:r>
              <w:rPr>
                <w:rFonts w:hint="eastAsia" w:ascii="宋体" w:hAnsi="宋体" w:cs="宋体"/>
                <w:color w:val="000000"/>
                <w:szCs w:val="21"/>
                <w:highlight w:val="none"/>
              </w:rPr>
              <w:t>3.投标人依法缴纳社会保障资金的相关材料[20</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年12月至202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年5月内任意</w:t>
            </w:r>
            <w:r>
              <w:rPr>
                <w:rFonts w:hint="eastAsia" w:ascii="宋体" w:hAnsi="宋体" w:cs="宋体"/>
                <w:color w:val="000000"/>
                <w:szCs w:val="21"/>
                <w:highlight w:val="none"/>
                <w:u w:val="single"/>
              </w:rPr>
              <w:t>1</w:t>
            </w:r>
            <w:r>
              <w:rPr>
                <w:rFonts w:hint="eastAsia" w:ascii="宋体" w:hAnsi="宋体" w:cs="宋体"/>
                <w:color w:val="000000"/>
                <w:szCs w:val="21"/>
                <w:highlight w:val="none"/>
              </w:rPr>
              <w:t>个月的依法缴纳社会保障资金的缴费凭证（专用收据或者社会保险缴纳清单）复印件；</w:t>
            </w:r>
            <w:r>
              <w:rPr>
                <w:rFonts w:hint="eastAsia" w:ascii="宋体" w:hAnsi="宋体"/>
                <w:color w:val="000000"/>
                <w:szCs w:val="21"/>
                <w:highlight w:val="none"/>
              </w:rPr>
              <w:t>依法不需要缴纳社会保障资金的供应商，必须提供相应文件证明不需要缴纳社会保障资金。</w:t>
            </w:r>
            <w:r>
              <w:rPr>
                <w:rFonts w:hint="eastAsia" w:ascii="宋体" w:hAnsi="宋体" w:cs="宋体"/>
                <w:color w:val="000000"/>
                <w:szCs w:val="21"/>
                <w:highlight w:val="none"/>
              </w:rPr>
              <w:t>从</w:t>
            </w:r>
            <w:r>
              <w:rPr>
                <w:rFonts w:hint="eastAsia" w:ascii="宋体" w:hAnsi="宋体"/>
                <w:color w:val="000000"/>
                <w:szCs w:val="21"/>
                <w:highlight w:val="none"/>
              </w:rPr>
              <w:t>成立之日起</w:t>
            </w:r>
            <w:r>
              <w:rPr>
                <w:rFonts w:hint="eastAsia" w:ascii="宋体" w:hAnsi="宋体" w:cs="宋体"/>
                <w:color w:val="000000"/>
                <w:szCs w:val="21"/>
                <w:highlight w:val="none"/>
              </w:rPr>
              <w:t>到投标文件提交截止时间止不足要求月数的只需提供从</w:t>
            </w:r>
            <w:r>
              <w:rPr>
                <w:rFonts w:hint="eastAsia" w:ascii="宋体" w:hAnsi="宋体"/>
                <w:color w:val="000000"/>
                <w:szCs w:val="21"/>
                <w:highlight w:val="none"/>
              </w:rPr>
              <w:t>成立之日起</w:t>
            </w:r>
            <w:r>
              <w:rPr>
                <w:rFonts w:hint="eastAsia" w:ascii="宋体" w:hAnsi="宋体" w:cs="宋体"/>
                <w:color w:val="000000"/>
                <w:szCs w:val="21"/>
                <w:highlight w:val="none"/>
              </w:rPr>
              <w:t>的依法缴纳社会保障资金的</w:t>
            </w:r>
            <w:r>
              <w:rPr>
                <w:rFonts w:hint="eastAsia" w:ascii="宋体" w:hAnsi="宋体"/>
                <w:color w:val="000000"/>
                <w:szCs w:val="21"/>
                <w:highlight w:val="none"/>
              </w:rPr>
              <w:t>相应证明文件</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286C0A0">
            <w:pPr>
              <w:snapToGrid w:val="0"/>
              <w:spacing w:line="400" w:lineRule="exact"/>
              <w:jc w:val="left"/>
              <w:rPr>
                <w:rFonts w:ascii="宋体" w:hAnsi="宋体" w:cs="Courier New"/>
                <w:b/>
                <w:color w:val="000000"/>
                <w:szCs w:val="21"/>
                <w:highlight w:val="none"/>
              </w:rPr>
            </w:pPr>
            <w:r>
              <w:rPr>
                <w:rFonts w:hint="eastAsia" w:ascii="宋体" w:hAnsi="宋体" w:cs="宋体"/>
                <w:color w:val="000000"/>
                <w:szCs w:val="21"/>
                <w:highlight w:val="none"/>
              </w:rPr>
              <w:t>4.投标人</w:t>
            </w:r>
            <w:r>
              <w:rPr>
                <w:rFonts w:hint="eastAsia" w:ascii="宋体" w:hAnsi="宋体"/>
                <w:color w:val="000000"/>
                <w:szCs w:val="21"/>
                <w:highlight w:val="none"/>
              </w:rPr>
              <w:t>财务状况报告（</w:t>
            </w:r>
            <w:r>
              <w:rPr>
                <w:rFonts w:hint="eastAsia" w:ascii="宋体" w:hAnsi="宋体"/>
                <w:color w:val="000000"/>
                <w:szCs w:val="21"/>
                <w:highlight w:val="none"/>
                <w:u w:val="single"/>
              </w:rPr>
              <w:t>20</w:t>
            </w:r>
            <w:r>
              <w:rPr>
                <w:rFonts w:hint="eastAsia" w:ascii="宋体" w:hAnsi="宋体"/>
                <w:color w:val="000000"/>
                <w:szCs w:val="21"/>
                <w:highlight w:val="none"/>
                <w:u w:val="single"/>
                <w:lang w:val="en-US" w:eastAsia="zh-CN"/>
              </w:rPr>
              <w:t>24</w:t>
            </w:r>
            <w:r>
              <w:rPr>
                <w:rFonts w:hint="eastAsia" w:ascii="宋体" w:hAnsi="宋体"/>
                <w:color w:val="000000"/>
                <w:szCs w:val="21"/>
                <w:highlight w:val="none"/>
              </w:rPr>
              <w:t>年度财务报表复印件或者银行出具的资信证明；投标人属于成立时间</w:t>
            </w:r>
            <w:r>
              <w:rPr>
                <w:rFonts w:hint="eastAsia" w:ascii="宋体" w:hAnsi="宋体"/>
                <w:color w:val="000000"/>
                <w:kern w:val="0"/>
                <w:szCs w:val="21"/>
                <w:highlight w:val="none"/>
              </w:rPr>
              <w:t>在规定年度之后</w:t>
            </w:r>
            <w:r>
              <w:rPr>
                <w:rFonts w:hint="eastAsia" w:ascii="宋体" w:hAnsi="宋体"/>
                <w:color w:val="000000"/>
                <w:szCs w:val="21"/>
                <w:highlight w:val="none"/>
              </w:rPr>
              <w:t>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132C6FF7">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5.投标人直接控股、管理关系信息表（格式后附）；（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375223EA">
            <w:pPr>
              <w:snapToGrid w:val="0"/>
              <w:spacing w:line="400" w:lineRule="exact"/>
              <w:jc w:val="left"/>
              <w:rPr>
                <w:rFonts w:ascii="宋体" w:hAnsi="宋体" w:cs="Courier New"/>
                <w:b/>
                <w:color w:val="000000"/>
                <w:szCs w:val="21"/>
                <w:highlight w:val="none"/>
              </w:rPr>
            </w:pPr>
            <w:r>
              <w:rPr>
                <w:rFonts w:hint="eastAsia" w:ascii="宋体" w:hAnsi="宋体"/>
                <w:color w:val="000000"/>
                <w:szCs w:val="21"/>
                <w:highlight w:val="none"/>
              </w:rPr>
              <w:t>6.投标声明（格式后附）；（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5CE304DE">
            <w:pPr>
              <w:snapToGrid w:val="0"/>
              <w:spacing w:line="400" w:lineRule="exact"/>
              <w:jc w:val="left"/>
              <w:rPr>
                <w:rFonts w:ascii="宋体" w:hAnsi="宋体" w:cs="Courier New"/>
                <w:b/>
                <w:color w:val="000000"/>
                <w:szCs w:val="21"/>
                <w:highlight w:val="none"/>
              </w:rPr>
            </w:pPr>
            <w:r>
              <w:rPr>
                <w:rFonts w:hint="eastAsia" w:ascii="宋体" w:hAnsi="宋体"/>
                <w:color w:val="000000"/>
                <w:szCs w:val="21"/>
                <w:highlight w:val="none"/>
              </w:rPr>
              <w:t>7.联合体协议书（格式后附）；（</w:t>
            </w:r>
            <w:r>
              <w:rPr>
                <w:rFonts w:hint="eastAsia" w:ascii="宋体" w:hAnsi="宋体"/>
                <w:b/>
                <w:color w:val="000000"/>
                <w:szCs w:val="21"/>
                <w:highlight w:val="none"/>
              </w:rPr>
              <w:t>联合体投标时必须提供，否则按无效投标处理</w:t>
            </w:r>
            <w:r>
              <w:rPr>
                <w:rFonts w:hint="eastAsia" w:ascii="宋体" w:hAnsi="宋体"/>
                <w:color w:val="000000"/>
                <w:szCs w:val="21"/>
                <w:highlight w:val="none"/>
              </w:rPr>
              <w:t>）</w:t>
            </w:r>
          </w:p>
          <w:p w14:paraId="333F5D77">
            <w:pPr>
              <w:snapToGrid w:val="0"/>
              <w:spacing w:line="400" w:lineRule="exact"/>
              <w:jc w:val="left"/>
              <w:rPr>
                <w:rFonts w:ascii="宋体" w:hAnsi="宋体" w:cs="Courier New"/>
                <w:b/>
                <w:color w:val="000000"/>
                <w:szCs w:val="21"/>
                <w:highlight w:val="none"/>
              </w:rPr>
            </w:pPr>
            <w:r>
              <w:rPr>
                <w:rFonts w:hint="eastAsia" w:ascii="宋体" w:hAnsi="宋体"/>
                <w:color w:val="000000"/>
                <w:szCs w:val="21"/>
                <w:highlight w:val="none"/>
              </w:rPr>
              <w:t>8.除招标文件规定必须提供以外，投标人认为需要提供的其他证明材料。</w:t>
            </w:r>
          </w:p>
          <w:p w14:paraId="7F34763B">
            <w:pPr>
              <w:tabs>
                <w:tab w:val="left" w:pos="0"/>
              </w:tabs>
              <w:snapToGrid w:val="0"/>
              <w:spacing w:line="400" w:lineRule="exact"/>
              <w:jc w:val="left"/>
              <w:rPr>
                <w:rFonts w:ascii="宋体" w:hAnsi="宋体" w:cs="Courier New"/>
                <w:b/>
                <w:color w:val="000000"/>
                <w:szCs w:val="21"/>
                <w:highlight w:val="none"/>
              </w:rPr>
            </w:pPr>
            <w:r>
              <w:rPr>
                <w:rFonts w:hint="eastAsia" w:ascii="宋体" w:hAnsi="宋体"/>
                <w:b/>
                <w:bCs/>
                <w:color w:val="000000"/>
                <w:szCs w:val="21"/>
                <w:highlight w:val="none"/>
              </w:rPr>
              <w:t>注：1.</w:t>
            </w:r>
            <w:r>
              <w:rPr>
                <w:rFonts w:hint="eastAsia" w:ascii="宋体" w:hAnsi="宋体"/>
                <w:color w:val="000000"/>
                <w:szCs w:val="21"/>
                <w:highlight w:val="none"/>
              </w:rPr>
              <w:t xml:space="preserve"> </w:t>
            </w:r>
            <w:r>
              <w:rPr>
                <w:rFonts w:hint="eastAsia" w:ascii="宋体" w:hAnsi="宋体"/>
                <w:b/>
                <w:bCs/>
                <w:color w:val="000000"/>
                <w:szCs w:val="21"/>
                <w:highlight w:val="none"/>
              </w:rPr>
              <w:t>以上标明“必须提供”的材料属于复印件的，必须加盖投标人公章，否则按无效投标</w:t>
            </w:r>
            <w:r>
              <w:rPr>
                <w:rFonts w:hint="eastAsia" w:ascii="宋体" w:hAnsi="宋体" w:cs="Courier New"/>
                <w:b/>
                <w:color w:val="000000"/>
                <w:szCs w:val="21"/>
                <w:highlight w:val="none"/>
              </w:rPr>
              <w:t>处理。</w:t>
            </w:r>
          </w:p>
          <w:p w14:paraId="54C76028">
            <w:pPr>
              <w:tabs>
                <w:tab w:val="left" w:pos="0"/>
              </w:tabs>
              <w:snapToGrid w:val="0"/>
              <w:spacing w:line="400" w:lineRule="exact"/>
              <w:ind w:firstLine="422" w:firstLineChars="200"/>
              <w:jc w:val="left"/>
              <w:rPr>
                <w:rFonts w:ascii="宋体" w:hAnsi="宋体"/>
                <w:b/>
                <w:bCs/>
                <w:color w:val="000000"/>
                <w:szCs w:val="21"/>
                <w:highlight w:val="none"/>
              </w:rPr>
            </w:pPr>
            <w:r>
              <w:rPr>
                <w:rFonts w:hint="eastAsia" w:ascii="宋体" w:hAnsi="宋体" w:cs="Courier New"/>
                <w:b/>
                <w:color w:val="000000"/>
                <w:szCs w:val="21"/>
                <w:highlight w:val="none"/>
              </w:rPr>
              <w:t>2.</w:t>
            </w:r>
            <w:r>
              <w:rPr>
                <w:rFonts w:hint="eastAsia" w:ascii="宋体" w:hAnsi="宋体"/>
                <w:b/>
                <w:bCs/>
                <w:color w:val="000000"/>
                <w:szCs w:val="21"/>
                <w:highlight w:val="none"/>
              </w:rPr>
              <w:t>投标声明必须由法定代表人（或负责人）在规定签章处签字或者电子签名并加盖投标人公章，否则按无效投标处理。</w:t>
            </w:r>
          </w:p>
          <w:p w14:paraId="48D73839">
            <w:pPr>
              <w:tabs>
                <w:tab w:val="left" w:pos="0"/>
              </w:tabs>
              <w:snapToGrid w:val="0"/>
              <w:spacing w:line="400" w:lineRule="exact"/>
              <w:ind w:firstLine="422" w:firstLineChars="200"/>
              <w:jc w:val="left"/>
              <w:rPr>
                <w:rFonts w:ascii="宋体" w:hAnsi="宋体"/>
                <w:b/>
                <w:bCs/>
                <w:color w:val="000000"/>
                <w:szCs w:val="21"/>
                <w:highlight w:val="none"/>
              </w:rPr>
            </w:pPr>
            <w:r>
              <w:rPr>
                <w:rFonts w:hint="eastAsia" w:ascii="宋体" w:hAnsi="宋体"/>
                <w:b/>
                <w:bCs/>
                <w:color w:val="000000"/>
                <w:szCs w:val="21"/>
                <w:highlight w:val="none"/>
              </w:rPr>
              <w:t>3.投标人直接控股、管理关系信息表必须由法定代表人（或负责人）或者委托代理人在规定签章处签字或者电子签名并加盖投标人公章，否则按无效投标</w:t>
            </w:r>
            <w:r>
              <w:rPr>
                <w:rFonts w:hint="eastAsia" w:ascii="宋体" w:hAnsi="宋体" w:cs="Courier New"/>
                <w:b/>
                <w:color w:val="000000"/>
                <w:szCs w:val="21"/>
                <w:highlight w:val="none"/>
              </w:rPr>
              <w:t>处理</w:t>
            </w:r>
            <w:r>
              <w:rPr>
                <w:rFonts w:hint="eastAsia" w:ascii="宋体" w:hAnsi="宋体"/>
                <w:b/>
                <w:bCs/>
                <w:color w:val="000000"/>
                <w:szCs w:val="21"/>
                <w:highlight w:val="none"/>
              </w:rPr>
              <w:t>。</w:t>
            </w:r>
          </w:p>
          <w:p w14:paraId="5FBF515F">
            <w:pPr>
              <w:tabs>
                <w:tab w:val="left" w:pos="0"/>
              </w:tabs>
              <w:snapToGrid w:val="0"/>
              <w:spacing w:line="400" w:lineRule="exact"/>
              <w:ind w:firstLine="422" w:firstLineChars="200"/>
              <w:jc w:val="left"/>
              <w:rPr>
                <w:rFonts w:ascii="宋体" w:hAnsi="宋体"/>
                <w:b/>
                <w:bCs/>
                <w:color w:val="000000"/>
                <w:szCs w:val="21"/>
                <w:highlight w:val="none"/>
              </w:rPr>
            </w:pPr>
            <w:r>
              <w:rPr>
                <w:rFonts w:hint="eastAsia" w:ascii="宋体" w:hAnsi="宋体"/>
                <w:b/>
                <w:bCs/>
                <w:color w:val="000000"/>
                <w:szCs w:val="21"/>
                <w:highlight w:val="none"/>
              </w:rPr>
              <w:t>4.联合体投标时，第1-5项资格证明文件联合体各方均必须分别提供，联合体各方分别盖章和签字（或者电子签名），否则按无效投标</w:t>
            </w:r>
            <w:r>
              <w:rPr>
                <w:rFonts w:hint="eastAsia" w:ascii="宋体" w:hAnsi="宋体" w:cs="Courier New"/>
                <w:b/>
                <w:color w:val="000000"/>
                <w:szCs w:val="21"/>
                <w:highlight w:val="none"/>
              </w:rPr>
              <w:t>处理</w:t>
            </w:r>
            <w:r>
              <w:rPr>
                <w:rFonts w:hint="eastAsia" w:ascii="宋体" w:hAnsi="宋体"/>
                <w:b/>
                <w:bCs/>
                <w:color w:val="000000"/>
                <w:szCs w:val="21"/>
                <w:highlight w:val="none"/>
              </w:rPr>
              <w:t>。</w:t>
            </w:r>
          </w:p>
          <w:p w14:paraId="52DF6A45">
            <w:pPr>
              <w:tabs>
                <w:tab w:val="left" w:pos="0"/>
              </w:tabs>
              <w:snapToGrid w:val="0"/>
              <w:spacing w:line="400" w:lineRule="exact"/>
              <w:ind w:firstLine="422" w:firstLineChars="200"/>
              <w:jc w:val="left"/>
              <w:rPr>
                <w:rFonts w:ascii="宋体" w:hAnsi="宋体"/>
                <w:b/>
                <w:bCs/>
                <w:color w:val="000000"/>
                <w:szCs w:val="21"/>
                <w:highlight w:val="none"/>
              </w:rPr>
            </w:pPr>
            <w:r>
              <w:rPr>
                <w:rFonts w:hint="eastAsia" w:ascii="宋体" w:hAnsi="宋体"/>
                <w:b/>
                <w:bCs/>
                <w:color w:val="000000"/>
                <w:szCs w:val="21"/>
                <w:highlight w:val="none"/>
              </w:rPr>
              <w:t>5.分公司参加投标的，应当取得总公司授权。</w:t>
            </w:r>
          </w:p>
        </w:tc>
      </w:tr>
      <w:tr w14:paraId="20CA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48308686">
            <w:pPr>
              <w:spacing w:line="400" w:lineRule="exact"/>
              <w:rPr>
                <w:rFonts w:ascii="宋体" w:hAnsi="宋体"/>
                <w:color w:val="000000"/>
                <w:szCs w:val="21"/>
                <w:highlight w:val="none"/>
              </w:rPr>
            </w:pPr>
            <w:bookmarkStart w:id="60" w:name="_13.3"/>
            <w:bookmarkEnd w:id="60"/>
          </w:p>
        </w:tc>
        <w:tc>
          <w:tcPr>
            <w:tcW w:w="7654" w:type="dxa"/>
            <w:tcBorders>
              <w:top w:val="single" w:color="auto" w:sz="4" w:space="0"/>
              <w:left w:val="single" w:color="auto" w:sz="4" w:space="0"/>
              <w:bottom w:val="single" w:color="auto" w:sz="4" w:space="0"/>
              <w:right w:val="single" w:color="auto" w:sz="4" w:space="0"/>
            </w:tcBorders>
            <w:vAlign w:val="center"/>
          </w:tcPr>
          <w:p w14:paraId="2A64D3E0">
            <w:pPr>
              <w:snapToGrid w:val="0"/>
              <w:spacing w:line="400" w:lineRule="exact"/>
              <w:jc w:val="left"/>
              <w:rPr>
                <w:rFonts w:ascii="宋体" w:hAnsi="宋体" w:cs="Courier New"/>
                <w:b/>
                <w:color w:val="000000"/>
                <w:szCs w:val="21"/>
                <w:highlight w:val="none"/>
              </w:rPr>
            </w:pPr>
            <w:r>
              <w:rPr>
                <w:rFonts w:hint="eastAsia" w:ascii="宋体" w:hAnsi="宋体" w:cs="Courier New"/>
                <w:b/>
                <w:color w:val="000000"/>
                <w:szCs w:val="21"/>
                <w:highlight w:val="none"/>
              </w:rPr>
              <w:t>商务文件：</w:t>
            </w:r>
          </w:p>
          <w:p w14:paraId="0A6F2D16">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1.无串通投标行为的承诺函（格式后附）；（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66E6A3C7">
            <w:pPr>
              <w:pStyle w:val="59"/>
              <w:spacing w:line="400" w:lineRule="exact"/>
              <w:rPr>
                <w:rFonts w:ascii="宋体" w:hAnsi="宋体" w:cs="Times New Roman"/>
                <w:kern w:val="2"/>
                <w:sz w:val="21"/>
                <w:szCs w:val="21"/>
                <w:highlight w:val="none"/>
              </w:rPr>
            </w:pPr>
            <w:r>
              <w:rPr>
                <w:rFonts w:hint="eastAsia" w:ascii="宋体" w:hAnsi="宋体" w:cs="Times New Roman"/>
                <w:kern w:val="2"/>
                <w:sz w:val="21"/>
                <w:szCs w:val="21"/>
                <w:highlight w:val="none"/>
              </w:rPr>
              <w:t>2.投标保证金提交凭证；</w:t>
            </w:r>
            <w:r>
              <w:rPr>
                <w:rFonts w:hint="eastAsia" w:ascii="宋体" w:hAnsi="宋体" w:cs="Times New Roman"/>
                <w:b/>
                <w:bCs/>
                <w:kern w:val="2"/>
                <w:sz w:val="21"/>
                <w:szCs w:val="21"/>
                <w:highlight w:val="none"/>
              </w:rPr>
              <w:t>（必须提供，否则按无效投标处理）</w:t>
            </w:r>
          </w:p>
          <w:p w14:paraId="3FDED9F7">
            <w:pPr>
              <w:snapToGrid w:val="0"/>
              <w:spacing w:line="400" w:lineRule="exact"/>
              <w:ind w:left="34"/>
              <w:jc w:val="left"/>
              <w:rPr>
                <w:rFonts w:ascii="宋体" w:hAnsi="宋体"/>
                <w:color w:val="000000"/>
                <w:szCs w:val="21"/>
                <w:highlight w:val="none"/>
              </w:rPr>
            </w:pPr>
            <w:r>
              <w:rPr>
                <w:rFonts w:hint="eastAsia" w:ascii="宋体" w:hAnsi="宋体"/>
                <w:color w:val="000000"/>
                <w:szCs w:val="21"/>
                <w:highlight w:val="none"/>
              </w:rPr>
              <w:t>3.法定代表人（或负责人）身份证明及法定代表人（或负责人）有效身份证正反面复印件（格式后附）；</w:t>
            </w:r>
            <w:r>
              <w:rPr>
                <w:rFonts w:hint="eastAsia" w:ascii="宋体" w:hAnsi="宋体"/>
                <w:b/>
                <w:bCs/>
                <w:color w:val="000000"/>
                <w:szCs w:val="21"/>
                <w:highlight w:val="none"/>
              </w:rPr>
              <w:t>（除自然人投标外必须提供，否则按无效投标处理）</w:t>
            </w:r>
          </w:p>
          <w:p w14:paraId="29C41D88">
            <w:pPr>
              <w:snapToGrid w:val="0"/>
              <w:spacing w:line="400" w:lineRule="exact"/>
              <w:ind w:left="34"/>
              <w:jc w:val="left"/>
              <w:rPr>
                <w:rFonts w:ascii="宋体" w:hAnsi="宋体"/>
                <w:color w:val="000000"/>
                <w:szCs w:val="21"/>
                <w:highlight w:val="none"/>
              </w:rPr>
            </w:pPr>
            <w:r>
              <w:rPr>
                <w:rFonts w:hint="eastAsia" w:ascii="宋体" w:hAnsi="宋体"/>
                <w:color w:val="000000"/>
                <w:szCs w:val="21"/>
                <w:highlight w:val="none"/>
              </w:rPr>
              <w:t>4.授权委托书及委托代理人有效身份证正反面复印件（格式后附）；（</w:t>
            </w:r>
            <w:r>
              <w:rPr>
                <w:rFonts w:hint="eastAsia" w:ascii="宋体" w:hAnsi="宋体"/>
                <w:b/>
                <w:color w:val="000000"/>
                <w:szCs w:val="21"/>
                <w:highlight w:val="none"/>
              </w:rPr>
              <w:t>委托时必须提供，否则按无效投标处理</w:t>
            </w:r>
            <w:r>
              <w:rPr>
                <w:rFonts w:hint="eastAsia" w:ascii="宋体" w:hAnsi="宋体"/>
                <w:color w:val="000000"/>
                <w:szCs w:val="21"/>
                <w:highlight w:val="none"/>
              </w:rPr>
              <w:t>）</w:t>
            </w:r>
          </w:p>
          <w:p w14:paraId="6583E6EF">
            <w:pPr>
              <w:snapToGrid w:val="0"/>
              <w:spacing w:line="400" w:lineRule="exact"/>
              <w:ind w:left="34"/>
              <w:jc w:val="left"/>
              <w:rPr>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商务要求偏离表（格式后附）；（</w:t>
            </w:r>
            <w:r>
              <w:rPr>
                <w:rFonts w:hint="eastAsia" w:ascii="宋体" w:hAnsi="宋体"/>
                <w:b/>
                <w:color w:val="000000"/>
                <w:szCs w:val="21"/>
                <w:highlight w:val="none"/>
              </w:rPr>
              <w:t>必须提供，否则按无效投标处理</w:t>
            </w:r>
            <w:r>
              <w:rPr>
                <w:rFonts w:hint="eastAsia" w:ascii="宋体" w:hAnsi="宋体"/>
                <w:color w:val="000000"/>
                <w:szCs w:val="21"/>
                <w:highlight w:val="none"/>
              </w:rPr>
              <w:t>）</w:t>
            </w:r>
          </w:p>
          <w:p w14:paraId="6A191CE8">
            <w:pPr>
              <w:snapToGrid w:val="0"/>
              <w:spacing w:line="400" w:lineRule="exact"/>
              <w:ind w:left="34"/>
              <w:jc w:val="left"/>
              <w:rPr>
                <w:rFonts w:ascii="宋体" w:hAnsi="宋体"/>
                <w:color w:val="000000"/>
                <w:szCs w:val="21"/>
                <w:highlight w:val="none"/>
              </w:rPr>
            </w:pPr>
            <w:r>
              <w:rPr>
                <w:rFonts w:hint="eastAsia" w:ascii="宋体" w:hAnsi="宋体"/>
                <w:color w:val="000000"/>
                <w:szCs w:val="21"/>
                <w:highlight w:val="none"/>
              </w:rPr>
              <w:t>6.投标人情况介绍（格式自拟）；</w:t>
            </w:r>
          </w:p>
          <w:p w14:paraId="1DD5CCBA">
            <w:pPr>
              <w:snapToGrid w:val="0"/>
              <w:spacing w:line="400" w:lineRule="exact"/>
              <w:ind w:left="34"/>
              <w:jc w:val="left"/>
              <w:rPr>
                <w:rFonts w:ascii="宋体" w:hAnsi="宋体"/>
                <w:color w:val="000000"/>
                <w:szCs w:val="21"/>
                <w:highlight w:val="none"/>
              </w:rPr>
            </w:pPr>
            <w:r>
              <w:rPr>
                <w:rFonts w:hint="eastAsia" w:ascii="宋体" w:hAnsi="宋体"/>
                <w:color w:val="000000"/>
                <w:szCs w:val="21"/>
                <w:highlight w:val="none"/>
              </w:rPr>
              <w:t>7.联合体协议书（格式后附）；（</w:t>
            </w:r>
            <w:r>
              <w:rPr>
                <w:rFonts w:hint="eastAsia" w:ascii="宋体" w:hAnsi="宋体"/>
                <w:b/>
                <w:color w:val="000000"/>
                <w:szCs w:val="21"/>
                <w:highlight w:val="none"/>
              </w:rPr>
              <w:t>联合体投标时必须提供，否则按无效投标处理</w:t>
            </w:r>
            <w:r>
              <w:rPr>
                <w:rFonts w:hint="eastAsia" w:ascii="宋体" w:hAnsi="宋体"/>
                <w:color w:val="000000"/>
                <w:szCs w:val="21"/>
                <w:highlight w:val="none"/>
              </w:rPr>
              <w:t>）</w:t>
            </w:r>
          </w:p>
          <w:p w14:paraId="5C309F39">
            <w:pPr>
              <w:snapToGrid w:val="0"/>
              <w:spacing w:line="400" w:lineRule="exact"/>
              <w:ind w:left="34"/>
              <w:jc w:val="left"/>
              <w:rPr>
                <w:rFonts w:ascii="宋体" w:hAnsi="宋体"/>
                <w:color w:val="000000"/>
                <w:szCs w:val="21"/>
                <w:highlight w:val="none"/>
              </w:rPr>
            </w:pPr>
            <w:r>
              <w:rPr>
                <w:rFonts w:hint="eastAsia" w:ascii="宋体" w:hAnsi="宋体"/>
                <w:color w:val="000000"/>
                <w:szCs w:val="21"/>
                <w:highlight w:val="none"/>
              </w:rPr>
              <w:t>8.除招标文件规定必须提供以外，投标人认为需要提供的其他证明材料（格式自拟）。（投标人根据“第二章 采购需求”及“第四章 评标方法及评标标准”提供有关证明材料）。</w:t>
            </w:r>
          </w:p>
          <w:p w14:paraId="48D7A927">
            <w:pPr>
              <w:snapToGrid w:val="0"/>
              <w:spacing w:line="400" w:lineRule="exact"/>
              <w:jc w:val="left"/>
              <w:rPr>
                <w:rFonts w:ascii="宋体" w:hAnsi="宋体"/>
                <w:color w:val="000000"/>
                <w:szCs w:val="21"/>
                <w:highlight w:val="none"/>
              </w:rPr>
            </w:pPr>
            <w:r>
              <w:rPr>
                <w:rFonts w:hint="eastAsia" w:ascii="宋体" w:hAnsi="宋体"/>
                <w:b/>
                <w:bCs/>
                <w:color w:val="000000"/>
                <w:szCs w:val="21"/>
                <w:highlight w:val="none"/>
              </w:rPr>
              <w:t>注：以上标明“必须提供”的材料属于复印件的，必须加盖投标人公章，否则按无效投标</w:t>
            </w:r>
            <w:r>
              <w:rPr>
                <w:rFonts w:hint="eastAsia" w:ascii="宋体" w:hAnsi="宋体" w:cs="Courier New"/>
                <w:b/>
                <w:color w:val="000000"/>
                <w:szCs w:val="21"/>
                <w:highlight w:val="none"/>
              </w:rPr>
              <w:t>处理</w:t>
            </w:r>
            <w:r>
              <w:rPr>
                <w:rFonts w:hint="eastAsia" w:ascii="宋体" w:hAnsi="宋体"/>
                <w:b/>
                <w:bCs/>
                <w:color w:val="000000"/>
                <w:szCs w:val="21"/>
                <w:highlight w:val="none"/>
              </w:rPr>
              <w:t>。</w:t>
            </w:r>
          </w:p>
        </w:tc>
      </w:tr>
      <w:tr w14:paraId="4E855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12317581">
            <w:pPr>
              <w:spacing w:line="400" w:lineRule="exact"/>
              <w:rPr>
                <w:rFonts w:ascii="宋体" w:hAnsi="宋体"/>
                <w:color w:val="000000"/>
                <w:szCs w:val="21"/>
                <w:highlight w:val="none"/>
              </w:rPr>
            </w:pPr>
            <w:bookmarkStart w:id="61" w:name="_13.4"/>
            <w:bookmarkEnd w:id="61"/>
          </w:p>
        </w:tc>
        <w:tc>
          <w:tcPr>
            <w:tcW w:w="7654" w:type="dxa"/>
            <w:tcBorders>
              <w:top w:val="single" w:color="auto" w:sz="4" w:space="0"/>
              <w:left w:val="single" w:color="auto" w:sz="4" w:space="0"/>
              <w:bottom w:val="single" w:color="auto" w:sz="4" w:space="0"/>
              <w:right w:val="single" w:color="auto" w:sz="4" w:space="0"/>
            </w:tcBorders>
            <w:vAlign w:val="center"/>
          </w:tcPr>
          <w:p w14:paraId="07BBA128">
            <w:pPr>
              <w:snapToGrid w:val="0"/>
              <w:spacing w:line="400" w:lineRule="exact"/>
              <w:jc w:val="left"/>
              <w:rPr>
                <w:rFonts w:ascii="宋体" w:hAnsi="宋体" w:cs="Courier New"/>
                <w:b/>
                <w:color w:val="000000"/>
                <w:szCs w:val="21"/>
                <w:highlight w:val="none"/>
              </w:rPr>
            </w:pPr>
            <w:r>
              <w:rPr>
                <w:rFonts w:hint="eastAsia" w:ascii="宋体" w:hAnsi="宋体" w:cs="Courier New"/>
                <w:b/>
                <w:color w:val="000000"/>
                <w:szCs w:val="21"/>
                <w:highlight w:val="none"/>
              </w:rPr>
              <w:t>技术文件：</w:t>
            </w:r>
          </w:p>
          <w:p w14:paraId="57F07669">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1.设备性能配置清单（格式后附）；（</w:t>
            </w:r>
            <w:r>
              <w:rPr>
                <w:rFonts w:hint="eastAsia" w:ascii="宋体" w:hAnsi="宋体" w:cs="宋体"/>
                <w:b/>
                <w:color w:val="000000"/>
                <w:szCs w:val="21"/>
                <w:highlight w:val="none"/>
              </w:rPr>
              <w:t>必须提供，否则按无效投标处理</w:t>
            </w:r>
            <w:r>
              <w:rPr>
                <w:rFonts w:hint="eastAsia" w:ascii="宋体" w:hAnsi="宋体" w:cs="宋体"/>
                <w:color w:val="000000"/>
                <w:szCs w:val="21"/>
                <w:highlight w:val="none"/>
              </w:rPr>
              <w:t>）</w:t>
            </w:r>
          </w:p>
          <w:p w14:paraId="5BB9C464">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2.技术要求偏离表（格式后附）；（</w:t>
            </w:r>
            <w:r>
              <w:rPr>
                <w:rFonts w:hint="eastAsia" w:ascii="宋体" w:hAnsi="宋体" w:cs="宋体"/>
                <w:b/>
                <w:color w:val="000000"/>
                <w:szCs w:val="21"/>
                <w:highlight w:val="none"/>
              </w:rPr>
              <w:t>必须提供，否则按无效投标处理</w:t>
            </w:r>
            <w:r>
              <w:rPr>
                <w:rFonts w:hint="eastAsia" w:ascii="宋体" w:hAnsi="宋体" w:cs="宋体"/>
                <w:color w:val="000000"/>
                <w:szCs w:val="21"/>
                <w:highlight w:val="none"/>
              </w:rPr>
              <w:t>）</w:t>
            </w:r>
          </w:p>
          <w:p w14:paraId="2BC4B6AF">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3.项目实施方案（如有，请提供，格式自拟）；</w:t>
            </w:r>
          </w:p>
          <w:p w14:paraId="458E6127">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4.售后服务方案（如有，请提供，格式自拟）；</w:t>
            </w:r>
          </w:p>
          <w:p w14:paraId="1C4CBDC6">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5.拟投入人员一览表（如有，请提供，格式自拟）；</w:t>
            </w:r>
          </w:p>
          <w:p w14:paraId="7FCE0B30">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27C20975">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7.优惠条件：投标人承诺给予招标人的各种优惠条件，包括售后服务、备品备件、专用耗材等方面的优惠；投标人不得给予赠品或者与采购无关的其他商品、服务；</w:t>
            </w:r>
          </w:p>
          <w:p w14:paraId="0C4AEB5D">
            <w:pPr>
              <w:snapToGrid w:val="0"/>
              <w:spacing w:line="400" w:lineRule="exact"/>
              <w:ind w:left="-2" w:leftChars="-1"/>
              <w:jc w:val="left"/>
              <w:rPr>
                <w:rFonts w:ascii="宋体" w:hAnsi="宋体" w:cs="宋体"/>
                <w:color w:val="000000"/>
                <w:szCs w:val="21"/>
                <w:highlight w:val="none"/>
              </w:rPr>
            </w:pPr>
            <w:r>
              <w:rPr>
                <w:rFonts w:hint="eastAsia" w:ascii="宋体" w:hAnsi="宋体" w:cs="宋体"/>
                <w:color w:val="000000"/>
                <w:szCs w:val="21"/>
                <w:highlight w:val="none"/>
              </w:rPr>
              <w:t>8.投标人对本项目的合理化建议和改进措施（格式自拟）；</w:t>
            </w:r>
          </w:p>
          <w:p w14:paraId="528779D1">
            <w:pPr>
              <w:snapToGrid w:val="0"/>
              <w:spacing w:line="400" w:lineRule="exact"/>
              <w:ind w:left="-2" w:leftChars="-1"/>
              <w:jc w:val="left"/>
              <w:rPr>
                <w:rFonts w:ascii="宋体" w:hAnsi="宋体" w:cs="宋体"/>
                <w:bCs/>
                <w:color w:val="000000"/>
                <w:szCs w:val="21"/>
                <w:highlight w:val="none"/>
              </w:rPr>
            </w:pPr>
            <w:r>
              <w:rPr>
                <w:rFonts w:hint="eastAsia" w:ascii="宋体" w:hAnsi="宋体" w:cs="宋体"/>
                <w:color w:val="000000"/>
                <w:szCs w:val="21"/>
                <w:highlight w:val="none"/>
              </w:rPr>
              <w:t>9.除招标文件规定必须提供以外，投标人需要说明的其他文件和说明（格式自拟）。</w:t>
            </w:r>
          </w:p>
          <w:p w14:paraId="3555603C">
            <w:pPr>
              <w:snapToGrid w:val="0"/>
              <w:spacing w:line="400" w:lineRule="exact"/>
              <w:jc w:val="left"/>
              <w:rPr>
                <w:rFonts w:ascii="宋体" w:hAnsi="宋体"/>
                <w:b/>
                <w:bCs/>
                <w:color w:val="000000"/>
                <w:szCs w:val="21"/>
                <w:highlight w:val="none"/>
              </w:rPr>
            </w:pPr>
            <w:r>
              <w:rPr>
                <w:rFonts w:hint="eastAsia" w:ascii="宋体" w:hAnsi="宋体"/>
                <w:b/>
                <w:bCs/>
                <w:color w:val="000000"/>
                <w:szCs w:val="21"/>
                <w:highlight w:val="none"/>
              </w:rPr>
              <w:t>注：以上标明“必须提供”的材料属于复印件的，必须加盖投标人公章，否则按无效投标</w:t>
            </w:r>
            <w:r>
              <w:rPr>
                <w:rFonts w:hint="eastAsia" w:ascii="宋体" w:hAnsi="宋体" w:cs="Courier New"/>
                <w:b/>
                <w:color w:val="000000"/>
                <w:szCs w:val="21"/>
                <w:highlight w:val="none"/>
              </w:rPr>
              <w:t>处理</w:t>
            </w:r>
            <w:r>
              <w:rPr>
                <w:rFonts w:hint="eastAsia" w:ascii="宋体" w:hAnsi="宋体"/>
                <w:b/>
                <w:bCs/>
                <w:color w:val="000000"/>
                <w:szCs w:val="21"/>
                <w:highlight w:val="none"/>
              </w:rPr>
              <w:t>。</w:t>
            </w:r>
          </w:p>
        </w:tc>
      </w:tr>
      <w:tr w14:paraId="68C79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9DFE8F3">
            <w:pPr>
              <w:spacing w:line="400" w:lineRule="exact"/>
              <w:jc w:val="center"/>
              <w:rPr>
                <w:rFonts w:ascii="宋体" w:hAnsi="宋体"/>
                <w:color w:val="000000"/>
                <w:szCs w:val="21"/>
                <w:highlight w:val="none"/>
              </w:rPr>
            </w:pPr>
            <w:bookmarkStart w:id="62" w:name="_16.2"/>
            <w:bookmarkEnd w:id="62"/>
            <w:bookmarkStart w:id="63" w:name="_13.5"/>
            <w:bookmarkEnd w:id="63"/>
            <w:r>
              <w:rPr>
                <w:rFonts w:hint="eastAsia" w:ascii="宋体" w:hAnsi="宋体"/>
                <w:color w:val="000000"/>
                <w:szCs w:val="21"/>
                <w:highlight w:val="none"/>
              </w:rPr>
              <w:t>16</w:t>
            </w:r>
            <w:bookmarkStart w:id="64" w:name="_Hlt19194067"/>
            <w:bookmarkStart w:id="65" w:name="_Hlt19194066"/>
            <w:bookmarkStart w:id="66" w:name="_Hlt19693759"/>
            <w:bookmarkStart w:id="67" w:name="_Hlt19693758"/>
            <w:r>
              <w:rPr>
                <w:rFonts w:hint="eastAsia" w:ascii="宋体" w:hAnsi="宋体"/>
                <w:color w:val="000000"/>
                <w:szCs w:val="21"/>
                <w:highlight w:val="none"/>
              </w:rPr>
              <w:t>.</w:t>
            </w:r>
            <w:bookmarkEnd w:id="64"/>
            <w:bookmarkEnd w:id="65"/>
            <w:bookmarkEnd w:id="66"/>
            <w:bookmarkEnd w:id="67"/>
            <w:r>
              <w:rPr>
                <w:rFonts w:hint="eastAsia" w:ascii="宋体" w:hAnsi="宋体"/>
                <w:color w:val="000000"/>
                <w:szCs w:val="21"/>
                <w:highlight w:val="none"/>
              </w:rPr>
              <w:t>2</w:t>
            </w:r>
          </w:p>
        </w:tc>
        <w:tc>
          <w:tcPr>
            <w:tcW w:w="7654" w:type="dxa"/>
            <w:tcBorders>
              <w:top w:val="single" w:color="auto" w:sz="4" w:space="0"/>
              <w:left w:val="single" w:color="auto" w:sz="4" w:space="0"/>
              <w:bottom w:val="single" w:color="auto" w:sz="4" w:space="0"/>
              <w:right w:val="single" w:color="auto" w:sz="4" w:space="0"/>
            </w:tcBorders>
            <w:vAlign w:val="center"/>
          </w:tcPr>
          <w:p w14:paraId="764B2BA4">
            <w:pPr>
              <w:pStyle w:val="26"/>
              <w:snapToGrid w:val="0"/>
              <w:spacing w:line="360" w:lineRule="auto"/>
              <w:ind w:left="34"/>
              <w:outlineLvl w:val="0"/>
              <w:rPr>
                <w:rFonts w:hAnsi="宋体" w:cs="宋体"/>
                <w:color w:val="000000"/>
                <w:sz w:val="21"/>
                <w:highlight w:val="none"/>
              </w:rPr>
            </w:pPr>
            <w:r>
              <w:rPr>
                <w:rFonts w:hint="eastAsia" w:hAnsi="宋体" w:cs="宋体"/>
                <w:color w:val="000000"/>
                <w:sz w:val="21"/>
                <w:highlight w:val="none"/>
              </w:rPr>
              <w:t>投标报价包含货物、货物标准附件、备品备件、专用工具、设备安装辅材、</w:t>
            </w:r>
          </w:p>
          <w:p w14:paraId="0C0BE88B">
            <w:pPr>
              <w:snapToGrid w:val="0"/>
              <w:spacing w:line="360" w:lineRule="auto"/>
              <w:rPr>
                <w:rFonts w:ascii="宋体" w:hAnsi="宋体"/>
                <w:b/>
                <w:color w:val="000000"/>
                <w:szCs w:val="21"/>
                <w:highlight w:val="none"/>
              </w:rPr>
            </w:pPr>
            <w:r>
              <w:rPr>
                <w:rFonts w:hint="eastAsia" w:ascii="宋体" w:hAnsi="宋体" w:cs="宋体"/>
                <w:color w:val="000000"/>
                <w:szCs w:val="21"/>
                <w:highlight w:val="none"/>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szCs w:val="21"/>
                <w:highlight w:val="none"/>
              </w:rPr>
              <w:t>调试、系统集成，及投入使用后质量保修期内的维护、保养、人员培训、售后服务</w:t>
            </w:r>
            <w:r>
              <w:rPr>
                <w:rFonts w:hint="eastAsia" w:ascii="宋体" w:hAnsi="宋体" w:cs="宋体"/>
                <w:color w:val="000000"/>
                <w:szCs w:val="21"/>
                <w:highlight w:val="none"/>
              </w:rPr>
              <w:t>及其他所有成本费用，以及合同明示或暗示的所有责任、义务和一般风险等一切费用。</w:t>
            </w:r>
          </w:p>
        </w:tc>
      </w:tr>
      <w:tr w14:paraId="6C42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D309243">
            <w:pPr>
              <w:spacing w:line="400" w:lineRule="exact"/>
              <w:jc w:val="center"/>
              <w:rPr>
                <w:rFonts w:ascii="宋体" w:hAnsi="宋体"/>
                <w:color w:val="000000"/>
                <w:szCs w:val="21"/>
                <w:highlight w:val="none"/>
              </w:rPr>
            </w:pPr>
            <w:bookmarkStart w:id="68" w:name="_17.1"/>
            <w:bookmarkEnd w:id="68"/>
            <w:r>
              <w:rPr>
                <w:rFonts w:hint="eastAsia" w:ascii="宋体" w:hAnsi="宋体"/>
                <w:color w:val="000000"/>
                <w:szCs w:val="21"/>
                <w:highlight w:val="none"/>
              </w:rPr>
              <w:t>17.</w:t>
            </w:r>
            <w:r>
              <w:rPr>
                <w:rFonts w:ascii="宋体" w:hAnsi="宋体"/>
                <w:color w:val="000000"/>
                <w:szCs w:val="21"/>
                <w:highlight w:val="none"/>
              </w:rPr>
              <w:t>2</w:t>
            </w:r>
          </w:p>
        </w:tc>
        <w:tc>
          <w:tcPr>
            <w:tcW w:w="7654" w:type="dxa"/>
            <w:tcBorders>
              <w:top w:val="single" w:color="auto" w:sz="4" w:space="0"/>
              <w:left w:val="single" w:color="auto" w:sz="4" w:space="0"/>
              <w:bottom w:val="single" w:color="auto" w:sz="4" w:space="0"/>
              <w:right w:val="single" w:color="auto" w:sz="4" w:space="0"/>
            </w:tcBorders>
            <w:vAlign w:val="center"/>
          </w:tcPr>
          <w:p w14:paraId="6EB6414A">
            <w:pPr>
              <w:snapToGrid w:val="0"/>
              <w:spacing w:line="400" w:lineRule="exact"/>
              <w:rPr>
                <w:rFonts w:ascii="宋体" w:hAnsi="宋体"/>
                <w:color w:val="000000"/>
                <w:szCs w:val="21"/>
                <w:highlight w:val="none"/>
              </w:rPr>
            </w:pPr>
            <w:r>
              <w:rPr>
                <w:rFonts w:hint="eastAsia" w:ascii="宋体" w:hAnsi="宋体"/>
                <w:color w:val="000000"/>
                <w:szCs w:val="21"/>
                <w:highlight w:val="none"/>
              </w:rPr>
              <w:t>投标有效期：自投标截止之日起</w:t>
            </w:r>
            <w:r>
              <w:rPr>
                <w:rFonts w:hint="eastAsia" w:ascii="宋体" w:hAnsi="宋体"/>
                <w:color w:val="000000"/>
                <w:szCs w:val="21"/>
                <w:highlight w:val="none"/>
                <w:u w:val="single"/>
              </w:rPr>
              <w:t>120</w:t>
            </w:r>
            <w:r>
              <w:rPr>
                <w:rFonts w:hint="eastAsia" w:ascii="宋体" w:hAnsi="宋体"/>
                <w:color w:val="000000"/>
                <w:szCs w:val="21"/>
                <w:highlight w:val="none"/>
              </w:rPr>
              <w:t>日。</w:t>
            </w:r>
          </w:p>
        </w:tc>
      </w:tr>
      <w:tr w14:paraId="23E0B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4FAAE69">
            <w:pPr>
              <w:spacing w:line="400" w:lineRule="exact"/>
              <w:jc w:val="center"/>
              <w:rPr>
                <w:rFonts w:ascii="宋体" w:hAnsi="宋体"/>
                <w:color w:val="000000"/>
                <w:szCs w:val="21"/>
                <w:highlight w:val="none"/>
              </w:rPr>
            </w:pPr>
            <w:bookmarkStart w:id="69" w:name="_18"/>
            <w:bookmarkEnd w:id="69"/>
            <w:r>
              <w:rPr>
                <w:rFonts w:hint="eastAsia" w:ascii="宋体" w:hAnsi="宋体"/>
                <w:color w:val="000000"/>
                <w:szCs w:val="21"/>
                <w:highlight w:val="none"/>
              </w:rPr>
              <w:t>18</w:t>
            </w:r>
            <w:r>
              <w:rPr>
                <w:rFonts w:ascii="宋体" w:hAnsi="宋体"/>
                <w:color w:val="000000"/>
                <w:szCs w:val="21"/>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3698221A">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□本项目不收取投标保证金。</w:t>
            </w:r>
          </w:p>
          <w:p w14:paraId="7D61B23D">
            <w:pPr>
              <w:snapToGrid w:val="0"/>
              <w:spacing w:line="400" w:lineRule="exact"/>
              <w:rPr>
                <w:rFonts w:ascii="宋体" w:hAnsi="宋体"/>
                <w:color w:val="000000"/>
                <w:szCs w:val="21"/>
                <w:highlight w:val="none"/>
              </w:rPr>
            </w:pPr>
            <w:r>
              <w:rPr>
                <w:rFonts w:ascii="Segoe UI Symbol" w:hAnsi="Segoe UI Symbol" w:cs="Segoe UI Symbol"/>
                <w:color w:val="000000"/>
                <w:szCs w:val="21"/>
                <w:highlight w:val="none"/>
              </w:rPr>
              <w:t>☑</w:t>
            </w:r>
            <w:r>
              <w:rPr>
                <w:rFonts w:hint="eastAsia" w:ascii="宋体" w:hAnsi="宋体"/>
                <w:color w:val="000000"/>
                <w:szCs w:val="21"/>
                <w:highlight w:val="none"/>
              </w:rPr>
              <w:t>本项目收取投标保证金，具体规定如下：</w:t>
            </w:r>
          </w:p>
          <w:p w14:paraId="4A73D708">
            <w:pPr>
              <w:snapToGrid w:val="0"/>
              <w:spacing w:line="400" w:lineRule="exac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投标保证金：</w:t>
            </w:r>
            <w:r>
              <w:rPr>
                <w:rFonts w:hint="eastAsia" w:ascii="宋体" w:hAnsi="宋体" w:cs="宋体"/>
                <w:color w:val="000000"/>
                <w:kern w:val="0"/>
                <w:szCs w:val="21"/>
                <w:highlight w:val="none"/>
                <w:lang w:val="en-US" w:eastAsia="zh-CN"/>
              </w:rPr>
              <w:t>A分标：</w:t>
            </w:r>
            <w:r>
              <w:rPr>
                <w:rFonts w:hint="default" w:ascii="Arial" w:hAnsi="Arial" w:cs="Arial"/>
                <w:color w:val="000000"/>
                <w:kern w:val="0"/>
                <w:szCs w:val="21"/>
                <w:highlight w:val="none"/>
                <w:lang w:val="en-US" w:eastAsia="zh-CN"/>
              </w:rPr>
              <w:t>¥</w:t>
            </w:r>
            <w:r>
              <w:rPr>
                <w:rFonts w:hint="eastAsia" w:ascii="宋体" w:hAnsi="宋体" w:cs="宋体"/>
                <w:color w:val="000000"/>
                <w:kern w:val="0"/>
                <w:szCs w:val="21"/>
                <w:highlight w:val="none"/>
                <w:lang w:val="en-US" w:eastAsia="zh-CN"/>
              </w:rPr>
              <w:t>9000.00</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B分标：</w:t>
            </w:r>
            <w:r>
              <w:rPr>
                <w:rFonts w:hint="default" w:ascii="Arial" w:hAnsi="Arial" w:cs="Arial"/>
                <w:color w:val="000000"/>
                <w:kern w:val="0"/>
                <w:szCs w:val="21"/>
                <w:highlight w:val="none"/>
                <w:lang w:val="en-US" w:eastAsia="zh-CN"/>
              </w:rPr>
              <w:t>¥</w:t>
            </w:r>
            <w:r>
              <w:rPr>
                <w:rFonts w:hint="eastAsia" w:ascii="宋体" w:hAnsi="宋体" w:cs="宋体"/>
                <w:color w:val="000000"/>
                <w:kern w:val="0"/>
                <w:szCs w:val="21"/>
                <w:highlight w:val="none"/>
                <w:lang w:val="en-US" w:eastAsia="zh-CN"/>
              </w:rPr>
              <w:t>8000.00</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C分标：</w:t>
            </w:r>
            <w:r>
              <w:rPr>
                <w:rFonts w:hint="default" w:ascii="Arial" w:hAnsi="Arial" w:cs="Arial"/>
                <w:color w:val="000000"/>
                <w:kern w:val="0"/>
                <w:szCs w:val="21"/>
                <w:highlight w:val="none"/>
                <w:lang w:val="en-US" w:eastAsia="zh-CN"/>
              </w:rPr>
              <w:t>¥</w:t>
            </w:r>
            <w:r>
              <w:rPr>
                <w:rFonts w:hint="eastAsia" w:ascii="宋体" w:hAnsi="宋体" w:cs="宋体"/>
                <w:color w:val="000000"/>
                <w:kern w:val="0"/>
                <w:szCs w:val="21"/>
                <w:highlight w:val="none"/>
                <w:lang w:val="en-US" w:eastAsia="zh-CN"/>
              </w:rPr>
              <w:t>2700.00；D分标：</w:t>
            </w:r>
            <w:r>
              <w:rPr>
                <w:rFonts w:hint="default" w:ascii="Arial" w:hAnsi="Arial" w:cs="Arial"/>
                <w:color w:val="000000"/>
                <w:kern w:val="0"/>
                <w:szCs w:val="21"/>
                <w:highlight w:val="none"/>
                <w:lang w:val="en-US" w:eastAsia="zh-CN"/>
              </w:rPr>
              <w:t>¥</w:t>
            </w:r>
            <w:r>
              <w:rPr>
                <w:rFonts w:hint="eastAsia" w:ascii="宋体" w:hAnsi="宋体" w:cs="宋体"/>
                <w:color w:val="000000"/>
                <w:kern w:val="0"/>
                <w:szCs w:val="21"/>
                <w:highlight w:val="none"/>
                <w:lang w:val="en-US" w:eastAsia="zh-CN"/>
              </w:rPr>
              <w:t>2600.00；E分标：</w:t>
            </w:r>
            <w:r>
              <w:rPr>
                <w:rFonts w:hint="default" w:ascii="Arial" w:hAnsi="Arial" w:cs="Arial"/>
                <w:color w:val="000000"/>
                <w:kern w:val="0"/>
                <w:szCs w:val="21"/>
                <w:highlight w:val="none"/>
                <w:lang w:val="en-US" w:eastAsia="zh-CN"/>
              </w:rPr>
              <w:t>¥</w:t>
            </w:r>
            <w:r>
              <w:rPr>
                <w:rFonts w:hint="eastAsia" w:ascii="宋体" w:hAnsi="宋体" w:cs="宋体"/>
                <w:color w:val="000000"/>
                <w:kern w:val="0"/>
                <w:szCs w:val="21"/>
                <w:highlight w:val="none"/>
                <w:lang w:val="en-US" w:eastAsia="zh-CN"/>
              </w:rPr>
              <w:t>8400.00。</w:t>
            </w:r>
          </w:p>
          <w:p w14:paraId="5394D7B7">
            <w:pPr>
              <w:snapToGrid w:val="0"/>
              <w:spacing w:line="400" w:lineRule="exact"/>
              <w:ind w:firstLine="420" w:firstLineChars="200"/>
              <w:rPr>
                <w:rFonts w:ascii="宋体" w:hAnsi="宋体"/>
                <w:b/>
                <w:bCs/>
                <w:color w:val="000000"/>
                <w:szCs w:val="21"/>
                <w:highlight w:val="none"/>
              </w:rPr>
            </w:pPr>
            <w:r>
              <w:rPr>
                <w:rFonts w:hint="eastAsia" w:ascii="宋体" w:hAnsi="宋体" w:cs="宋体"/>
                <w:color w:val="000000"/>
                <w:kern w:val="0"/>
                <w:szCs w:val="21"/>
                <w:highlight w:val="none"/>
              </w:rPr>
              <w:t>投标保证金的交纳方式：</w:t>
            </w:r>
            <w:r>
              <w:rPr>
                <w:rFonts w:hint="eastAsia" w:ascii="宋体" w:hAnsi="宋体" w:cs="宋体"/>
                <w:highlight w:val="none"/>
              </w:rPr>
              <w:t>支票、汇票、本票、银行转账或者金融机构、担保机构出具的保函（含电子保函）</w:t>
            </w:r>
            <w:r>
              <w:rPr>
                <w:rFonts w:hint="eastAsia" w:ascii="宋体" w:hAnsi="宋体" w:cs="宋体"/>
                <w:color w:val="000000"/>
                <w:kern w:val="0"/>
                <w:szCs w:val="21"/>
                <w:highlight w:val="none"/>
              </w:rPr>
              <w:t>，禁止采用现钞方式。采用银行转账方式的，在投标截止时间前交至指定账户并且到账【开户名称：广西正海招标有限公司，开户银行：广西北部湾银行南宁市兴宁支行，银行账号：800105504300012，行号：313611014014】；采用支票、汇票、本票</w:t>
            </w:r>
            <w:r>
              <w:rPr>
                <w:rFonts w:hint="eastAsia" w:ascii="宋体" w:hAnsi="宋体" w:cs="宋体"/>
                <w:highlight w:val="none"/>
              </w:rPr>
              <w:t>或者金融机构、担保机构出具的保函（含电子保函）</w:t>
            </w:r>
            <w:r>
              <w:rPr>
                <w:rFonts w:hint="eastAsia" w:ascii="宋体" w:hAnsi="宋体" w:cs="宋体"/>
                <w:color w:val="000000"/>
                <w:kern w:val="0"/>
                <w:szCs w:val="21"/>
                <w:highlight w:val="none"/>
              </w:rPr>
              <w:t>，在投标截止时间前，投标人必须递交单独密封的支票、汇票、本票</w:t>
            </w:r>
            <w:r>
              <w:rPr>
                <w:rFonts w:hint="eastAsia" w:ascii="宋体" w:hAnsi="宋体" w:cs="宋体"/>
                <w:highlight w:val="none"/>
              </w:rPr>
              <w:t>或者金融机构、担保机构出具的保函（含电子保函）</w:t>
            </w:r>
            <w:r>
              <w:rPr>
                <w:rFonts w:hint="eastAsia" w:ascii="宋体" w:hAnsi="宋体" w:cs="宋体"/>
                <w:color w:val="000000"/>
                <w:kern w:val="0"/>
                <w:szCs w:val="21"/>
                <w:highlight w:val="none"/>
              </w:rPr>
              <w:t>原件。否则视为无效投标保证金。</w:t>
            </w:r>
            <w:r>
              <w:rPr>
                <w:rFonts w:hint="eastAsia" w:ascii="宋体" w:hAnsi="宋体" w:cs="宋体"/>
                <w:b/>
                <w:bCs/>
                <w:color w:val="000000"/>
                <w:kern w:val="0"/>
                <w:szCs w:val="21"/>
                <w:highlight w:val="none"/>
              </w:rPr>
              <w:t>注：投标保证金转账时请备注“</w:t>
            </w:r>
            <w:r>
              <w:rPr>
                <w:rFonts w:hint="eastAsia" w:ascii="宋体" w:hAnsi="宋体" w:cs="宋体"/>
                <w:b/>
                <w:bCs/>
                <w:color w:val="000000"/>
                <w:kern w:val="0"/>
                <w:szCs w:val="21"/>
                <w:highlight w:val="none"/>
                <w:lang w:eastAsia="zh-CN"/>
              </w:rPr>
              <w:t>项目编号</w:t>
            </w:r>
            <w:r>
              <w:rPr>
                <w:rFonts w:hint="eastAsia" w:ascii="宋体" w:hAnsi="宋体" w:cs="宋体"/>
                <w:b/>
                <w:bCs/>
                <w:color w:val="000000"/>
                <w:kern w:val="0"/>
                <w:szCs w:val="21"/>
                <w:highlight w:val="none"/>
              </w:rPr>
              <w:t>+分标号”等字样。</w:t>
            </w:r>
          </w:p>
          <w:p w14:paraId="690727E2">
            <w:pPr>
              <w:snapToGrid w:val="0"/>
              <w:spacing w:line="400" w:lineRule="exact"/>
              <w:rPr>
                <w:rFonts w:ascii="宋体" w:hAnsi="宋体"/>
                <w:color w:val="000000"/>
                <w:szCs w:val="21"/>
                <w:highlight w:val="none"/>
              </w:rPr>
            </w:pPr>
            <w:r>
              <w:rPr>
                <w:rFonts w:hint="eastAsia" w:ascii="宋体" w:hAnsi="宋体"/>
                <w:color w:val="000000"/>
                <w:szCs w:val="21"/>
                <w:highlight w:val="none"/>
              </w:rPr>
              <w:t>相关要求：</w:t>
            </w:r>
          </w:p>
          <w:p w14:paraId="50F1B6C9">
            <w:pPr>
              <w:pStyle w:val="17"/>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000000"/>
                <w:szCs w:val="21"/>
                <w:highlight w:val="none"/>
              </w:rPr>
              <w:t>放置于</w:t>
            </w:r>
            <w:r>
              <w:rPr>
                <w:rFonts w:hint="eastAsia" w:ascii="宋体" w:hAnsi="宋体"/>
                <w:color w:val="000000"/>
                <w:szCs w:val="21"/>
                <w:highlight w:val="none"/>
              </w:rPr>
              <w:t>商务文件</w:t>
            </w:r>
            <w:r>
              <w:rPr>
                <w:rFonts w:ascii="宋体" w:hAnsi="宋体"/>
                <w:color w:val="000000"/>
                <w:szCs w:val="21"/>
                <w:highlight w:val="none"/>
              </w:rPr>
              <w:t>中</w:t>
            </w:r>
            <w:r>
              <w:rPr>
                <w:rFonts w:hint="eastAsia" w:ascii="宋体" w:hAnsi="宋体"/>
                <w:color w:val="000000"/>
                <w:szCs w:val="21"/>
                <w:highlight w:val="none"/>
              </w:rPr>
              <w:t>，</w:t>
            </w:r>
            <w:r>
              <w:rPr>
                <w:rFonts w:hint="eastAsia" w:ascii="宋体" w:hAnsi="宋体"/>
                <w:b/>
                <w:color w:val="000000"/>
                <w:szCs w:val="21"/>
                <w:highlight w:val="none"/>
              </w:rPr>
              <w:t>否则投标无效</w:t>
            </w:r>
            <w:r>
              <w:rPr>
                <w:rFonts w:hint="eastAsia" w:ascii="宋体" w:hAnsi="宋体"/>
                <w:color w:val="000000"/>
                <w:szCs w:val="21"/>
                <w:highlight w:val="none"/>
              </w:rPr>
              <w:t>。</w:t>
            </w:r>
          </w:p>
          <w:p w14:paraId="686A7DD9">
            <w:pPr>
              <w:pStyle w:val="17"/>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2.投标保证金采用支票、汇票、本票或者</w:t>
            </w:r>
            <w:r>
              <w:rPr>
                <w:rFonts w:hint="eastAsia" w:ascii="宋体" w:hAnsi="宋体" w:cs="宋体"/>
                <w:highlight w:val="none"/>
              </w:rPr>
              <w:t>金融机构、担保机构出具</w:t>
            </w:r>
            <w:r>
              <w:rPr>
                <w:rFonts w:hint="eastAsia" w:ascii="宋体" w:hAnsi="宋体"/>
                <w:color w:val="000000"/>
                <w:szCs w:val="21"/>
                <w:highlight w:val="none"/>
              </w:rPr>
              <w:t>的保函</w:t>
            </w:r>
            <w:r>
              <w:rPr>
                <w:rFonts w:hint="eastAsia" w:ascii="宋体" w:hAnsi="宋体"/>
                <w:color w:val="000000"/>
                <w:szCs w:val="21"/>
                <w:highlight w:val="none"/>
                <w:lang w:eastAsia="zh-CN"/>
              </w:rPr>
              <w:t>（含电子保函）</w:t>
            </w:r>
            <w:r>
              <w:rPr>
                <w:rFonts w:hint="eastAsia" w:ascii="宋体" w:hAnsi="宋体"/>
                <w:color w:val="000000"/>
                <w:szCs w:val="21"/>
                <w:highlight w:val="none"/>
              </w:rPr>
              <w:t>交纳方式的，投标人应在投标截止时间前采用现场或邮寄方式（现场提交地址：</w:t>
            </w:r>
            <w:r>
              <w:rPr>
                <w:rFonts w:hint="eastAsia" w:ascii="宋体" w:hAnsi="宋体"/>
                <w:color w:val="000000"/>
                <w:szCs w:val="21"/>
                <w:highlight w:val="none"/>
                <w:u w:val="single"/>
              </w:rPr>
              <w:t>广西正海招标有限公司（广西南宁市青秀区茅桥路2号习艺基地A栋1号电梯3楼）</w:t>
            </w:r>
            <w:r>
              <w:rPr>
                <w:rFonts w:hint="eastAsia" w:ascii="宋体" w:hAnsi="宋体"/>
                <w:color w:val="000000"/>
                <w:szCs w:val="21"/>
                <w:highlight w:val="none"/>
              </w:rPr>
              <w:t>；邮寄地址：</w:t>
            </w:r>
            <w:r>
              <w:rPr>
                <w:rFonts w:hint="eastAsia" w:ascii="宋体" w:hAnsi="宋体"/>
                <w:color w:val="000000"/>
                <w:szCs w:val="21"/>
                <w:highlight w:val="none"/>
                <w:u w:val="single"/>
              </w:rPr>
              <w:t>广西南宁市青秀区茅桥路2号习艺基地A栋1号电梯3楼</w:t>
            </w:r>
            <w:r>
              <w:rPr>
                <w:rFonts w:hint="eastAsia" w:ascii="宋体" w:hAnsi="宋体"/>
                <w:color w:val="000000"/>
                <w:szCs w:val="21"/>
                <w:highlight w:val="none"/>
              </w:rPr>
              <w:t>，收件人：</w:t>
            </w:r>
            <w:r>
              <w:rPr>
                <w:rFonts w:hint="eastAsia" w:ascii="宋体" w:hAnsi="宋体"/>
                <w:color w:val="000000"/>
                <w:szCs w:val="21"/>
                <w:highlight w:val="none"/>
                <w:u w:val="single"/>
              </w:rPr>
              <w:t>覃旭理、谭斯少</w:t>
            </w:r>
            <w:r>
              <w:rPr>
                <w:rFonts w:hint="eastAsia" w:ascii="宋体" w:hAnsi="宋体"/>
                <w:color w:val="000000"/>
                <w:szCs w:val="21"/>
                <w:highlight w:val="none"/>
                <w:u w:val="single"/>
                <w:lang w:eastAsia="zh-CN"/>
              </w:rPr>
              <w:t>、王玉娇</w:t>
            </w:r>
            <w:r>
              <w:rPr>
                <w:rFonts w:hint="eastAsia" w:ascii="宋体" w:hAnsi="宋体"/>
                <w:color w:val="000000"/>
                <w:szCs w:val="21"/>
                <w:highlight w:val="none"/>
              </w:rPr>
              <w:t>，联系方式：</w:t>
            </w:r>
            <w:r>
              <w:rPr>
                <w:rFonts w:hint="eastAsia" w:ascii="宋体" w:hAnsi="宋体"/>
                <w:color w:val="000000"/>
                <w:szCs w:val="21"/>
                <w:highlight w:val="none"/>
                <w:u w:val="single"/>
              </w:rPr>
              <w:t>0771-2865989</w:t>
            </w:r>
            <w:r>
              <w:rPr>
                <w:rFonts w:hint="eastAsia" w:ascii="宋体" w:hAnsi="宋体"/>
                <w:color w:val="000000"/>
                <w:szCs w:val="21"/>
                <w:highlight w:val="none"/>
              </w:rPr>
              <w:t>）将</w:t>
            </w:r>
            <w:r>
              <w:rPr>
                <w:rFonts w:hint="eastAsia" w:ascii="宋体" w:hAnsi="宋体" w:cs="宋体"/>
                <w:color w:val="000000"/>
                <w:kern w:val="0"/>
                <w:szCs w:val="21"/>
                <w:highlight w:val="none"/>
              </w:rPr>
              <w:t>单独密封的</w:t>
            </w:r>
            <w:r>
              <w:rPr>
                <w:rFonts w:hint="eastAsia" w:ascii="宋体" w:hAnsi="宋体"/>
                <w:color w:val="000000"/>
                <w:szCs w:val="21"/>
                <w:highlight w:val="none"/>
              </w:rPr>
              <w:t>支票、汇票、本票或者</w:t>
            </w:r>
            <w:r>
              <w:rPr>
                <w:rFonts w:hint="eastAsia" w:ascii="宋体" w:hAnsi="宋体" w:cs="宋体"/>
                <w:highlight w:val="none"/>
              </w:rPr>
              <w:t>金融机构、担保机构出具</w:t>
            </w:r>
            <w:r>
              <w:rPr>
                <w:rFonts w:hint="eastAsia" w:ascii="宋体" w:hAnsi="宋体"/>
                <w:color w:val="000000"/>
                <w:szCs w:val="21"/>
                <w:highlight w:val="none"/>
              </w:rPr>
              <w:t>的保函</w:t>
            </w:r>
            <w:r>
              <w:rPr>
                <w:rFonts w:hint="eastAsia" w:ascii="宋体" w:hAnsi="宋体"/>
                <w:color w:val="000000"/>
                <w:szCs w:val="21"/>
                <w:highlight w:val="none"/>
                <w:lang w:eastAsia="zh-CN"/>
              </w:rPr>
              <w:t>（含电子保函）</w:t>
            </w:r>
            <w:r>
              <w:rPr>
                <w:rFonts w:hint="eastAsia" w:ascii="宋体" w:hAnsi="宋体"/>
                <w:color w:val="000000"/>
                <w:szCs w:val="21"/>
                <w:highlight w:val="none"/>
              </w:rPr>
              <w:t>原件提交给采购人或者采购代理机构，由采购人或者采购代理机构向投标人出具回执（邮寄方式的除外），并妥善保管。</w:t>
            </w:r>
          </w:p>
          <w:p w14:paraId="1DD3AEBB">
            <w:pPr>
              <w:snapToGrid w:val="0"/>
              <w:spacing w:line="400" w:lineRule="exact"/>
              <w:rPr>
                <w:rFonts w:ascii="宋体" w:hAnsi="宋体"/>
                <w:b/>
                <w:color w:val="000000"/>
                <w:szCs w:val="21"/>
                <w:highlight w:val="none"/>
              </w:rPr>
            </w:pPr>
            <w:r>
              <w:rPr>
                <w:rFonts w:hint="eastAsia" w:ascii="宋体" w:hAnsi="宋体"/>
                <w:b/>
                <w:color w:val="000000"/>
                <w:szCs w:val="21"/>
                <w:highlight w:val="none"/>
              </w:rPr>
              <w:t xml:space="preserve">备注： </w:t>
            </w:r>
          </w:p>
          <w:p w14:paraId="3C4D9DFA">
            <w:pPr>
              <w:snapToGrid w:val="0"/>
              <w:spacing w:line="400" w:lineRule="exact"/>
              <w:rPr>
                <w:rFonts w:ascii="宋体" w:hAnsi="宋体"/>
                <w:b/>
                <w:color w:val="000000"/>
                <w:szCs w:val="21"/>
                <w:highlight w:val="none"/>
              </w:rPr>
            </w:pPr>
            <w:r>
              <w:rPr>
                <w:rFonts w:hint="eastAsia" w:ascii="宋体" w:hAnsi="宋体"/>
                <w:b/>
                <w:color w:val="000000"/>
                <w:szCs w:val="21"/>
                <w:highlight w:val="none"/>
              </w:rPr>
              <w:t>1.投标保证金在投标截止时间后提交的，或者不按规定交纳方式交纳的，或者未足额交纳的（包含保函额度不足的），视为无效投标保证金。</w:t>
            </w:r>
          </w:p>
          <w:p w14:paraId="40408A7B">
            <w:pPr>
              <w:snapToGrid w:val="0"/>
              <w:spacing w:line="400" w:lineRule="exact"/>
              <w:rPr>
                <w:rFonts w:ascii="宋体" w:hAnsi="宋体"/>
                <w:b/>
                <w:color w:val="000000"/>
                <w:szCs w:val="21"/>
                <w:highlight w:val="none"/>
              </w:rPr>
            </w:pPr>
            <w:r>
              <w:rPr>
                <w:rFonts w:hint="eastAsia" w:ascii="宋体" w:hAnsi="宋体"/>
                <w:b/>
                <w:color w:val="000000"/>
                <w:szCs w:val="21"/>
                <w:highlight w:val="none"/>
              </w:rPr>
              <w:t>2.投标人采用现钞方式或者从个人账户（自然人投标除外）转出的投标保证金，视为无效投标保证金。</w:t>
            </w:r>
          </w:p>
          <w:p w14:paraId="491B26D3">
            <w:pPr>
              <w:snapToGrid w:val="0"/>
              <w:spacing w:line="400" w:lineRule="exact"/>
              <w:rPr>
                <w:rFonts w:ascii="宋体" w:hAnsi="宋体"/>
                <w:b/>
                <w:color w:val="000000"/>
                <w:szCs w:val="21"/>
                <w:highlight w:val="none"/>
              </w:rPr>
            </w:pPr>
            <w:r>
              <w:rPr>
                <w:rFonts w:hint="eastAsia" w:ascii="宋体" w:hAnsi="宋体"/>
                <w:b/>
                <w:color w:val="000000"/>
                <w:szCs w:val="21"/>
                <w:highlight w:val="none"/>
              </w:rPr>
              <w:t>3.支票、汇票或者本票出现无效或者背书情形的，视为无效投标保证金。</w:t>
            </w:r>
          </w:p>
          <w:p w14:paraId="305B135F">
            <w:pPr>
              <w:snapToGrid w:val="0"/>
              <w:spacing w:line="400" w:lineRule="exact"/>
              <w:rPr>
                <w:rFonts w:ascii="宋体" w:hAnsi="宋体"/>
                <w:b/>
                <w:color w:val="000000"/>
                <w:szCs w:val="21"/>
                <w:highlight w:val="none"/>
              </w:rPr>
            </w:pPr>
            <w:r>
              <w:rPr>
                <w:rFonts w:hint="eastAsia" w:ascii="宋体" w:hAnsi="宋体"/>
                <w:b/>
                <w:color w:val="000000"/>
                <w:szCs w:val="21"/>
                <w:highlight w:val="none"/>
              </w:rPr>
              <w:t>4.保函</w:t>
            </w:r>
            <w:r>
              <w:rPr>
                <w:rFonts w:hint="eastAsia" w:ascii="宋体" w:hAnsi="宋体"/>
                <w:b/>
                <w:color w:val="000000"/>
                <w:szCs w:val="21"/>
                <w:highlight w:val="none"/>
                <w:lang w:eastAsia="zh-CN"/>
              </w:rPr>
              <w:t>（含电子包含）</w:t>
            </w:r>
            <w:r>
              <w:rPr>
                <w:rFonts w:hint="eastAsia" w:ascii="宋体" w:hAnsi="宋体"/>
                <w:b/>
                <w:color w:val="000000"/>
                <w:szCs w:val="21"/>
                <w:highlight w:val="none"/>
              </w:rPr>
              <w:t>有效期低于投标有效期的，视为无效投标保证金。</w:t>
            </w:r>
          </w:p>
          <w:p w14:paraId="6073EBBF">
            <w:pPr>
              <w:snapToGrid w:val="0"/>
              <w:spacing w:line="400" w:lineRule="exact"/>
              <w:rPr>
                <w:highlight w:val="none"/>
              </w:rPr>
            </w:pPr>
            <w:r>
              <w:rPr>
                <w:rFonts w:hint="eastAsia" w:ascii="宋体" w:hAnsi="宋体"/>
                <w:b/>
                <w:color w:val="000000"/>
                <w:szCs w:val="21"/>
                <w:highlight w:val="none"/>
              </w:rPr>
              <w:t>5.采用银行、保险机构出具保函</w:t>
            </w:r>
            <w:r>
              <w:rPr>
                <w:rFonts w:hint="eastAsia" w:ascii="宋体" w:hAnsi="宋体"/>
                <w:b/>
                <w:color w:val="000000"/>
                <w:szCs w:val="21"/>
                <w:highlight w:val="none"/>
                <w:lang w:eastAsia="zh-CN"/>
              </w:rPr>
              <w:t>（含电子保函）</w:t>
            </w:r>
            <w:r>
              <w:rPr>
                <w:rFonts w:hint="eastAsia" w:ascii="宋体" w:hAnsi="宋体"/>
                <w:b/>
                <w:color w:val="000000"/>
                <w:szCs w:val="21"/>
                <w:highlight w:val="none"/>
              </w:rPr>
              <w:t>的，必须为无条件保函，否则视为无效投标保证金。</w:t>
            </w:r>
          </w:p>
        </w:tc>
      </w:tr>
      <w:tr w14:paraId="05DD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43D55A8">
            <w:pPr>
              <w:spacing w:line="400" w:lineRule="exact"/>
              <w:jc w:val="center"/>
              <w:rPr>
                <w:rFonts w:ascii="宋体" w:hAnsi="宋体"/>
                <w:color w:val="000000"/>
                <w:szCs w:val="21"/>
                <w:highlight w:val="none"/>
              </w:rPr>
            </w:pPr>
            <w:bookmarkStart w:id="70" w:name="_19.2"/>
            <w:bookmarkEnd w:id="70"/>
            <w:r>
              <w:rPr>
                <w:rFonts w:hint="eastAsia" w:ascii="宋体" w:hAnsi="宋体"/>
                <w:color w:val="000000"/>
                <w:szCs w:val="21"/>
                <w:highlight w:val="none"/>
              </w:rPr>
              <w:t>20</w:t>
            </w:r>
          </w:p>
        </w:tc>
        <w:tc>
          <w:tcPr>
            <w:tcW w:w="7654" w:type="dxa"/>
            <w:tcBorders>
              <w:top w:val="single" w:color="auto" w:sz="4" w:space="0"/>
              <w:left w:val="single" w:color="auto" w:sz="4" w:space="0"/>
              <w:bottom w:val="single" w:color="auto" w:sz="4" w:space="0"/>
              <w:right w:val="single" w:color="auto" w:sz="4" w:space="0"/>
            </w:tcBorders>
            <w:vAlign w:val="center"/>
          </w:tcPr>
          <w:p w14:paraId="03146FAE">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本项目不接受电子备份投标文件；</w:t>
            </w:r>
          </w:p>
          <w:p w14:paraId="360EDEAC">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本项目接受电子备份投标文件。</w:t>
            </w:r>
          </w:p>
        </w:tc>
      </w:tr>
      <w:tr w14:paraId="30C39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14:paraId="51C32439">
            <w:pPr>
              <w:spacing w:line="400" w:lineRule="exact"/>
              <w:jc w:val="center"/>
              <w:rPr>
                <w:rFonts w:ascii="宋体" w:hAnsi="宋体"/>
                <w:color w:val="000000"/>
                <w:szCs w:val="21"/>
                <w:highlight w:val="none"/>
              </w:rPr>
            </w:pPr>
            <w:bookmarkStart w:id="71" w:name="_21.1"/>
            <w:bookmarkEnd w:id="71"/>
            <w:r>
              <w:rPr>
                <w:rFonts w:hint="eastAsia" w:ascii="宋体" w:hAnsi="宋体"/>
                <w:color w:val="000000"/>
                <w:szCs w:val="21"/>
                <w:highlight w:val="none"/>
              </w:rPr>
              <w:t>21.1</w:t>
            </w:r>
          </w:p>
        </w:tc>
        <w:tc>
          <w:tcPr>
            <w:tcW w:w="7654" w:type="dxa"/>
            <w:tcBorders>
              <w:top w:val="single" w:color="auto" w:sz="4" w:space="0"/>
              <w:left w:val="single" w:color="auto" w:sz="4" w:space="0"/>
              <w:bottom w:val="single" w:color="auto" w:sz="4" w:space="0"/>
              <w:right w:val="single" w:color="auto" w:sz="4" w:space="0"/>
            </w:tcBorders>
            <w:vAlign w:val="center"/>
          </w:tcPr>
          <w:p w14:paraId="1EFAC023">
            <w:pPr>
              <w:snapToGrid w:val="0"/>
              <w:spacing w:line="400" w:lineRule="exact"/>
              <w:rPr>
                <w:rFonts w:ascii="宋体" w:hAnsi="宋体"/>
                <w:color w:val="000000"/>
                <w:szCs w:val="21"/>
                <w:highlight w:val="none"/>
                <w:u w:val="single"/>
              </w:rPr>
            </w:pPr>
            <w:r>
              <w:rPr>
                <w:rFonts w:hint="eastAsia" w:ascii="宋体" w:hAnsi="宋体"/>
                <w:color w:val="000000"/>
                <w:szCs w:val="21"/>
                <w:highlight w:val="none"/>
              </w:rPr>
              <w:t>1.投标文件提交截止时间：详见招标公告</w:t>
            </w:r>
          </w:p>
          <w:p w14:paraId="7084ACFD">
            <w:pPr>
              <w:snapToGrid w:val="0"/>
              <w:spacing w:line="400" w:lineRule="exact"/>
              <w:rPr>
                <w:rFonts w:ascii="宋体" w:hAnsi="宋体"/>
                <w:color w:val="000000"/>
                <w:szCs w:val="21"/>
                <w:highlight w:val="none"/>
              </w:rPr>
            </w:pPr>
            <w:r>
              <w:rPr>
                <w:rFonts w:hint="eastAsia" w:ascii="宋体" w:hAnsi="宋体"/>
                <w:color w:val="000000"/>
                <w:szCs w:val="21"/>
                <w:highlight w:val="none"/>
              </w:rPr>
              <w:t>2.投标地点：详见招标公告</w:t>
            </w:r>
          </w:p>
        </w:tc>
      </w:tr>
      <w:tr w14:paraId="440B4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70480D8">
            <w:pPr>
              <w:spacing w:line="400" w:lineRule="exact"/>
              <w:jc w:val="center"/>
              <w:rPr>
                <w:rFonts w:ascii="宋体" w:hAnsi="宋体"/>
                <w:color w:val="000000"/>
                <w:szCs w:val="21"/>
                <w:highlight w:val="none"/>
              </w:rPr>
            </w:pPr>
            <w:bookmarkStart w:id="72" w:name="_23"/>
            <w:bookmarkEnd w:id="72"/>
            <w:r>
              <w:rPr>
                <w:rFonts w:hint="eastAsia" w:ascii="宋体" w:hAnsi="宋体"/>
                <w:color w:val="000000"/>
                <w:szCs w:val="21"/>
                <w:highlight w:val="none"/>
              </w:rPr>
              <w:t>23</w:t>
            </w:r>
          </w:p>
        </w:tc>
        <w:tc>
          <w:tcPr>
            <w:tcW w:w="7654" w:type="dxa"/>
            <w:tcBorders>
              <w:top w:val="single" w:color="auto" w:sz="4" w:space="0"/>
              <w:left w:val="single" w:color="auto" w:sz="4" w:space="0"/>
              <w:bottom w:val="single" w:color="auto" w:sz="4" w:space="0"/>
              <w:right w:val="single" w:color="auto" w:sz="4" w:space="0"/>
            </w:tcBorders>
            <w:vAlign w:val="center"/>
          </w:tcPr>
          <w:p w14:paraId="6BA84108">
            <w:pPr>
              <w:snapToGrid w:val="0"/>
              <w:spacing w:line="400" w:lineRule="exact"/>
              <w:rPr>
                <w:rFonts w:ascii="宋体" w:hAnsi="宋体"/>
                <w:color w:val="000000"/>
                <w:szCs w:val="21"/>
                <w:highlight w:val="none"/>
              </w:rPr>
            </w:pPr>
            <w:r>
              <w:rPr>
                <w:rFonts w:hint="eastAsia" w:ascii="宋体" w:hAnsi="宋体"/>
                <w:color w:val="000000"/>
                <w:szCs w:val="21"/>
                <w:highlight w:val="none"/>
              </w:rPr>
              <w:t>1.开标时间：详见招标公告</w:t>
            </w:r>
          </w:p>
          <w:p w14:paraId="3D8295F7">
            <w:pPr>
              <w:snapToGrid w:val="0"/>
              <w:spacing w:line="400" w:lineRule="exact"/>
              <w:rPr>
                <w:rFonts w:ascii="宋体" w:hAnsi="宋体"/>
                <w:color w:val="000000"/>
                <w:szCs w:val="21"/>
                <w:highlight w:val="none"/>
              </w:rPr>
            </w:pPr>
            <w:r>
              <w:rPr>
                <w:rFonts w:hint="eastAsia" w:ascii="宋体" w:hAnsi="宋体"/>
                <w:color w:val="000000"/>
                <w:szCs w:val="21"/>
                <w:highlight w:val="none"/>
              </w:rPr>
              <w:t>2.开标地点：详见招标公告</w:t>
            </w:r>
          </w:p>
        </w:tc>
      </w:tr>
      <w:tr w14:paraId="3A5AD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E6E5110">
            <w:pPr>
              <w:spacing w:line="400" w:lineRule="exact"/>
              <w:jc w:val="center"/>
              <w:rPr>
                <w:rFonts w:ascii="宋体" w:hAnsi="宋体"/>
                <w:color w:val="000000"/>
                <w:szCs w:val="21"/>
                <w:highlight w:val="none"/>
              </w:rPr>
            </w:pPr>
            <w:r>
              <w:rPr>
                <w:rFonts w:hint="eastAsia" w:ascii="宋体" w:hAnsi="宋体"/>
                <w:color w:val="000000"/>
                <w:szCs w:val="21"/>
                <w:highlight w:val="none"/>
              </w:rPr>
              <w:t>24.3（1）</w:t>
            </w:r>
          </w:p>
        </w:tc>
        <w:tc>
          <w:tcPr>
            <w:tcW w:w="7654" w:type="dxa"/>
            <w:tcBorders>
              <w:top w:val="single" w:color="auto" w:sz="4" w:space="0"/>
              <w:left w:val="single" w:color="auto" w:sz="4" w:space="0"/>
              <w:bottom w:val="single" w:color="auto" w:sz="4" w:space="0"/>
              <w:right w:val="single" w:color="auto" w:sz="4" w:space="0"/>
            </w:tcBorders>
            <w:vAlign w:val="center"/>
          </w:tcPr>
          <w:p w14:paraId="40191932">
            <w:pPr>
              <w:snapToGrid w:val="0"/>
              <w:spacing w:line="400" w:lineRule="exact"/>
              <w:rPr>
                <w:rFonts w:ascii="宋体" w:hAnsi="宋体"/>
                <w:color w:val="000000"/>
                <w:szCs w:val="21"/>
                <w:highlight w:val="none"/>
                <w:u w:val="single"/>
              </w:rPr>
            </w:pPr>
            <w:r>
              <w:rPr>
                <w:rFonts w:hint="eastAsia" w:ascii="宋体" w:hAnsi="宋体"/>
                <w:color w:val="000000"/>
                <w:szCs w:val="21"/>
                <w:highlight w:val="none"/>
              </w:rPr>
              <w:t>电子投标文件解密时间：</w:t>
            </w:r>
            <w:r>
              <w:rPr>
                <w:rFonts w:hint="eastAsia" w:ascii="宋体" w:hAnsi="宋体"/>
                <w:color w:val="000000"/>
                <w:szCs w:val="21"/>
                <w:highlight w:val="none"/>
                <w:u w:val="single"/>
              </w:rPr>
              <w:t>30</w:t>
            </w:r>
            <w:r>
              <w:rPr>
                <w:rFonts w:hint="eastAsia" w:ascii="宋体" w:hAnsi="宋体"/>
                <w:color w:val="000000"/>
                <w:szCs w:val="21"/>
                <w:highlight w:val="none"/>
              </w:rPr>
              <w:t>分钟</w:t>
            </w:r>
          </w:p>
        </w:tc>
      </w:tr>
      <w:tr w14:paraId="1C97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F717EFB">
            <w:pPr>
              <w:spacing w:line="400" w:lineRule="exact"/>
              <w:jc w:val="center"/>
              <w:rPr>
                <w:rFonts w:ascii="宋体" w:hAnsi="宋体"/>
                <w:color w:val="000000"/>
                <w:szCs w:val="21"/>
                <w:highlight w:val="none"/>
              </w:rPr>
            </w:pPr>
            <w:r>
              <w:rPr>
                <w:rFonts w:hint="eastAsia" w:ascii="宋体" w:hAnsi="宋体"/>
                <w:color w:val="000000"/>
                <w:szCs w:val="21"/>
                <w:highlight w:val="none"/>
              </w:rPr>
              <w:t>24</w:t>
            </w:r>
            <w:r>
              <w:rPr>
                <w:rFonts w:ascii="宋体" w:hAnsi="宋体"/>
                <w:color w:val="000000"/>
                <w:szCs w:val="21"/>
                <w:highlight w:val="none"/>
              </w:rPr>
              <w:t>.3</w:t>
            </w: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p>
        </w:tc>
        <w:tc>
          <w:tcPr>
            <w:tcW w:w="7654" w:type="dxa"/>
            <w:tcBorders>
              <w:top w:val="single" w:color="auto" w:sz="4" w:space="0"/>
              <w:left w:val="single" w:color="auto" w:sz="4" w:space="0"/>
              <w:bottom w:val="single" w:color="auto" w:sz="4" w:space="0"/>
              <w:right w:val="single" w:color="auto" w:sz="4" w:space="0"/>
            </w:tcBorders>
            <w:vAlign w:val="center"/>
          </w:tcPr>
          <w:p w14:paraId="23CAFE86">
            <w:pPr>
              <w:snapToGrid w:val="0"/>
              <w:spacing w:line="400" w:lineRule="exact"/>
              <w:rPr>
                <w:rFonts w:ascii="宋体" w:hAnsi="宋体"/>
                <w:color w:val="000000"/>
                <w:szCs w:val="21"/>
                <w:highlight w:val="none"/>
              </w:rPr>
            </w:pPr>
            <w:r>
              <w:rPr>
                <w:rFonts w:hint="eastAsia" w:ascii="宋体" w:hAnsi="宋体"/>
                <w:color w:val="000000"/>
                <w:szCs w:val="21"/>
                <w:highlight w:val="none"/>
              </w:rPr>
              <w:t>宣布的内容：投标人名称、投标价格</w:t>
            </w:r>
            <w:r>
              <w:rPr>
                <w:rFonts w:ascii="宋体" w:hAnsi="宋体"/>
                <w:color w:val="000000"/>
                <w:szCs w:val="21"/>
                <w:highlight w:val="none"/>
              </w:rPr>
              <w:t xml:space="preserve"> </w:t>
            </w:r>
          </w:p>
        </w:tc>
      </w:tr>
      <w:tr w14:paraId="5D25B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A47A0E6">
            <w:pPr>
              <w:spacing w:line="400" w:lineRule="exact"/>
              <w:jc w:val="center"/>
              <w:rPr>
                <w:rFonts w:ascii="宋体" w:hAnsi="宋体"/>
                <w:color w:val="000000"/>
                <w:szCs w:val="21"/>
                <w:highlight w:val="none"/>
              </w:rPr>
            </w:pPr>
            <w:bookmarkStart w:id="73" w:name="_25.3"/>
            <w:bookmarkEnd w:id="73"/>
            <w:r>
              <w:rPr>
                <w:rFonts w:hint="eastAsia" w:ascii="宋体" w:hAnsi="宋体"/>
                <w:color w:val="000000"/>
                <w:szCs w:val="21"/>
                <w:highlight w:val="none"/>
              </w:rPr>
              <w:t>25.3（</w:t>
            </w:r>
            <w:r>
              <w:rPr>
                <w:rFonts w:ascii="宋体" w:hAnsi="宋体"/>
                <w:color w:val="000000"/>
                <w:szCs w:val="21"/>
                <w:highlight w:val="none"/>
              </w:rPr>
              <w:t>2</w:t>
            </w:r>
            <w:r>
              <w:rPr>
                <w:rFonts w:hint="eastAsia" w:ascii="宋体" w:hAnsi="宋体"/>
                <w:color w:val="000000"/>
                <w:szCs w:val="21"/>
                <w:highlight w:val="none"/>
              </w:rPr>
              <w:t>）</w:t>
            </w:r>
          </w:p>
        </w:tc>
        <w:tc>
          <w:tcPr>
            <w:tcW w:w="7654" w:type="dxa"/>
            <w:tcBorders>
              <w:top w:val="single" w:color="auto" w:sz="4" w:space="0"/>
              <w:left w:val="single" w:color="auto" w:sz="4" w:space="0"/>
              <w:bottom w:val="single" w:color="auto" w:sz="4" w:space="0"/>
              <w:right w:val="single" w:color="auto" w:sz="4" w:space="0"/>
            </w:tcBorders>
            <w:vAlign w:val="center"/>
          </w:tcPr>
          <w:p w14:paraId="7C37DE43">
            <w:pPr>
              <w:snapToGrid w:val="0"/>
              <w:spacing w:line="400" w:lineRule="exact"/>
              <w:rPr>
                <w:rFonts w:ascii="宋体" w:hAnsi="宋体"/>
                <w:color w:val="000000"/>
                <w:szCs w:val="21"/>
                <w:highlight w:val="none"/>
              </w:rPr>
            </w:pPr>
            <w:r>
              <w:rPr>
                <w:rFonts w:hint="eastAsia" w:ascii="宋体" w:hAnsi="宋体"/>
                <w:color w:val="000000"/>
                <w:szCs w:val="21"/>
                <w:highlight w:val="none"/>
              </w:rPr>
              <w:t>采购人或者采购代理机构在资格审查结束前，对投标人进行信用查询。</w:t>
            </w:r>
          </w:p>
          <w:p w14:paraId="3AD5BA60">
            <w:pPr>
              <w:snapToGrid w:val="0"/>
              <w:spacing w:line="400" w:lineRule="exact"/>
              <w:rPr>
                <w:rFonts w:ascii="宋体" w:hAnsi="宋体"/>
                <w:color w:val="000000"/>
                <w:szCs w:val="21"/>
                <w:highlight w:val="none"/>
              </w:rPr>
            </w:pPr>
            <w:r>
              <w:rPr>
                <w:rFonts w:hint="eastAsia" w:ascii="宋体" w:hAnsi="宋体"/>
                <w:color w:val="000000"/>
                <w:szCs w:val="21"/>
                <w:highlight w:val="none"/>
              </w:rPr>
              <w:t>查询渠道：“信用中国”网站（www.creditchina.gov.cn） 、中国政府采购网（www.ccgp.gov.cn）。</w:t>
            </w:r>
          </w:p>
          <w:p w14:paraId="43D46072">
            <w:pPr>
              <w:snapToGrid w:val="0"/>
              <w:spacing w:line="400" w:lineRule="exact"/>
              <w:rPr>
                <w:rFonts w:ascii="宋体" w:hAnsi="宋体"/>
                <w:color w:val="000000"/>
                <w:szCs w:val="21"/>
                <w:highlight w:val="none"/>
              </w:rPr>
            </w:pPr>
            <w:r>
              <w:rPr>
                <w:rFonts w:hint="eastAsia" w:ascii="宋体" w:hAnsi="宋体"/>
                <w:color w:val="000000"/>
                <w:szCs w:val="21"/>
                <w:highlight w:val="none"/>
              </w:rPr>
              <w:t>信用查询截止时点：资格审查结束前</w:t>
            </w:r>
          </w:p>
          <w:p w14:paraId="7678F6D5">
            <w:pPr>
              <w:snapToGrid w:val="0"/>
              <w:spacing w:line="400" w:lineRule="exact"/>
              <w:rPr>
                <w:rFonts w:ascii="宋体" w:hAnsi="宋体"/>
                <w:color w:val="000000"/>
                <w:szCs w:val="21"/>
                <w:highlight w:val="none"/>
              </w:rPr>
            </w:pPr>
            <w:r>
              <w:rPr>
                <w:rFonts w:hint="eastAsia" w:ascii="宋体" w:hAnsi="宋体"/>
                <w:color w:val="000000"/>
                <w:szCs w:val="21"/>
                <w:highlight w:val="none"/>
              </w:rPr>
              <w:t>查询记录和证据留存方式：在查询网站中直接截图查询记录，截图作为在广西政府采购云平台作为附件上传保存。</w:t>
            </w:r>
          </w:p>
          <w:p w14:paraId="32B6C628">
            <w:pPr>
              <w:snapToGrid w:val="0"/>
              <w:spacing w:line="400" w:lineRule="exact"/>
              <w:rPr>
                <w:rFonts w:ascii="宋体" w:hAnsi="宋体"/>
                <w:b/>
                <w:color w:val="000000"/>
                <w:szCs w:val="21"/>
                <w:highlight w:val="none"/>
              </w:rPr>
            </w:pPr>
            <w:r>
              <w:rPr>
                <w:rFonts w:hint="eastAsia" w:ascii="宋体" w:hAnsi="宋体"/>
                <w:color w:val="000000"/>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7008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9C13FDB">
            <w:pPr>
              <w:spacing w:line="400" w:lineRule="exact"/>
              <w:jc w:val="center"/>
              <w:rPr>
                <w:rFonts w:ascii="宋体" w:hAnsi="宋体"/>
                <w:color w:val="000000"/>
                <w:szCs w:val="21"/>
                <w:highlight w:val="none"/>
              </w:rPr>
            </w:pPr>
            <w:bookmarkStart w:id="74" w:name="_26"/>
            <w:bookmarkEnd w:id="74"/>
            <w:r>
              <w:rPr>
                <w:rFonts w:hint="eastAsia" w:ascii="宋体" w:hAnsi="宋体"/>
                <w:color w:val="000000"/>
                <w:szCs w:val="21"/>
                <w:highlight w:val="none"/>
              </w:rPr>
              <w:t>26</w:t>
            </w:r>
            <w:r>
              <w:rPr>
                <w:rFonts w:ascii="宋体" w:hAnsi="宋体"/>
                <w:color w:val="000000"/>
                <w:szCs w:val="21"/>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2CF7D359">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评标委员会的人数：</w:t>
            </w:r>
            <w:r>
              <w:rPr>
                <w:rFonts w:hint="eastAsia" w:ascii="宋体" w:hAnsi="宋体"/>
                <w:color w:val="000000"/>
                <w:szCs w:val="21"/>
                <w:highlight w:val="none"/>
                <w:u w:val="single"/>
              </w:rPr>
              <w:t>5</w:t>
            </w:r>
            <w:r>
              <w:rPr>
                <w:rFonts w:hint="eastAsia" w:ascii="宋体" w:hAnsi="宋体"/>
                <w:color w:val="000000"/>
                <w:szCs w:val="21"/>
                <w:highlight w:val="none"/>
              </w:rPr>
              <w:t>人及以上</w:t>
            </w:r>
          </w:p>
        </w:tc>
      </w:tr>
      <w:tr w14:paraId="57DB0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75A8089">
            <w:pPr>
              <w:spacing w:line="400" w:lineRule="exact"/>
              <w:jc w:val="center"/>
              <w:rPr>
                <w:rFonts w:ascii="宋体" w:hAnsi="宋体"/>
                <w:color w:val="000000"/>
                <w:szCs w:val="21"/>
                <w:highlight w:val="none"/>
              </w:rPr>
            </w:pPr>
            <w:bookmarkStart w:id="75" w:name="_28.3"/>
            <w:bookmarkEnd w:id="75"/>
            <w:r>
              <w:rPr>
                <w:rFonts w:ascii="宋体" w:hAnsi="宋体"/>
                <w:color w:val="000000"/>
                <w:szCs w:val="21"/>
                <w:highlight w:val="none"/>
              </w:rPr>
              <w:t>29.1</w:t>
            </w:r>
          </w:p>
        </w:tc>
        <w:tc>
          <w:tcPr>
            <w:tcW w:w="7654" w:type="dxa"/>
            <w:tcBorders>
              <w:top w:val="single" w:color="auto" w:sz="4" w:space="0"/>
              <w:left w:val="single" w:color="auto" w:sz="4" w:space="0"/>
              <w:bottom w:val="single" w:color="auto" w:sz="4" w:space="0"/>
              <w:right w:val="single" w:color="auto" w:sz="4" w:space="0"/>
            </w:tcBorders>
            <w:vAlign w:val="center"/>
          </w:tcPr>
          <w:p w14:paraId="49752246">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评标方法：</w:t>
            </w:r>
          </w:p>
          <w:p w14:paraId="2D0FB93D">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综合评分法</w:t>
            </w:r>
          </w:p>
          <w:p w14:paraId="244485CA">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□最低评标价法</w:t>
            </w:r>
          </w:p>
        </w:tc>
      </w:tr>
      <w:tr w14:paraId="05FCA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14:paraId="72FD96CD">
            <w:pPr>
              <w:spacing w:line="400" w:lineRule="exact"/>
              <w:jc w:val="center"/>
              <w:rPr>
                <w:rFonts w:ascii="宋体" w:hAnsi="宋体"/>
                <w:color w:val="000000"/>
                <w:szCs w:val="21"/>
                <w:highlight w:val="none"/>
              </w:rPr>
            </w:pPr>
            <w:bookmarkStart w:id="76" w:name="_29.2.2（2）"/>
            <w:bookmarkEnd w:id="76"/>
            <w:r>
              <w:rPr>
                <w:rFonts w:hint="eastAsia" w:ascii="宋体" w:hAnsi="宋体"/>
                <w:color w:val="000000"/>
                <w:szCs w:val="21"/>
                <w:highlight w:val="none"/>
              </w:rPr>
              <w:t>2</w:t>
            </w:r>
            <w:r>
              <w:rPr>
                <w:rFonts w:ascii="宋体" w:hAnsi="宋体"/>
                <w:color w:val="000000"/>
                <w:szCs w:val="21"/>
                <w:highlight w:val="none"/>
              </w:rPr>
              <w:t>9.2</w:t>
            </w:r>
          </w:p>
        </w:tc>
        <w:tc>
          <w:tcPr>
            <w:tcW w:w="7654" w:type="dxa"/>
            <w:tcBorders>
              <w:top w:val="single" w:color="auto" w:sz="4" w:space="0"/>
              <w:left w:val="single" w:color="auto" w:sz="4" w:space="0"/>
              <w:right w:val="single" w:color="auto" w:sz="4" w:space="0"/>
            </w:tcBorders>
            <w:vAlign w:val="center"/>
          </w:tcPr>
          <w:p w14:paraId="639B8BC4">
            <w:pPr>
              <w:snapToGrid w:val="0"/>
              <w:spacing w:line="400" w:lineRule="exact"/>
              <w:rPr>
                <w:rFonts w:ascii="宋体" w:hAnsi="宋体"/>
                <w:color w:val="000000"/>
                <w:szCs w:val="21"/>
                <w:highlight w:val="none"/>
              </w:rPr>
            </w:pPr>
            <w:r>
              <w:rPr>
                <w:rFonts w:hint="eastAsia" w:ascii="宋体" w:hAnsi="宋体" w:cs="宋体"/>
                <w:color w:val="000000"/>
                <w:szCs w:val="21"/>
                <w:highlight w:val="none"/>
              </w:rPr>
              <w:t>商务要求</w:t>
            </w:r>
            <w:r>
              <w:rPr>
                <w:rFonts w:hint="eastAsia" w:ascii="宋体" w:hAnsi="宋体"/>
                <w:color w:val="000000"/>
                <w:szCs w:val="21"/>
                <w:highlight w:val="none"/>
              </w:rPr>
              <w:t>评审中允许负偏离的条款数为</w:t>
            </w:r>
            <w:r>
              <w:rPr>
                <w:rFonts w:hint="eastAsia" w:ascii="宋体" w:hAnsi="宋体"/>
                <w:color w:val="000000"/>
                <w:szCs w:val="21"/>
                <w:highlight w:val="none"/>
                <w:u w:val="single"/>
              </w:rPr>
              <w:t>0</w:t>
            </w:r>
            <w:r>
              <w:rPr>
                <w:rFonts w:hint="eastAsia" w:ascii="宋体" w:hAnsi="宋体"/>
                <w:color w:val="000000"/>
                <w:szCs w:val="21"/>
                <w:highlight w:val="none"/>
              </w:rPr>
              <w:t>项</w:t>
            </w:r>
            <w:r>
              <w:rPr>
                <w:rFonts w:hint="eastAsia" w:ascii="宋体" w:hAnsi="宋体" w:cs="宋体"/>
                <w:color w:val="000000"/>
                <w:szCs w:val="21"/>
                <w:highlight w:val="none"/>
              </w:rPr>
              <w:t>（负偏离达到1项及以上则投标无效）</w:t>
            </w:r>
            <w:r>
              <w:rPr>
                <w:rFonts w:hint="eastAsia" w:ascii="宋体" w:hAnsi="宋体"/>
                <w:color w:val="000000"/>
                <w:szCs w:val="21"/>
                <w:highlight w:val="none"/>
              </w:rPr>
              <w:t>。</w:t>
            </w:r>
          </w:p>
          <w:p w14:paraId="44999ECE">
            <w:pPr>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技术评审中允许负偏离的项目数为</w:t>
            </w:r>
            <w:r>
              <w:rPr>
                <w:rFonts w:hint="eastAsia" w:ascii="宋体" w:hAnsi="宋体" w:cs="宋体"/>
                <w:color w:val="000000"/>
                <w:szCs w:val="21"/>
                <w:highlight w:val="none"/>
                <w:u w:val="single"/>
                <w:lang w:val="en-US" w:eastAsia="zh-CN"/>
              </w:rPr>
              <w:t>2</w:t>
            </w:r>
            <w:r>
              <w:rPr>
                <w:rFonts w:hint="eastAsia" w:ascii="宋体" w:hAnsi="宋体" w:cs="宋体"/>
                <w:color w:val="000000"/>
                <w:szCs w:val="21"/>
                <w:highlight w:val="none"/>
              </w:rPr>
              <w:t>项。（负偏离达到</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项及以上则投标无效）。</w:t>
            </w:r>
          </w:p>
        </w:tc>
      </w:tr>
      <w:tr w14:paraId="3157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14:paraId="3DDC5D2C">
            <w:pPr>
              <w:spacing w:line="4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9.3</w:t>
            </w:r>
          </w:p>
        </w:tc>
        <w:tc>
          <w:tcPr>
            <w:tcW w:w="7654" w:type="dxa"/>
            <w:tcBorders>
              <w:top w:val="single" w:color="auto" w:sz="4" w:space="0"/>
              <w:left w:val="single" w:color="auto" w:sz="4" w:space="0"/>
              <w:right w:val="single" w:color="auto" w:sz="4" w:space="0"/>
            </w:tcBorders>
            <w:vAlign w:val="center"/>
          </w:tcPr>
          <w:p w14:paraId="1748F97A">
            <w:pPr>
              <w:snapToGrid w:val="0"/>
              <w:spacing w:line="400" w:lineRule="exact"/>
              <w:rPr>
                <w:rFonts w:ascii="宋体" w:hAnsi="宋体"/>
                <w:color w:val="000000"/>
                <w:szCs w:val="21"/>
                <w:highlight w:val="none"/>
              </w:rPr>
            </w:pPr>
            <w:r>
              <w:rPr>
                <w:rFonts w:ascii="宋体" w:hAnsi="宋体"/>
                <w:color w:val="000000"/>
                <w:szCs w:val="21"/>
                <w:highlight w:val="none"/>
              </w:rPr>
              <w:t>中标候选人推荐数量</w:t>
            </w:r>
            <w:r>
              <w:rPr>
                <w:rFonts w:hint="eastAsia" w:ascii="宋体" w:hAnsi="宋体"/>
                <w:color w:val="000000"/>
                <w:szCs w:val="21"/>
                <w:highlight w:val="none"/>
              </w:rPr>
              <w:t>：</w:t>
            </w:r>
          </w:p>
          <w:p w14:paraId="7B5F9FFD">
            <w:pPr>
              <w:snapToGrid w:val="0"/>
              <w:spacing w:line="400" w:lineRule="exact"/>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u w:val="single"/>
              </w:rPr>
              <w:t>3</w:t>
            </w:r>
            <w:r>
              <w:rPr>
                <w:rFonts w:ascii="宋体" w:hAnsi="宋体"/>
                <w:color w:val="000000"/>
                <w:szCs w:val="21"/>
                <w:highlight w:val="none"/>
              </w:rPr>
              <w:t>名</w:t>
            </w:r>
          </w:p>
          <w:p w14:paraId="5A6A2738">
            <w:pPr>
              <w:snapToGrid w:val="0"/>
              <w:spacing w:line="400" w:lineRule="exact"/>
              <w:rPr>
                <w:rFonts w:ascii="宋体" w:hAnsi="宋体" w:cs="宋体"/>
                <w:color w:val="000000"/>
                <w:szCs w:val="21"/>
                <w:highlight w:val="none"/>
                <w:u w:val="single"/>
              </w:rPr>
            </w:pPr>
            <w:r>
              <w:rPr>
                <w:rFonts w:hint="eastAsia" w:ascii="宋体" w:hAnsi="宋体"/>
                <w:color w:val="000000"/>
                <w:szCs w:val="21"/>
                <w:highlight w:val="none"/>
              </w:rPr>
              <w:t>根据[总得分由高到低排列次序并全部推荐为中标候选人</w:t>
            </w:r>
          </w:p>
        </w:tc>
      </w:tr>
      <w:tr w14:paraId="6ED5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9AEDC97">
            <w:pPr>
              <w:spacing w:line="400" w:lineRule="exact"/>
              <w:jc w:val="center"/>
              <w:rPr>
                <w:rFonts w:ascii="宋体" w:hAnsi="宋体"/>
                <w:color w:val="000000"/>
                <w:szCs w:val="21"/>
                <w:highlight w:val="none"/>
              </w:rPr>
            </w:pPr>
            <w:r>
              <w:rPr>
                <w:rFonts w:hint="eastAsia" w:ascii="宋体" w:hAnsi="宋体"/>
                <w:color w:val="000000"/>
                <w:szCs w:val="21"/>
                <w:highlight w:val="none"/>
              </w:rPr>
              <w:t>30</w:t>
            </w:r>
            <w:r>
              <w:rPr>
                <w:rFonts w:ascii="宋体" w:hAnsi="宋体"/>
                <w:color w:val="000000"/>
                <w:szCs w:val="21"/>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61695B1D">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采用综合评分法的采购项目，采购人确定中标人时，出现中标候选人并列的情形，采购人按以下的方式确定中标人：</w:t>
            </w:r>
          </w:p>
          <w:p w14:paraId="1354F15D">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bdr w:val="single" w:color="auto" w:sz="4" w:space="0"/>
              </w:rPr>
              <w:t>√</w:t>
            </w:r>
            <w:r>
              <w:rPr>
                <w:rFonts w:hint="eastAsia" w:ascii="宋体" w:hAnsi="宋体"/>
                <w:color w:val="000000"/>
                <w:szCs w:val="21"/>
                <w:highlight w:val="none"/>
              </w:rPr>
              <w:t>依次按投标报价低的优先、政策分得分高的优先、技术评分高的优先、商务评分高的优先、保修期长优先、交货期短优先、故障响应时间短优先的顺序确定；</w:t>
            </w:r>
          </w:p>
          <w:p w14:paraId="1B34866B">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□随机抽取；</w:t>
            </w:r>
          </w:p>
        </w:tc>
      </w:tr>
      <w:tr w14:paraId="504E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14:paraId="14BBACFE">
            <w:pPr>
              <w:spacing w:line="400" w:lineRule="exact"/>
              <w:jc w:val="center"/>
              <w:rPr>
                <w:rFonts w:ascii="宋体" w:hAnsi="宋体"/>
                <w:color w:val="000000"/>
                <w:szCs w:val="21"/>
                <w:highlight w:val="none"/>
              </w:rPr>
            </w:pPr>
            <w:bookmarkStart w:id="77" w:name="_39.1"/>
            <w:bookmarkEnd w:id="77"/>
            <w:r>
              <w:rPr>
                <w:rFonts w:hint="eastAsia" w:ascii="宋体" w:hAnsi="宋体"/>
                <w:color w:val="000000"/>
                <w:szCs w:val="21"/>
                <w:highlight w:val="none"/>
              </w:rPr>
              <w:t>35</w:t>
            </w:r>
            <w:r>
              <w:rPr>
                <w:rFonts w:ascii="宋体" w:hAnsi="宋体"/>
                <w:color w:val="000000"/>
                <w:szCs w:val="21"/>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2E3B7868">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本项目不收取履约保证金。</w:t>
            </w:r>
          </w:p>
          <w:p w14:paraId="316C9541">
            <w:pPr>
              <w:autoSpaceDE w:val="0"/>
              <w:autoSpaceDN w:val="0"/>
              <w:snapToGrid w:val="0"/>
              <w:spacing w:line="400" w:lineRule="exact"/>
              <w:textAlignment w:val="bottom"/>
              <w:rPr>
                <w:rFonts w:ascii="宋体" w:hAnsi="宋体"/>
                <w:b/>
                <w:bCs/>
                <w:color w:val="000000"/>
                <w:szCs w:val="21"/>
                <w:highlight w:val="none"/>
              </w:rPr>
            </w:pPr>
            <w:r>
              <w:rPr>
                <w:rFonts w:hint="eastAsia" w:ascii="宋体" w:hAnsi="宋体"/>
                <w:b/>
                <w:bCs/>
                <w:color w:val="000000"/>
                <w:szCs w:val="21"/>
                <w:highlight w:val="none"/>
              </w:rPr>
              <w:sym w:font="Wingdings 2" w:char="0052"/>
            </w:r>
            <w:r>
              <w:rPr>
                <w:rFonts w:hint="eastAsia" w:ascii="宋体" w:hAnsi="宋体"/>
                <w:b/>
                <w:bCs/>
                <w:color w:val="000000"/>
                <w:szCs w:val="21"/>
                <w:highlight w:val="none"/>
              </w:rPr>
              <w:t>本项目收取履约保证金，具体规定如下：</w:t>
            </w:r>
          </w:p>
          <w:p w14:paraId="617620ED">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1.履约保证金金额：中标金额的__5__%。（若中标人被评标委员会认定为中小企业的，履约保证金数额将按中标金额的2%收取）</w:t>
            </w:r>
          </w:p>
          <w:p w14:paraId="37C1130A">
            <w:pPr>
              <w:keepNext w:val="0"/>
              <w:keepLines w:val="0"/>
              <w:pageBreakBefore w:val="0"/>
              <w:widowControl/>
              <w:numPr>
                <w:ilvl w:val="0"/>
                <w:numId w:val="0"/>
              </w:numPr>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2.履约保证金递交方式：转账或电汇等形式（支持支票、汇票、本票、保函等形式）</w:t>
            </w:r>
          </w:p>
          <w:p w14:paraId="67A1DBC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3.履约保证金递交时间：</w:t>
            </w:r>
            <w:r>
              <w:rPr>
                <w:rFonts w:hint="eastAsia" w:ascii="宋体" w:hAnsi="宋体" w:cs="宋体"/>
                <w:b w:val="0"/>
                <w:bCs w:val="0"/>
                <w:color w:val="auto"/>
                <w:sz w:val="21"/>
                <w:szCs w:val="21"/>
                <w:highlight w:val="none"/>
                <w:lang w:val="en-US" w:eastAsia="zh-CN"/>
              </w:rPr>
              <w:t>签订合同后3个工作日内由中标人转入采购人指定保证金账户。</w:t>
            </w:r>
          </w:p>
          <w:p w14:paraId="53EC293A">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4.履约保证金期限：验收合格之日起一年</w:t>
            </w:r>
          </w:p>
          <w:p w14:paraId="0EF40E94">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履约保证金退还：履约保证期满后中标人无违约行为，中标人提供《政府采购项目履约保证金退付意见书》及《政府采购项目合同验收报告》，向采购人提出书面申请退还，采购人在收到申请后5个工作日内按照履约保证金缴纳的具体方式，配合中标人办理无息退还事宜。保证金指定账户：</w:t>
            </w:r>
          </w:p>
          <w:p w14:paraId="1D03A63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开户名：广西制造工程职业技术学院</w:t>
            </w:r>
          </w:p>
          <w:p w14:paraId="2671AE6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开户行：农行南宁东盟经济园区支行</w:t>
            </w:r>
          </w:p>
          <w:p w14:paraId="408313B5">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账  号：20036501040014065</w:t>
            </w:r>
          </w:p>
          <w:p w14:paraId="0472FB08">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p w14:paraId="3B9E18AF">
            <w:pPr>
              <w:spacing w:line="360" w:lineRule="auto"/>
              <w:contextualSpacing/>
              <w:rPr>
                <w:rFonts w:ascii="宋体" w:hAnsi="宋体" w:cs="宋体"/>
                <w:b/>
                <w:color w:val="000000"/>
                <w:szCs w:val="21"/>
                <w:highlight w:val="none"/>
              </w:rPr>
            </w:pPr>
            <w:r>
              <w:rPr>
                <w:rFonts w:hint="eastAsia" w:ascii="宋体" w:hAnsi="宋体" w:cs="宋体"/>
                <w:b/>
                <w:color w:val="000000"/>
                <w:szCs w:val="21"/>
                <w:highlight w:val="none"/>
              </w:rPr>
              <w:t>1.</w:t>
            </w:r>
            <w:bookmarkStart w:id="78" w:name="_Hlk54170335"/>
            <w:r>
              <w:rPr>
                <w:rFonts w:hint="eastAsia" w:ascii="宋体" w:hAnsi="宋体" w:cs="宋体"/>
                <w:b/>
                <w:color w:val="000000"/>
                <w:szCs w:val="21"/>
                <w:highlight w:val="none"/>
              </w:rPr>
              <w:t>根据《广西壮族自治区财政厅关于持续优化政府采购营商环境推动高质量发展的通知》（</w:t>
            </w:r>
            <w:r>
              <w:rPr>
                <w:rFonts w:hint="eastAsia" w:ascii="宋体" w:hAnsi="宋体" w:cs="宋体"/>
                <w:b/>
                <w:color w:val="000000"/>
                <w:szCs w:val="21"/>
                <w:highlight w:val="none"/>
                <w:lang w:eastAsia="zh-CN"/>
              </w:rPr>
              <w:t>桂财采〔2024〕55号</w:t>
            </w:r>
            <w:r>
              <w:rPr>
                <w:rFonts w:hint="eastAsia" w:ascii="宋体" w:hAnsi="宋体" w:cs="宋体"/>
                <w:b/>
                <w:color w:val="000000"/>
                <w:szCs w:val="21"/>
                <w:highlight w:val="none"/>
              </w:rPr>
              <w:t>）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78"/>
          </w:p>
          <w:p w14:paraId="16B3D763">
            <w:pPr>
              <w:spacing w:line="360" w:lineRule="auto"/>
              <w:jc w:val="left"/>
              <w:rPr>
                <w:rFonts w:ascii="宋体" w:hAnsi="宋体"/>
                <w:b/>
                <w:color w:val="000000"/>
                <w:szCs w:val="21"/>
                <w:highlight w:val="none"/>
              </w:rPr>
            </w:pPr>
            <w:r>
              <w:rPr>
                <w:rFonts w:hint="eastAsia" w:ascii="宋体" w:hAnsi="宋体"/>
                <w:b/>
                <w:color w:val="000000"/>
                <w:szCs w:val="21"/>
                <w:highlight w:val="none"/>
              </w:rPr>
              <w:t>2</w:t>
            </w:r>
            <w:r>
              <w:rPr>
                <w:rFonts w:ascii="宋体" w:hAnsi="宋体"/>
                <w:b/>
                <w:color w:val="000000"/>
                <w:szCs w:val="21"/>
                <w:highlight w:val="none"/>
              </w:rPr>
              <w:t>.</w:t>
            </w:r>
            <w:r>
              <w:rPr>
                <w:rFonts w:hint="eastAsia" w:ascii="宋体" w:hAnsi="宋体"/>
                <w:b/>
                <w:color w:val="000000"/>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1AEDACA">
            <w:pPr>
              <w:spacing w:line="360" w:lineRule="auto"/>
              <w:jc w:val="left"/>
              <w:rPr>
                <w:rFonts w:ascii="宋体" w:hAnsi="宋体"/>
                <w:b/>
                <w:color w:val="000000"/>
                <w:szCs w:val="21"/>
                <w:highlight w:val="none"/>
              </w:rPr>
            </w:pPr>
            <w:r>
              <w:rPr>
                <w:rFonts w:hint="eastAsia" w:ascii="宋体" w:hAnsi="宋体"/>
                <w:b/>
                <w:color w:val="000000"/>
                <w:szCs w:val="21"/>
                <w:highlight w:val="none"/>
              </w:rPr>
              <w:t>3</w:t>
            </w:r>
            <w:r>
              <w:rPr>
                <w:rFonts w:ascii="宋体" w:hAnsi="宋体"/>
                <w:b/>
                <w:color w:val="000000"/>
                <w:szCs w:val="21"/>
                <w:highlight w:val="none"/>
              </w:rPr>
              <w:t>.采用银行、保险机构出具的保函的，必须为无条件保函，否则不予签订合同。</w:t>
            </w:r>
          </w:p>
          <w:p w14:paraId="70E2FAA7">
            <w:pPr>
              <w:spacing w:line="360" w:lineRule="auto"/>
              <w:jc w:val="left"/>
              <w:rPr>
                <w:rFonts w:ascii="宋体" w:hAnsi="宋体" w:cs="宋体"/>
                <w:color w:val="000000"/>
                <w:kern w:val="0"/>
                <w:szCs w:val="21"/>
                <w:highlight w:val="none"/>
              </w:rPr>
            </w:pPr>
            <w:r>
              <w:rPr>
                <w:rFonts w:hint="eastAsia" w:ascii="宋体" w:hAnsi="宋体"/>
                <w:b/>
                <w:color w:val="000000"/>
                <w:szCs w:val="21"/>
                <w:highlight w:val="none"/>
              </w:rPr>
              <w:t>4</w:t>
            </w:r>
            <w:r>
              <w:rPr>
                <w:rFonts w:ascii="宋体" w:hAnsi="宋体"/>
                <w:b/>
                <w:color w:val="000000"/>
                <w:szCs w:val="21"/>
                <w:highlight w:val="none"/>
              </w:rPr>
              <w:t>.</w:t>
            </w:r>
            <w:r>
              <w:rPr>
                <w:rFonts w:hint="eastAsia" w:ascii="宋体" w:hAnsi="宋体"/>
                <w:b/>
                <w:color w:val="000000"/>
                <w:szCs w:val="21"/>
                <w:highlight w:val="none"/>
              </w:rPr>
              <w:t>投标人为联合体的，由联合体其中一方按规定提交的履约保证金，视为有效履约保证金。</w:t>
            </w:r>
          </w:p>
        </w:tc>
      </w:tr>
      <w:tr w14:paraId="5066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350E2F1">
            <w:pPr>
              <w:spacing w:line="400" w:lineRule="exact"/>
              <w:jc w:val="center"/>
              <w:rPr>
                <w:rFonts w:ascii="宋体" w:hAnsi="宋体"/>
                <w:color w:val="000000"/>
                <w:szCs w:val="21"/>
                <w:highlight w:val="none"/>
              </w:rPr>
            </w:pPr>
            <w:bookmarkStart w:id="79" w:name="_40.1"/>
            <w:bookmarkEnd w:id="79"/>
            <w:r>
              <w:rPr>
                <w:rFonts w:hint="eastAsia" w:ascii="宋体" w:hAnsi="宋体"/>
                <w:color w:val="000000"/>
                <w:szCs w:val="21"/>
                <w:highlight w:val="none"/>
              </w:rPr>
              <w:t>36.1</w:t>
            </w:r>
          </w:p>
        </w:tc>
        <w:tc>
          <w:tcPr>
            <w:tcW w:w="7654" w:type="dxa"/>
            <w:tcBorders>
              <w:top w:val="single" w:color="auto" w:sz="4" w:space="0"/>
              <w:left w:val="single" w:color="auto" w:sz="4" w:space="0"/>
              <w:bottom w:val="single" w:color="auto" w:sz="4" w:space="0"/>
              <w:right w:val="single" w:color="auto" w:sz="4" w:space="0"/>
            </w:tcBorders>
            <w:vAlign w:val="center"/>
          </w:tcPr>
          <w:p w14:paraId="64F4BEC6">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 xml:space="preserve">签订合同携带的证明材料： </w:t>
            </w:r>
          </w:p>
          <w:p w14:paraId="7E1046BF">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委托代理人负责签订合同的，须携带授权委托书及委托代理人身份证原件等其他资格证件。</w:t>
            </w:r>
          </w:p>
          <w:p w14:paraId="7C06C1EB">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法定代表人（或负责人）负责签订合同的，须携带法定代表人（或负责人）</w:t>
            </w:r>
            <w:r>
              <w:rPr>
                <w:rFonts w:ascii="宋体" w:hAnsi="宋体"/>
                <w:color w:val="000000"/>
                <w:szCs w:val="21"/>
                <w:highlight w:val="none"/>
              </w:rPr>
              <w:t>身份证明原件</w:t>
            </w:r>
            <w:r>
              <w:rPr>
                <w:rFonts w:hint="eastAsia" w:ascii="宋体" w:hAnsi="宋体"/>
                <w:color w:val="000000"/>
                <w:szCs w:val="21"/>
                <w:highlight w:val="none"/>
              </w:rPr>
              <w:t>及</w:t>
            </w:r>
            <w:r>
              <w:rPr>
                <w:rFonts w:ascii="宋体" w:hAnsi="宋体"/>
                <w:color w:val="000000"/>
                <w:szCs w:val="21"/>
                <w:highlight w:val="none"/>
              </w:rPr>
              <w:t>身份证原件</w:t>
            </w:r>
            <w:r>
              <w:rPr>
                <w:rFonts w:hint="eastAsia" w:ascii="宋体" w:hAnsi="宋体"/>
                <w:color w:val="000000"/>
                <w:szCs w:val="21"/>
                <w:highlight w:val="none"/>
              </w:rPr>
              <w:t>等其他证明材料。</w:t>
            </w:r>
          </w:p>
        </w:tc>
      </w:tr>
      <w:tr w14:paraId="067DB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27BF410">
            <w:pPr>
              <w:spacing w:line="400" w:lineRule="exact"/>
              <w:jc w:val="center"/>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8.2</w:t>
            </w:r>
          </w:p>
        </w:tc>
        <w:tc>
          <w:tcPr>
            <w:tcW w:w="7654" w:type="dxa"/>
            <w:tcBorders>
              <w:top w:val="single" w:color="auto" w:sz="4" w:space="0"/>
              <w:left w:val="single" w:color="auto" w:sz="4" w:space="0"/>
              <w:bottom w:val="single" w:color="auto" w:sz="4" w:space="0"/>
              <w:right w:val="single" w:color="auto" w:sz="4" w:space="0"/>
            </w:tcBorders>
            <w:vAlign w:val="center"/>
          </w:tcPr>
          <w:p w14:paraId="061CC0BA">
            <w:pPr>
              <w:snapToGrid w:val="0"/>
              <w:spacing w:line="400" w:lineRule="exact"/>
              <w:rPr>
                <w:rFonts w:ascii="宋体" w:hAnsi="宋体"/>
                <w:color w:val="000000"/>
                <w:szCs w:val="21"/>
                <w:highlight w:val="none"/>
              </w:rPr>
            </w:pPr>
            <w:r>
              <w:rPr>
                <w:rFonts w:hint="eastAsia" w:ascii="宋体" w:hAnsi="宋体"/>
                <w:color w:val="000000"/>
                <w:szCs w:val="21"/>
                <w:highlight w:val="none"/>
              </w:rPr>
              <w:t>接收质疑函方式：以书面形式</w:t>
            </w:r>
          </w:p>
          <w:p w14:paraId="7A49EE2F">
            <w:pPr>
              <w:snapToGrid w:val="0"/>
              <w:spacing w:line="400" w:lineRule="exact"/>
              <w:rPr>
                <w:rFonts w:ascii="宋体" w:hAnsi="宋体"/>
                <w:color w:val="000000"/>
                <w:szCs w:val="21"/>
                <w:highlight w:val="none"/>
              </w:rPr>
            </w:pPr>
            <w:r>
              <w:rPr>
                <w:rFonts w:hint="eastAsia" w:ascii="宋体" w:hAnsi="宋体"/>
                <w:color w:val="000000"/>
                <w:szCs w:val="21"/>
                <w:highlight w:val="none"/>
              </w:rPr>
              <w:t>质疑联系部门及联系方式：广西正海招标有限公司，</w:t>
            </w:r>
            <w:r>
              <w:rPr>
                <w:rFonts w:ascii="宋体" w:hAnsi="宋体"/>
                <w:color w:val="000000"/>
                <w:szCs w:val="21"/>
                <w:highlight w:val="none"/>
              </w:rPr>
              <w:t>联系电话</w:t>
            </w:r>
            <w:r>
              <w:rPr>
                <w:rFonts w:hint="eastAsia" w:ascii="宋体" w:hAnsi="宋体"/>
                <w:color w:val="000000"/>
                <w:szCs w:val="21"/>
                <w:highlight w:val="none"/>
              </w:rPr>
              <w:t>：0771-2865989，</w:t>
            </w:r>
            <w:r>
              <w:rPr>
                <w:rFonts w:ascii="宋体" w:hAnsi="宋体"/>
                <w:color w:val="000000"/>
                <w:szCs w:val="21"/>
                <w:highlight w:val="none"/>
              </w:rPr>
              <w:t>通讯地址</w:t>
            </w:r>
            <w:r>
              <w:rPr>
                <w:rFonts w:hint="eastAsia" w:ascii="宋体" w:hAnsi="宋体" w:cs="Helvetica"/>
                <w:color w:val="000000"/>
                <w:szCs w:val="21"/>
                <w:highlight w:val="none"/>
              </w:rPr>
              <w:t>：</w:t>
            </w:r>
            <w:r>
              <w:rPr>
                <w:rFonts w:hint="eastAsia" w:ascii="宋体" w:hAnsi="宋体"/>
                <w:color w:val="000000"/>
                <w:szCs w:val="21"/>
                <w:highlight w:val="none"/>
              </w:rPr>
              <w:t>广西正海招标有限公司（广西南宁市青秀区茅桥路2号习艺基地A栋1号电梯3楼）</w:t>
            </w:r>
          </w:p>
          <w:p w14:paraId="007D166A">
            <w:pPr>
              <w:autoSpaceDE w:val="0"/>
              <w:autoSpaceDN w:val="0"/>
              <w:snapToGrid w:val="0"/>
              <w:spacing w:line="400" w:lineRule="exact"/>
              <w:textAlignment w:val="bottom"/>
              <w:rPr>
                <w:rFonts w:ascii="宋体" w:hAnsi="宋体"/>
                <w:color w:val="000000"/>
                <w:szCs w:val="21"/>
                <w:highlight w:val="none"/>
              </w:rPr>
            </w:pPr>
            <w:r>
              <w:rPr>
                <w:rFonts w:hint="eastAsia" w:ascii="宋体" w:hAnsi="宋体"/>
                <w:color w:val="000000"/>
                <w:szCs w:val="21"/>
                <w:highlight w:val="none"/>
              </w:rPr>
              <w:t>现场提交质疑办理业务时间：每天8时00分到12时00分，15时00分到18时00分，业务时间以外、双休日和法定节假日不办理业务。</w:t>
            </w:r>
          </w:p>
        </w:tc>
      </w:tr>
      <w:tr w14:paraId="20193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87CD35">
            <w:pPr>
              <w:spacing w:line="400" w:lineRule="exact"/>
              <w:jc w:val="center"/>
              <w:rPr>
                <w:rFonts w:ascii="宋体" w:hAnsi="宋体"/>
                <w:color w:val="000000"/>
                <w:szCs w:val="21"/>
                <w:highlight w:val="none"/>
              </w:rPr>
            </w:pPr>
            <w:bookmarkStart w:id="80" w:name="_41"/>
            <w:bookmarkEnd w:id="80"/>
            <w:bookmarkStart w:id="81" w:name="_42"/>
            <w:bookmarkEnd w:id="81"/>
            <w:bookmarkStart w:id="82" w:name="_Hlt17709148"/>
            <w:r>
              <w:rPr>
                <w:rFonts w:hint="eastAsia" w:ascii="宋体" w:hAnsi="宋体"/>
                <w:color w:val="000000"/>
                <w:szCs w:val="21"/>
                <w:highlight w:val="none"/>
              </w:rPr>
              <w:t>3</w:t>
            </w:r>
            <w:bookmarkEnd w:id="82"/>
            <w:r>
              <w:rPr>
                <w:rFonts w:ascii="宋体" w:hAnsi="宋体"/>
                <w:color w:val="000000"/>
                <w:szCs w:val="21"/>
                <w:highlight w:val="none"/>
              </w:rPr>
              <w:t>9.1</w:t>
            </w:r>
          </w:p>
        </w:tc>
        <w:tc>
          <w:tcPr>
            <w:tcW w:w="7654" w:type="dxa"/>
            <w:tcBorders>
              <w:top w:val="single" w:color="auto" w:sz="4" w:space="0"/>
              <w:left w:val="single" w:color="auto" w:sz="4" w:space="0"/>
              <w:bottom w:val="single" w:color="auto" w:sz="4" w:space="0"/>
              <w:right w:val="single" w:color="auto" w:sz="4" w:space="0"/>
            </w:tcBorders>
            <w:vAlign w:val="center"/>
          </w:tcPr>
          <w:p w14:paraId="067D62EA">
            <w:pPr>
              <w:pStyle w:val="26"/>
              <w:snapToGrid w:val="0"/>
              <w:spacing w:line="400" w:lineRule="exact"/>
              <w:rPr>
                <w:rFonts w:hAnsi="宋体" w:cs="宋体"/>
                <w:color w:val="000000"/>
                <w:sz w:val="21"/>
                <w:highlight w:val="none"/>
              </w:rPr>
            </w:pPr>
            <w:r>
              <w:rPr>
                <w:rFonts w:hint="eastAsia" w:hAnsi="宋体" w:cs="宋体"/>
                <w:color w:val="000000"/>
                <w:sz w:val="21"/>
                <w:highlight w:val="none"/>
              </w:rPr>
              <w:t>1.采购代理费支付方式：</w:t>
            </w:r>
          </w:p>
          <w:p w14:paraId="7CDB289E">
            <w:pPr>
              <w:pStyle w:val="26"/>
              <w:snapToGrid w:val="0"/>
              <w:spacing w:line="400" w:lineRule="exact"/>
              <w:rPr>
                <w:rFonts w:hAnsi="宋体" w:cs="宋体"/>
                <w:color w:val="000000"/>
                <w:sz w:val="21"/>
                <w:highlight w:val="none"/>
              </w:rPr>
            </w:pPr>
            <w:r>
              <w:rPr>
                <w:rFonts w:hint="eastAsia" w:hAnsi="宋体" w:cs="宋体"/>
                <w:color w:val="000000"/>
                <w:sz w:val="21"/>
                <w:highlight w:val="none"/>
              </w:rPr>
              <w:sym w:font="Wingdings 2" w:char="0052"/>
            </w:r>
            <w:r>
              <w:rPr>
                <w:rFonts w:hint="eastAsia" w:hAnsi="宋体" w:cs="宋体"/>
                <w:color w:val="000000"/>
                <w:sz w:val="21"/>
                <w:highlight w:val="none"/>
              </w:rPr>
              <w:t>本项目代理服务费由</w:t>
            </w:r>
            <w:r>
              <w:rPr>
                <w:rFonts w:hint="eastAsia" w:hAnsi="宋体" w:cs="宋体"/>
                <w:color w:val="000000"/>
                <w:sz w:val="21"/>
                <w:highlight w:val="none"/>
                <w:u w:val="single"/>
              </w:rPr>
              <w:t>中标人</w:t>
            </w:r>
            <w:r>
              <w:rPr>
                <w:rFonts w:hint="eastAsia" w:hAnsi="宋体" w:cs="宋体"/>
                <w:color w:val="000000"/>
                <w:sz w:val="21"/>
                <w:highlight w:val="none"/>
              </w:rPr>
              <w:t>在领取中标通知书前，一次性向采购代理机构支付。</w:t>
            </w:r>
          </w:p>
          <w:p w14:paraId="6AF2E09C">
            <w:pPr>
              <w:pStyle w:val="26"/>
              <w:snapToGrid w:val="0"/>
              <w:spacing w:line="400" w:lineRule="exact"/>
              <w:rPr>
                <w:rFonts w:hAnsi="宋体" w:cs="宋体"/>
                <w:color w:val="000000"/>
                <w:sz w:val="21"/>
                <w:highlight w:val="none"/>
              </w:rPr>
            </w:pPr>
            <w:r>
              <w:rPr>
                <w:rFonts w:hint="eastAsia" w:hAnsi="宋体" w:cs="宋体"/>
                <w:color w:val="000000"/>
                <w:sz w:val="21"/>
                <w:highlight w:val="none"/>
              </w:rPr>
              <w:t>□采购人支付。</w:t>
            </w:r>
          </w:p>
          <w:p w14:paraId="210DE548">
            <w:pPr>
              <w:pStyle w:val="26"/>
              <w:snapToGrid w:val="0"/>
              <w:spacing w:line="400" w:lineRule="exact"/>
              <w:rPr>
                <w:rFonts w:hAnsi="宋体" w:cs="宋体"/>
                <w:color w:val="000000"/>
                <w:sz w:val="21"/>
                <w:highlight w:val="none"/>
              </w:rPr>
            </w:pPr>
            <w:r>
              <w:rPr>
                <w:rFonts w:hint="eastAsia" w:hAnsi="宋体" w:cs="宋体"/>
                <w:color w:val="000000"/>
                <w:sz w:val="21"/>
                <w:highlight w:val="none"/>
              </w:rPr>
              <w:t>2.采购代理费收取标准：</w:t>
            </w:r>
          </w:p>
          <w:p w14:paraId="2118AC52">
            <w:pPr>
              <w:pStyle w:val="26"/>
              <w:snapToGrid w:val="0"/>
              <w:spacing w:line="400" w:lineRule="exact"/>
              <w:rPr>
                <w:rFonts w:hAnsi="宋体" w:cs="宋体"/>
                <w:color w:val="000000"/>
                <w:sz w:val="21"/>
                <w:highlight w:val="none"/>
              </w:rPr>
            </w:pPr>
            <w:r>
              <w:rPr>
                <w:rFonts w:hint="eastAsia" w:hAnsi="宋体" w:cs="宋体"/>
                <w:color w:val="000000"/>
                <w:sz w:val="21"/>
                <w:highlight w:val="none"/>
              </w:rPr>
              <w:sym w:font="Wingdings 2" w:char="0052"/>
            </w:r>
            <w:r>
              <w:rPr>
                <w:rFonts w:hint="eastAsia" w:hAnsi="宋体" w:cs="宋体"/>
                <w:color w:val="000000"/>
                <w:sz w:val="21"/>
                <w:highlight w:val="none"/>
              </w:rPr>
              <w:t>以分标（</w:t>
            </w:r>
            <w:r>
              <w:rPr>
                <w:rFonts w:hint="eastAsia" w:hAnsi="宋体" w:cs="宋体"/>
                <w:color w:val="000000"/>
                <w:sz w:val="21"/>
                <w:highlight w:val="none"/>
              </w:rPr>
              <w:sym w:font="Wingdings 2" w:char="0052"/>
            </w:r>
            <w:r>
              <w:rPr>
                <w:rFonts w:hint="eastAsia" w:hAnsi="宋体" w:cs="宋体"/>
                <w:color w:val="000000"/>
                <w:sz w:val="21"/>
                <w:highlight w:val="none"/>
              </w:rPr>
              <w:t>中标金额/□采购预算/□暂定中标金额/□其他</w:t>
            </w:r>
            <w:r>
              <w:rPr>
                <w:rFonts w:hint="eastAsia" w:hAnsi="宋体" w:cs="宋体"/>
                <w:color w:val="000000"/>
                <w:sz w:val="21"/>
                <w:highlight w:val="none"/>
                <w:u w:val="single"/>
              </w:rPr>
              <w:t xml:space="preserve"> </w:t>
            </w:r>
            <w:r>
              <w:rPr>
                <w:rFonts w:hAnsi="宋体" w:cs="宋体"/>
                <w:color w:val="000000"/>
                <w:sz w:val="21"/>
                <w:highlight w:val="none"/>
                <w:u w:val="single"/>
              </w:rPr>
              <w:t xml:space="preserve">  </w:t>
            </w:r>
            <w:r>
              <w:rPr>
                <w:rFonts w:hint="eastAsia" w:hAnsi="宋体" w:cs="宋体"/>
                <w:color w:val="000000"/>
                <w:sz w:val="21"/>
                <w:highlight w:val="none"/>
              </w:rPr>
              <w:t>）为计费额，按本须知正文第</w:t>
            </w:r>
            <w:r>
              <w:rPr>
                <w:rFonts w:hAnsi="宋体" w:cs="宋体"/>
                <w:color w:val="000000"/>
                <w:sz w:val="21"/>
                <w:highlight w:val="none"/>
              </w:rPr>
              <w:t>39</w:t>
            </w:r>
            <w:r>
              <w:rPr>
                <w:rFonts w:hint="eastAsia" w:hAnsi="宋体" w:cs="宋体"/>
                <w:color w:val="000000"/>
                <w:sz w:val="21"/>
                <w:highlight w:val="none"/>
              </w:rPr>
              <w:t>.</w:t>
            </w:r>
            <w:r>
              <w:rPr>
                <w:rFonts w:hAnsi="宋体" w:cs="宋体"/>
                <w:color w:val="000000"/>
                <w:sz w:val="21"/>
                <w:highlight w:val="none"/>
              </w:rPr>
              <w:t>2</w:t>
            </w:r>
            <w:r>
              <w:rPr>
                <w:rFonts w:hint="eastAsia" w:hAnsi="宋体" w:cs="宋体"/>
                <w:color w:val="000000"/>
                <w:sz w:val="21"/>
                <w:highlight w:val="none"/>
              </w:rPr>
              <w:t>条规定的收费计算标准（</w:t>
            </w:r>
            <w:r>
              <w:rPr>
                <w:rFonts w:hint="eastAsia" w:hAnsi="宋体" w:cs="宋体"/>
                <w:color w:val="000000"/>
                <w:sz w:val="21"/>
                <w:highlight w:val="none"/>
              </w:rPr>
              <w:sym w:font="Wingdings 2" w:char="0052"/>
            </w:r>
            <w:r>
              <w:rPr>
                <w:rFonts w:hint="eastAsia" w:hAnsi="宋体" w:cs="宋体"/>
                <w:color w:val="000000"/>
                <w:sz w:val="21"/>
                <w:highlight w:val="none"/>
              </w:rPr>
              <w:t>货物招标/□服务招标/□工程招标）采用差额定率累进法计算出收费基准价格，采购代理收费以（</w:t>
            </w:r>
            <w:r>
              <w:rPr>
                <w:rFonts w:hint="eastAsia" w:hAnsi="宋体" w:cs="宋体"/>
                <w:color w:val="000000"/>
                <w:sz w:val="21"/>
                <w:highlight w:val="none"/>
              </w:rPr>
              <w:sym w:font="Wingdings 2" w:char="0052"/>
            </w:r>
            <w:r>
              <w:rPr>
                <w:rFonts w:hint="eastAsia" w:hAnsi="宋体" w:cs="宋体"/>
                <w:color w:val="000000"/>
                <w:sz w:val="21"/>
                <w:highlight w:val="none"/>
              </w:rPr>
              <w:t>收费基准价格/</w:t>
            </w:r>
            <w:r>
              <w:rPr>
                <w:rFonts w:hint="eastAsia" w:hAnsi="宋体" w:cs="宋体"/>
                <w:color w:val="000000"/>
                <w:sz w:val="21"/>
                <w:highlight w:val="none"/>
              </w:rPr>
              <w:sym w:font="Wingdings 2" w:char="00A3"/>
            </w:r>
            <w:r>
              <w:rPr>
                <w:rFonts w:hint="eastAsia" w:hAnsi="宋体" w:cs="宋体"/>
                <w:color w:val="000000"/>
                <w:sz w:val="21"/>
                <w:highlight w:val="none"/>
              </w:rPr>
              <w:t>收费基准价格下浮</w:t>
            </w:r>
            <w:r>
              <w:rPr>
                <w:rFonts w:hint="eastAsia" w:hAnsi="宋体" w:cs="宋体"/>
                <w:color w:val="000000"/>
                <w:sz w:val="21"/>
                <w:highlight w:val="none"/>
                <w:u w:val="single"/>
              </w:rPr>
              <w:t xml:space="preserve">  %</w:t>
            </w:r>
            <w:r>
              <w:rPr>
                <w:rFonts w:hAnsi="宋体" w:cs="宋体"/>
                <w:color w:val="000000"/>
                <w:sz w:val="21"/>
                <w:highlight w:val="none"/>
              </w:rPr>
              <w:t>/</w:t>
            </w:r>
            <w:r>
              <w:rPr>
                <w:rFonts w:hint="eastAsia" w:hAnsi="宋体" w:cs="宋体"/>
                <w:color w:val="000000"/>
                <w:sz w:val="21"/>
                <w:highlight w:val="none"/>
              </w:rPr>
              <w:sym w:font="Wingdings 2" w:char="0052"/>
            </w:r>
            <w:r>
              <w:rPr>
                <w:rFonts w:hint="eastAsia" w:hAnsi="宋体" w:cs="宋体"/>
                <w:color w:val="000000"/>
                <w:sz w:val="21"/>
                <w:highlight w:val="none"/>
              </w:rPr>
              <w:t>收费基准价格上浮</w:t>
            </w:r>
            <w:r>
              <w:rPr>
                <w:rFonts w:hint="eastAsia" w:hAnsi="宋体" w:cs="宋体"/>
                <w:color w:val="000000"/>
                <w:sz w:val="21"/>
                <w:highlight w:val="none"/>
                <w:u w:val="single"/>
              </w:rPr>
              <w:t xml:space="preserve"> </w:t>
            </w:r>
            <w:r>
              <w:rPr>
                <w:rFonts w:hAnsi="宋体" w:cs="宋体"/>
                <w:color w:val="000000"/>
                <w:sz w:val="21"/>
                <w:highlight w:val="none"/>
                <w:u w:val="single"/>
              </w:rPr>
              <w:t xml:space="preserve">  </w:t>
            </w:r>
            <w:r>
              <w:rPr>
                <w:rFonts w:hint="eastAsia" w:hAnsi="宋体" w:cs="宋体"/>
                <w:color w:val="000000"/>
                <w:sz w:val="21"/>
                <w:highlight w:val="none"/>
                <w:u w:val="single"/>
              </w:rPr>
              <w:t>%</w:t>
            </w:r>
            <w:r>
              <w:rPr>
                <w:rFonts w:hint="eastAsia" w:hAnsi="宋体" w:cs="宋体"/>
                <w:color w:val="000000"/>
                <w:sz w:val="21"/>
                <w:highlight w:val="none"/>
              </w:rPr>
              <w:t>）收取。</w:t>
            </w:r>
          </w:p>
          <w:p w14:paraId="7A8CD54C">
            <w:pPr>
              <w:pStyle w:val="26"/>
              <w:snapToGrid w:val="0"/>
              <w:spacing w:line="400" w:lineRule="exact"/>
              <w:rPr>
                <w:rFonts w:hAnsi="宋体" w:cs="宋体"/>
                <w:color w:val="000000"/>
                <w:sz w:val="21"/>
                <w:highlight w:val="none"/>
                <w:u w:val="single"/>
              </w:rPr>
            </w:pPr>
            <w:r>
              <w:rPr>
                <w:rFonts w:hint="eastAsia" w:hAnsi="宋体" w:cs="宋体"/>
                <w:color w:val="000000"/>
                <w:sz w:val="21"/>
                <w:highlight w:val="none"/>
              </w:rPr>
              <w:t>□固定采购代理收费</w:t>
            </w:r>
            <w:r>
              <w:rPr>
                <w:rFonts w:hint="eastAsia" w:hAnsi="宋体" w:cs="宋体"/>
                <w:color w:val="000000"/>
                <w:sz w:val="21"/>
                <w:highlight w:val="none"/>
                <w:u w:val="single"/>
              </w:rPr>
              <w:t xml:space="preserve">  </w:t>
            </w:r>
            <w:r>
              <w:rPr>
                <w:rFonts w:hint="eastAsia" w:hAnsi="宋体" w:cs="宋体"/>
                <w:color w:val="000000"/>
                <w:sz w:val="21"/>
                <w:highlight w:val="none"/>
                <w:u w:val="single"/>
                <w:lang w:val="en-US" w:eastAsia="zh-CN"/>
              </w:rPr>
              <w:t>/</w:t>
            </w:r>
            <w:r>
              <w:rPr>
                <w:rFonts w:hint="eastAsia" w:hAnsi="宋体" w:cs="宋体"/>
                <w:color w:val="000000"/>
                <w:sz w:val="21"/>
                <w:highlight w:val="none"/>
                <w:u w:val="single"/>
              </w:rPr>
              <w:t xml:space="preserve">  。</w:t>
            </w:r>
          </w:p>
          <w:p w14:paraId="39CE8831">
            <w:pPr>
              <w:pStyle w:val="26"/>
              <w:snapToGrid w:val="0"/>
              <w:spacing w:line="400" w:lineRule="exact"/>
              <w:rPr>
                <w:rFonts w:hint="eastAsia" w:hAnsi="宋体" w:eastAsia="宋体" w:cs="宋体"/>
                <w:color w:val="000000"/>
                <w:sz w:val="21"/>
                <w:highlight w:val="none"/>
                <w:lang w:eastAsia="zh-CN"/>
              </w:rPr>
            </w:pPr>
            <w:r>
              <w:rPr>
                <w:rFonts w:hint="eastAsia" w:hAnsi="宋体" w:cs="宋体"/>
                <w:color w:val="000000"/>
                <w:sz w:val="21"/>
                <w:highlight w:val="none"/>
              </w:rPr>
              <w:t>3.账户名称：广西正海招标有限公司</w:t>
            </w:r>
          </w:p>
          <w:p w14:paraId="179E39A4">
            <w:pPr>
              <w:pStyle w:val="26"/>
              <w:snapToGrid w:val="0"/>
              <w:spacing w:line="400" w:lineRule="exact"/>
              <w:rPr>
                <w:rFonts w:hAnsi="宋体" w:cs="宋体"/>
                <w:color w:val="000000"/>
                <w:sz w:val="21"/>
                <w:highlight w:val="none"/>
              </w:rPr>
            </w:pPr>
            <w:r>
              <w:rPr>
                <w:rFonts w:hint="eastAsia" w:hAnsi="宋体" w:cs="宋体"/>
                <w:color w:val="000000"/>
                <w:sz w:val="21"/>
                <w:highlight w:val="none"/>
              </w:rPr>
              <w:t>开户银行：中国光大银行南宁长湖支行</w:t>
            </w:r>
          </w:p>
          <w:p w14:paraId="568BA514">
            <w:pPr>
              <w:pStyle w:val="26"/>
              <w:snapToGrid w:val="0"/>
              <w:spacing w:line="400" w:lineRule="exact"/>
              <w:rPr>
                <w:rFonts w:hAnsi="宋体" w:cs="宋体"/>
                <w:color w:val="000000"/>
                <w:sz w:val="21"/>
                <w:highlight w:val="none"/>
              </w:rPr>
            </w:pPr>
            <w:r>
              <w:rPr>
                <w:rFonts w:hint="eastAsia" w:hAnsi="宋体" w:cs="宋体"/>
                <w:color w:val="000000"/>
                <w:sz w:val="21"/>
                <w:highlight w:val="none"/>
              </w:rPr>
              <w:t>银行账号：79080188000035937</w:t>
            </w:r>
          </w:p>
        </w:tc>
      </w:tr>
      <w:tr w14:paraId="2E156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DFAC6DD">
            <w:pPr>
              <w:snapToGrid w:val="0"/>
              <w:spacing w:line="400" w:lineRule="exact"/>
              <w:jc w:val="center"/>
              <w:rPr>
                <w:rFonts w:ascii="宋体" w:hAnsi="宋体"/>
                <w:color w:val="000000"/>
                <w:szCs w:val="21"/>
                <w:highlight w:val="none"/>
              </w:rPr>
            </w:pPr>
            <w:r>
              <w:rPr>
                <w:rFonts w:ascii="宋体" w:hAnsi="宋体"/>
                <w:color w:val="000000"/>
                <w:szCs w:val="21"/>
                <w:highlight w:val="none"/>
              </w:rPr>
              <w:t>40.1</w:t>
            </w:r>
          </w:p>
        </w:tc>
        <w:tc>
          <w:tcPr>
            <w:tcW w:w="7654" w:type="dxa"/>
            <w:tcBorders>
              <w:top w:val="single" w:color="auto" w:sz="4" w:space="0"/>
              <w:left w:val="single" w:color="auto" w:sz="4" w:space="0"/>
              <w:bottom w:val="single" w:color="auto" w:sz="4" w:space="0"/>
              <w:right w:val="single" w:color="auto" w:sz="4" w:space="0"/>
            </w:tcBorders>
            <w:vAlign w:val="center"/>
          </w:tcPr>
          <w:p w14:paraId="013821EB">
            <w:pPr>
              <w:snapToGrid w:val="0"/>
              <w:spacing w:line="400" w:lineRule="exact"/>
              <w:rPr>
                <w:rFonts w:ascii="宋体" w:hAnsi="宋体"/>
                <w:color w:val="000000"/>
                <w:szCs w:val="21"/>
                <w:highlight w:val="none"/>
              </w:rPr>
            </w:pPr>
            <w:r>
              <w:rPr>
                <w:rFonts w:hint="eastAsia" w:ascii="宋体" w:hAnsi="宋体"/>
                <w:color w:val="000000"/>
                <w:szCs w:val="21"/>
                <w:highlight w:val="none"/>
              </w:rPr>
              <w:t>解释：</w:t>
            </w:r>
            <w:r>
              <w:rPr>
                <w:rFonts w:ascii="宋体" w:hAnsi="宋体"/>
                <w:color w:val="000000"/>
                <w:szCs w:val="21"/>
                <w:highlight w:val="none"/>
              </w:rPr>
              <w:t>构成本招标文件的各个组成文件应互为解释，互为说明；除招标文件中有特别规定外，仅适用于招标投标阶段的规定，按</w:t>
            </w:r>
            <w:r>
              <w:rPr>
                <w:rFonts w:hint="eastAsia" w:ascii="宋体" w:hAnsi="宋体"/>
                <w:color w:val="000000"/>
                <w:szCs w:val="21"/>
                <w:highlight w:val="none"/>
              </w:rPr>
              <w:t>更正公告（澄清公告）</w:t>
            </w:r>
            <w:r>
              <w:rPr>
                <w:rFonts w:ascii="宋体" w:hAnsi="宋体"/>
                <w:color w:val="000000"/>
                <w:szCs w:val="21"/>
                <w:highlight w:val="none"/>
              </w:rPr>
              <w:t>、招标公告、</w:t>
            </w:r>
            <w:r>
              <w:rPr>
                <w:rFonts w:hint="eastAsia" w:ascii="宋体" w:hAnsi="宋体"/>
                <w:color w:val="000000"/>
                <w:szCs w:val="21"/>
                <w:highlight w:val="none"/>
              </w:rPr>
              <w:t>采购需求、</w:t>
            </w:r>
            <w:r>
              <w:rPr>
                <w:rFonts w:ascii="宋体" w:hAnsi="宋体"/>
                <w:color w:val="000000"/>
                <w:szCs w:val="21"/>
                <w:highlight w:val="none"/>
              </w:rPr>
              <w:t>投标人须知、</w:t>
            </w:r>
            <w:r>
              <w:rPr>
                <w:rFonts w:hint="eastAsia" w:ascii="宋体" w:hAnsi="宋体"/>
                <w:color w:val="000000"/>
                <w:szCs w:val="21"/>
                <w:highlight w:val="none"/>
              </w:rPr>
              <w:t>评标方法及评标标准</w:t>
            </w:r>
            <w:r>
              <w:rPr>
                <w:rFonts w:ascii="宋体" w:hAnsi="宋体"/>
                <w:color w:val="000000"/>
                <w:szCs w:val="21"/>
                <w:highlight w:val="none"/>
              </w:rPr>
              <w:t>、</w:t>
            </w:r>
            <w:r>
              <w:rPr>
                <w:rFonts w:hint="eastAsia" w:ascii="宋体" w:hAnsi="宋体"/>
                <w:color w:val="000000"/>
                <w:szCs w:val="21"/>
                <w:highlight w:val="none"/>
              </w:rPr>
              <w:t>拟签订的合同文本、</w:t>
            </w:r>
            <w:r>
              <w:rPr>
                <w:rFonts w:ascii="宋体" w:hAnsi="宋体"/>
                <w:color w:val="000000"/>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highlight w:val="none"/>
              </w:rPr>
              <w:t>更正公告（澄清公告）</w:t>
            </w:r>
            <w:r>
              <w:rPr>
                <w:rFonts w:ascii="宋体" w:hAnsi="宋体"/>
                <w:color w:val="000000"/>
                <w:szCs w:val="21"/>
                <w:highlight w:val="none"/>
              </w:rPr>
              <w:t>与同步更新的招标文件不一致时以</w:t>
            </w:r>
            <w:r>
              <w:rPr>
                <w:rFonts w:hint="eastAsia" w:ascii="宋体" w:hAnsi="宋体"/>
                <w:color w:val="000000"/>
                <w:szCs w:val="21"/>
                <w:highlight w:val="none"/>
              </w:rPr>
              <w:t>更正公告（澄清公告）</w:t>
            </w:r>
            <w:r>
              <w:rPr>
                <w:rFonts w:ascii="宋体" w:hAnsi="宋体"/>
                <w:color w:val="000000"/>
                <w:szCs w:val="21"/>
                <w:highlight w:val="none"/>
              </w:rPr>
              <w:t>为准。按本款前述规定仍不能形成结论的，由</w:t>
            </w:r>
            <w:r>
              <w:rPr>
                <w:rFonts w:hint="eastAsia" w:ascii="宋体" w:hAnsi="宋体"/>
                <w:color w:val="000000"/>
                <w:szCs w:val="21"/>
                <w:highlight w:val="none"/>
              </w:rPr>
              <w:t>采购</w:t>
            </w:r>
            <w:r>
              <w:rPr>
                <w:rFonts w:ascii="宋体" w:hAnsi="宋体"/>
                <w:color w:val="000000"/>
                <w:szCs w:val="21"/>
                <w:highlight w:val="none"/>
              </w:rPr>
              <w:t>人</w:t>
            </w:r>
            <w:r>
              <w:rPr>
                <w:rFonts w:hint="eastAsia" w:ascii="宋体" w:hAnsi="宋体"/>
                <w:color w:val="000000"/>
                <w:szCs w:val="21"/>
                <w:highlight w:val="none"/>
              </w:rPr>
              <w:t>或者采购代理机构</w:t>
            </w:r>
            <w:r>
              <w:rPr>
                <w:rFonts w:ascii="宋体" w:hAnsi="宋体"/>
                <w:color w:val="000000"/>
                <w:szCs w:val="21"/>
                <w:highlight w:val="none"/>
              </w:rPr>
              <w:t>负责解释。</w:t>
            </w:r>
          </w:p>
        </w:tc>
      </w:tr>
      <w:tr w14:paraId="229DA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B5187A6">
            <w:pPr>
              <w:snapToGrid w:val="0"/>
              <w:spacing w:line="400" w:lineRule="exact"/>
              <w:jc w:val="center"/>
              <w:rPr>
                <w:rFonts w:ascii="宋体" w:hAnsi="宋体"/>
                <w:color w:val="000000"/>
                <w:szCs w:val="21"/>
                <w:highlight w:val="none"/>
              </w:rPr>
            </w:pPr>
            <w:r>
              <w:rPr>
                <w:rFonts w:ascii="宋体" w:hAnsi="宋体"/>
                <w:color w:val="000000"/>
                <w:szCs w:val="21"/>
                <w:highlight w:val="none"/>
              </w:rPr>
              <w:t>40.2</w:t>
            </w:r>
          </w:p>
        </w:tc>
        <w:tc>
          <w:tcPr>
            <w:tcW w:w="7654" w:type="dxa"/>
            <w:tcBorders>
              <w:top w:val="single" w:color="auto" w:sz="4" w:space="0"/>
              <w:left w:val="single" w:color="auto" w:sz="4" w:space="0"/>
              <w:bottom w:val="single" w:color="auto" w:sz="4" w:space="0"/>
              <w:right w:val="single" w:color="auto" w:sz="4" w:space="0"/>
            </w:tcBorders>
            <w:vAlign w:val="center"/>
          </w:tcPr>
          <w:p w14:paraId="7EFFA1F9">
            <w:pPr>
              <w:pStyle w:val="26"/>
              <w:snapToGrid w:val="0"/>
              <w:spacing w:line="400" w:lineRule="exact"/>
              <w:rPr>
                <w:rFonts w:hAnsi="宋体" w:cs="宋体"/>
                <w:bCs/>
                <w:color w:val="000000"/>
                <w:sz w:val="21"/>
                <w:highlight w:val="none"/>
              </w:rPr>
            </w:pPr>
            <w:r>
              <w:rPr>
                <w:rFonts w:hint="eastAsia" w:hAnsi="宋体" w:cs="宋体"/>
                <w:bCs/>
                <w:color w:val="000000"/>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DCA5C21">
            <w:pPr>
              <w:pStyle w:val="26"/>
              <w:snapToGrid w:val="0"/>
              <w:spacing w:line="400" w:lineRule="exact"/>
              <w:rPr>
                <w:rFonts w:hAnsi="宋体" w:cs="宋体"/>
                <w:bCs/>
                <w:color w:val="000000"/>
                <w:sz w:val="21"/>
                <w:highlight w:val="none"/>
              </w:rPr>
            </w:pPr>
            <w:r>
              <w:rPr>
                <w:rFonts w:hint="eastAsia" w:hAnsi="宋体" w:cs="宋体"/>
                <w:bCs/>
                <w:color w:val="000000"/>
                <w:sz w:val="21"/>
                <w:highlight w:val="none"/>
              </w:rPr>
              <w:t>2.本招标文件所称的“</w:t>
            </w:r>
            <w:r>
              <w:rPr>
                <w:rFonts w:hint="eastAsia" w:hAnsi="宋体"/>
                <w:color w:val="000000"/>
                <w:sz w:val="21"/>
                <w:highlight w:val="none"/>
              </w:rPr>
              <w:t>电子签章</w:t>
            </w:r>
            <w:r>
              <w:rPr>
                <w:rFonts w:hint="eastAsia" w:hAnsi="宋体" w:cs="宋体"/>
                <w:bCs/>
                <w:color w:val="000000"/>
                <w:sz w:val="21"/>
                <w:highlight w:val="none"/>
              </w:rPr>
              <w:t>”“电子签名”</w:t>
            </w:r>
            <w:r>
              <w:rPr>
                <w:rFonts w:hint="eastAsia" w:hAnsi="宋体"/>
                <w:color w:val="000000"/>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19E425D7">
            <w:pPr>
              <w:pStyle w:val="26"/>
              <w:snapToGrid w:val="0"/>
              <w:spacing w:line="400" w:lineRule="exact"/>
              <w:rPr>
                <w:rFonts w:hAnsi="宋体" w:cs="宋体"/>
                <w:bCs/>
                <w:color w:val="000000"/>
                <w:sz w:val="21"/>
                <w:highlight w:val="none"/>
              </w:rPr>
            </w:pPr>
            <w:r>
              <w:rPr>
                <w:rFonts w:hint="eastAsia" w:hAnsi="宋体" w:cs="宋体"/>
                <w:bCs/>
                <w:color w:val="000000"/>
                <w:sz w:val="21"/>
                <w:highlight w:val="none"/>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6428E1B">
            <w:pPr>
              <w:pStyle w:val="26"/>
              <w:snapToGrid w:val="0"/>
              <w:spacing w:line="400" w:lineRule="exact"/>
              <w:rPr>
                <w:rFonts w:hAnsi="宋体" w:cs="宋体"/>
                <w:bCs/>
                <w:color w:val="000000"/>
                <w:sz w:val="21"/>
                <w:highlight w:val="none"/>
              </w:rPr>
            </w:pPr>
            <w:r>
              <w:rPr>
                <w:rFonts w:hint="eastAsia" w:hAnsi="宋体" w:cs="宋体"/>
                <w:bCs/>
                <w:color w:val="000000"/>
                <w:sz w:val="21"/>
                <w:highlight w:val="none"/>
              </w:rPr>
              <w:t>4.本招标文件中描述投标人的“签字”是指投标人的法定代表人（或负责人）或者委托代理人亲自在文件规定签字处亲笔写上个人的名字的行为，私章、签字章、印鉴、影印等其他形式均不能代替亲笔签字。</w:t>
            </w:r>
          </w:p>
          <w:p w14:paraId="5403AE20">
            <w:pPr>
              <w:pStyle w:val="26"/>
              <w:snapToGrid w:val="0"/>
              <w:spacing w:line="400" w:lineRule="exact"/>
              <w:rPr>
                <w:rFonts w:hAnsi="宋体"/>
                <w:color w:val="000000"/>
                <w:sz w:val="21"/>
                <w:highlight w:val="none"/>
              </w:rPr>
            </w:pPr>
            <w:r>
              <w:rPr>
                <w:rFonts w:hint="eastAsia" w:hAnsi="宋体" w:cs="宋体"/>
                <w:bCs/>
                <w:color w:val="000000"/>
                <w:sz w:val="21"/>
                <w:highlight w:val="none"/>
              </w:rPr>
              <w:t>5.本招标文件所称的“以上”“以下”“以内”“届满”，包括本数；所称的“不满”“超过”“以外”，不包括本数。</w:t>
            </w:r>
          </w:p>
        </w:tc>
      </w:tr>
    </w:tbl>
    <w:p w14:paraId="384440F6">
      <w:pPr>
        <w:snapToGrid w:val="0"/>
        <w:rPr>
          <w:rFonts w:ascii="宋体" w:hAnsi="宋体"/>
          <w:color w:val="000000"/>
          <w:sz w:val="24"/>
          <w:szCs w:val="20"/>
          <w:highlight w:val="none"/>
        </w:rPr>
      </w:pPr>
    </w:p>
    <w:p w14:paraId="09E9D400">
      <w:pPr>
        <w:snapToGrid w:val="0"/>
        <w:rPr>
          <w:rFonts w:ascii="宋体" w:hAnsi="宋体"/>
          <w:color w:val="000000"/>
          <w:sz w:val="24"/>
          <w:szCs w:val="20"/>
          <w:highlight w:val="none"/>
        </w:rPr>
      </w:pPr>
    </w:p>
    <w:p w14:paraId="00FBA9A5">
      <w:pPr>
        <w:pStyle w:val="4"/>
        <w:keepNext w:val="0"/>
        <w:keepLines w:val="0"/>
        <w:spacing w:line="360" w:lineRule="auto"/>
        <w:jc w:val="center"/>
        <w:rPr>
          <w:color w:val="000000"/>
          <w:highlight w:val="none"/>
        </w:rPr>
      </w:pPr>
      <w:r>
        <w:rPr>
          <w:color w:val="000000"/>
          <w:highlight w:val="none"/>
        </w:rPr>
        <w:br w:type="page"/>
      </w:r>
      <w:r>
        <w:rPr>
          <w:rFonts w:hint="eastAsia"/>
          <w:color w:val="000000"/>
          <w:highlight w:val="none"/>
        </w:rPr>
        <w:t>投标人须知正文</w:t>
      </w:r>
    </w:p>
    <w:p w14:paraId="3541D450">
      <w:pPr>
        <w:pStyle w:val="4"/>
        <w:keepNext w:val="0"/>
        <w:keepLines w:val="0"/>
        <w:spacing w:line="360" w:lineRule="auto"/>
        <w:jc w:val="center"/>
        <w:rPr>
          <w:color w:val="000000"/>
          <w:highlight w:val="none"/>
        </w:rPr>
      </w:pPr>
      <w:r>
        <w:rPr>
          <w:rFonts w:hint="eastAsia"/>
          <w:color w:val="000000"/>
          <w:highlight w:val="none"/>
        </w:rPr>
        <w:t>一、总  则</w:t>
      </w:r>
    </w:p>
    <w:p w14:paraId="7D12C87B">
      <w:pPr>
        <w:pStyle w:val="6"/>
        <w:keepNext w:val="0"/>
        <w:keepLines w:val="0"/>
        <w:spacing w:before="0" w:after="0" w:line="360" w:lineRule="auto"/>
        <w:ind w:left="420" w:leftChars="200"/>
        <w:rPr>
          <w:rFonts w:ascii="黑体" w:hAnsi="黑体" w:eastAsia="黑体"/>
          <w:color w:val="000000"/>
          <w:sz w:val="24"/>
          <w:highlight w:val="none"/>
        </w:rPr>
      </w:pPr>
      <w:bookmarkStart w:id="83" w:name="_Toc254970668"/>
      <w:bookmarkStart w:id="84" w:name="_Toc254970527"/>
      <w:r>
        <w:rPr>
          <w:rFonts w:hint="eastAsia" w:ascii="黑体" w:hAnsi="黑体" w:eastAsia="黑体"/>
          <w:color w:val="000000"/>
          <w:sz w:val="24"/>
          <w:highlight w:val="none"/>
        </w:rPr>
        <w:t>1.适用范围</w:t>
      </w:r>
      <w:bookmarkEnd w:id="83"/>
      <w:bookmarkEnd w:id="84"/>
    </w:p>
    <w:p w14:paraId="537C55F6">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3B0CE27">
      <w:pPr>
        <w:snapToGrid w:val="0"/>
        <w:spacing w:line="360" w:lineRule="auto"/>
        <w:ind w:firstLine="420" w:firstLineChars="200"/>
        <w:jc w:val="left"/>
        <w:rPr>
          <w:rFonts w:ascii="宋体" w:hAnsi="宋体" w:cs="宋体"/>
          <w:color w:val="000000"/>
          <w:spacing w:val="-6"/>
          <w:szCs w:val="21"/>
          <w:highlight w:val="none"/>
        </w:rPr>
      </w:pPr>
      <w:r>
        <w:rPr>
          <w:rFonts w:hint="eastAsia" w:ascii="宋体" w:hAnsi="宋体"/>
          <w:color w:val="000000"/>
          <w:szCs w:val="21"/>
          <w:highlight w:val="none"/>
        </w:rPr>
        <w:t>1.2本招标文件</w:t>
      </w:r>
      <w:r>
        <w:rPr>
          <w:rFonts w:hint="eastAsia" w:ascii="宋体" w:hAnsi="宋体" w:cs="宋体"/>
          <w:color w:val="000000"/>
          <w:spacing w:val="-6"/>
          <w:szCs w:val="21"/>
          <w:highlight w:val="none"/>
        </w:rPr>
        <w:t>适用于本项目的所有采购程序和环节（法律、法规另有规定的，从其规定）。</w:t>
      </w:r>
    </w:p>
    <w:p w14:paraId="13EB4EE8">
      <w:pPr>
        <w:pStyle w:val="6"/>
        <w:keepNext w:val="0"/>
        <w:keepLines w:val="0"/>
        <w:spacing w:before="0" w:after="0" w:line="360" w:lineRule="auto"/>
        <w:ind w:left="420" w:leftChars="200"/>
        <w:rPr>
          <w:rFonts w:ascii="黑体" w:hAnsi="黑体" w:eastAsia="黑体"/>
          <w:color w:val="000000"/>
          <w:sz w:val="24"/>
          <w:highlight w:val="none"/>
        </w:rPr>
      </w:pPr>
      <w:bookmarkStart w:id="85" w:name="_Toc254970669"/>
      <w:bookmarkStart w:id="86" w:name="_Toc254970528"/>
      <w:r>
        <w:rPr>
          <w:rFonts w:hint="eastAsia" w:ascii="黑体" w:hAnsi="黑体" w:eastAsia="黑体"/>
          <w:color w:val="000000"/>
          <w:sz w:val="24"/>
          <w:highlight w:val="none"/>
        </w:rPr>
        <w:t>2.定义</w:t>
      </w:r>
      <w:bookmarkEnd w:id="85"/>
      <w:bookmarkEnd w:id="86"/>
    </w:p>
    <w:p w14:paraId="382F9B48">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2.1“采购人”是指依法进行政府采购的国家机关、事业单位、团体组织。</w:t>
      </w:r>
    </w:p>
    <w:p w14:paraId="2D9CD236">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2.2“采购代理机构”是指政府采购集中采购机构和集中采购机构以外的采购代理机构。</w:t>
      </w:r>
    </w:p>
    <w:p w14:paraId="50484C99">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2.3“供应商”是指向采购人提供货物、工程或者服务的法人、其他组织或者自然人。</w:t>
      </w:r>
    </w:p>
    <w:p w14:paraId="572E505F">
      <w:pPr>
        <w:pStyle w:val="7"/>
        <w:spacing w:line="360" w:lineRule="auto"/>
        <w:rPr>
          <w:rFonts w:ascii="宋体" w:hAnsi="宋体"/>
          <w:color w:val="000000"/>
          <w:szCs w:val="21"/>
          <w:highlight w:val="none"/>
        </w:rPr>
      </w:pPr>
      <w:r>
        <w:rPr>
          <w:rFonts w:hint="eastAsia" w:ascii="宋体" w:hAnsi="宋体"/>
          <w:color w:val="000000"/>
          <w:szCs w:val="21"/>
          <w:highlight w:val="none"/>
        </w:rPr>
        <w:t>2.4“投标人”是指响应招标、参加投标竞争的法人、其他组织或者自然人。</w:t>
      </w:r>
    </w:p>
    <w:p w14:paraId="20470720">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2.5“货物”是指各种形态和种类的物品，包括原材料、燃料、设备、产品等。</w:t>
      </w:r>
    </w:p>
    <w:p w14:paraId="4585C393">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2.6“售后服务” 是指商品出售以后所提供的各种服务，包含但不限于投标人须承担的备品备件、包装、运输、装卸、保险、货到就位以及安装、调试、培训、保修以及其他各种服务。</w:t>
      </w:r>
    </w:p>
    <w:p w14:paraId="49A1BD68">
      <w:pPr>
        <w:pStyle w:val="6"/>
        <w:keepNext w:val="0"/>
        <w:keepLines w:val="0"/>
        <w:spacing w:before="0" w:after="0" w:line="360" w:lineRule="auto"/>
        <w:rPr>
          <w:rFonts w:ascii="宋体" w:hAnsi="宋体"/>
          <w:b w:val="0"/>
          <w:color w:val="000000"/>
          <w:sz w:val="21"/>
          <w:szCs w:val="21"/>
          <w:highlight w:val="none"/>
        </w:rPr>
      </w:pPr>
      <w:r>
        <w:rPr>
          <w:rFonts w:hint="eastAsia" w:ascii="宋体" w:hAnsi="宋体"/>
          <w:b w:val="0"/>
          <w:color w:val="000000"/>
          <w:sz w:val="21"/>
          <w:szCs w:val="21"/>
          <w:highlight w:val="none"/>
        </w:rPr>
        <w:t xml:space="preserve">    2.7“书面形式”是指合同书、信件和数据电文（包括电报、电传、传真、电子数据交换和电子邮件）等可以有形地表现所载内容的形式。</w:t>
      </w:r>
    </w:p>
    <w:p w14:paraId="7434D011">
      <w:pPr>
        <w:pStyle w:val="6"/>
        <w:keepNext w:val="0"/>
        <w:keepLines w:val="0"/>
        <w:spacing w:before="0" w:after="0" w:line="360" w:lineRule="auto"/>
        <w:ind w:firstLine="422" w:firstLineChars="200"/>
        <w:rPr>
          <w:rFonts w:ascii="宋体" w:hAnsi="宋体"/>
          <w:bCs/>
          <w:color w:val="000000"/>
          <w:sz w:val="21"/>
          <w:szCs w:val="21"/>
          <w:highlight w:val="none"/>
        </w:rPr>
      </w:pPr>
      <w:r>
        <w:rPr>
          <w:rFonts w:hint="eastAsia" w:ascii="宋体" w:hAnsi="宋体"/>
          <w:bCs/>
          <w:color w:val="000000"/>
          <w:sz w:val="21"/>
          <w:szCs w:val="21"/>
          <w:highlight w:val="none"/>
        </w:rPr>
        <w:t>2.8“实质性要求”是指招标文件中已经指明不满足则投标无效的条款，或者不能负偏离的条款，或者采购需求中带“</w:t>
      </w:r>
      <w:r>
        <w:rPr>
          <w:rFonts w:hint="eastAsia" w:ascii="宋体" w:hAnsi="宋体" w:cs="宋体"/>
          <w:bCs/>
          <w:color w:val="000000"/>
          <w:sz w:val="21"/>
          <w:szCs w:val="21"/>
          <w:highlight w:val="none"/>
        </w:rPr>
        <w:t>▲</w:t>
      </w:r>
      <w:r>
        <w:rPr>
          <w:rFonts w:hint="eastAsia" w:ascii="宋体" w:hAnsi="宋体"/>
          <w:bCs/>
          <w:color w:val="000000"/>
          <w:sz w:val="21"/>
          <w:szCs w:val="21"/>
          <w:highlight w:val="none"/>
        </w:rPr>
        <w:t>”的条款。</w:t>
      </w:r>
    </w:p>
    <w:p w14:paraId="7D42A44D">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 xml:space="preserve">2.9 </w:t>
      </w:r>
      <w:r>
        <w:rPr>
          <w:rFonts w:hint="eastAsia" w:ascii="宋体" w:hAnsi="宋体" w:cs="宋体"/>
          <w:color w:val="000000"/>
          <w:szCs w:val="21"/>
          <w:highlight w:val="none"/>
        </w:rPr>
        <w:t>“正偏离”，是指投标文件对招标文件“采购需求”中有关条款作出的响应优于条款要求并有利于采购人的情形。</w:t>
      </w:r>
    </w:p>
    <w:p w14:paraId="28641CCD">
      <w:pPr>
        <w:snapToGrid w:val="0"/>
        <w:spacing w:line="360" w:lineRule="auto"/>
        <w:ind w:firstLine="420" w:firstLineChars="200"/>
        <w:jc w:val="left"/>
        <w:rPr>
          <w:rFonts w:ascii="宋体" w:hAnsi="宋体" w:cs="宋体"/>
          <w:color w:val="000000"/>
          <w:szCs w:val="21"/>
          <w:highlight w:val="none"/>
        </w:rPr>
      </w:pPr>
      <w:r>
        <w:rPr>
          <w:rFonts w:ascii="宋体" w:hAnsi="宋体" w:cs="宋体"/>
          <w:color w:val="000000"/>
          <w:szCs w:val="21"/>
          <w:highlight w:val="none"/>
        </w:rPr>
        <w:t>2.10</w:t>
      </w:r>
      <w:r>
        <w:rPr>
          <w:rFonts w:hint="eastAsia" w:ascii="宋体" w:hAnsi="宋体" w:cs="宋体"/>
          <w:color w:val="000000"/>
          <w:szCs w:val="21"/>
          <w:highlight w:val="none"/>
        </w:rPr>
        <w:t>“负偏离”，是指投标文件对招标文件“采购需求”中有关条款作出的响应不满足条款要求，导致采购人要求不能得到满足的情形。</w:t>
      </w:r>
    </w:p>
    <w:p w14:paraId="77DE3CFC">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2.1</w:t>
      </w:r>
      <w:r>
        <w:rPr>
          <w:rFonts w:ascii="宋体" w:hAnsi="宋体"/>
          <w:color w:val="000000"/>
          <w:szCs w:val="21"/>
          <w:highlight w:val="none"/>
        </w:rPr>
        <w:t>1</w:t>
      </w:r>
      <w:r>
        <w:rPr>
          <w:rFonts w:hint="eastAsia" w:ascii="宋体" w:hAnsi="宋体" w:cs="宋体"/>
          <w:color w:val="000000"/>
          <w:szCs w:val="21"/>
          <w:highlight w:val="none"/>
        </w:rPr>
        <w:t>“允许负偏离的条款”是指采购需求中的不属于“实质性要求”的条款。</w:t>
      </w:r>
      <w:bookmarkStart w:id="87" w:name="_Toc254970670"/>
      <w:bookmarkStart w:id="88" w:name="_Toc254970529"/>
    </w:p>
    <w:p w14:paraId="3EE57F26">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w:t>
      </w:r>
      <w:bookmarkEnd w:id="87"/>
      <w:bookmarkEnd w:id="88"/>
      <w:r>
        <w:rPr>
          <w:rFonts w:hint="eastAsia" w:ascii="黑体" w:hAnsi="黑体" w:eastAsia="黑体"/>
          <w:color w:val="000000"/>
          <w:sz w:val="24"/>
          <w:highlight w:val="none"/>
        </w:rPr>
        <w:t>投标人的资格要求</w:t>
      </w:r>
    </w:p>
    <w:p w14:paraId="2B908FF8">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投标人的资格要求详见“投标人须知前附表”。</w:t>
      </w:r>
    </w:p>
    <w:p w14:paraId="368C4FF4">
      <w:pPr>
        <w:pStyle w:val="6"/>
        <w:keepNext w:val="0"/>
        <w:keepLines w:val="0"/>
        <w:spacing w:before="0" w:after="0" w:line="360" w:lineRule="auto"/>
        <w:ind w:left="420" w:leftChars="200"/>
        <w:rPr>
          <w:rFonts w:ascii="黑体" w:hAnsi="黑体" w:eastAsia="黑体"/>
          <w:color w:val="000000"/>
          <w:sz w:val="24"/>
          <w:highlight w:val="none"/>
        </w:rPr>
      </w:pPr>
      <w:bookmarkStart w:id="89" w:name="_Toc254970671"/>
      <w:bookmarkStart w:id="90" w:name="_Toc254970530"/>
      <w:r>
        <w:rPr>
          <w:rFonts w:hint="eastAsia" w:ascii="黑体" w:hAnsi="黑体" w:eastAsia="黑体"/>
          <w:color w:val="000000"/>
          <w:sz w:val="24"/>
          <w:highlight w:val="none"/>
        </w:rPr>
        <w:t>4.投标委托</w:t>
      </w:r>
      <w:bookmarkEnd w:id="89"/>
      <w:bookmarkEnd w:id="90"/>
    </w:p>
    <w:p w14:paraId="383D3356">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投标人代表参加投标活动过程中必须携带个人有效身份证件。如投标人代表不是法定代表人（或负责人），须持有授权委托书（按第六章要求格式填写）。</w:t>
      </w:r>
    </w:p>
    <w:p w14:paraId="2B96DB30">
      <w:pPr>
        <w:pStyle w:val="6"/>
        <w:keepNext w:val="0"/>
        <w:keepLines w:val="0"/>
        <w:spacing w:before="0" w:after="0" w:line="360" w:lineRule="auto"/>
        <w:ind w:left="420" w:leftChars="200"/>
        <w:rPr>
          <w:rFonts w:ascii="黑体" w:hAnsi="黑体" w:eastAsia="黑体"/>
          <w:color w:val="000000"/>
          <w:sz w:val="24"/>
          <w:highlight w:val="none"/>
        </w:rPr>
      </w:pPr>
      <w:bookmarkStart w:id="91" w:name="_5.投标费用"/>
      <w:bookmarkEnd w:id="91"/>
      <w:bookmarkStart w:id="92" w:name="_Toc254970531"/>
      <w:bookmarkStart w:id="93" w:name="_Toc254970672"/>
      <w:r>
        <w:rPr>
          <w:rFonts w:hint="eastAsia" w:ascii="黑体" w:hAnsi="黑体" w:eastAsia="黑体"/>
          <w:color w:val="000000"/>
          <w:sz w:val="24"/>
          <w:highlight w:val="none"/>
        </w:rPr>
        <w:t>5.投标费用</w:t>
      </w:r>
      <w:bookmarkEnd w:id="92"/>
      <w:bookmarkEnd w:id="93"/>
    </w:p>
    <w:p w14:paraId="0373E01C">
      <w:pPr>
        <w:snapToGrid w:val="0"/>
        <w:spacing w:line="360" w:lineRule="auto"/>
        <w:ind w:firstLine="420" w:firstLineChars="200"/>
        <w:jc w:val="left"/>
        <w:rPr>
          <w:rFonts w:ascii="宋体" w:hAnsi="宋体"/>
          <w:color w:val="000000"/>
          <w:szCs w:val="21"/>
          <w:highlight w:val="none"/>
        </w:rPr>
      </w:pPr>
      <w:r>
        <w:rPr>
          <w:rFonts w:hint="eastAsia" w:ascii="宋体" w:hAnsi="宋体" w:cs="宋体"/>
          <w:color w:val="000000"/>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36D75A9">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6.联合体投标</w:t>
      </w:r>
    </w:p>
    <w:p w14:paraId="2B39E93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6.1本项目是否接受联合体投标，详见“投标人须知前附表”。</w:t>
      </w:r>
    </w:p>
    <w:p w14:paraId="14FE47D5">
      <w:pPr>
        <w:snapToGrid w:val="0"/>
        <w:spacing w:line="360" w:lineRule="auto"/>
        <w:ind w:firstLine="420" w:firstLineChars="200"/>
        <w:jc w:val="left"/>
        <w:rPr>
          <w:rFonts w:ascii="宋体" w:hAnsi="宋体"/>
          <w:bCs/>
          <w:color w:val="000000"/>
          <w:szCs w:val="21"/>
          <w:highlight w:val="none"/>
        </w:rPr>
      </w:pPr>
      <w:r>
        <w:rPr>
          <w:rFonts w:hint="eastAsia" w:ascii="宋体" w:hAnsi="宋体"/>
          <w:bCs/>
          <w:color w:val="000000"/>
          <w:szCs w:val="21"/>
          <w:highlight w:val="none"/>
        </w:rPr>
        <w:t>6.2如接受联合体投标，联合体投标要求详见“投标人须知前附表”。</w:t>
      </w:r>
    </w:p>
    <w:p w14:paraId="6D271C4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6.3 </w:t>
      </w:r>
      <w:bookmarkStart w:id="94" w:name="_Hlk65857072"/>
      <w:r>
        <w:rPr>
          <w:rFonts w:hint="eastAsia" w:ascii="宋体" w:hAnsi="宋体" w:cs="宋体"/>
          <w:szCs w:val="21"/>
          <w:highlight w:val="none"/>
        </w:rPr>
        <w:t>根据《政府采购促进中小企业发展管理办法》（财库〔2020〕46号）及《广西壮族自治区财政厅关于持续优化政府采购营商环境推动高质量发展的通知》（</w:t>
      </w:r>
      <w:r>
        <w:rPr>
          <w:rFonts w:hint="eastAsia" w:ascii="宋体" w:hAnsi="宋体" w:cs="宋体"/>
          <w:szCs w:val="21"/>
          <w:highlight w:val="none"/>
          <w:lang w:eastAsia="zh-CN"/>
        </w:rPr>
        <w:t>桂财采〔2024〕55号</w:t>
      </w:r>
      <w:r>
        <w:rPr>
          <w:rFonts w:hint="eastAsia" w:ascii="宋体" w:hAnsi="宋体" w:cs="宋体"/>
          <w:szCs w:val="21"/>
          <w:highlight w:val="none"/>
        </w:rPr>
        <w:t>）的规定</w:t>
      </w:r>
      <w:r>
        <w:rPr>
          <w:rFonts w:hint="eastAsia" w:ascii="宋体" w:hAnsi="宋体" w:cs="宋体"/>
          <w:color w:val="000000"/>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bCs/>
          <w:szCs w:val="21"/>
          <w:highlight w:val="none"/>
        </w:rPr>
        <w:t>4%-6%</w:t>
      </w:r>
      <w:r>
        <w:rPr>
          <w:rFonts w:hint="eastAsia" w:ascii="宋体" w:hAnsi="宋体" w:cs="宋体"/>
          <w:color w:val="000000"/>
          <w:szCs w:val="21"/>
          <w:highlight w:val="none"/>
        </w:rPr>
        <w:t>的扣除，用扣除后的价格参加评审，具体详见《评标方法及评标标准》。</w:t>
      </w:r>
      <w:bookmarkEnd w:id="94"/>
    </w:p>
    <w:p w14:paraId="50F299EA">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 xml:space="preserve">7.转包与分包             </w:t>
      </w:r>
    </w:p>
    <w:p w14:paraId="2637282F">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7.1本项目不允许转包。</w:t>
      </w:r>
    </w:p>
    <w:p w14:paraId="7A23E0F8">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70A4A95">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4F9BB66">
      <w:pPr>
        <w:pStyle w:val="6"/>
        <w:keepNext w:val="0"/>
        <w:keepLines w:val="0"/>
        <w:spacing w:before="0" w:after="0" w:line="360" w:lineRule="auto"/>
        <w:ind w:left="420" w:leftChars="200"/>
        <w:rPr>
          <w:rFonts w:ascii="黑体" w:hAnsi="黑体" w:eastAsia="黑体"/>
          <w:color w:val="000000"/>
          <w:sz w:val="24"/>
          <w:highlight w:val="none"/>
        </w:rPr>
      </w:pPr>
      <w:bookmarkStart w:id="95" w:name="_Toc254970532"/>
      <w:bookmarkStart w:id="96" w:name="_Toc254970673"/>
      <w:r>
        <w:rPr>
          <w:rFonts w:hint="eastAsia" w:ascii="黑体" w:hAnsi="黑体" w:eastAsia="黑体"/>
          <w:color w:val="000000"/>
          <w:sz w:val="24"/>
          <w:highlight w:val="none"/>
        </w:rPr>
        <w:t>8.特别说明</w:t>
      </w:r>
      <w:bookmarkEnd w:id="95"/>
      <w:bookmarkEnd w:id="96"/>
    </w:p>
    <w:p w14:paraId="41B05E17">
      <w:pPr>
        <w:pStyle w:val="6"/>
        <w:keepNext w:val="0"/>
        <w:keepLines w:val="0"/>
        <w:spacing w:before="0" w:after="0" w:line="360" w:lineRule="auto"/>
        <w:ind w:firstLine="420" w:firstLineChars="200"/>
        <w:rPr>
          <w:rFonts w:ascii="宋体" w:hAnsi="宋体"/>
          <w:b w:val="0"/>
          <w:color w:val="000000"/>
          <w:sz w:val="21"/>
          <w:szCs w:val="21"/>
          <w:highlight w:val="none"/>
        </w:rPr>
      </w:pPr>
      <w:bookmarkStart w:id="97" w:name="_8.1提供相同品牌产品且通过资格审查、符合性审查的不同投标人参加同一合"/>
      <w:bookmarkEnd w:id="97"/>
      <w:r>
        <w:rPr>
          <w:rFonts w:hint="eastAsia" w:ascii="宋体" w:hAnsi="宋体"/>
          <w:b w:val="0"/>
          <w:color w:val="000000"/>
          <w:sz w:val="21"/>
          <w:szCs w:val="21"/>
          <w:highlight w:val="none"/>
        </w:rPr>
        <w:t xml:space="preserve"> </w:t>
      </w:r>
      <w:r>
        <w:rPr>
          <w:highlight w:val="none"/>
        </w:rPr>
        <w:fldChar w:fldCharType="begin"/>
      </w:r>
      <w:r>
        <w:rPr>
          <w:highlight w:val="none"/>
        </w:rPr>
        <w:instrText xml:space="preserve"> HYPERLINK \l "_8.1" </w:instrText>
      </w:r>
      <w:r>
        <w:rPr>
          <w:highlight w:val="none"/>
        </w:rPr>
        <w:fldChar w:fldCharType="separate"/>
      </w:r>
      <w:r>
        <w:rPr>
          <w:rFonts w:hint="eastAsia" w:ascii="宋体" w:hAnsi="宋体"/>
          <w:b w:val="0"/>
          <w:color w:val="000000"/>
          <w:sz w:val="21"/>
          <w:szCs w:val="21"/>
          <w:highlight w:val="none"/>
        </w:rPr>
        <w:t>8.1</w:t>
      </w:r>
      <w:r>
        <w:rPr>
          <w:rFonts w:hint="eastAsia" w:ascii="宋体" w:hAnsi="宋体"/>
          <w:b w:val="0"/>
          <w:color w:val="000000"/>
          <w:sz w:val="21"/>
          <w:szCs w:val="21"/>
          <w:highlight w:val="none"/>
        </w:rPr>
        <w:fldChar w:fldCharType="end"/>
      </w:r>
      <w:r>
        <w:rPr>
          <w:rFonts w:hint="eastAsia" w:ascii="宋体" w:hAnsi="宋体"/>
          <w:b w:val="0"/>
          <w:color w:val="000000"/>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60F23F0">
      <w:pPr>
        <w:pStyle w:val="6"/>
        <w:keepNext w:val="0"/>
        <w:keepLines w:val="0"/>
        <w:spacing w:before="0" w:after="0" w:line="360" w:lineRule="auto"/>
        <w:ind w:firstLine="367" w:firstLineChars="175"/>
        <w:rPr>
          <w:rFonts w:ascii="宋体" w:hAnsi="宋体"/>
          <w:b w:val="0"/>
          <w:color w:val="000000"/>
          <w:sz w:val="21"/>
          <w:szCs w:val="21"/>
          <w:highlight w:val="none"/>
        </w:rPr>
      </w:pPr>
      <w:r>
        <w:rPr>
          <w:rFonts w:hint="eastAsia" w:ascii="宋体" w:hAnsi="宋体"/>
          <w:b w:val="0"/>
          <w:color w:val="000000"/>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32A7FD6">
      <w:pPr>
        <w:pStyle w:val="6"/>
        <w:keepNext w:val="0"/>
        <w:keepLines w:val="0"/>
        <w:spacing w:before="0" w:after="0" w:line="360" w:lineRule="auto"/>
        <w:ind w:firstLine="367" w:firstLineChars="175"/>
        <w:rPr>
          <w:rFonts w:ascii="宋体" w:hAnsi="宋体"/>
          <w:b w:val="0"/>
          <w:color w:val="000000"/>
          <w:sz w:val="21"/>
          <w:szCs w:val="21"/>
          <w:highlight w:val="none"/>
        </w:rPr>
      </w:pPr>
      <w:r>
        <w:rPr>
          <w:rFonts w:hint="eastAsia" w:ascii="宋体" w:hAnsi="宋体"/>
          <w:b w:val="0"/>
          <w:color w:val="000000"/>
          <w:sz w:val="21"/>
          <w:szCs w:val="21"/>
          <w:highlight w:val="none"/>
        </w:rPr>
        <w:t xml:space="preserve"> 8.3投标人应仔细阅读招标文件的所有内容，按照招标文件的要求提交投标文件，并对所提供的全部资料的真实性承担法律责任。</w:t>
      </w:r>
    </w:p>
    <w:p w14:paraId="5551ADBC">
      <w:pPr>
        <w:pStyle w:val="6"/>
        <w:keepNext w:val="0"/>
        <w:keepLines w:val="0"/>
        <w:spacing w:before="0" w:after="0" w:line="360" w:lineRule="auto"/>
        <w:ind w:firstLine="367" w:firstLineChars="175"/>
        <w:rPr>
          <w:rFonts w:ascii="宋体" w:hAnsi="宋体"/>
          <w:b w:val="0"/>
          <w:color w:val="000000"/>
          <w:sz w:val="21"/>
          <w:szCs w:val="21"/>
          <w:highlight w:val="none"/>
        </w:rPr>
      </w:pPr>
      <w:r>
        <w:rPr>
          <w:rFonts w:hint="eastAsia" w:ascii="宋体" w:hAnsi="宋体"/>
          <w:b w:val="0"/>
          <w:color w:val="000000"/>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A85A8ED">
      <w:pPr>
        <w:pStyle w:val="6"/>
        <w:keepNext w:val="0"/>
        <w:keepLines w:val="0"/>
        <w:spacing w:before="0" w:after="0" w:line="360" w:lineRule="auto"/>
        <w:ind w:left="420" w:leftChars="200"/>
        <w:rPr>
          <w:rFonts w:ascii="黑体" w:hAnsi="黑体" w:eastAsia="黑体"/>
          <w:color w:val="000000"/>
          <w:sz w:val="24"/>
          <w:highlight w:val="none"/>
        </w:rPr>
      </w:pPr>
      <w:r>
        <w:rPr>
          <w:rFonts w:ascii="黑体" w:hAnsi="黑体" w:eastAsia="黑体"/>
          <w:color w:val="000000"/>
          <w:sz w:val="24"/>
          <w:highlight w:val="none"/>
        </w:rPr>
        <w:t>9.</w:t>
      </w:r>
      <w:r>
        <w:rPr>
          <w:rFonts w:hint="eastAsia" w:ascii="黑体" w:hAnsi="黑体" w:eastAsia="黑体"/>
          <w:color w:val="000000"/>
          <w:sz w:val="24"/>
          <w:highlight w:val="none"/>
        </w:rPr>
        <w:t>回避与串通投标</w:t>
      </w:r>
    </w:p>
    <w:p w14:paraId="0C13D06F">
      <w:pPr>
        <w:pStyle w:val="6"/>
        <w:keepNext w:val="0"/>
        <w:keepLines w:val="0"/>
        <w:spacing w:before="0" w:after="0" w:line="360" w:lineRule="auto"/>
        <w:ind w:firstLine="367" w:firstLineChars="175"/>
        <w:rPr>
          <w:rFonts w:ascii="宋体" w:hAnsi="宋体"/>
          <w:b w:val="0"/>
          <w:color w:val="000000"/>
          <w:sz w:val="21"/>
          <w:szCs w:val="21"/>
          <w:highlight w:val="none"/>
        </w:rPr>
      </w:pPr>
      <w:r>
        <w:rPr>
          <w:rFonts w:hint="eastAsia" w:ascii="宋体" w:hAnsi="宋体"/>
          <w:b w:val="0"/>
          <w:color w:val="000000"/>
          <w:sz w:val="21"/>
          <w:szCs w:val="21"/>
          <w:highlight w:val="none"/>
        </w:rPr>
        <w:t>9</w:t>
      </w:r>
      <w:r>
        <w:rPr>
          <w:rFonts w:ascii="宋体" w:hAnsi="宋体"/>
          <w:b w:val="0"/>
          <w:color w:val="000000"/>
          <w:sz w:val="21"/>
          <w:szCs w:val="21"/>
          <w:highlight w:val="none"/>
        </w:rPr>
        <w:t>.1在政府采购活动中，采购人员及相关人员与</w:t>
      </w:r>
      <w:r>
        <w:rPr>
          <w:rFonts w:hint="eastAsia" w:ascii="宋体" w:hAnsi="宋体"/>
          <w:b w:val="0"/>
          <w:color w:val="000000"/>
          <w:sz w:val="21"/>
          <w:szCs w:val="21"/>
          <w:highlight w:val="none"/>
        </w:rPr>
        <w:t>供应商</w:t>
      </w:r>
      <w:r>
        <w:rPr>
          <w:rFonts w:ascii="宋体" w:hAnsi="宋体"/>
          <w:b w:val="0"/>
          <w:color w:val="000000"/>
          <w:sz w:val="21"/>
          <w:szCs w:val="21"/>
          <w:highlight w:val="none"/>
        </w:rPr>
        <w:t>有下列利害关系之一的，应当回避：</w:t>
      </w:r>
    </w:p>
    <w:p w14:paraId="622337F2">
      <w:pPr>
        <w:pStyle w:val="26"/>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1</w:t>
      </w:r>
      <w:r>
        <w:rPr>
          <w:rFonts w:hAnsi="宋体"/>
          <w:color w:val="000000"/>
          <w:kern w:val="2"/>
          <w:sz w:val="21"/>
          <w:highlight w:val="none"/>
        </w:rPr>
        <w:t>）参加采购活动前3年内与</w:t>
      </w:r>
      <w:r>
        <w:rPr>
          <w:rFonts w:hint="eastAsia" w:hAnsi="宋体"/>
          <w:color w:val="000000"/>
          <w:kern w:val="2"/>
          <w:sz w:val="21"/>
          <w:highlight w:val="none"/>
        </w:rPr>
        <w:t>供应商</w:t>
      </w:r>
      <w:r>
        <w:rPr>
          <w:rFonts w:hAnsi="宋体"/>
          <w:color w:val="000000"/>
          <w:kern w:val="2"/>
          <w:sz w:val="21"/>
          <w:highlight w:val="none"/>
        </w:rPr>
        <w:t>存在劳动关系；</w:t>
      </w:r>
    </w:p>
    <w:p w14:paraId="7A0B9A2D">
      <w:pPr>
        <w:pStyle w:val="26"/>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2</w:t>
      </w:r>
      <w:r>
        <w:rPr>
          <w:rFonts w:hAnsi="宋体"/>
          <w:color w:val="000000"/>
          <w:kern w:val="2"/>
          <w:sz w:val="21"/>
          <w:highlight w:val="none"/>
        </w:rPr>
        <w:t>）参加采购活动前3年内担任</w:t>
      </w:r>
      <w:r>
        <w:rPr>
          <w:rFonts w:hint="eastAsia" w:hAnsi="宋体"/>
          <w:color w:val="000000"/>
          <w:kern w:val="2"/>
          <w:sz w:val="21"/>
          <w:highlight w:val="none"/>
        </w:rPr>
        <w:t>供应商</w:t>
      </w:r>
      <w:r>
        <w:rPr>
          <w:rFonts w:hAnsi="宋体"/>
          <w:color w:val="000000"/>
          <w:kern w:val="2"/>
          <w:sz w:val="21"/>
          <w:highlight w:val="none"/>
        </w:rPr>
        <w:t>的董事、监事；</w:t>
      </w:r>
    </w:p>
    <w:p w14:paraId="63B82C2B">
      <w:pPr>
        <w:pStyle w:val="26"/>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3</w:t>
      </w:r>
      <w:r>
        <w:rPr>
          <w:rFonts w:hAnsi="宋体"/>
          <w:color w:val="000000"/>
          <w:kern w:val="2"/>
          <w:sz w:val="21"/>
          <w:highlight w:val="none"/>
        </w:rPr>
        <w:t>）参加采购活动前3年内是</w:t>
      </w:r>
      <w:r>
        <w:rPr>
          <w:rFonts w:hint="eastAsia" w:hAnsi="宋体"/>
          <w:color w:val="000000"/>
          <w:kern w:val="2"/>
          <w:sz w:val="21"/>
          <w:highlight w:val="none"/>
        </w:rPr>
        <w:t>供应商</w:t>
      </w:r>
      <w:r>
        <w:rPr>
          <w:rFonts w:hAnsi="宋体"/>
          <w:color w:val="000000"/>
          <w:kern w:val="2"/>
          <w:sz w:val="21"/>
          <w:highlight w:val="none"/>
        </w:rPr>
        <w:t>的控股股东或者实际控制人；</w:t>
      </w:r>
    </w:p>
    <w:p w14:paraId="78258467">
      <w:pPr>
        <w:pStyle w:val="26"/>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4</w:t>
      </w:r>
      <w:r>
        <w:rPr>
          <w:rFonts w:hAnsi="宋体"/>
          <w:color w:val="000000"/>
          <w:kern w:val="2"/>
          <w:sz w:val="21"/>
          <w:highlight w:val="none"/>
        </w:rPr>
        <w:t>）与</w:t>
      </w:r>
      <w:r>
        <w:rPr>
          <w:rFonts w:hint="eastAsia" w:hAnsi="宋体"/>
          <w:color w:val="000000"/>
          <w:kern w:val="2"/>
          <w:sz w:val="21"/>
          <w:highlight w:val="none"/>
        </w:rPr>
        <w:t>供应商</w:t>
      </w:r>
      <w:r>
        <w:rPr>
          <w:rFonts w:hAnsi="宋体"/>
          <w:color w:val="000000"/>
          <w:kern w:val="2"/>
          <w:sz w:val="21"/>
          <w:highlight w:val="none"/>
        </w:rPr>
        <w:t>的</w:t>
      </w:r>
      <w:r>
        <w:rPr>
          <w:rFonts w:hint="eastAsia" w:hAnsi="宋体"/>
          <w:color w:val="000000"/>
          <w:kern w:val="2"/>
          <w:sz w:val="21"/>
          <w:highlight w:val="none"/>
        </w:rPr>
        <w:t>法定代表人（或负责人）</w:t>
      </w:r>
      <w:r>
        <w:rPr>
          <w:rFonts w:hAnsi="宋体"/>
          <w:color w:val="000000"/>
          <w:kern w:val="2"/>
          <w:sz w:val="21"/>
          <w:highlight w:val="none"/>
        </w:rPr>
        <w:t>或者负责人有夫妻、直系血亲、三代以内旁系血亲或者近姻亲关系；</w:t>
      </w:r>
    </w:p>
    <w:p w14:paraId="644FCE2F">
      <w:pPr>
        <w:pStyle w:val="26"/>
        <w:snapToGrid w:val="0"/>
        <w:spacing w:line="360" w:lineRule="auto"/>
        <w:ind w:left="2" w:leftChars="1" w:firstLine="420" w:firstLineChars="200"/>
        <w:rPr>
          <w:rFonts w:hAnsi="宋体"/>
          <w:color w:val="000000"/>
          <w:kern w:val="2"/>
          <w:sz w:val="21"/>
          <w:highlight w:val="none"/>
        </w:rPr>
      </w:pPr>
      <w:r>
        <w:rPr>
          <w:rFonts w:hAnsi="宋体"/>
          <w:color w:val="000000"/>
          <w:kern w:val="2"/>
          <w:sz w:val="21"/>
          <w:highlight w:val="none"/>
        </w:rPr>
        <w:t>（</w:t>
      </w:r>
      <w:r>
        <w:rPr>
          <w:rFonts w:hint="eastAsia" w:hAnsi="宋体"/>
          <w:color w:val="000000"/>
          <w:kern w:val="2"/>
          <w:sz w:val="21"/>
          <w:highlight w:val="none"/>
        </w:rPr>
        <w:t>5</w:t>
      </w:r>
      <w:r>
        <w:rPr>
          <w:rFonts w:hAnsi="宋体"/>
          <w:color w:val="000000"/>
          <w:kern w:val="2"/>
          <w:sz w:val="21"/>
          <w:highlight w:val="none"/>
        </w:rPr>
        <w:t>）与</w:t>
      </w:r>
      <w:r>
        <w:rPr>
          <w:rFonts w:hint="eastAsia" w:hAnsi="宋体"/>
          <w:color w:val="000000"/>
          <w:kern w:val="2"/>
          <w:sz w:val="21"/>
          <w:highlight w:val="none"/>
        </w:rPr>
        <w:t>供应商</w:t>
      </w:r>
      <w:r>
        <w:rPr>
          <w:rFonts w:hAnsi="宋体"/>
          <w:color w:val="000000"/>
          <w:kern w:val="2"/>
          <w:sz w:val="21"/>
          <w:highlight w:val="none"/>
        </w:rPr>
        <w:t>有其他可能影响政府采购活动公平、公正进行的关系。</w:t>
      </w:r>
    </w:p>
    <w:p w14:paraId="7F46F124">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供应商</w:t>
      </w:r>
      <w:r>
        <w:rPr>
          <w:rFonts w:hAnsi="宋体"/>
          <w:color w:val="000000"/>
          <w:kern w:val="2"/>
          <w:sz w:val="21"/>
          <w:highlight w:val="none"/>
        </w:rPr>
        <w:t>认为采购人员及相关人员与其他</w:t>
      </w:r>
      <w:r>
        <w:rPr>
          <w:rFonts w:hint="eastAsia" w:hAnsi="宋体"/>
          <w:color w:val="000000"/>
          <w:kern w:val="2"/>
          <w:sz w:val="21"/>
          <w:highlight w:val="none"/>
        </w:rPr>
        <w:t>供应商</w:t>
      </w:r>
      <w:r>
        <w:rPr>
          <w:rFonts w:hAnsi="宋体"/>
          <w:color w:val="000000"/>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0F8D1BA9">
      <w:pPr>
        <w:pStyle w:val="6"/>
        <w:keepNext w:val="0"/>
        <w:keepLines w:val="0"/>
        <w:spacing w:before="0" w:after="0" w:line="360" w:lineRule="auto"/>
        <w:ind w:left="420" w:leftChars="200"/>
        <w:rPr>
          <w:rFonts w:ascii="宋体" w:hAnsi="宋体"/>
          <w:color w:val="000000"/>
          <w:sz w:val="21"/>
          <w:szCs w:val="21"/>
          <w:highlight w:val="none"/>
        </w:rPr>
      </w:pPr>
      <w:r>
        <w:rPr>
          <w:rFonts w:ascii="宋体" w:hAnsi="宋体"/>
          <w:color w:val="000000"/>
          <w:sz w:val="21"/>
          <w:szCs w:val="21"/>
          <w:highlight w:val="none"/>
        </w:rPr>
        <w:t>9.2</w:t>
      </w:r>
      <w:r>
        <w:rPr>
          <w:rFonts w:hint="eastAsia" w:ascii="宋体" w:hAnsi="宋体"/>
          <w:color w:val="000000"/>
          <w:sz w:val="21"/>
          <w:szCs w:val="21"/>
          <w:highlight w:val="none"/>
        </w:rPr>
        <w:t>有下列情形之一的视为投标人相互串通投标，投标文件将被视为无效：</w:t>
      </w:r>
    </w:p>
    <w:p w14:paraId="2B3AB71F">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 xml:space="preserve">（1）不同投标人的投标文件由同一单位或者个人编制； </w:t>
      </w:r>
    </w:p>
    <w:p w14:paraId="2AE33F8F">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（2）不同投标人委托同一单位或者个人办理投标事宜；</w:t>
      </w:r>
    </w:p>
    <w:p w14:paraId="2C0C9C41">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（3）不同的投标人的投标文件载明的项目管理员为同一个人；</w:t>
      </w:r>
    </w:p>
    <w:p w14:paraId="1849B57E">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（4）不同投标人的投标文件异常一致或者投标报价呈规律性差异；</w:t>
      </w:r>
    </w:p>
    <w:p w14:paraId="5F0F32C4">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（5）不同投标人的投标文件相互混装；</w:t>
      </w:r>
    </w:p>
    <w:p w14:paraId="2DFB19F3">
      <w:pPr>
        <w:pStyle w:val="26"/>
        <w:snapToGrid w:val="0"/>
        <w:spacing w:line="360" w:lineRule="auto"/>
        <w:ind w:left="2" w:leftChars="1" w:firstLine="422" w:firstLineChars="200"/>
        <w:rPr>
          <w:rFonts w:hAnsi="宋体"/>
          <w:b/>
          <w:color w:val="000000"/>
          <w:kern w:val="2"/>
          <w:sz w:val="21"/>
          <w:highlight w:val="none"/>
        </w:rPr>
      </w:pPr>
      <w:r>
        <w:rPr>
          <w:rFonts w:hint="eastAsia" w:hAnsi="宋体"/>
          <w:b/>
          <w:color w:val="000000"/>
          <w:kern w:val="2"/>
          <w:sz w:val="21"/>
          <w:highlight w:val="none"/>
        </w:rPr>
        <w:t>（6）不同投标人的投标保证金从同一单位或者个人账户转出。</w:t>
      </w:r>
    </w:p>
    <w:p w14:paraId="5B029AC1">
      <w:pPr>
        <w:pStyle w:val="6"/>
        <w:keepNext w:val="0"/>
        <w:keepLines w:val="0"/>
        <w:spacing w:before="0" w:after="0" w:line="360" w:lineRule="auto"/>
        <w:ind w:left="420" w:leftChars="200"/>
        <w:rPr>
          <w:rFonts w:ascii="宋体" w:hAnsi="宋体"/>
          <w:b w:val="0"/>
          <w:color w:val="000000"/>
          <w:sz w:val="21"/>
          <w:szCs w:val="21"/>
          <w:highlight w:val="none"/>
        </w:rPr>
      </w:pPr>
      <w:r>
        <w:rPr>
          <w:rFonts w:ascii="宋体" w:hAnsi="宋体"/>
          <w:b w:val="0"/>
          <w:color w:val="000000"/>
          <w:sz w:val="21"/>
          <w:szCs w:val="21"/>
          <w:highlight w:val="none"/>
        </w:rPr>
        <w:t>9.3</w:t>
      </w:r>
      <w:r>
        <w:rPr>
          <w:rFonts w:hint="eastAsia" w:ascii="宋体" w:hAnsi="宋体"/>
          <w:b w:val="0"/>
          <w:color w:val="000000"/>
          <w:sz w:val="21"/>
          <w:szCs w:val="21"/>
          <w:highlight w:val="none"/>
        </w:rPr>
        <w:t>供应商有下列情形之一的，属于恶意串通行为，将报同级监督管理部门：</w:t>
      </w:r>
    </w:p>
    <w:p w14:paraId="31AB516A">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（1）供应商直接或者间接从采购人或者采购代理机构处获得其他供应商的相关信息并修改其投标文件或者响应文件；</w:t>
      </w:r>
    </w:p>
    <w:p w14:paraId="6F26392D">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（2）供应商按照采购人或者采购代理机构的授意撤换、修改投标文件或者响应文件；</w:t>
      </w:r>
    </w:p>
    <w:p w14:paraId="26205587">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（3）供应商之间协商报价、技术方案等投标文件或者响应文件的实质性内容；</w:t>
      </w:r>
    </w:p>
    <w:p w14:paraId="414ED789">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（4）属于同一集团、协会、商会等组织成员的供应商按照该组织要求协同参加政府采购活动；</w:t>
      </w:r>
    </w:p>
    <w:p w14:paraId="49FC2367">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20DFA8B9">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（6）供应商之间商定部分供应商放弃参加政府采购活动或者放弃中标；</w:t>
      </w:r>
    </w:p>
    <w:p w14:paraId="4E500A5E">
      <w:pPr>
        <w:pStyle w:val="26"/>
        <w:snapToGrid w:val="0"/>
        <w:spacing w:line="360" w:lineRule="auto"/>
        <w:ind w:left="2" w:leftChars="1" w:firstLine="420" w:firstLineChars="200"/>
        <w:rPr>
          <w:rFonts w:hAnsi="宋体"/>
          <w:color w:val="000000"/>
          <w:kern w:val="2"/>
          <w:sz w:val="21"/>
          <w:highlight w:val="none"/>
        </w:rPr>
      </w:pPr>
      <w:r>
        <w:rPr>
          <w:rFonts w:hint="eastAsia" w:hAnsi="宋体"/>
          <w:color w:val="000000"/>
          <w:kern w:val="2"/>
          <w:sz w:val="21"/>
          <w:highlight w:val="none"/>
        </w:rPr>
        <w:t>（7）供应商与采购人或者采购代理机构之间、供应商相互之间，为谋求特定供应商中标或者排斥其他供应商的其他串通行为。</w:t>
      </w:r>
    </w:p>
    <w:p w14:paraId="0155737D">
      <w:pPr>
        <w:pStyle w:val="26"/>
        <w:snapToGrid w:val="0"/>
        <w:spacing w:line="360" w:lineRule="auto"/>
        <w:ind w:left="2" w:leftChars="1" w:firstLine="422" w:firstLineChars="200"/>
        <w:rPr>
          <w:rFonts w:hAnsi="宋体"/>
          <w:b/>
          <w:color w:val="000000"/>
          <w:kern w:val="2"/>
          <w:sz w:val="21"/>
          <w:highlight w:val="none"/>
        </w:rPr>
      </w:pPr>
    </w:p>
    <w:p w14:paraId="7407720F">
      <w:pPr>
        <w:pStyle w:val="4"/>
        <w:keepNext w:val="0"/>
        <w:keepLines w:val="0"/>
        <w:jc w:val="center"/>
        <w:rPr>
          <w:color w:val="000000"/>
          <w:highlight w:val="none"/>
        </w:rPr>
      </w:pPr>
      <w:bookmarkStart w:id="98" w:name="_Toc254970534"/>
      <w:bookmarkStart w:id="99" w:name="_Toc254970675"/>
      <w:r>
        <w:rPr>
          <w:rFonts w:hint="eastAsia"/>
          <w:color w:val="000000"/>
          <w:highlight w:val="none"/>
        </w:rPr>
        <w:t>二、招标文件</w:t>
      </w:r>
      <w:bookmarkEnd w:id="98"/>
      <w:bookmarkEnd w:id="99"/>
    </w:p>
    <w:p w14:paraId="4ABB2E04">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10.招标文件的组成</w:t>
      </w:r>
    </w:p>
    <w:p w14:paraId="7BEC781F">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（1）招标公告；</w:t>
      </w:r>
    </w:p>
    <w:p w14:paraId="5BC63263">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 xml:space="preserve">（2）采购需求； </w:t>
      </w:r>
    </w:p>
    <w:p w14:paraId="4A1D73AC">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（3）投标人须知；</w:t>
      </w:r>
    </w:p>
    <w:p w14:paraId="7492ECAA">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（4）评标方法及评标标准；</w:t>
      </w:r>
    </w:p>
    <w:p w14:paraId="6072C4A7">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（5）拟签订的合同文本；</w:t>
      </w:r>
    </w:p>
    <w:p w14:paraId="2E6B7F54">
      <w:pPr>
        <w:snapToGrid w:val="0"/>
        <w:spacing w:line="360" w:lineRule="auto"/>
        <w:ind w:firstLine="420"/>
        <w:jc w:val="left"/>
        <w:rPr>
          <w:rFonts w:ascii="宋体" w:hAnsi="宋体"/>
          <w:color w:val="000000"/>
          <w:szCs w:val="21"/>
          <w:highlight w:val="none"/>
        </w:rPr>
      </w:pPr>
      <w:r>
        <w:rPr>
          <w:rFonts w:hint="eastAsia" w:ascii="宋体" w:hAnsi="宋体"/>
          <w:color w:val="000000"/>
          <w:szCs w:val="21"/>
          <w:highlight w:val="none"/>
        </w:rPr>
        <w:t>（6）投标文件格式。</w:t>
      </w:r>
    </w:p>
    <w:p w14:paraId="5059CF28">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14:paraId="35FE7884">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17FF944">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9C45A86">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1</w:t>
      </w:r>
      <w:r>
        <w:rPr>
          <w:rFonts w:hAnsi="宋体"/>
          <w:color w:val="000000"/>
          <w:sz w:val="21"/>
          <w:highlight w:val="none"/>
        </w:rPr>
        <w:t>1.2</w:t>
      </w:r>
      <w:bookmarkStart w:id="100" w:name="_Hlk53134511"/>
      <w:r>
        <w:rPr>
          <w:rFonts w:hint="eastAsia" w:hAnsi="宋体"/>
          <w:color w:val="000000"/>
          <w:sz w:val="21"/>
          <w:highlight w:val="none"/>
        </w:rPr>
        <w:t>采购人或者采购代理机构可以在招标文件提供期限截止后，组织已获取招标文件的潜在投标人现场考察或者召开开标前答疑会，具体详见“投标人须知前附表”。</w:t>
      </w:r>
    </w:p>
    <w:bookmarkEnd w:id="100"/>
    <w:p w14:paraId="11F0C8B6">
      <w:pPr>
        <w:pStyle w:val="4"/>
        <w:keepNext w:val="0"/>
        <w:keepLines w:val="0"/>
        <w:jc w:val="center"/>
        <w:rPr>
          <w:color w:val="000000"/>
          <w:highlight w:val="none"/>
        </w:rPr>
      </w:pPr>
      <w:bookmarkStart w:id="101" w:name="_Toc254970676"/>
      <w:bookmarkStart w:id="102" w:name="_Toc254970535"/>
      <w:r>
        <w:rPr>
          <w:rFonts w:hint="eastAsia"/>
          <w:color w:val="000000"/>
          <w:highlight w:val="none"/>
        </w:rPr>
        <w:t>三、投标文件的编制</w:t>
      </w:r>
      <w:bookmarkEnd w:id="101"/>
      <w:bookmarkEnd w:id="102"/>
    </w:p>
    <w:p w14:paraId="01094B45">
      <w:pPr>
        <w:pStyle w:val="6"/>
        <w:keepNext w:val="0"/>
        <w:keepLines w:val="0"/>
        <w:spacing w:before="0" w:after="0" w:line="360" w:lineRule="auto"/>
        <w:ind w:left="420" w:leftChars="200"/>
        <w:rPr>
          <w:rFonts w:ascii="黑体" w:hAnsi="黑体" w:eastAsia="黑体"/>
          <w:color w:val="000000"/>
          <w:sz w:val="24"/>
          <w:highlight w:val="none"/>
        </w:rPr>
      </w:pPr>
      <w:bookmarkStart w:id="103" w:name="_Toc254970536"/>
      <w:bookmarkStart w:id="104" w:name="_Toc254970677"/>
      <w:r>
        <w:rPr>
          <w:rFonts w:hint="eastAsia" w:ascii="黑体" w:hAnsi="黑体" w:eastAsia="黑体"/>
          <w:color w:val="000000"/>
          <w:sz w:val="24"/>
          <w:highlight w:val="none"/>
        </w:rPr>
        <w:t>12.投标文件的编制原则</w:t>
      </w:r>
    </w:p>
    <w:p w14:paraId="5D232914">
      <w:pPr>
        <w:snapToGrid w:val="0"/>
        <w:spacing w:line="360" w:lineRule="auto"/>
        <w:ind w:firstLine="420"/>
        <w:jc w:val="left"/>
        <w:rPr>
          <w:rFonts w:ascii="宋体" w:hAnsi="宋体" w:cs="Courier New"/>
          <w:color w:val="000000"/>
          <w:szCs w:val="21"/>
          <w:highlight w:val="none"/>
        </w:rPr>
      </w:pPr>
      <w:r>
        <w:rPr>
          <w:rFonts w:ascii="宋体" w:hAnsi="宋体"/>
          <w:color w:val="000000"/>
          <w:szCs w:val="21"/>
          <w:highlight w:val="none"/>
        </w:rPr>
        <w:t>投标人必须按照招标文件的要求编制投标文件。投标文件必须对招标文件提出的要求和条件作出明确响应。</w:t>
      </w:r>
    </w:p>
    <w:p w14:paraId="7728D6EA">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13.投标文件的组成</w:t>
      </w:r>
      <w:bookmarkEnd w:id="103"/>
      <w:bookmarkEnd w:id="104"/>
    </w:p>
    <w:p w14:paraId="065271B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投标文件由报价文件、资格证明文件、商务文件、技术文件四部分组成。</w:t>
      </w:r>
    </w:p>
    <w:p w14:paraId="499C6353">
      <w:pPr>
        <w:pStyle w:val="6"/>
        <w:keepNext w:val="0"/>
        <w:keepLines w:val="0"/>
        <w:spacing w:before="0" w:after="0" w:line="360" w:lineRule="auto"/>
        <w:ind w:left="420" w:leftChars="200"/>
        <w:rPr>
          <w:rFonts w:ascii="宋体" w:hAnsi="宋体"/>
          <w:b w:val="0"/>
          <w:color w:val="000000"/>
          <w:sz w:val="21"/>
          <w:szCs w:val="21"/>
          <w:highlight w:val="none"/>
        </w:rPr>
      </w:pPr>
      <w:bookmarkStart w:id="105" w:name="_13.1报价文件:_具体材料见“投标人须知前附表”。"/>
      <w:bookmarkEnd w:id="105"/>
      <w:r>
        <w:rPr>
          <w:rFonts w:hint="eastAsia" w:ascii="宋体" w:hAnsi="宋体"/>
          <w:b w:val="0"/>
          <w:color w:val="000000"/>
          <w:sz w:val="21"/>
          <w:szCs w:val="21"/>
          <w:highlight w:val="none"/>
        </w:rPr>
        <w:t>（1）报价文件：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239B26B7">
      <w:pPr>
        <w:pStyle w:val="6"/>
        <w:keepNext w:val="0"/>
        <w:keepLines w:val="0"/>
        <w:spacing w:before="0" w:after="0" w:line="360" w:lineRule="auto"/>
        <w:ind w:left="420" w:leftChars="200"/>
        <w:rPr>
          <w:rFonts w:ascii="宋体" w:hAnsi="宋体"/>
          <w:b w:val="0"/>
          <w:color w:val="000000"/>
          <w:sz w:val="21"/>
          <w:szCs w:val="21"/>
          <w:highlight w:val="none"/>
        </w:rPr>
      </w:pPr>
      <w:bookmarkStart w:id="106" w:name="_13.2资格证明文件：具体材料见“投标人须知前附表”。"/>
      <w:bookmarkEnd w:id="106"/>
      <w:r>
        <w:rPr>
          <w:rFonts w:hint="eastAsia" w:ascii="宋体" w:hAnsi="宋体"/>
          <w:b w:val="0"/>
          <w:color w:val="000000"/>
          <w:sz w:val="21"/>
          <w:szCs w:val="21"/>
          <w:highlight w:val="none"/>
        </w:rPr>
        <w:t>（</w:t>
      </w:r>
      <w:r>
        <w:rPr>
          <w:rFonts w:ascii="宋体" w:hAnsi="宋体"/>
          <w:b w:val="0"/>
          <w:color w:val="000000"/>
          <w:sz w:val="21"/>
          <w:szCs w:val="21"/>
          <w:highlight w:val="none"/>
        </w:rPr>
        <w:t>2</w:t>
      </w:r>
      <w:r>
        <w:rPr>
          <w:rFonts w:hint="eastAsia" w:ascii="宋体" w:hAnsi="宋体"/>
          <w:b w:val="0"/>
          <w:color w:val="000000"/>
          <w:sz w:val="21"/>
          <w:szCs w:val="21"/>
          <w:highlight w:val="none"/>
        </w:rPr>
        <w:t>）资格证明文件：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0D0ACAC4">
      <w:pPr>
        <w:pStyle w:val="6"/>
        <w:keepNext w:val="0"/>
        <w:keepLines w:val="0"/>
        <w:spacing w:before="0" w:after="0" w:line="360" w:lineRule="auto"/>
        <w:ind w:left="420" w:leftChars="200"/>
        <w:rPr>
          <w:rFonts w:ascii="宋体" w:hAnsi="宋体"/>
          <w:b w:val="0"/>
          <w:color w:val="000000"/>
          <w:sz w:val="21"/>
          <w:szCs w:val="21"/>
          <w:highlight w:val="none"/>
        </w:rPr>
      </w:pPr>
      <w:bookmarkStart w:id="107" w:name="_13.3商务文件:_具体材料见“投标人须知前附表”。"/>
      <w:bookmarkEnd w:id="107"/>
      <w:r>
        <w:rPr>
          <w:rFonts w:hint="eastAsia" w:ascii="宋体" w:hAnsi="宋体"/>
          <w:b w:val="0"/>
          <w:color w:val="000000"/>
          <w:sz w:val="21"/>
          <w:szCs w:val="21"/>
          <w:highlight w:val="none"/>
        </w:rPr>
        <w:t>（</w:t>
      </w:r>
      <w:r>
        <w:rPr>
          <w:rFonts w:ascii="宋体" w:hAnsi="宋体"/>
          <w:b w:val="0"/>
          <w:color w:val="000000"/>
          <w:sz w:val="21"/>
          <w:szCs w:val="21"/>
          <w:highlight w:val="none"/>
        </w:rPr>
        <w:t>3</w:t>
      </w:r>
      <w:r>
        <w:rPr>
          <w:rFonts w:hint="eastAsia" w:ascii="宋体" w:hAnsi="宋体"/>
          <w:b w:val="0"/>
          <w:color w:val="000000"/>
          <w:sz w:val="21"/>
          <w:szCs w:val="21"/>
          <w:highlight w:val="none"/>
        </w:rPr>
        <w:t>）商务文件：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58DA9D7F">
      <w:pPr>
        <w:pStyle w:val="6"/>
        <w:keepNext w:val="0"/>
        <w:keepLines w:val="0"/>
        <w:spacing w:before="0" w:after="0" w:line="360" w:lineRule="auto"/>
        <w:ind w:left="420" w:leftChars="200"/>
        <w:rPr>
          <w:rFonts w:ascii="宋体" w:hAnsi="宋体"/>
          <w:b w:val="0"/>
          <w:color w:val="000000"/>
          <w:sz w:val="21"/>
          <w:szCs w:val="21"/>
          <w:highlight w:val="none"/>
        </w:rPr>
      </w:pPr>
      <w:bookmarkStart w:id="108" w:name="_13.4技术文件：具体材料见“投标人须知前附表”。"/>
      <w:bookmarkEnd w:id="108"/>
      <w:r>
        <w:rPr>
          <w:rFonts w:hint="eastAsia" w:ascii="宋体" w:hAnsi="宋体"/>
          <w:b w:val="0"/>
          <w:color w:val="000000"/>
          <w:sz w:val="21"/>
          <w:szCs w:val="21"/>
          <w:highlight w:val="none"/>
        </w:rPr>
        <w:t>（</w:t>
      </w:r>
      <w:r>
        <w:rPr>
          <w:rFonts w:ascii="宋体" w:hAnsi="宋体"/>
          <w:b w:val="0"/>
          <w:color w:val="000000"/>
          <w:sz w:val="21"/>
          <w:szCs w:val="21"/>
          <w:highlight w:val="none"/>
        </w:rPr>
        <w:t>4</w:t>
      </w:r>
      <w:r>
        <w:rPr>
          <w:rFonts w:hint="eastAsia" w:ascii="宋体" w:hAnsi="宋体"/>
          <w:b w:val="0"/>
          <w:color w:val="000000"/>
          <w:sz w:val="21"/>
          <w:szCs w:val="21"/>
          <w:highlight w:val="none"/>
        </w:rPr>
        <w:t>）技术文件：</w:t>
      </w:r>
      <w:r>
        <w:rPr>
          <w:rFonts w:ascii="宋体" w:hAnsi="宋体"/>
          <w:b w:val="0"/>
          <w:color w:val="000000"/>
          <w:sz w:val="21"/>
          <w:szCs w:val="21"/>
          <w:highlight w:val="none"/>
        </w:rPr>
        <w:t>具体材料见“投标人须知前附表”</w:t>
      </w:r>
      <w:r>
        <w:rPr>
          <w:rFonts w:hint="eastAsia" w:ascii="宋体" w:hAnsi="宋体"/>
          <w:b w:val="0"/>
          <w:color w:val="000000"/>
          <w:sz w:val="21"/>
          <w:szCs w:val="21"/>
          <w:highlight w:val="none"/>
        </w:rPr>
        <w:t>。</w:t>
      </w:r>
    </w:p>
    <w:p w14:paraId="6E0B075B">
      <w:pPr>
        <w:pStyle w:val="6"/>
        <w:keepNext w:val="0"/>
        <w:keepLines w:val="0"/>
        <w:spacing w:before="0" w:after="0" w:line="360" w:lineRule="auto"/>
        <w:ind w:left="420" w:leftChars="200"/>
        <w:rPr>
          <w:rFonts w:ascii="黑体" w:hAnsi="黑体" w:eastAsia="黑体"/>
          <w:color w:val="000000"/>
          <w:sz w:val="24"/>
          <w:highlight w:val="none"/>
        </w:rPr>
      </w:pPr>
      <w:bookmarkStart w:id="109" w:name="_13.5投标文件电子版：具体材料见“投标人须知前附表”。"/>
      <w:bookmarkEnd w:id="109"/>
      <w:bookmarkStart w:id="110" w:name="_Toc254970537"/>
      <w:bookmarkStart w:id="111" w:name="_Toc254970678"/>
      <w:r>
        <w:rPr>
          <w:rFonts w:hint="eastAsia" w:ascii="黑体" w:hAnsi="黑体" w:eastAsia="黑体"/>
          <w:color w:val="000000"/>
          <w:sz w:val="24"/>
          <w:highlight w:val="none"/>
        </w:rPr>
        <w:t>14.投标文件的语言及计量</w:t>
      </w:r>
      <w:bookmarkEnd w:id="110"/>
      <w:bookmarkEnd w:id="111"/>
    </w:p>
    <w:p w14:paraId="77067D6A">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14.1语言文字</w:t>
      </w:r>
    </w:p>
    <w:p w14:paraId="4C09219E">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CB22C21">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14.2投标计量单位</w:t>
      </w:r>
    </w:p>
    <w:p w14:paraId="222B5C1A">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000000"/>
          <w:sz w:val="21"/>
          <w:szCs w:val="21"/>
          <w:highlight w:val="none"/>
        </w:rPr>
        <w:t>否则视同未响应。</w:t>
      </w:r>
    </w:p>
    <w:p w14:paraId="6BFFB600">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15.投标的风险</w:t>
      </w:r>
    </w:p>
    <w:p w14:paraId="6939FBF7">
      <w:pPr>
        <w:pStyle w:val="26"/>
        <w:snapToGrid w:val="0"/>
        <w:spacing w:line="360" w:lineRule="auto"/>
        <w:ind w:firstLine="420" w:firstLineChars="200"/>
        <w:jc w:val="left"/>
        <w:rPr>
          <w:rFonts w:hAnsi="宋体"/>
          <w:color w:val="000000"/>
          <w:sz w:val="21"/>
          <w:highlight w:val="none"/>
        </w:rPr>
      </w:pPr>
      <w:r>
        <w:rPr>
          <w:rFonts w:hint="eastAsia" w:hAnsi="宋体"/>
          <w:color w:val="000000"/>
          <w:sz w:val="21"/>
          <w:highlight w:val="none"/>
        </w:rPr>
        <w:t>投标人没有按照招标文件要求提供全部资料，或者投标人没有对招标文件作出实质性响应是投标人的风险，并可能导致其投标被拒绝。</w:t>
      </w:r>
    </w:p>
    <w:p w14:paraId="38A24CA0">
      <w:pPr>
        <w:pStyle w:val="6"/>
        <w:keepNext w:val="0"/>
        <w:keepLines w:val="0"/>
        <w:spacing w:before="0" w:after="0" w:line="360" w:lineRule="auto"/>
        <w:ind w:left="420" w:leftChars="200"/>
        <w:rPr>
          <w:rFonts w:ascii="黑体" w:hAnsi="黑体" w:eastAsia="黑体"/>
          <w:color w:val="000000"/>
          <w:sz w:val="24"/>
          <w:highlight w:val="none"/>
        </w:rPr>
      </w:pPr>
      <w:bookmarkStart w:id="112" w:name="_Toc254970538"/>
      <w:bookmarkStart w:id="113" w:name="_Toc254970679"/>
      <w:r>
        <w:rPr>
          <w:rFonts w:hint="eastAsia" w:ascii="黑体" w:hAnsi="黑体" w:eastAsia="黑体"/>
          <w:color w:val="000000"/>
          <w:sz w:val="24"/>
          <w:highlight w:val="none"/>
        </w:rPr>
        <w:t>16.投标报价</w:t>
      </w:r>
      <w:bookmarkEnd w:id="112"/>
      <w:bookmarkEnd w:id="113"/>
    </w:p>
    <w:p w14:paraId="7110DFD2">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16.1投标报价应按“第六章　投标文件格式”中“开标一览表”格式填写。</w:t>
      </w:r>
    </w:p>
    <w:p w14:paraId="2DDCAED8">
      <w:pPr>
        <w:pStyle w:val="6"/>
        <w:keepNext w:val="0"/>
        <w:keepLines w:val="0"/>
        <w:spacing w:before="0" w:after="0" w:line="360" w:lineRule="auto"/>
        <w:ind w:left="420" w:leftChars="200"/>
        <w:rPr>
          <w:rFonts w:ascii="宋体" w:hAnsi="宋体"/>
          <w:b w:val="0"/>
          <w:color w:val="000000"/>
          <w:sz w:val="21"/>
          <w:szCs w:val="21"/>
          <w:highlight w:val="none"/>
        </w:rPr>
      </w:pPr>
      <w:bookmarkStart w:id="114" w:name="_16.2投标报价具体定义见投标人须知前附表。"/>
      <w:bookmarkEnd w:id="114"/>
      <w:r>
        <w:rPr>
          <w:rFonts w:hint="eastAsia" w:ascii="宋体" w:hAnsi="宋体"/>
          <w:b w:val="0"/>
          <w:color w:val="000000"/>
          <w:sz w:val="21"/>
          <w:szCs w:val="21"/>
          <w:highlight w:val="none"/>
        </w:rPr>
        <w:t>16.2投标报价具体包括内容详见“投标人须知前附表”。</w:t>
      </w:r>
    </w:p>
    <w:p w14:paraId="3F120FD2">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16.3投标人必须就所投的全部内容分别作完整唯一总价报价，不得存在漏项报价；投标人必须就所投的单项内容作唯一报价。</w:t>
      </w:r>
    </w:p>
    <w:p w14:paraId="49AD9978">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17.投标有效期</w:t>
      </w:r>
    </w:p>
    <w:p w14:paraId="65D9884E">
      <w:pPr>
        <w:pStyle w:val="6"/>
        <w:keepNext w:val="0"/>
        <w:keepLines w:val="0"/>
        <w:spacing w:before="0" w:after="0" w:line="360" w:lineRule="auto"/>
        <w:ind w:firstLine="420" w:firstLineChars="200"/>
        <w:rPr>
          <w:rFonts w:ascii="宋体" w:hAnsi="宋体"/>
          <w:b w:val="0"/>
          <w:color w:val="000000"/>
          <w:sz w:val="21"/>
          <w:szCs w:val="21"/>
          <w:highlight w:val="none"/>
        </w:rPr>
      </w:pPr>
      <w:bookmarkStart w:id="115" w:name="_17.1投标有效期应按“投标人须知中的前附表”规定的期限。"/>
      <w:bookmarkEnd w:id="115"/>
      <w:r>
        <w:rPr>
          <w:rFonts w:hint="eastAsia" w:ascii="宋体" w:hAnsi="宋体"/>
          <w:b w:val="0"/>
          <w:color w:val="000000"/>
          <w:sz w:val="21"/>
          <w:szCs w:val="21"/>
          <w:highlight w:val="none"/>
        </w:rPr>
        <w:t>17.1投标有效期是指为保证采购人有足够的时间在开标后完成评标、定标、合同签订等工作而要求投标人提交的投标文件在一定时间内保持有效的期限。</w:t>
      </w:r>
    </w:p>
    <w:p w14:paraId="74E80701">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17.2</w:t>
      </w:r>
      <w:bookmarkStart w:id="116" w:name="_Toc254970540"/>
      <w:bookmarkStart w:id="117" w:name="_Toc254970681"/>
      <w:r>
        <w:rPr>
          <w:rFonts w:hint="eastAsia" w:ascii="宋体" w:hAnsi="宋体"/>
          <w:b w:val="0"/>
          <w:color w:val="000000"/>
          <w:sz w:val="21"/>
          <w:szCs w:val="21"/>
          <w:highlight w:val="none"/>
        </w:rPr>
        <w:t xml:space="preserve"> 投标有效期应按规定的期限作出承诺，具体详见“投标人须知前附表”。</w:t>
      </w:r>
    </w:p>
    <w:p w14:paraId="05830AAA">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17.3投标人的投标文件在投标有效期内均保持有效。</w:t>
      </w:r>
      <w:bookmarkEnd w:id="116"/>
      <w:bookmarkEnd w:id="117"/>
    </w:p>
    <w:p w14:paraId="5ED0EE10">
      <w:pPr>
        <w:pStyle w:val="6"/>
        <w:keepNext w:val="0"/>
        <w:keepLines w:val="0"/>
        <w:spacing w:before="0" w:after="0" w:line="360" w:lineRule="auto"/>
        <w:ind w:left="420" w:leftChars="200"/>
        <w:rPr>
          <w:rFonts w:ascii="黑体" w:hAnsi="黑体" w:eastAsia="黑体"/>
          <w:color w:val="000000"/>
          <w:sz w:val="24"/>
          <w:highlight w:val="none"/>
        </w:rPr>
      </w:pPr>
      <w:bookmarkStart w:id="118" w:name="_18.投标保证金"/>
      <w:bookmarkEnd w:id="118"/>
      <w:bookmarkStart w:id="119" w:name="_Toc254970541"/>
      <w:bookmarkStart w:id="120" w:name="_Toc254970682"/>
      <w:r>
        <w:rPr>
          <w:rFonts w:hint="eastAsia" w:ascii="黑体" w:hAnsi="黑体" w:eastAsia="黑体"/>
          <w:color w:val="000000"/>
          <w:sz w:val="24"/>
          <w:highlight w:val="none"/>
        </w:rPr>
        <w:t>18.投标保证金</w:t>
      </w:r>
      <w:bookmarkEnd w:id="119"/>
      <w:bookmarkEnd w:id="120"/>
    </w:p>
    <w:p w14:paraId="6E0B4E13">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18.1投标人须按“投标人须知前附表” 的规定提交投标保证金。</w:t>
      </w:r>
    </w:p>
    <w:p w14:paraId="1061AF5A">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18.2投标保证金的退还</w:t>
      </w:r>
    </w:p>
    <w:p w14:paraId="3255C479">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 xml:space="preserve">未中标人的投标保证金自中标通知书发出之日起5个工作日内退还；中标人的投标保证金自政府采购合同签订之日起5个工作日内退还。 </w:t>
      </w:r>
    </w:p>
    <w:p w14:paraId="53F462D0">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18.3除逾期退还投标保证金和终止招标的情形以外，投标保证金不计息。</w:t>
      </w:r>
    </w:p>
    <w:p w14:paraId="4C8515CE">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 xml:space="preserve">18.4投标人有下列情形之一的，投标保证金将不予退还： </w:t>
      </w:r>
    </w:p>
    <w:p w14:paraId="3DCD7855">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（1）投标人在投标有效期内撤销投标文件的；</w:t>
      </w:r>
    </w:p>
    <w:p w14:paraId="5A976476">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（2）未按规定提交履约保证金的；</w:t>
      </w:r>
    </w:p>
    <w:p w14:paraId="630A9E61">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（3）投标人在投标过程中弄虚作假，提供虚假材料的；</w:t>
      </w:r>
    </w:p>
    <w:p w14:paraId="7F1FA995">
      <w:pPr>
        <w:snapToGrid w:val="0"/>
        <w:spacing w:line="360" w:lineRule="auto"/>
        <w:ind w:firstLine="411" w:firstLineChars="196"/>
        <w:rPr>
          <w:rFonts w:ascii="宋体" w:hAnsi="宋体"/>
          <w:color w:val="000000"/>
          <w:szCs w:val="21"/>
          <w:highlight w:val="none"/>
        </w:rPr>
      </w:pPr>
      <w:r>
        <w:rPr>
          <w:rFonts w:hint="eastAsia" w:ascii="宋体" w:hAnsi="宋体"/>
          <w:color w:val="000000"/>
          <w:szCs w:val="21"/>
          <w:highlight w:val="none"/>
        </w:rPr>
        <w:t>（4）中标人无正当理由不与采购人签订合同的；</w:t>
      </w:r>
    </w:p>
    <w:p w14:paraId="5F79D3A5">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（5）投标人出现本章第9.2、9.3情形的；</w:t>
      </w:r>
    </w:p>
    <w:p w14:paraId="616EB4E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w:t>
      </w:r>
      <w:r>
        <w:rPr>
          <w:rFonts w:hint="eastAsia" w:ascii="宋体" w:hAnsi="宋体" w:cs="宋体"/>
          <w:color w:val="000000"/>
          <w:szCs w:val="21"/>
          <w:highlight w:val="none"/>
        </w:rPr>
        <w:t>法律法规规定的其他情形</w:t>
      </w:r>
      <w:r>
        <w:rPr>
          <w:rFonts w:hint="eastAsia" w:ascii="宋体" w:hAnsi="宋体"/>
          <w:color w:val="000000"/>
          <w:szCs w:val="21"/>
          <w:highlight w:val="none"/>
        </w:rPr>
        <w:t>。</w:t>
      </w:r>
    </w:p>
    <w:p w14:paraId="725DE014">
      <w:pPr>
        <w:pStyle w:val="6"/>
        <w:keepNext w:val="0"/>
        <w:keepLines w:val="0"/>
        <w:spacing w:before="0" w:after="0" w:line="360" w:lineRule="auto"/>
        <w:ind w:left="420" w:leftChars="200"/>
        <w:rPr>
          <w:rFonts w:ascii="黑体" w:hAnsi="黑体" w:eastAsia="黑体"/>
          <w:color w:val="000000"/>
          <w:sz w:val="24"/>
          <w:highlight w:val="none"/>
        </w:rPr>
      </w:pPr>
      <w:bookmarkStart w:id="121" w:name="_Toc254970542"/>
      <w:bookmarkStart w:id="122" w:name="_Toc254970683"/>
      <w:r>
        <w:rPr>
          <w:rFonts w:hint="eastAsia" w:ascii="黑体" w:hAnsi="黑体" w:eastAsia="黑体"/>
          <w:color w:val="000000"/>
          <w:sz w:val="24"/>
          <w:highlight w:val="none"/>
        </w:rPr>
        <w:t>19.投标文件的</w:t>
      </w:r>
      <w:bookmarkEnd w:id="121"/>
      <w:bookmarkEnd w:id="122"/>
      <w:r>
        <w:rPr>
          <w:rFonts w:hint="eastAsia" w:ascii="黑体" w:hAnsi="黑体" w:eastAsia="黑体"/>
          <w:color w:val="000000"/>
          <w:sz w:val="24"/>
          <w:highlight w:val="none"/>
        </w:rPr>
        <w:t>编制</w:t>
      </w:r>
    </w:p>
    <w:p w14:paraId="37DE8CD2">
      <w:pPr>
        <w:pStyle w:val="6"/>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color w:val="000000"/>
          <w:sz w:val="21"/>
          <w:szCs w:val="21"/>
          <w:highlight w:val="none"/>
        </w:rPr>
        <w:t xml:space="preserve"> </w:t>
      </w:r>
      <w:r>
        <w:rPr>
          <w:rFonts w:hint="eastAsia" w:ascii="宋体" w:hAnsi="宋体"/>
          <w:b w:val="0"/>
          <w:sz w:val="21"/>
          <w:szCs w:val="21"/>
          <w:highlight w:val="none"/>
        </w:rPr>
        <w:t>19.1投标人应先安装“广西政府采购客户端”（请自行前往“广西政府采购网”，依次进入“办事服务-下载专区”），并按照本项目招标文件规定的格式和顺序和广西政府采购云平台的要求编制并加密。投标文件内容不完整、编排混乱导致投标文件被误读、漏读或者查找不到相关内容的，由此引发的后果由投标人承担。</w:t>
      </w:r>
    </w:p>
    <w:p w14:paraId="09606D98">
      <w:pPr>
        <w:pStyle w:val="6"/>
        <w:keepNext w:val="0"/>
        <w:keepLines w:val="0"/>
        <w:spacing w:before="0" w:after="0" w:line="360" w:lineRule="auto"/>
        <w:ind w:firstLine="315" w:firstLineChars="150"/>
        <w:rPr>
          <w:rFonts w:ascii="宋体" w:hAnsi="宋体"/>
          <w:b w:val="0"/>
          <w:sz w:val="21"/>
          <w:szCs w:val="21"/>
          <w:highlight w:val="none"/>
        </w:rPr>
      </w:pPr>
      <w:bookmarkStart w:id="123" w:name="_19.2投标文件应按报价文件、资格证明文件、商务文件、技术文件分别编制"/>
      <w:bookmarkEnd w:id="123"/>
      <w:r>
        <w:rPr>
          <w:rFonts w:hint="eastAsia" w:ascii="宋体" w:hAnsi="宋体"/>
          <w:b w:val="0"/>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1BDE9F8">
      <w:pPr>
        <w:pStyle w:val="6"/>
        <w:keepNext w:val="0"/>
        <w:keepLines w:val="0"/>
        <w:spacing w:before="0" w:after="0" w:line="360" w:lineRule="auto"/>
        <w:rPr>
          <w:rFonts w:ascii="宋体" w:hAnsi="宋体"/>
          <w:b w:val="0"/>
          <w:sz w:val="21"/>
          <w:szCs w:val="21"/>
          <w:highlight w:val="none"/>
        </w:rPr>
      </w:pPr>
      <w:r>
        <w:rPr>
          <w:rFonts w:hint="eastAsia" w:ascii="宋体" w:hAnsi="宋体"/>
          <w:b w:val="0"/>
          <w:sz w:val="21"/>
          <w:szCs w:val="21"/>
          <w:highlight w:val="none"/>
        </w:rPr>
        <w:t xml:space="preserve">    19.3投标文件须由投标人在规定位置签字（或者电子签名）、盖章（具体以投标人须知前附表或投标文件格式规定为准），</w:t>
      </w:r>
      <w:r>
        <w:rPr>
          <w:rFonts w:hint="eastAsia" w:ascii="宋体" w:hAnsi="宋体"/>
          <w:bCs/>
          <w:sz w:val="21"/>
          <w:szCs w:val="21"/>
          <w:highlight w:val="none"/>
        </w:rPr>
        <w:t>否则按无效投标处理</w:t>
      </w:r>
      <w:r>
        <w:rPr>
          <w:rFonts w:hint="eastAsia" w:ascii="宋体" w:hAnsi="宋体"/>
          <w:b w:val="0"/>
          <w:sz w:val="21"/>
          <w:szCs w:val="21"/>
          <w:highlight w:val="none"/>
        </w:rPr>
        <w:t>。</w:t>
      </w:r>
    </w:p>
    <w:p w14:paraId="29DD58B0">
      <w:pPr>
        <w:pStyle w:val="6"/>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highlight w:val="none"/>
        </w:rPr>
        <w:t>否则按无效投标处理</w:t>
      </w:r>
      <w:r>
        <w:rPr>
          <w:rFonts w:hint="eastAsia" w:ascii="宋体" w:hAnsi="宋体"/>
          <w:b w:val="0"/>
          <w:sz w:val="21"/>
          <w:szCs w:val="21"/>
          <w:highlight w:val="none"/>
        </w:rPr>
        <w:t>。</w:t>
      </w:r>
    </w:p>
    <w:p w14:paraId="07B232A4">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AE0ADB0">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20.电子备份投标文件</w:t>
      </w:r>
    </w:p>
    <w:p w14:paraId="0D89A8AB">
      <w:pPr>
        <w:spacing w:line="360" w:lineRule="auto"/>
        <w:ind w:firstLine="420" w:firstLineChars="200"/>
        <w:rPr>
          <w:rFonts w:ascii="黑体" w:hAnsi="黑体" w:eastAsia="黑体"/>
          <w:color w:val="000000"/>
          <w:sz w:val="24"/>
          <w:highlight w:val="none"/>
        </w:rPr>
      </w:pPr>
      <w:r>
        <w:rPr>
          <w:rFonts w:hint="eastAsia"/>
          <w:color w:val="000000"/>
          <w:highlight w:val="none"/>
        </w:rPr>
        <w:t>电子备份投标文件是指通过“</w:t>
      </w:r>
      <w:r>
        <w:rPr>
          <w:rFonts w:hint="eastAsia" w:ascii="宋体" w:hAnsi="宋体"/>
          <w:szCs w:val="21"/>
          <w:highlight w:val="none"/>
        </w:rPr>
        <w:t>广西政府采购客户端</w:t>
      </w:r>
      <w:r>
        <w:rPr>
          <w:rFonts w:hint="eastAsia"/>
          <w:color w:val="000000"/>
          <w:highlight w:val="none"/>
        </w:rPr>
        <w:t>”在线编制生成且后缀名为“</w:t>
      </w:r>
      <w:r>
        <w:rPr>
          <w:color w:val="000000"/>
          <w:highlight w:val="none"/>
        </w:rPr>
        <w:t>bfbs</w:t>
      </w:r>
      <w:r>
        <w:rPr>
          <w:rFonts w:hint="eastAsia"/>
          <w:color w:val="000000"/>
          <w:highlight w:val="none"/>
        </w:rPr>
        <w:t>”的文件，提交要求</w:t>
      </w:r>
      <w:r>
        <w:rPr>
          <w:rFonts w:hint="eastAsia" w:hAnsi="宋体"/>
          <w:bCs/>
          <w:color w:val="000000"/>
          <w:szCs w:val="21"/>
          <w:highlight w:val="none"/>
        </w:rPr>
        <w:t>详见在“投标人须知前附表”。</w:t>
      </w:r>
    </w:p>
    <w:p w14:paraId="0AEB3D87">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21.投标文件的提交</w:t>
      </w:r>
    </w:p>
    <w:p w14:paraId="607E665E">
      <w:pPr>
        <w:spacing w:line="360" w:lineRule="auto"/>
        <w:ind w:firstLine="420" w:firstLineChars="200"/>
        <w:rPr>
          <w:rFonts w:hAnsi="宋体"/>
          <w:b/>
          <w:color w:val="000000"/>
          <w:highlight w:val="none"/>
        </w:rPr>
      </w:pPr>
      <w:bookmarkStart w:id="124" w:name="_21.1投标人必须在“投标人须知中的前附表”规定的投标文件接收时间和投"/>
      <w:bookmarkEnd w:id="124"/>
      <w:r>
        <w:rPr>
          <w:rFonts w:hint="eastAsia" w:hAnsi="宋体"/>
          <w:bCs/>
          <w:color w:val="000000"/>
          <w:szCs w:val="21"/>
          <w:highlight w:val="none"/>
        </w:rPr>
        <w:t>21.1投标人必须在“投标人须知前附表”规定的</w:t>
      </w:r>
      <w:r>
        <w:rPr>
          <w:rFonts w:hint="eastAsia" w:ascii="宋体" w:hAnsi="宋体"/>
          <w:color w:val="000000"/>
          <w:szCs w:val="21"/>
          <w:highlight w:val="none"/>
        </w:rPr>
        <w:t>投标文件提交截止时间前将</w:t>
      </w:r>
      <w:r>
        <w:rPr>
          <w:rFonts w:hint="eastAsia" w:hAnsi="宋体"/>
          <w:bCs/>
          <w:color w:val="000000"/>
          <w:szCs w:val="21"/>
          <w:highlight w:val="none"/>
        </w:rPr>
        <w:t>电子投标文件提交至投标地点。电子投标文件应在制作完成后，</w:t>
      </w:r>
      <w:r>
        <w:rPr>
          <w:rFonts w:hAnsi="宋体"/>
          <w:bCs/>
          <w:color w:val="000000"/>
          <w:szCs w:val="21"/>
          <w:highlight w:val="none"/>
        </w:rPr>
        <w:t>在投标截止时间前</w:t>
      </w:r>
      <w:r>
        <w:rPr>
          <w:rFonts w:hint="eastAsia" w:hAnsi="宋体"/>
          <w:bCs/>
          <w:color w:val="000000"/>
          <w:szCs w:val="21"/>
          <w:highlight w:val="none"/>
        </w:rPr>
        <w:t xml:space="preserve">通过有效数字证书（CA认证锁）进行电子签章、加密，然后通过网络将加密的电子投标文件递交至广西政府采购云平台。 </w:t>
      </w:r>
      <w:r>
        <w:rPr>
          <w:rFonts w:hint="eastAsia" w:hAnsi="宋体"/>
          <w:b/>
          <w:color w:val="000000"/>
          <w:highlight w:val="none"/>
        </w:rPr>
        <w:t xml:space="preserve"> </w:t>
      </w:r>
    </w:p>
    <w:p w14:paraId="66D8DC9E">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w:t>
      </w:r>
      <w:r>
        <w:rPr>
          <w:rFonts w:ascii="宋体" w:hAnsi="宋体"/>
          <w:b/>
          <w:color w:val="000000"/>
          <w:szCs w:val="21"/>
          <w:highlight w:val="none"/>
        </w:rPr>
        <w:t>2</w:t>
      </w:r>
      <w:r>
        <w:rPr>
          <w:rFonts w:hint="eastAsia" w:ascii="宋体" w:hAnsi="宋体"/>
          <w:b/>
          <w:color w:val="000000"/>
          <w:szCs w:val="21"/>
          <w:highlight w:val="none"/>
        </w:rPr>
        <w:t>未在规定时间内提交或者未按照招标文件要求加密的电子投标文件，</w:t>
      </w:r>
      <w:r>
        <w:rPr>
          <w:rFonts w:hint="eastAsia" w:ascii="宋体" w:hAnsi="宋体"/>
          <w:b/>
          <w:szCs w:val="21"/>
          <w:highlight w:val="none"/>
        </w:rPr>
        <w:t>广西政府采购云平台</w:t>
      </w:r>
      <w:r>
        <w:rPr>
          <w:rFonts w:hint="eastAsia" w:ascii="宋体" w:hAnsi="宋体"/>
          <w:b/>
          <w:color w:val="000000"/>
          <w:szCs w:val="21"/>
          <w:highlight w:val="none"/>
        </w:rPr>
        <w:t>将拒收。</w:t>
      </w:r>
    </w:p>
    <w:p w14:paraId="15C9CD1D">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p>
    <w:p w14:paraId="00B640D0">
      <w:pPr>
        <w:snapToGrid w:val="0"/>
        <w:spacing w:line="360" w:lineRule="auto"/>
        <w:ind w:firstLine="420"/>
        <w:jc w:val="left"/>
        <w:rPr>
          <w:rFonts w:ascii="宋体" w:hAnsi="宋体"/>
          <w:szCs w:val="21"/>
          <w:highlight w:val="none"/>
        </w:rPr>
      </w:pPr>
      <w:bookmarkStart w:id="125" w:name="_Toc254970684"/>
      <w:bookmarkStart w:id="126" w:name="_Toc254970543"/>
      <w:r>
        <w:rPr>
          <w:rFonts w:ascii="宋体" w:hAnsi="宋体" w:cs="宋体"/>
          <w:szCs w:val="21"/>
          <w:highlight w:val="none"/>
        </w:rPr>
        <w:t>22</w:t>
      </w:r>
      <w:r>
        <w:rPr>
          <w:rFonts w:hint="eastAsia" w:ascii="宋体" w:hAnsi="宋体" w:cs="宋体"/>
          <w:szCs w:val="21"/>
          <w:highlight w:val="none"/>
        </w:rPr>
        <w:t>.1</w:t>
      </w:r>
      <w:r>
        <w:rPr>
          <w:rFonts w:hint="eastAsia" w:ascii="宋体" w:hAnsi="宋体"/>
          <w:bCs/>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szCs w:val="21"/>
          <w:highlight w:val="none"/>
        </w:rPr>
        <w:t>广西政府采购云平台</w:t>
      </w:r>
      <w:r>
        <w:rPr>
          <w:rFonts w:hint="eastAsia" w:ascii="宋体" w:hAnsi="宋体"/>
          <w:bCs/>
          <w:szCs w:val="21"/>
          <w:highlight w:val="none"/>
        </w:rPr>
        <w:t>将予以拒收。</w:t>
      </w:r>
    </w:p>
    <w:bookmarkEnd w:id="125"/>
    <w:bookmarkEnd w:id="126"/>
    <w:p w14:paraId="251CED8A">
      <w:pPr>
        <w:pStyle w:val="95"/>
        <w:spacing w:before="0"/>
        <w:ind w:firstLine="420"/>
        <w:rPr>
          <w:rFonts w:ascii="宋体" w:hAnsi="宋体" w:cs="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276F67EC">
      <w:pPr>
        <w:spacing w:line="360" w:lineRule="auto"/>
        <w:ind w:firstLine="420" w:firstLineChars="200"/>
        <w:rPr>
          <w:rFonts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3</w:t>
      </w:r>
      <w:r>
        <w:rPr>
          <w:rFonts w:hint="eastAsia" w:ascii="宋体" w:hAnsi="宋体" w:cs="宋体"/>
          <w:szCs w:val="21"/>
          <w:highlight w:val="none"/>
        </w:rPr>
        <w:t>在投标截止时间后，采购人和采购代理机构对已提交的投标文件概不退回。</w:t>
      </w:r>
    </w:p>
    <w:p w14:paraId="27DD8331">
      <w:pPr>
        <w:spacing w:line="360" w:lineRule="auto"/>
        <w:ind w:firstLine="420" w:firstLineChars="200"/>
        <w:rPr>
          <w:rFonts w:ascii="宋体" w:hAnsi="宋体" w:cs="宋体"/>
          <w:color w:val="000000"/>
          <w:szCs w:val="21"/>
          <w:highlight w:val="none"/>
        </w:rPr>
      </w:pPr>
    </w:p>
    <w:p w14:paraId="49E06DEB">
      <w:pPr>
        <w:pStyle w:val="4"/>
        <w:keepNext w:val="0"/>
        <w:keepLines w:val="0"/>
        <w:jc w:val="center"/>
        <w:rPr>
          <w:color w:val="000000"/>
          <w:highlight w:val="none"/>
        </w:rPr>
      </w:pPr>
      <w:bookmarkStart w:id="127" w:name="_Toc254970544"/>
      <w:bookmarkStart w:id="128" w:name="_Toc254970685"/>
      <w:r>
        <w:rPr>
          <w:rFonts w:hint="eastAsia"/>
          <w:color w:val="000000"/>
          <w:highlight w:val="none"/>
        </w:rPr>
        <w:t>四、开    标</w:t>
      </w:r>
      <w:bookmarkEnd w:id="127"/>
      <w:bookmarkEnd w:id="128"/>
    </w:p>
    <w:p w14:paraId="4749EC65">
      <w:pPr>
        <w:pStyle w:val="6"/>
        <w:keepNext w:val="0"/>
        <w:keepLines w:val="0"/>
        <w:spacing w:before="0" w:after="0" w:line="360" w:lineRule="auto"/>
        <w:ind w:left="420" w:leftChars="200"/>
        <w:rPr>
          <w:rFonts w:ascii="宋体" w:hAnsi="宋体" w:cs="宋体"/>
          <w:sz w:val="24"/>
          <w:highlight w:val="none"/>
        </w:rPr>
      </w:pPr>
      <w:bookmarkStart w:id="129" w:name="_23.开标时间和地点"/>
      <w:bookmarkEnd w:id="129"/>
      <w:r>
        <w:rPr>
          <w:rFonts w:hint="eastAsia" w:ascii="宋体" w:hAnsi="宋体" w:cs="宋体"/>
          <w:sz w:val="24"/>
          <w:highlight w:val="none"/>
        </w:rPr>
        <w:t>23.开标时间和地点</w:t>
      </w:r>
    </w:p>
    <w:p w14:paraId="421A8BBB">
      <w:pPr>
        <w:spacing w:line="360" w:lineRule="auto"/>
        <w:ind w:firstLine="420" w:firstLineChars="200"/>
        <w:rPr>
          <w:rFonts w:ascii="宋体" w:hAnsi="宋体" w:cs="宋体"/>
          <w:bCs/>
          <w:highlight w:val="none"/>
        </w:rPr>
      </w:pPr>
      <w:r>
        <w:rPr>
          <w:rFonts w:hint="eastAsia" w:ascii="宋体" w:hAnsi="宋体" w:cs="宋体"/>
          <w:bCs/>
          <w:highlight w:val="none"/>
        </w:rPr>
        <w:t>开标时间及地点详见“投标人须知前附表”</w:t>
      </w:r>
    </w:p>
    <w:p w14:paraId="7E0294F5">
      <w:pPr>
        <w:pStyle w:val="6"/>
        <w:keepNext w:val="0"/>
        <w:keepLines w:val="0"/>
        <w:spacing w:before="0" w:after="0" w:line="360" w:lineRule="auto"/>
        <w:ind w:left="420" w:leftChars="200"/>
        <w:rPr>
          <w:rFonts w:ascii="宋体" w:hAnsi="宋体" w:cs="宋体"/>
          <w:sz w:val="24"/>
          <w:highlight w:val="none"/>
        </w:rPr>
      </w:pPr>
      <w:r>
        <w:rPr>
          <w:rFonts w:hint="eastAsia" w:ascii="宋体" w:hAnsi="宋体" w:cs="宋体"/>
          <w:sz w:val="24"/>
          <w:highlight w:val="none"/>
        </w:rPr>
        <w:t>24.开标程序</w:t>
      </w:r>
    </w:p>
    <w:p w14:paraId="162DE3ED">
      <w:pPr>
        <w:pStyle w:val="7"/>
        <w:spacing w:line="360" w:lineRule="auto"/>
        <w:rPr>
          <w:rFonts w:ascii="宋体" w:hAnsi="宋体" w:cs="宋体"/>
          <w:highlight w:val="none"/>
        </w:rPr>
      </w:pPr>
      <w:r>
        <w:rPr>
          <w:rFonts w:hint="eastAsia" w:ascii="宋体" w:hAnsi="宋体" w:cs="宋体"/>
          <w:highlight w:val="none"/>
        </w:rPr>
        <w:t>24.1提交投标文件截止时间止，投标人不足3家的，不得开标。</w:t>
      </w:r>
    </w:p>
    <w:p w14:paraId="2D7A1C60">
      <w:pPr>
        <w:pStyle w:val="7"/>
        <w:spacing w:line="360" w:lineRule="auto"/>
        <w:rPr>
          <w:rFonts w:ascii="宋体" w:hAnsi="宋体" w:cs="宋体"/>
          <w:highlight w:val="none"/>
        </w:rPr>
      </w:pPr>
      <w:r>
        <w:rPr>
          <w:rFonts w:hint="eastAsia" w:ascii="宋体" w:hAnsi="宋体" w:cs="宋体"/>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F95956A">
      <w:pPr>
        <w:pStyle w:val="7"/>
        <w:spacing w:line="360" w:lineRule="auto"/>
        <w:rPr>
          <w:rFonts w:ascii="宋体" w:hAnsi="宋体" w:cs="宋体"/>
          <w:highlight w:val="none"/>
        </w:rPr>
      </w:pPr>
      <w:r>
        <w:rPr>
          <w:rFonts w:hint="eastAsia" w:ascii="宋体" w:hAnsi="宋体" w:cs="宋体"/>
          <w:highlight w:val="none"/>
        </w:rPr>
        <w:t>24.3开标程序</w:t>
      </w:r>
    </w:p>
    <w:p w14:paraId="6070732A">
      <w:pPr>
        <w:pStyle w:val="7"/>
        <w:spacing w:line="360" w:lineRule="auto"/>
        <w:rPr>
          <w:rFonts w:ascii="宋体" w:hAnsi="宋体" w:cs="宋体"/>
          <w:highlight w:val="none"/>
        </w:rPr>
      </w:pPr>
      <w:r>
        <w:rPr>
          <w:rFonts w:hint="eastAsia" w:ascii="宋体" w:hAnsi="宋体" w:cs="宋体"/>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Cs w:val="21"/>
          <w:highlight w:val="none"/>
        </w:rPr>
        <w:t>“投标人须知前附表”</w:t>
      </w:r>
      <w:r>
        <w:rPr>
          <w:rFonts w:hint="eastAsia" w:ascii="宋体" w:hAnsi="宋体" w:cs="宋体"/>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highlight w:val="none"/>
        </w:rPr>
        <w:t>投标人未在规定的时间内解密投标文件或者解密失败的，</w:t>
      </w:r>
      <w:r>
        <w:rPr>
          <w:rFonts w:hint="eastAsia" w:ascii="宋体" w:hAnsi="宋体" w:cs="宋体"/>
          <w:b/>
          <w:szCs w:val="21"/>
          <w:highlight w:val="none"/>
        </w:rPr>
        <w:t>投标人的投标文件作无效处理</w:t>
      </w:r>
      <w:r>
        <w:rPr>
          <w:rFonts w:hint="eastAsia" w:ascii="宋体" w:hAnsi="宋体" w:cs="宋体"/>
          <w:b/>
          <w:highlight w:val="none"/>
        </w:rPr>
        <w:t>。</w:t>
      </w:r>
    </w:p>
    <w:p w14:paraId="2F648B5A">
      <w:pPr>
        <w:pStyle w:val="7"/>
        <w:spacing w:line="360" w:lineRule="auto"/>
        <w:rPr>
          <w:rFonts w:ascii="宋体" w:hAnsi="宋体" w:cs="宋体"/>
          <w:highlight w:val="none"/>
        </w:rPr>
      </w:pPr>
      <w:r>
        <w:rPr>
          <w:rFonts w:hint="eastAsia" w:ascii="宋体" w:hAnsi="宋体" w:cs="宋体"/>
          <w:highlight w:val="none"/>
        </w:rPr>
        <w:t>（2）电子唱标。投标文件解密结束，宣布的内容均在广西政府采购云平台远程开标大厅展示，具体详见</w:t>
      </w:r>
      <w:r>
        <w:rPr>
          <w:rFonts w:hint="eastAsia" w:ascii="宋体" w:hAnsi="宋体" w:cs="宋体"/>
          <w:bCs/>
          <w:highlight w:val="none"/>
        </w:rPr>
        <w:t>“投标人须知前附表”</w:t>
      </w:r>
      <w:r>
        <w:rPr>
          <w:rFonts w:hint="eastAsia" w:ascii="宋体" w:hAnsi="宋体" w:cs="宋体"/>
          <w:highlight w:val="none"/>
        </w:rPr>
        <w:t>；</w:t>
      </w:r>
    </w:p>
    <w:p w14:paraId="1C222ABF">
      <w:pPr>
        <w:pStyle w:val="7"/>
        <w:spacing w:line="360" w:lineRule="auto"/>
        <w:rPr>
          <w:rFonts w:ascii="宋体" w:hAnsi="宋体" w:cs="宋体"/>
          <w:highlight w:val="none"/>
        </w:rPr>
      </w:pPr>
      <w:r>
        <w:rPr>
          <w:rFonts w:hint="eastAsia" w:ascii="宋体" w:hAnsi="宋体" w:cs="宋体"/>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806833D">
      <w:pPr>
        <w:pStyle w:val="7"/>
        <w:spacing w:line="360" w:lineRule="auto"/>
        <w:rPr>
          <w:rFonts w:ascii="宋体" w:hAnsi="宋体" w:cs="宋体"/>
          <w:highlight w:val="none"/>
        </w:rPr>
      </w:pPr>
      <w:r>
        <w:rPr>
          <w:rFonts w:hint="eastAsia" w:ascii="宋体" w:hAnsi="宋体" w:cs="宋体"/>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C06DDAD">
      <w:pPr>
        <w:pStyle w:val="7"/>
        <w:spacing w:line="360" w:lineRule="auto"/>
        <w:rPr>
          <w:rFonts w:ascii="宋体" w:hAnsi="宋体" w:cs="宋体"/>
          <w:szCs w:val="21"/>
          <w:highlight w:val="none"/>
        </w:rPr>
      </w:pPr>
      <w:r>
        <w:rPr>
          <w:rFonts w:hint="eastAsia" w:ascii="宋体" w:hAnsi="宋体" w:cs="宋体"/>
          <w:szCs w:val="21"/>
          <w:highlight w:val="none"/>
        </w:rPr>
        <w:t>（5）开标结束。</w:t>
      </w:r>
    </w:p>
    <w:p w14:paraId="6D047507">
      <w:pPr>
        <w:pStyle w:val="26"/>
        <w:snapToGrid w:val="0"/>
        <w:spacing w:line="360" w:lineRule="auto"/>
        <w:ind w:firstLine="420" w:firstLineChars="200"/>
        <w:rPr>
          <w:rFonts w:hAnsi="宋体" w:cs="宋体"/>
          <w:sz w:val="21"/>
          <w:highlight w:val="none"/>
        </w:rPr>
      </w:pPr>
      <w:r>
        <w:rPr>
          <w:rFonts w:hint="eastAsia" w:hAnsi="宋体" w:cs="宋体"/>
          <w:sz w:val="21"/>
          <w:highlight w:val="none"/>
        </w:rPr>
        <w:t>特别说明：如遇广西政府采购云平台电子化开标或评审程序调整的，按调整后执行。</w:t>
      </w:r>
    </w:p>
    <w:p w14:paraId="6E5D8D41">
      <w:pPr>
        <w:pStyle w:val="4"/>
        <w:keepNext w:val="0"/>
        <w:keepLines w:val="0"/>
        <w:jc w:val="center"/>
        <w:rPr>
          <w:color w:val="000000"/>
          <w:highlight w:val="none"/>
        </w:rPr>
      </w:pPr>
      <w:r>
        <w:rPr>
          <w:rFonts w:hint="eastAsia"/>
          <w:color w:val="000000"/>
          <w:highlight w:val="none"/>
        </w:rPr>
        <w:t>五、资格审查</w:t>
      </w:r>
    </w:p>
    <w:p w14:paraId="0E092C87">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25.资格审查</w:t>
      </w:r>
    </w:p>
    <w:p w14:paraId="02217434">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25.1</w:t>
      </w:r>
      <w:r>
        <w:rPr>
          <w:rFonts w:ascii="宋体" w:hAnsi="宋体"/>
          <w:b w:val="0"/>
          <w:color w:val="000000"/>
          <w:sz w:val="21"/>
          <w:szCs w:val="21"/>
          <w:highlight w:val="none"/>
        </w:rPr>
        <w:t>开标结束后，</w:t>
      </w:r>
      <w:r>
        <w:rPr>
          <w:rFonts w:hint="eastAsia" w:ascii="宋体" w:hAnsi="宋体"/>
          <w:b w:val="0"/>
          <w:color w:val="000000"/>
          <w:sz w:val="21"/>
          <w:szCs w:val="21"/>
          <w:highlight w:val="none"/>
        </w:rPr>
        <w:t>采购人或者采购代理机构通过电子开评标系统依据招标文件对电子投标文件进行线上资格审查</w:t>
      </w:r>
      <w:r>
        <w:rPr>
          <w:rFonts w:ascii="宋体" w:hAnsi="宋体"/>
          <w:b w:val="0"/>
          <w:color w:val="000000"/>
          <w:sz w:val="21"/>
          <w:szCs w:val="21"/>
          <w:highlight w:val="none"/>
        </w:rPr>
        <w:t>。</w:t>
      </w:r>
    </w:p>
    <w:p w14:paraId="1E28ADD5">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2265B8EF">
      <w:pPr>
        <w:pStyle w:val="6"/>
        <w:keepNext w:val="0"/>
        <w:keepLines w:val="0"/>
        <w:numPr>
          <w:ilvl w:val="4"/>
          <w:numId w:val="0"/>
        </w:numPr>
        <w:spacing w:before="0" w:after="0" w:line="360" w:lineRule="auto"/>
        <w:ind w:firstLine="422" w:firstLineChars="200"/>
        <w:rPr>
          <w:rFonts w:ascii="宋体" w:hAnsi="宋体"/>
          <w:color w:val="000000"/>
          <w:sz w:val="21"/>
          <w:szCs w:val="21"/>
          <w:highlight w:val="none"/>
        </w:rPr>
      </w:pPr>
      <w:bookmarkStart w:id="130" w:name="_25.3_投标人有下列情形之一的，资格审查不通过而导致其投标无效："/>
      <w:bookmarkEnd w:id="130"/>
      <w:r>
        <w:rPr>
          <w:rFonts w:hint="eastAsia" w:ascii="宋体" w:hAnsi="宋体"/>
          <w:color w:val="000000"/>
          <w:sz w:val="21"/>
          <w:szCs w:val="21"/>
          <w:highlight w:val="none"/>
        </w:rPr>
        <w:t>25.3 投标人有下列情形之一的，资格审查不通过，作无效投标处理：</w:t>
      </w:r>
    </w:p>
    <w:p w14:paraId="5D23D2AE">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（1）不具备招标文件中规定的资格要求的；</w:t>
      </w:r>
    </w:p>
    <w:p w14:paraId="09C1DE9E">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hAnsi="宋体"/>
          <w:b/>
          <w:sz w:val="21"/>
          <w:highlight w:val="none"/>
        </w:rPr>
        <w:t>广西政府采购云平台</w:t>
      </w:r>
      <w:r>
        <w:rPr>
          <w:rFonts w:hint="eastAsia" w:hAnsi="宋体"/>
          <w:b/>
          <w:color w:val="000000"/>
          <w:sz w:val="21"/>
          <w:highlight w:val="none"/>
        </w:rPr>
        <w:t>已与“信用中国”网站、中国政府采购网实现数据对接，可直接在线查询）</w:t>
      </w:r>
    </w:p>
    <w:p w14:paraId="41B45633">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286EC84D">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（4）投标文件中的资格证明文件缺少任一项“投标人须知前附表”资格证明文件规定“必须提供”的文件资料的；</w:t>
      </w:r>
    </w:p>
    <w:p w14:paraId="234CB0D2">
      <w:pPr>
        <w:pStyle w:val="26"/>
        <w:snapToGrid w:val="0"/>
        <w:spacing w:line="360" w:lineRule="auto"/>
        <w:ind w:firstLine="422" w:firstLineChars="200"/>
        <w:rPr>
          <w:rFonts w:hAnsi="宋体"/>
          <w:b/>
          <w:color w:val="000000"/>
          <w:sz w:val="21"/>
          <w:highlight w:val="none"/>
        </w:rPr>
      </w:pPr>
      <w:r>
        <w:rPr>
          <w:rFonts w:hint="eastAsia" w:hAnsi="宋体"/>
          <w:b/>
          <w:color w:val="000000"/>
          <w:sz w:val="21"/>
          <w:highlight w:val="none"/>
        </w:rPr>
        <w:t>（5）投标文件中的资格证明文件出现任一项不符合“投标人须知前附表”资格证明文件规定“必须提供”的文件资料要求或者无效的。</w:t>
      </w:r>
    </w:p>
    <w:p w14:paraId="25F37980">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color w:val="000000"/>
          <w:sz w:val="21"/>
          <w:szCs w:val="21"/>
          <w:highlight w:val="none"/>
        </w:rPr>
        <w:t>25.4</w:t>
      </w:r>
      <w:r>
        <w:rPr>
          <w:rFonts w:ascii="宋体" w:hAnsi="宋体"/>
          <w:color w:val="000000"/>
          <w:sz w:val="21"/>
          <w:szCs w:val="21"/>
          <w:highlight w:val="none"/>
        </w:rPr>
        <w:t>合格投标人不足3家的，不得评标。</w:t>
      </w:r>
    </w:p>
    <w:p w14:paraId="4ADBAD8C">
      <w:pPr>
        <w:pStyle w:val="26"/>
        <w:snapToGrid w:val="0"/>
        <w:spacing w:line="360" w:lineRule="auto"/>
        <w:ind w:left="689" w:leftChars="228" w:hanging="210" w:hangingChars="100"/>
        <w:rPr>
          <w:rFonts w:hAnsi="宋体"/>
          <w:color w:val="000000"/>
          <w:sz w:val="21"/>
          <w:highlight w:val="none"/>
        </w:rPr>
      </w:pPr>
    </w:p>
    <w:p w14:paraId="074672FB">
      <w:pPr>
        <w:pStyle w:val="4"/>
        <w:keepNext w:val="0"/>
        <w:keepLines w:val="0"/>
        <w:jc w:val="center"/>
        <w:rPr>
          <w:color w:val="000000"/>
          <w:highlight w:val="none"/>
        </w:rPr>
      </w:pPr>
      <w:r>
        <w:rPr>
          <w:rFonts w:hint="eastAsia"/>
          <w:color w:val="000000"/>
          <w:highlight w:val="none"/>
        </w:rPr>
        <w:t>六、评   标</w:t>
      </w:r>
    </w:p>
    <w:p w14:paraId="17613207">
      <w:pPr>
        <w:pStyle w:val="6"/>
        <w:keepNext w:val="0"/>
        <w:keepLines w:val="0"/>
        <w:spacing w:before="0" w:after="0" w:line="360" w:lineRule="auto"/>
        <w:ind w:left="420" w:leftChars="200"/>
        <w:rPr>
          <w:rFonts w:ascii="黑体" w:hAnsi="黑体" w:eastAsia="黑体"/>
          <w:color w:val="000000"/>
          <w:sz w:val="24"/>
          <w:highlight w:val="none"/>
        </w:rPr>
      </w:pPr>
      <w:bookmarkStart w:id="131" w:name="_26.组建评标委员会"/>
      <w:bookmarkEnd w:id="131"/>
      <w:r>
        <w:rPr>
          <w:rFonts w:hint="eastAsia" w:ascii="黑体" w:hAnsi="黑体" w:eastAsia="黑体"/>
          <w:color w:val="000000"/>
          <w:sz w:val="24"/>
          <w:highlight w:val="none"/>
        </w:rPr>
        <w:t>26.组建评标委员会</w:t>
      </w:r>
    </w:p>
    <w:p w14:paraId="4CA42C87">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26.1评标委员会由采购人代表和评审专家组成，具体人数详见“投标人须知前附表”，其中评审专家不得少于成员总数的三分之二。</w:t>
      </w:r>
    </w:p>
    <w:p w14:paraId="43DABBF2">
      <w:pPr>
        <w:pStyle w:val="26"/>
        <w:snapToGrid w:val="0"/>
        <w:spacing w:line="360" w:lineRule="auto"/>
        <w:ind w:left="2" w:leftChars="1" w:firstLine="420" w:firstLineChars="200"/>
        <w:rPr>
          <w:rFonts w:hAnsi="宋体"/>
          <w:color w:val="000000"/>
          <w:sz w:val="21"/>
          <w:highlight w:val="none"/>
        </w:rPr>
      </w:pPr>
      <w:r>
        <w:rPr>
          <w:rFonts w:hint="eastAsia" w:hAnsi="宋体"/>
          <w:color w:val="000000"/>
          <w:sz w:val="21"/>
          <w:highlight w:val="none"/>
        </w:rPr>
        <w:t>26.2参加过采购项目前期咨询论证的专家，不得参加该采购项目的评审活动。</w:t>
      </w:r>
    </w:p>
    <w:p w14:paraId="5B98F1A0">
      <w:pPr>
        <w:pStyle w:val="26"/>
        <w:snapToGrid w:val="0"/>
        <w:spacing w:line="360" w:lineRule="auto"/>
        <w:ind w:left="2" w:leftChars="1" w:firstLine="420" w:firstLineChars="200"/>
        <w:rPr>
          <w:rFonts w:hAnsi="宋体"/>
          <w:color w:val="000000"/>
          <w:sz w:val="21"/>
          <w:highlight w:val="none"/>
        </w:rPr>
      </w:pPr>
      <w:r>
        <w:rPr>
          <w:rFonts w:hint="eastAsia" w:hAnsi="宋体"/>
          <w:color w:val="000000"/>
          <w:sz w:val="21"/>
          <w:highlight w:val="none"/>
        </w:rPr>
        <w:t>26.3</w:t>
      </w:r>
      <w:r>
        <w:rPr>
          <w:rFonts w:hint="eastAsia" w:hAnsi="宋体"/>
          <w:bCs/>
          <w:color w:val="000000"/>
          <w:sz w:val="21"/>
          <w:highlight w:val="none"/>
        </w:rPr>
        <w:t>采购代理机构必须基于广西政府采购云平台选取评审专家，如采购代理机构未按规定选取专家的，视为本次开评标无效，应当重新采购。</w:t>
      </w:r>
    </w:p>
    <w:p w14:paraId="0A5BF873">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27.评标的依据</w:t>
      </w:r>
    </w:p>
    <w:p w14:paraId="4BDAC700">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评标委员会以</w:t>
      </w:r>
      <w:r>
        <w:rPr>
          <w:rFonts w:hint="eastAsia" w:hAnsi="宋体" w:cs="宋体"/>
          <w:color w:val="000000"/>
          <w:sz w:val="21"/>
          <w:highlight w:val="none"/>
        </w:rPr>
        <w:t>“第四章 评标方法和评标标准”</w:t>
      </w:r>
      <w:r>
        <w:rPr>
          <w:rFonts w:hint="eastAsia" w:hAnsi="宋体"/>
          <w:color w:val="000000"/>
          <w:sz w:val="21"/>
          <w:highlight w:val="none"/>
        </w:rPr>
        <w:t>为依据对投标文件进行评审，</w:t>
      </w:r>
      <w:r>
        <w:rPr>
          <w:rFonts w:hAnsi="宋体"/>
          <w:color w:val="000000"/>
          <w:sz w:val="21"/>
          <w:highlight w:val="none"/>
        </w:rPr>
        <w:t>没有规定的方法、评审因素和标准，不作为评标依据。</w:t>
      </w:r>
    </w:p>
    <w:p w14:paraId="27D3F6EE">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28.评标原则</w:t>
      </w:r>
    </w:p>
    <w:p w14:paraId="52180D13">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CB55F5">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28.2</w:t>
      </w:r>
      <w:bookmarkStart w:id="132" w:name="_28.3评标方法。本项目将按须知前附表规定的评标办法进行评标，具体评标"/>
      <w:bookmarkEnd w:id="132"/>
      <w:r>
        <w:rPr>
          <w:rFonts w:hint="eastAsia" w:hAnsi="宋体"/>
          <w:color w:val="000000"/>
          <w:sz w:val="21"/>
          <w:highlight w:val="none"/>
        </w:rPr>
        <w:t>评委表决。评标委员会成员对需要共同认定的事项存在争议的，应当按照少数服从多数的原则作出结论。</w:t>
      </w:r>
    </w:p>
    <w:p w14:paraId="7A8EAD76">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28.</w:t>
      </w:r>
      <w:r>
        <w:rPr>
          <w:rFonts w:hAnsi="宋体"/>
          <w:color w:val="000000"/>
          <w:sz w:val="21"/>
          <w:highlight w:val="none"/>
        </w:rPr>
        <w:t>3</w:t>
      </w:r>
      <w:r>
        <w:rPr>
          <w:rFonts w:hint="eastAsia" w:hAnsi="宋体"/>
          <w:color w:val="000000"/>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234C5D">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w:t>
      </w:r>
      <w:r>
        <w:rPr>
          <w:rFonts w:hAnsi="宋体"/>
          <w:color w:val="000000"/>
          <w:sz w:val="21"/>
          <w:highlight w:val="none"/>
        </w:rPr>
        <w:t>8.4</w:t>
      </w:r>
      <w:r>
        <w:rPr>
          <w:rFonts w:hint="eastAsia" w:hAnsi="宋体"/>
          <w:color w:val="000000"/>
          <w:sz w:val="21"/>
          <w:highlight w:val="none"/>
        </w:rPr>
        <w:t>评标过程的监控。本项目电子评标过程实行网上留痕、全程录音、录像监控，</w:t>
      </w:r>
      <w:r>
        <w:rPr>
          <w:rFonts w:hint="eastAsia" w:hAnsi="宋体"/>
          <w:b/>
          <w:color w:val="000000"/>
          <w:sz w:val="21"/>
          <w:highlight w:val="none"/>
        </w:rPr>
        <w:t>投标人在评标过程中所进行的试图影响评标结果的不公正活动，可能导致其投标按无效处理。</w:t>
      </w:r>
    </w:p>
    <w:p w14:paraId="16E92FCD">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29.评标方法及中标候选人推荐</w:t>
      </w:r>
    </w:p>
    <w:p w14:paraId="34C6C576">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w:t>
      </w:r>
      <w:r>
        <w:rPr>
          <w:rFonts w:hAnsi="宋体"/>
          <w:color w:val="000000"/>
          <w:sz w:val="21"/>
          <w:highlight w:val="none"/>
        </w:rPr>
        <w:t>9.1</w:t>
      </w:r>
      <w:r>
        <w:rPr>
          <w:rFonts w:hint="eastAsia" w:hAnsi="宋体"/>
          <w:color w:val="000000"/>
          <w:sz w:val="21"/>
          <w:highlight w:val="none"/>
        </w:rPr>
        <w:t>本项目的评标方法详见“投标人须知前附表”。</w:t>
      </w:r>
    </w:p>
    <w:p w14:paraId="6D65EECF">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w:t>
      </w:r>
      <w:r>
        <w:rPr>
          <w:rFonts w:hAnsi="宋体"/>
          <w:color w:val="000000"/>
          <w:sz w:val="21"/>
          <w:highlight w:val="none"/>
        </w:rPr>
        <w:t>9.2</w:t>
      </w:r>
      <w:r>
        <w:rPr>
          <w:rFonts w:hAnsi="宋体" w:cs="宋体"/>
          <w:color w:val="000000"/>
          <w:sz w:val="21"/>
          <w:highlight w:val="none"/>
        </w:rPr>
        <w:t xml:space="preserve"> </w:t>
      </w:r>
      <w:r>
        <w:rPr>
          <w:rFonts w:hint="eastAsia" w:hAnsi="宋体" w:cs="宋体"/>
          <w:color w:val="000000"/>
          <w:highlight w:val="none"/>
        </w:rPr>
        <w:t>商务/技术要求</w:t>
      </w:r>
      <w:r>
        <w:rPr>
          <w:rFonts w:hint="eastAsia" w:hAnsi="宋体"/>
          <w:color w:val="000000"/>
          <w:highlight w:val="none"/>
        </w:rPr>
        <w:t>允许负偏离的条款数</w:t>
      </w:r>
      <w:r>
        <w:rPr>
          <w:rFonts w:hAnsi="宋体"/>
          <w:color w:val="000000"/>
          <w:sz w:val="21"/>
          <w:highlight w:val="none"/>
        </w:rPr>
        <w:t>详见</w:t>
      </w:r>
      <w:r>
        <w:rPr>
          <w:rFonts w:hint="eastAsia" w:hAnsi="宋体"/>
          <w:color w:val="000000"/>
          <w:sz w:val="21"/>
          <w:highlight w:val="none"/>
        </w:rPr>
        <w:t>“投标人须知前附表”。</w:t>
      </w:r>
    </w:p>
    <w:p w14:paraId="1BAF5927">
      <w:pPr>
        <w:pStyle w:val="26"/>
        <w:snapToGrid w:val="0"/>
        <w:spacing w:line="360" w:lineRule="auto"/>
        <w:ind w:firstLine="420" w:firstLineChars="200"/>
        <w:rPr>
          <w:rFonts w:hAnsi="宋体" w:cs="宋体"/>
          <w:color w:val="000000"/>
          <w:sz w:val="21"/>
          <w:highlight w:val="none"/>
        </w:rPr>
      </w:pPr>
      <w:r>
        <w:rPr>
          <w:rFonts w:hint="eastAsia" w:hAnsi="宋体"/>
          <w:color w:val="000000"/>
          <w:sz w:val="21"/>
          <w:highlight w:val="none"/>
        </w:rPr>
        <w:t>2</w:t>
      </w:r>
      <w:r>
        <w:rPr>
          <w:rFonts w:hAnsi="宋体"/>
          <w:color w:val="000000"/>
          <w:sz w:val="21"/>
          <w:highlight w:val="none"/>
        </w:rPr>
        <w:t>9.3</w:t>
      </w:r>
      <w:r>
        <w:rPr>
          <w:rFonts w:hAnsi="宋体" w:cs="宋体"/>
          <w:color w:val="000000"/>
          <w:sz w:val="21"/>
          <w:highlight w:val="none"/>
        </w:rPr>
        <w:t xml:space="preserve"> </w:t>
      </w:r>
      <w:r>
        <w:rPr>
          <w:rFonts w:hAnsi="宋体"/>
          <w:color w:val="000000"/>
          <w:sz w:val="21"/>
          <w:highlight w:val="none"/>
        </w:rPr>
        <w:t>中标候选人推荐数量详见</w:t>
      </w:r>
      <w:r>
        <w:rPr>
          <w:rFonts w:hint="eastAsia" w:hAnsi="宋体"/>
          <w:color w:val="000000"/>
          <w:sz w:val="21"/>
          <w:highlight w:val="none"/>
        </w:rPr>
        <w:t>“投标人须知前附表”。</w:t>
      </w:r>
    </w:p>
    <w:p w14:paraId="4A39F9FE">
      <w:pPr>
        <w:spacing w:line="360" w:lineRule="auto"/>
        <w:ind w:firstLine="420" w:firstLineChars="200"/>
        <w:rPr>
          <w:rFonts w:hAnsi="宋体"/>
          <w:color w:val="000000"/>
          <w:highlight w:val="none"/>
        </w:rPr>
      </w:pPr>
      <w:r>
        <w:rPr>
          <w:rFonts w:hint="eastAsia" w:hAnsi="宋体"/>
          <w:color w:val="000000"/>
          <w:highlight w:val="none"/>
        </w:rPr>
        <w:t>29.</w:t>
      </w:r>
      <w:r>
        <w:rPr>
          <w:rFonts w:hAnsi="宋体"/>
          <w:color w:val="000000"/>
          <w:highlight w:val="none"/>
        </w:rPr>
        <w:t>4</w:t>
      </w:r>
      <w:r>
        <w:rPr>
          <w:rFonts w:hint="eastAsia" w:hAnsi="宋体"/>
          <w:color w:val="000000"/>
          <w:highlight w:val="none"/>
        </w:rPr>
        <w:t xml:space="preserve"> 电子交易活动的中止。采购过程中出现以下情形，导致电子交易平台无法正常运行，或者无法保证电子交易的公平、公正和安全时，采购代理机构可以中止电子交易活动：</w:t>
      </w:r>
    </w:p>
    <w:p w14:paraId="5EA1402B">
      <w:pPr>
        <w:spacing w:line="360" w:lineRule="auto"/>
        <w:ind w:firstLine="420" w:firstLineChars="200"/>
        <w:rPr>
          <w:rFonts w:hAnsi="宋体"/>
          <w:color w:val="000000"/>
          <w:highlight w:val="none"/>
        </w:rPr>
      </w:pPr>
      <w:r>
        <w:rPr>
          <w:rFonts w:hint="eastAsia" w:hAnsi="宋体"/>
          <w:color w:val="000000"/>
          <w:highlight w:val="none"/>
        </w:rPr>
        <w:t xml:space="preserve">（1）电子交易平台发生故障而无法登录访问的； </w:t>
      </w:r>
    </w:p>
    <w:p w14:paraId="02E0D76F">
      <w:pPr>
        <w:spacing w:line="360" w:lineRule="auto"/>
        <w:ind w:firstLine="420" w:firstLineChars="200"/>
        <w:rPr>
          <w:rFonts w:hAnsi="宋体"/>
          <w:color w:val="000000"/>
          <w:highlight w:val="none"/>
        </w:rPr>
      </w:pPr>
      <w:r>
        <w:rPr>
          <w:rFonts w:hint="eastAsia" w:hAnsi="宋体"/>
          <w:color w:val="000000"/>
          <w:highlight w:val="none"/>
        </w:rPr>
        <w:t>（2）电子交易平台应用或数据库出现错误，不能进行正常操作的；</w:t>
      </w:r>
    </w:p>
    <w:p w14:paraId="4F7CE8A1">
      <w:pPr>
        <w:spacing w:line="360" w:lineRule="auto"/>
        <w:ind w:firstLine="420" w:firstLineChars="200"/>
        <w:rPr>
          <w:rFonts w:hAnsi="宋体"/>
          <w:color w:val="000000"/>
          <w:highlight w:val="none"/>
        </w:rPr>
      </w:pPr>
      <w:r>
        <w:rPr>
          <w:rFonts w:hint="eastAsia" w:hAnsi="宋体"/>
          <w:color w:val="000000"/>
          <w:highlight w:val="none"/>
        </w:rPr>
        <w:t>（3）电子交易平台发现严重安全漏洞，有潜在泄密危险的；</w:t>
      </w:r>
    </w:p>
    <w:p w14:paraId="640A605E">
      <w:pPr>
        <w:spacing w:line="360" w:lineRule="auto"/>
        <w:ind w:firstLine="420" w:firstLineChars="200"/>
        <w:rPr>
          <w:rFonts w:hAnsi="宋体"/>
          <w:color w:val="000000"/>
          <w:highlight w:val="none"/>
        </w:rPr>
      </w:pPr>
      <w:r>
        <w:rPr>
          <w:rFonts w:hint="eastAsia" w:hAnsi="宋体"/>
          <w:color w:val="000000"/>
          <w:highlight w:val="none"/>
        </w:rPr>
        <w:t xml:space="preserve">（4）病毒发作导致不能进行正常操作的； </w:t>
      </w:r>
    </w:p>
    <w:p w14:paraId="38B26FEC">
      <w:pPr>
        <w:spacing w:line="360" w:lineRule="auto"/>
        <w:ind w:firstLine="420" w:firstLineChars="200"/>
        <w:rPr>
          <w:rFonts w:hAnsi="宋体"/>
          <w:color w:val="000000"/>
          <w:highlight w:val="none"/>
        </w:rPr>
      </w:pPr>
      <w:r>
        <w:rPr>
          <w:rFonts w:hint="eastAsia" w:hAnsi="宋体"/>
          <w:color w:val="000000"/>
          <w:highlight w:val="none"/>
        </w:rPr>
        <w:t>（5）其他无法保证电子交易的公平、公正和安全的情况。</w:t>
      </w:r>
    </w:p>
    <w:p w14:paraId="6E7D7DC4">
      <w:pPr>
        <w:spacing w:line="360" w:lineRule="auto"/>
        <w:ind w:firstLine="420" w:firstLineChars="200"/>
        <w:rPr>
          <w:rFonts w:hAnsi="宋体"/>
          <w:color w:val="000000"/>
          <w:highlight w:val="none"/>
        </w:rPr>
      </w:pPr>
      <w:r>
        <w:rPr>
          <w:rFonts w:hint="eastAsia" w:hAnsi="宋体"/>
          <w:color w:val="000000"/>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3676A5A">
      <w:pPr>
        <w:pStyle w:val="26"/>
        <w:snapToGrid w:val="0"/>
        <w:spacing w:line="360" w:lineRule="auto"/>
        <w:rPr>
          <w:rFonts w:hAnsi="宋体"/>
          <w:color w:val="000000"/>
          <w:sz w:val="21"/>
          <w:highlight w:val="none"/>
        </w:rPr>
      </w:pPr>
    </w:p>
    <w:p w14:paraId="19D7E811">
      <w:pPr>
        <w:pStyle w:val="4"/>
        <w:keepNext w:val="0"/>
        <w:keepLines w:val="0"/>
        <w:jc w:val="center"/>
        <w:rPr>
          <w:color w:val="000000"/>
          <w:highlight w:val="none"/>
        </w:rPr>
      </w:pPr>
      <w:bookmarkStart w:id="133" w:name="_Toc254970687"/>
      <w:bookmarkStart w:id="134" w:name="_Toc254970546"/>
      <w:r>
        <w:rPr>
          <w:rFonts w:hint="eastAsia"/>
          <w:color w:val="000000"/>
          <w:highlight w:val="none"/>
        </w:rPr>
        <w:t>七、</w:t>
      </w:r>
      <w:bookmarkEnd w:id="133"/>
      <w:bookmarkEnd w:id="134"/>
      <w:r>
        <w:rPr>
          <w:rFonts w:hint="eastAsia"/>
          <w:color w:val="000000"/>
          <w:highlight w:val="none"/>
        </w:rPr>
        <w:t>中标和合同</w:t>
      </w:r>
    </w:p>
    <w:p w14:paraId="49C5CF8C">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30</w:t>
      </w:r>
      <w:r>
        <w:rPr>
          <w:rFonts w:ascii="黑体" w:hAnsi="黑体" w:eastAsia="黑体"/>
          <w:color w:val="000000"/>
          <w:sz w:val="24"/>
          <w:highlight w:val="none"/>
        </w:rPr>
        <w:t xml:space="preserve"> </w:t>
      </w:r>
      <w:r>
        <w:rPr>
          <w:rFonts w:hint="eastAsia" w:ascii="黑体" w:hAnsi="黑体" w:eastAsia="黑体"/>
          <w:color w:val="000000"/>
          <w:sz w:val="24"/>
          <w:highlight w:val="none"/>
        </w:rPr>
        <w:t>确定中标人</w:t>
      </w:r>
    </w:p>
    <w:p w14:paraId="6E7847E2">
      <w:pPr>
        <w:pStyle w:val="6"/>
        <w:keepNext w:val="0"/>
        <w:keepLines w:val="0"/>
        <w:spacing w:before="0" w:after="0" w:line="360" w:lineRule="auto"/>
        <w:ind w:firstLine="420" w:firstLineChars="200"/>
        <w:rPr>
          <w:rFonts w:ascii="宋体" w:hAnsi="宋体"/>
          <w:b w:val="0"/>
          <w:color w:val="000000"/>
          <w:sz w:val="21"/>
          <w:szCs w:val="21"/>
          <w:highlight w:val="none"/>
        </w:rPr>
      </w:pPr>
      <w:r>
        <w:rPr>
          <w:rFonts w:ascii="宋体" w:hAnsi="宋体"/>
          <w:b w:val="0"/>
          <w:color w:val="000000"/>
          <w:sz w:val="21"/>
          <w:szCs w:val="21"/>
          <w:highlight w:val="none"/>
        </w:rPr>
        <w:t>30.1</w:t>
      </w:r>
      <w:r>
        <w:rPr>
          <w:rFonts w:hint="eastAsia" w:ascii="宋体" w:hAnsi="宋体"/>
          <w:b w:val="0"/>
          <w:color w:val="000000"/>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DA0F13">
      <w:pPr>
        <w:snapToGrid w:val="0"/>
        <w:spacing w:line="360" w:lineRule="auto"/>
        <w:ind w:firstLine="420" w:firstLineChars="200"/>
        <w:rPr>
          <w:rFonts w:ascii="宋体" w:hAnsi="宋体" w:cs="Courier New"/>
          <w:color w:val="000000"/>
          <w:szCs w:val="21"/>
          <w:highlight w:val="none"/>
        </w:rPr>
      </w:pPr>
      <w:r>
        <w:rPr>
          <w:rFonts w:ascii="宋体" w:hAnsi="宋体" w:cs="Courier New"/>
          <w:color w:val="000000"/>
          <w:szCs w:val="21"/>
          <w:highlight w:val="none"/>
        </w:rPr>
        <w:t>30.2</w:t>
      </w:r>
      <w:r>
        <w:rPr>
          <w:rFonts w:hint="eastAsia" w:ascii="宋体" w:hAnsi="宋体" w:cs="Courier New"/>
          <w:color w:val="000000"/>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0FC6DB0A">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30.3出现下列情形之一的，应予废标：</w:t>
      </w:r>
    </w:p>
    <w:p w14:paraId="36C1BE7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（1）符合专业条件的供应商或者对招标文件作实质响应的供应商不足三家的；</w:t>
      </w:r>
    </w:p>
    <w:p w14:paraId="189B7CF9">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（2）出现影响采购公正的违法、违规行为的；</w:t>
      </w:r>
    </w:p>
    <w:p w14:paraId="6EF91D8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（3）投标人的报价均超过了采购预算，采购人不能支付的；</w:t>
      </w:r>
    </w:p>
    <w:p w14:paraId="772F0C0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（4）因重大变故，采购任务取消的。</w:t>
      </w:r>
    </w:p>
    <w:p w14:paraId="5275BB9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废标后，采购人应当将废标理由通知所有投标人。</w:t>
      </w:r>
    </w:p>
    <w:p w14:paraId="21FFCF8D">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31. 结果公告</w:t>
      </w:r>
    </w:p>
    <w:p w14:paraId="2DA3C3A6">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1.1</w:t>
      </w:r>
      <w:r>
        <w:rPr>
          <w:rFonts w:hint="eastAsia" w:ascii="宋体" w:hAnsi="宋体"/>
          <w:b w:val="0"/>
          <w:color w:val="000000"/>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279641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以上信息查询记录及相关证据与招标文件一并保存。</w:t>
      </w:r>
    </w:p>
    <w:p w14:paraId="74A3A6D3">
      <w:pPr>
        <w:pStyle w:val="6"/>
        <w:keepNext w:val="0"/>
        <w:keepLines w:val="0"/>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31.2中标人享受《政府采购促进中小企业发展管理办法》（财库〔2020〕46号）规定的中小企业扶持政策的，采购人、采购代理机构应当随中标结果公开中标人的《中小企业声明函》。</w:t>
      </w:r>
    </w:p>
    <w:p w14:paraId="515E5231">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32.发出中标通知书</w:t>
      </w:r>
    </w:p>
    <w:p w14:paraId="7DC2222E">
      <w:pPr>
        <w:pStyle w:val="6"/>
        <w:keepNext w:val="0"/>
        <w:keepLines w:val="0"/>
        <w:spacing w:before="0" w:after="0" w:line="360" w:lineRule="auto"/>
        <w:rPr>
          <w:rFonts w:ascii="宋体" w:hAnsi="宋体"/>
          <w:b w:val="0"/>
          <w:color w:val="000000"/>
          <w:sz w:val="21"/>
          <w:szCs w:val="21"/>
          <w:highlight w:val="none"/>
        </w:rPr>
      </w:pPr>
      <w:r>
        <w:rPr>
          <w:rFonts w:hint="eastAsia" w:ascii="宋体" w:hAnsi="宋体"/>
          <w:b w:val="0"/>
          <w:color w:val="000000"/>
          <w:sz w:val="21"/>
          <w:szCs w:val="21"/>
          <w:highlight w:val="none"/>
        </w:rPr>
        <w:t xml:space="preserve"> </w:t>
      </w:r>
      <w:r>
        <w:rPr>
          <w:rFonts w:ascii="宋体" w:hAnsi="宋体"/>
          <w:b w:val="0"/>
          <w:color w:val="000000"/>
          <w:sz w:val="21"/>
          <w:szCs w:val="21"/>
          <w:highlight w:val="none"/>
        </w:rPr>
        <w:t xml:space="preserve">   </w:t>
      </w:r>
      <w:r>
        <w:rPr>
          <w:rFonts w:hint="eastAsia" w:ascii="宋体" w:hAnsi="宋体"/>
          <w:b w:val="0"/>
          <w:color w:val="000000"/>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63C85F92">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33. 无义务解释未中标原因</w:t>
      </w:r>
    </w:p>
    <w:p w14:paraId="431B08CB">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采购代理机构无义务向未中标的投标人解释未中标原因。</w:t>
      </w:r>
    </w:p>
    <w:p w14:paraId="22001132">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34.合同授予标准</w:t>
      </w:r>
    </w:p>
    <w:p w14:paraId="5B5BC6D8">
      <w:pPr>
        <w:snapToGrid w:val="0"/>
        <w:spacing w:line="360" w:lineRule="auto"/>
        <w:ind w:firstLine="420" w:firstLineChars="200"/>
        <w:rPr>
          <w:rFonts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w:t>
      </w:r>
    </w:p>
    <w:p w14:paraId="70B6A3CE">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35.履约保证金</w:t>
      </w:r>
    </w:p>
    <w:p w14:paraId="7E2F9429">
      <w:pPr>
        <w:pStyle w:val="6"/>
        <w:keepNext w:val="0"/>
        <w:keepLines w:val="0"/>
        <w:spacing w:before="0" w:after="0" w:line="360" w:lineRule="auto"/>
        <w:ind w:firstLine="315" w:firstLineChars="150"/>
        <w:rPr>
          <w:rFonts w:ascii="宋体" w:hAnsi="宋体"/>
          <w:b w:val="0"/>
          <w:color w:val="000000"/>
          <w:sz w:val="21"/>
          <w:szCs w:val="21"/>
          <w:highlight w:val="none"/>
        </w:rPr>
      </w:pPr>
      <w:bookmarkStart w:id="135" w:name="_39.1中标人须于签订合同前按本须知前附表规定的金额转账或电汇到指定账"/>
      <w:bookmarkEnd w:id="135"/>
      <w:r>
        <w:rPr>
          <w:rFonts w:ascii="宋体" w:hAnsi="宋体"/>
          <w:b w:val="0"/>
          <w:color w:val="000000"/>
          <w:sz w:val="21"/>
          <w:szCs w:val="21"/>
          <w:highlight w:val="none"/>
        </w:rPr>
        <w:t xml:space="preserve"> </w:t>
      </w:r>
      <w:r>
        <w:rPr>
          <w:rFonts w:hint="eastAsia" w:ascii="宋体" w:hAnsi="宋体"/>
          <w:b w:val="0"/>
          <w:color w:val="000000"/>
          <w:sz w:val="21"/>
          <w:szCs w:val="21"/>
          <w:highlight w:val="none"/>
        </w:rPr>
        <w:t>3</w:t>
      </w:r>
      <w:r>
        <w:rPr>
          <w:rFonts w:ascii="宋体" w:hAnsi="宋体"/>
          <w:b w:val="0"/>
          <w:color w:val="000000"/>
          <w:sz w:val="21"/>
          <w:szCs w:val="21"/>
          <w:highlight w:val="none"/>
        </w:rPr>
        <w:t>5</w:t>
      </w:r>
      <w:r>
        <w:rPr>
          <w:rFonts w:hint="eastAsia" w:ascii="宋体" w:hAnsi="宋体"/>
          <w:b w:val="0"/>
          <w:color w:val="000000"/>
          <w:sz w:val="21"/>
          <w:szCs w:val="21"/>
          <w:highlight w:val="none"/>
        </w:rPr>
        <w:t>.1 履约保证金的金额、提交方式、退付的时间和条件详见 “投标人须知前附表”。中标人未按规定提交履约保证金的，视为拒绝与采购人签订合同。</w:t>
      </w:r>
    </w:p>
    <w:p w14:paraId="0A48A145">
      <w:pPr>
        <w:pStyle w:val="6"/>
        <w:keepNext w:val="0"/>
        <w:keepLines w:val="0"/>
        <w:spacing w:before="0" w:after="0" w:line="360" w:lineRule="auto"/>
        <w:ind w:firstLine="316" w:firstLineChars="150"/>
        <w:rPr>
          <w:rFonts w:ascii="宋体" w:hAnsi="宋体"/>
          <w:color w:val="000000"/>
          <w:sz w:val="21"/>
          <w:szCs w:val="21"/>
          <w:highlight w:val="none"/>
        </w:rPr>
      </w:pPr>
      <w:r>
        <w:rPr>
          <w:rFonts w:hint="eastAsia" w:ascii="宋体" w:hAnsi="宋体"/>
          <w:color w:val="000000"/>
          <w:sz w:val="21"/>
          <w:szCs w:val="21"/>
          <w:highlight w:val="none"/>
        </w:rPr>
        <w:t xml:space="preserve"> </w:t>
      </w:r>
      <w:r>
        <w:rPr>
          <w:rFonts w:hint="eastAsia" w:ascii="宋体" w:hAnsi="宋体"/>
          <w:b w:val="0"/>
          <w:bCs/>
          <w:color w:val="000000"/>
          <w:sz w:val="21"/>
          <w:szCs w:val="21"/>
          <w:highlight w:val="none"/>
        </w:rPr>
        <w:t>35.2在履约保证金退还日期前，若中标人的开户名称、开户银行、</w:t>
      </w:r>
      <w:r>
        <w:rPr>
          <w:rFonts w:hint="eastAsia" w:ascii="宋体" w:hAnsi="宋体"/>
          <w:b w:val="0"/>
          <w:bCs/>
          <w:color w:val="000000"/>
          <w:sz w:val="21"/>
          <w:szCs w:val="21"/>
          <w:highlight w:val="none"/>
          <w:lang w:eastAsia="zh-CN"/>
        </w:rPr>
        <w:t>账</w:t>
      </w:r>
      <w:r>
        <w:rPr>
          <w:rFonts w:hint="eastAsia" w:ascii="宋体" w:hAnsi="宋体"/>
          <w:b w:val="0"/>
          <w:bCs/>
          <w:color w:val="000000"/>
          <w:sz w:val="21"/>
          <w:szCs w:val="21"/>
          <w:highlight w:val="none"/>
        </w:rPr>
        <w:t>号有变动的，请以书面形式通知履约保证金收取单位，否则由此产生的后果由中标人自行承担。</w:t>
      </w:r>
    </w:p>
    <w:p w14:paraId="514104B2">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36.签订合同</w:t>
      </w:r>
    </w:p>
    <w:p w14:paraId="6A718488">
      <w:pPr>
        <w:pStyle w:val="6"/>
        <w:keepNext w:val="0"/>
        <w:keepLines w:val="0"/>
        <w:spacing w:before="0" w:after="0" w:line="360" w:lineRule="auto"/>
        <w:ind w:firstLine="315" w:firstLineChars="150"/>
        <w:rPr>
          <w:rFonts w:ascii="宋体" w:hAnsi="宋体"/>
          <w:b w:val="0"/>
          <w:color w:val="000000"/>
          <w:sz w:val="21"/>
          <w:szCs w:val="21"/>
          <w:highlight w:val="none"/>
        </w:rPr>
      </w:pPr>
      <w:bookmarkStart w:id="136" w:name="_40.1投标人接到中标通知书后，按须知前附表规定向采购人出示相关资格证"/>
      <w:bookmarkEnd w:id="136"/>
      <w:r>
        <w:rPr>
          <w:rFonts w:hint="eastAsia" w:ascii="宋体" w:hAnsi="宋体"/>
          <w:b w:val="0"/>
          <w:color w:val="000000"/>
          <w:sz w:val="21"/>
          <w:szCs w:val="21"/>
          <w:highlight w:val="none"/>
        </w:rPr>
        <w:t xml:space="preserve"> </w:t>
      </w:r>
      <w:r>
        <w:rPr>
          <w:rFonts w:hint="eastAsia" w:ascii="宋体" w:hAnsi="宋体"/>
          <w:color w:val="000000"/>
          <w:sz w:val="21"/>
          <w:szCs w:val="21"/>
          <w:highlight w:val="none"/>
        </w:rPr>
        <w:t>36.1签订电子采购合同：中标人领取电子中标通知书后，</w:t>
      </w:r>
      <w:r>
        <w:rPr>
          <w:rFonts w:hint="eastAsia" w:ascii="宋体" w:hAnsi="宋体"/>
          <w:color w:val="000000"/>
          <w:kern w:val="0"/>
          <w:sz w:val="21"/>
          <w:szCs w:val="21"/>
          <w:highlight w:val="none"/>
        </w:rPr>
        <w:t>在</w:t>
      </w:r>
      <w:r>
        <w:rPr>
          <w:rFonts w:hint="eastAsia" w:ascii="宋体" w:hAnsi="宋体"/>
          <w:color w:val="000000"/>
          <w:kern w:val="0"/>
          <w:sz w:val="21"/>
          <w:szCs w:val="21"/>
          <w:highlight w:val="none"/>
          <w:lang w:val="zh-CN"/>
        </w:rPr>
        <w:t>规定的日期、时间、地点，由法定代表人（或负责人）或其授权代表与采购人代表签订电子采购合同。如中标人为联合体的，由联合体成员各方法定代表人（或负责人）或其授权代表与采购人代表签订合同。</w:t>
      </w:r>
    </w:p>
    <w:p w14:paraId="12A3247C">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线下签订纸质合同：投标人领取中标通知书后，按“投标人须知前附表”规定向采购人出示相关证明材料，经采购人核验合格后方可签订合同。</w:t>
      </w:r>
    </w:p>
    <w:p w14:paraId="0B26EED1">
      <w:pPr>
        <w:pStyle w:val="6"/>
        <w:keepNext w:val="0"/>
        <w:keepLines w:val="0"/>
        <w:numPr>
          <w:ilvl w:val="4"/>
          <w:numId w:val="0"/>
        </w:numPr>
        <w:spacing w:before="0" w:after="0" w:line="360" w:lineRule="auto"/>
        <w:ind w:firstLine="420" w:firstLineChars="200"/>
        <w:rPr>
          <w:rFonts w:ascii="宋体" w:hAnsi="宋体"/>
          <w:b w:val="0"/>
          <w:color w:val="000000"/>
          <w:sz w:val="21"/>
          <w:szCs w:val="21"/>
          <w:highlight w:val="none"/>
        </w:rPr>
      </w:pPr>
      <w:r>
        <w:rPr>
          <w:rFonts w:hint="eastAsia" w:ascii="宋体" w:hAnsi="宋体"/>
          <w:b w:val="0"/>
          <w:color w:val="000000"/>
          <w:sz w:val="21"/>
          <w:szCs w:val="21"/>
          <w:highlight w:val="none"/>
        </w:rPr>
        <w:t>36.2签订合同时间：按中标通知书规定的时间与采购人签订合同。</w:t>
      </w:r>
    </w:p>
    <w:p w14:paraId="7672C4C7">
      <w:pPr>
        <w:pStyle w:val="6"/>
        <w:keepNext w:val="0"/>
        <w:keepLines w:val="0"/>
        <w:spacing w:before="0" w:after="0" w:line="360" w:lineRule="auto"/>
        <w:rPr>
          <w:rFonts w:ascii="宋体" w:hAnsi="宋体"/>
          <w:b w:val="0"/>
          <w:color w:val="000000"/>
          <w:sz w:val="21"/>
          <w:szCs w:val="21"/>
          <w:highlight w:val="none"/>
        </w:rPr>
      </w:pPr>
      <w:r>
        <w:rPr>
          <w:rFonts w:hint="eastAsia" w:ascii="宋体" w:hAnsi="宋体"/>
          <w:b w:val="0"/>
          <w:color w:val="000000"/>
          <w:sz w:val="21"/>
          <w:szCs w:val="21"/>
          <w:highlight w:val="none"/>
        </w:rPr>
        <w:t xml:space="preserve">    36.</w:t>
      </w:r>
      <w:r>
        <w:rPr>
          <w:rFonts w:ascii="宋体" w:hAnsi="宋体"/>
          <w:b w:val="0"/>
          <w:color w:val="000000"/>
          <w:sz w:val="21"/>
          <w:szCs w:val="21"/>
          <w:highlight w:val="none"/>
        </w:rPr>
        <w:t>3</w:t>
      </w:r>
      <w:r>
        <w:rPr>
          <w:rFonts w:hint="eastAsia" w:ascii="宋体" w:hAnsi="宋体"/>
          <w:b w:val="0"/>
          <w:color w:val="000000"/>
          <w:sz w:val="21"/>
          <w:szCs w:val="21"/>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54837C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104A49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463CC38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36.6</w:t>
      </w:r>
      <w:r>
        <w:rPr>
          <w:rFonts w:hint="eastAsia" w:ascii="宋体" w:hAnsi="宋体" w:cs="仿宋_GB2312"/>
          <w:color w:val="000000"/>
          <w:szCs w:val="21"/>
          <w:highlight w:val="none"/>
        </w:rPr>
        <w:t>如签订合同并生效后，供应商无故拒绝或延期，除按照合同条款处理外，将承担相应的法律责任。</w:t>
      </w:r>
    </w:p>
    <w:p w14:paraId="5EB45A1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36.7</w:t>
      </w:r>
      <w:r>
        <w:rPr>
          <w:rFonts w:hint="eastAsia" w:ascii="宋体" w:hAnsi="宋体" w:cs="宋体"/>
          <w:color w:val="000000"/>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4309010">
      <w:pPr>
        <w:pStyle w:val="6"/>
        <w:keepNext w:val="0"/>
        <w:keepLines w:val="0"/>
        <w:spacing w:before="0" w:after="0" w:line="360" w:lineRule="auto"/>
        <w:ind w:left="420" w:leftChars="200"/>
        <w:rPr>
          <w:rFonts w:ascii="黑体" w:hAnsi="黑体" w:eastAsia="黑体"/>
          <w:color w:val="000000"/>
          <w:sz w:val="24"/>
          <w:highlight w:val="none"/>
        </w:rPr>
      </w:pPr>
      <w:bookmarkStart w:id="137" w:name="_41.政府采购合同公告"/>
      <w:bookmarkEnd w:id="137"/>
      <w:r>
        <w:rPr>
          <w:rFonts w:hint="eastAsia" w:ascii="黑体" w:hAnsi="黑体" w:eastAsia="黑体"/>
          <w:color w:val="000000"/>
          <w:sz w:val="24"/>
          <w:highlight w:val="none"/>
        </w:rPr>
        <w:t>37.政府采购合同公告</w:t>
      </w:r>
    </w:p>
    <w:p w14:paraId="0FA55087">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采购人或者受托采购代理机构应当自政府采购合同签订之日起2个工作日内，将政府采购合同在省级以上人民政府财政部门指定的媒体上公告，</w:t>
      </w:r>
      <w:r>
        <w:rPr>
          <w:rFonts w:hAnsi="宋体"/>
          <w:color w:val="000000"/>
          <w:sz w:val="21"/>
          <w:highlight w:val="none"/>
        </w:rPr>
        <w:t>但政府采购合同中涉及国家秘密、商业秘密的内容除外。</w:t>
      </w:r>
    </w:p>
    <w:p w14:paraId="1F48B506">
      <w:pPr>
        <w:pStyle w:val="6"/>
        <w:keepNext w:val="0"/>
        <w:keepLines w:val="0"/>
        <w:spacing w:before="0" w:after="0" w:line="360" w:lineRule="auto"/>
        <w:ind w:left="420" w:leftChars="200"/>
        <w:rPr>
          <w:rFonts w:ascii="黑体" w:hAnsi="黑体" w:eastAsia="黑体"/>
          <w:color w:val="000000"/>
          <w:sz w:val="24"/>
          <w:highlight w:val="none"/>
        </w:rPr>
      </w:pPr>
      <w:r>
        <w:rPr>
          <w:rFonts w:hint="eastAsia" w:ascii="黑体" w:hAnsi="黑体" w:eastAsia="黑体"/>
          <w:color w:val="000000"/>
          <w:sz w:val="24"/>
          <w:highlight w:val="none"/>
        </w:rPr>
        <w:t>3</w:t>
      </w:r>
      <w:r>
        <w:rPr>
          <w:rFonts w:ascii="黑体" w:hAnsi="黑体" w:eastAsia="黑体"/>
          <w:color w:val="000000"/>
          <w:sz w:val="24"/>
          <w:highlight w:val="none"/>
        </w:rPr>
        <w:t>8.</w:t>
      </w:r>
      <w:r>
        <w:rPr>
          <w:rFonts w:hint="eastAsia" w:ascii="黑体" w:hAnsi="黑体" w:eastAsia="黑体"/>
          <w:color w:val="000000"/>
          <w:sz w:val="24"/>
          <w:highlight w:val="none"/>
        </w:rPr>
        <w:t xml:space="preserve"> 询问、质疑和投诉</w:t>
      </w:r>
    </w:p>
    <w:p w14:paraId="42B1F60A">
      <w:pPr>
        <w:pStyle w:val="7"/>
        <w:spacing w:line="360" w:lineRule="auto"/>
        <w:rPr>
          <w:rFonts w:ascii="宋体" w:hAnsi="宋体"/>
          <w:color w:val="000000"/>
          <w:szCs w:val="21"/>
          <w:highlight w:val="none"/>
        </w:rPr>
      </w:pPr>
      <w:r>
        <w:rPr>
          <w:rFonts w:ascii="宋体" w:hAnsi="宋体"/>
          <w:color w:val="000000"/>
          <w:szCs w:val="21"/>
          <w:highlight w:val="none"/>
        </w:rPr>
        <w:t>38.1</w:t>
      </w:r>
      <w:r>
        <w:rPr>
          <w:rFonts w:hint="eastAsia" w:ascii="宋体" w:hAnsi="宋体"/>
          <w:color w:val="000000"/>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0811F5FB">
      <w:pPr>
        <w:pStyle w:val="6"/>
        <w:keepNext w:val="0"/>
        <w:keepLines w:val="0"/>
        <w:spacing w:before="0" w:after="0" w:line="360" w:lineRule="auto"/>
        <w:ind w:firstLine="315" w:firstLineChars="150"/>
        <w:rPr>
          <w:rFonts w:ascii="宋体" w:hAnsi="宋体"/>
          <w:b w:val="0"/>
          <w:color w:val="000000"/>
          <w:sz w:val="21"/>
          <w:szCs w:val="21"/>
          <w:highlight w:val="none"/>
        </w:rPr>
      </w:pPr>
      <w:r>
        <w:rPr>
          <w:rFonts w:hint="eastAsia" w:ascii="宋体" w:hAnsi="宋体"/>
          <w:b w:val="0"/>
          <w:color w:val="000000"/>
          <w:sz w:val="21"/>
          <w:szCs w:val="21"/>
          <w:highlight w:val="none"/>
        </w:rPr>
        <w:t xml:space="preserve"> </w:t>
      </w: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2</w:t>
      </w:r>
      <w:r>
        <w:rPr>
          <w:rFonts w:hint="eastAsia" w:ascii="宋体" w:hAnsi="宋体"/>
          <w:b w:val="0"/>
          <w:color w:val="000000"/>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C2B8F44">
      <w:pPr>
        <w:pStyle w:val="26"/>
        <w:snapToGrid w:val="0"/>
        <w:spacing w:line="360" w:lineRule="auto"/>
        <w:ind w:firstLine="420" w:firstLineChars="200"/>
        <w:rPr>
          <w:rFonts w:hAnsi="宋体"/>
          <w:color w:val="000000"/>
          <w:sz w:val="21"/>
          <w:highlight w:val="none"/>
        </w:rPr>
      </w:pPr>
      <w:r>
        <w:rPr>
          <w:rFonts w:hAnsi="宋体"/>
          <w:color w:val="000000"/>
          <w:sz w:val="21"/>
          <w:highlight w:val="none"/>
        </w:rPr>
        <w:t>（</w:t>
      </w:r>
      <w:r>
        <w:rPr>
          <w:rFonts w:hint="eastAsia" w:hAnsi="宋体"/>
          <w:color w:val="000000"/>
          <w:sz w:val="21"/>
          <w:highlight w:val="none"/>
        </w:rPr>
        <w:t>1</w:t>
      </w:r>
      <w:r>
        <w:rPr>
          <w:rFonts w:hAnsi="宋体"/>
          <w:color w:val="000000"/>
          <w:sz w:val="21"/>
          <w:highlight w:val="none"/>
        </w:rPr>
        <w:t>）对可以质疑的</w:t>
      </w:r>
      <w:r>
        <w:rPr>
          <w:rFonts w:hint="eastAsia" w:hAnsi="宋体"/>
          <w:color w:val="000000"/>
          <w:sz w:val="21"/>
          <w:highlight w:val="none"/>
        </w:rPr>
        <w:t>招标</w:t>
      </w:r>
      <w:r>
        <w:rPr>
          <w:rFonts w:hAnsi="宋体"/>
          <w:color w:val="000000"/>
          <w:sz w:val="21"/>
          <w:highlight w:val="none"/>
        </w:rPr>
        <w:t>文件提出质疑的，为</w:t>
      </w:r>
      <w:r>
        <w:rPr>
          <w:rFonts w:hint="eastAsia" w:hAnsi="宋体"/>
          <w:color w:val="000000"/>
          <w:sz w:val="21"/>
          <w:highlight w:val="none"/>
        </w:rPr>
        <w:t>获取招标</w:t>
      </w:r>
      <w:r>
        <w:rPr>
          <w:rFonts w:hAnsi="宋体"/>
          <w:color w:val="000000"/>
          <w:sz w:val="21"/>
          <w:highlight w:val="none"/>
        </w:rPr>
        <w:t>文件之日</w:t>
      </w:r>
      <w:r>
        <w:rPr>
          <w:rFonts w:hint="eastAsia" w:hAnsi="宋体"/>
          <w:color w:val="000000"/>
          <w:sz w:val="21"/>
          <w:highlight w:val="none"/>
        </w:rPr>
        <w:t>或者招标文件公告期限届满之日</w:t>
      </w:r>
      <w:r>
        <w:rPr>
          <w:rFonts w:hAnsi="宋体"/>
          <w:color w:val="000000"/>
          <w:sz w:val="21"/>
          <w:highlight w:val="none"/>
        </w:rPr>
        <w:t>；</w:t>
      </w:r>
    </w:p>
    <w:p w14:paraId="2CDC20E0">
      <w:pPr>
        <w:pStyle w:val="26"/>
        <w:snapToGrid w:val="0"/>
        <w:spacing w:line="360" w:lineRule="auto"/>
        <w:ind w:firstLine="420" w:firstLineChars="200"/>
        <w:rPr>
          <w:rFonts w:hAnsi="宋体"/>
          <w:color w:val="000000"/>
          <w:sz w:val="21"/>
          <w:highlight w:val="none"/>
        </w:rPr>
      </w:pPr>
      <w:r>
        <w:rPr>
          <w:rFonts w:hAnsi="宋体"/>
          <w:color w:val="000000"/>
          <w:sz w:val="21"/>
          <w:highlight w:val="none"/>
        </w:rPr>
        <w:t>（</w:t>
      </w:r>
      <w:r>
        <w:rPr>
          <w:rFonts w:hint="eastAsia" w:hAnsi="宋体"/>
          <w:color w:val="000000"/>
          <w:sz w:val="21"/>
          <w:highlight w:val="none"/>
        </w:rPr>
        <w:t>2</w:t>
      </w:r>
      <w:r>
        <w:rPr>
          <w:rFonts w:hAnsi="宋体"/>
          <w:color w:val="000000"/>
          <w:sz w:val="21"/>
          <w:highlight w:val="none"/>
        </w:rPr>
        <w:t>）对</w:t>
      </w:r>
      <w:r>
        <w:rPr>
          <w:rFonts w:hint="eastAsia" w:hAnsi="宋体"/>
          <w:color w:val="000000"/>
          <w:sz w:val="21"/>
          <w:highlight w:val="none"/>
        </w:rPr>
        <w:t>采购</w:t>
      </w:r>
      <w:r>
        <w:rPr>
          <w:rFonts w:hAnsi="宋体"/>
          <w:color w:val="000000"/>
          <w:sz w:val="21"/>
          <w:highlight w:val="none"/>
        </w:rPr>
        <w:t>过程提出质疑的，为各采购程序环节结束之日；</w:t>
      </w:r>
    </w:p>
    <w:p w14:paraId="11E24E40">
      <w:pPr>
        <w:pStyle w:val="26"/>
        <w:snapToGrid w:val="0"/>
        <w:spacing w:line="360" w:lineRule="auto"/>
        <w:ind w:firstLine="420" w:firstLineChars="200"/>
        <w:rPr>
          <w:rFonts w:hAnsi="宋体"/>
          <w:bCs/>
          <w:color w:val="000000"/>
          <w:sz w:val="21"/>
          <w:highlight w:val="none"/>
        </w:rPr>
      </w:pPr>
      <w:r>
        <w:rPr>
          <w:rFonts w:hAnsi="宋体"/>
          <w:color w:val="000000"/>
          <w:sz w:val="21"/>
          <w:highlight w:val="none"/>
        </w:rPr>
        <w:t>（</w:t>
      </w:r>
      <w:r>
        <w:rPr>
          <w:rFonts w:hint="eastAsia" w:hAnsi="宋体"/>
          <w:color w:val="000000"/>
          <w:sz w:val="21"/>
          <w:highlight w:val="none"/>
        </w:rPr>
        <w:t>3</w:t>
      </w:r>
      <w:r>
        <w:rPr>
          <w:rFonts w:hAnsi="宋体"/>
          <w:color w:val="000000"/>
          <w:sz w:val="21"/>
          <w:highlight w:val="none"/>
        </w:rPr>
        <w:t>）对中标结果提出质疑的，为中标结果公告期限届满之日。</w:t>
      </w:r>
    </w:p>
    <w:p w14:paraId="7C143569">
      <w:pPr>
        <w:pStyle w:val="6"/>
        <w:keepNext w:val="0"/>
        <w:keepLines w:val="0"/>
        <w:spacing w:before="0" w:after="0" w:line="360" w:lineRule="auto"/>
        <w:ind w:firstLine="315" w:firstLineChars="150"/>
        <w:rPr>
          <w:rFonts w:ascii="宋体" w:hAnsi="宋体"/>
          <w:b w:val="0"/>
          <w:color w:val="000000"/>
          <w:sz w:val="21"/>
          <w:szCs w:val="21"/>
          <w:highlight w:val="none"/>
        </w:rPr>
      </w:pPr>
      <w:r>
        <w:rPr>
          <w:rFonts w:ascii="宋体" w:hAnsi="宋体"/>
          <w:b w:val="0"/>
          <w:color w:val="000000"/>
          <w:sz w:val="21"/>
          <w:szCs w:val="21"/>
          <w:highlight w:val="none"/>
        </w:rPr>
        <w:t>38</w:t>
      </w:r>
      <w:r>
        <w:rPr>
          <w:rFonts w:hint="eastAsia" w:ascii="宋体" w:hAnsi="宋体"/>
          <w:b w:val="0"/>
          <w:color w:val="000000"/>
          <w:sz w:val="21"/>
          <w:szCs w:val="21"/>
          <w:highlight w:val="none"/>
        </w:rPr>
        <w:t>.</w:t>
      </w:r>
      <w:r>
        <w:rPr>
          <w:rFonts w:ascii="宋体" w:hAnsi="宋体"/>
          <w:b w:val="0"/>
          <w:color w:val="000000"/>
          <w:sz w:val="21"/>
          <w:szCs w:val="21"/>
          <w:highlight w:val="none"/>
        </w:rPr>
        <w:t>3</w:t>
      </w:r>
      <w:r>
        <w:rPr>
          <w:rFonts w:hint="eastAsia" w:ascii="宋体" w:hAnsi="宋体"/>
          <w:b w:val="0"/>
          <w:color w:val="000000"/>
          <w:sz w:val="21"/>
          <w:szCs w:val="21"/>
          <w:highlight w:val="none"/>
        </w:rPr>
        <w:t xml:space="preserve"> </w:t>
      </w:r>
      <w:r>
        <w:rPr>
          <w:rFonts w:hAnsi="宋体"/>
          <w:b w:val="0"/>
          <w:bCs/>
          <w:color w:val="000000"/>
          <w:sz w:val="21"/>
          <w:highlight w:val="none"/>
        </w:rPr>
        <w:t>供应商提出质疑应当提交质疑函和必要的证明材料</w:t>
      </w:r>
      <w:r>
        <w:rPr>
          <w:rFonts w:hint="eastAsia" w:hAnsi="宋体"/>
          <w:b w:val="0"/>
          <w:bCs/>
          <w:color w:val="000000"/>
          <w:sz w:val="21"/>
          <w:highlight w:val="none"/>
        </w:rPr>
        <w:t>，</w:t>
      </w:r>
      <w:r>
        <w:rPr>
          <w:rFonts w:hAnsi="宋体"/>
          <w:b w:val="0"/>
          <w:bCs/>
          <w:color w:val="000000"/>
          <w:sz w:val="21"/>
          <w:highlight w:val="none"/>
        </w:rPr>
        <w:t>针对同一采购程序环节的质疑</w:t>
      </w:r>
      <w:r>
        <w:rPr>
          <w:rFonts w:hint="eastAsia" w:hAnsi="宋体"/>
          <w:b w:val="0"/>
          <w:bCs/>
          <w:color w:val="000000"/>
          <w:sz w:val="21"/>
          <w:highlight w:val="none"/>
        </w:rPr>
        <w:t>必须</w:t>
      </w:r>
      <w:r>
        <w:rPr>
          <w:rFonts w:hAnsi="宋体"/>
          <w:b w:val="0"/>
          <w:bCs/>
          <w:color w:val="000000"/>
          <w:sz w:val="21"/>
          <w:highlight w:val="none"/>
        </w:rPr>
        <w:t>在法定质疑期内一次性提出。质疑函应当包括下列内容</w:t>
      </w:r>
      <w:r>
        <w:rPr>
          <w:rFonts w:hint="eastAsia" w:hAnsi="宋体"/>
          <w:b w:val="0"/>
          <w:bCs/>
          <w:color w:val="000000"/>
          <w:sz w:val="21"/>
          <w:highlight w:val="none"/>
        </w:rPr>
        <w:t>（质疑函格式后附）</w:t>
      </w:r>
      <w:r>
        <w:rPr>
          <w:rFonts w:hAnsi="宋体"/>
          <w:b w:val="0"/>
          <w:bCs/>
          <w:color w:val="000000"/>
          <w:sz w:val="21"/>
          <w:highlight w:val="none"/>
        </w:rPr>
        <w:t>：</w:t>
      </w:r>
    </w:p>
    <w:p w14:paraId="668BEE3C">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1</w:t>
      </w:r>
      <w:r>
        <w:rPr>
          <w:rFonts w:hAnsi="宋体"/>
          <w:bCs/>
          <w:color w:val="000000"/>
          <w:sz w:val="21"/>
          <w:highlight w:val="none"/>
        </w:rPr>
        <w:t>）供应商的姓名或者名称、地址、邮编、联系人及联系电话；</w:t>
      </w:r>
    </w:p>
    <w:p w14:paraId="376EF7C4">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2</w:t>
      </w:r>
      <w:r>
        <w:rPr>
          <w:rFonts w:hAnsi="宋体"/>
          <w:bCs/>
          <w:color w:val="000000"/>
          <w:sz w:val="21"/>
          <w:highlight w:val="none"/>
        </w:rPr>
        <w:t>）质疑项目的名称、编号；</w:t>
      </w:r>
    </w:p>
    <w:p w14:paraId="03D4CE63">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3</w:t>
      </w:r>
      <w:r>
        <w:rPr>
          <w:rFonts w:hAnsi="宋体"/>
          <w:bCs/>
          <w:color w:val="000000"/>
          <w:sz w:val="21"/>
          <w:highlight w:val="none"/>
        </w:rPr>
        <w:t>）具体、明确的质疑事项和与质疑事项相关的请求；</w:t>
      </w:r>
    </w:p>
    <w:p w14:paraId="1E646A14">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4</w:t>
      </w:r>
      <w:r>
        <w:rPr>
          <w:rFonts w:hAnsi="宋体"/>
          <w:bCs/>
          <w:color w:val="000000"/>
          <w:sz w:val="21"/>
          <w:highlight w:val="none"/>
        </w:rPr>
        <w:t>）事实依据；</w:t>
      </w:r>
    </w:p>
    <w:p w14:paraId="2D03722E">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5</w:t>
      </w:r>
      <w:r>
        <w:rPr>
          <w:rFonts w:hAnsi="宋体"/>
          <w:bCs/>
          <w:color w:val="000000"/>
          <w:sz w:val="21"/>
          <w:highlight w:val="none"/>
        </w:rPr>
        <w:t>）必要的法律依据；</w:t>
      </w:r>
    </w:p>
    <w:p w14:paraId="1F933CBD">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w:t>
      </w:r>
      <w:r>
        <w:rPr>
          <w:rFonts w:hint="eastAsia" w:hAnsi="宋体"/>
          <w:bCs/>
          <w:color w:val="000000"/>
          <w:sz w:val="21"/>
          <w:highlight w:val="none"/>
        </w:rPr>
        <w:t>6</w:t>
      </w:r>
      <w:r>
        <w:rPr>
          <w:rFonts w:hAnsi="宋体"/>
          <w:bCs/>
          <w:color w:val="000000"/>
          <w:sz w:val="21"/>
          <w:highlight w:val="none"/>
        </w:rPr>
        <w:t>）提出质疑的日期。</w:t>
      </w:r>
    </w:p>
    <w:p w14:paraId="2FE1AFB0">
      <w:pPr>
        <w:pStyle w:val="26"/>
        <w:snapToGrid w:val="0"/>
        <w:spacing w:line="360" w:lineRule="auto"/>
        <w:ind w:firstLine="420" w:firstLineChars="200"/>
        <w:rPr>
          <w:rFonts w:hAnsi="宋体"/>
          <w:bCs/>
          <w:color w:val="000000"/>
          <w:sz w:val="21"/>
          <w:highlight w:val="none"/>
        </w:rPr>
      </w:pPr>
      <w:r>
        <w:rPr>
          <w:rFonts w:hAnsi="宋体"/>
          <w:bCs/>
          <w:color w:val="000000"/>
          <w:sz w:val="21"/>
          <w:highlight w:val="none"/>
        </w:rPr>
        <w:t>供应商为自然人的，应当由本人签字；供应商为法人或者其他组织的，应当由</w:t>
      </w:r>
      <w:r>
        <w:rPr>
          <w:rFonts w:hint="eastAsia" w:hAnsi="宋体"/>
          <w:bCs/>
          <w:color w:val="000000"/>
          <w:sz w:val="21"/>
          <w:highlight w:val="none"/>
        </w:rPr>
        <w:t>法定代表人（或负责人）</w:t>
      </w:r>
      <w:r>
        <w:rPr>
          <w:rFonts w:hAnsi="宋体"/>
          <w:bCs/>
          <w:color w:val="000000"/>
          <w:sz w:val="21"/>
          <w:highlight w:val="none"/>
        </w:rPr>
        <w:t>、主要负责人，或者其委托代理人签字或者盖章，并加盖公章</w:t>
      </w:r>
      <w:r>
        <w:rPr>
          <w:rFonts w:hint="eastAsia" w:hAnsi="宋体"/>
          <w:bCs/>
          <w:color w:val="000000"/>
          <w:sz w:val="21"/>
          <w:highlight w:val="none"/>
        </w:rPr>
        <w:t>。</w:t>
      </w:r>
    </w:p>
    <w:p w14:paraId="5D20F75D">
      <w:pPr>
        <w:pStyle w:val="6"/>
        <w:keepNext w:val="0"/>
        <w:keepLines w:val="0"/>
        <w:snapToGrid w:val="0"/>
        <w:spacing w:before="0" w:after="0" w:line="360" w:lineRule="auto"/>
        <w:ind w:firstLine="420" w:firstLineChars="200"/>
        <w:rPr>
          <w:rFonts w:ascii="宋体" w:hAnsi="宋体"/>
          <w:b w:val="0"/>
          <w:bCs/>
          <w:color w:val="000000"/>
          <w:sz w:val="21"/>
          <w:szCs w:val="21"/>
          <w:highlight w:val="none"/>
        </w:rPr>
      </w:pPr>
      <w:r>
        <w:rPr>
          <w:rFonts w:ascii="宋体" w:hAnsi="宋体"/>
          <w:b w:val="0"/>
          <w:color w:val="000000"/>
          <w:sz w:val="21"/>
          <w:szCs w:val="21"/>
          <w:highlight w:val="none"/>
        </w:rPr>
        <w:t>3</w:t>
      </w:r>
      <w:r>
        <w:rPr>
          <w:rFonts w:ascii="宋体" w:hAnsi="宋体"/>
          <w:b w:val="0"/>
          <w:bCs/>
          <w:color w:val="000000"/>
          <w:sz w:val="21"/>
          <w:szCs w:val="21"/>
          <w:highlight w:val="none"/>
        </w:rPr>
        <w:t>8.4</w:t>
      </w:r>
      <w:r>
        <w:rPr>
          <w:rFonts w:hint="eastAsia" w:ascii="宋体" w:hAnsi="宋体"/>
          <w:b w:val="0"/>
          <w:bCs/>
          <w:color w:val="000000"/>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1C821EB9">
      <w:pPr>
        <w:pStyle w:val="26"/>
        <w:snapToGrid w:val="0"/>
        <w:spacing w:line="360" w:lineRule="auto"/>
        <w:rPr>
          <w:rFonts w:hAnsi="宋体"/>
          <w:bCs/>
          <w:color w:val="000000"/>
          <w:sz w:val="21"/>
          <w:highlight w:val="none"/>
        </w:rPr>
      </w:pPr>
      <w:r>
        <w:rPr>
          <w:rFonts w:hint="eastAsia" w:hAnsi="宋体"/>
          <w:bCs/>
          <w:color w:val="000000"/>
          <w:sz w:val="21"/>
          <w:highlight w:val="none"/>
        </w:rPr>
        <w:t>　　（一）对招标文件提出的质疑，依法通过澄清或者修改可以继续开展采购活动的，澄清或者修改招标文件后继续开展采购活动；否则应当修改招标文件后重新开展采购活动。</w:t>
      </w:r>
    </w:p>
    <w:p w14:paraId="39B63436">
      <w:pPr>
        <w:pStyle w:val="26"/>
        <w:snapToGrid w:val="0"/>
        <w:spacing w:line="360" w:lineRule="auto"/>
        <w:rPr>
          <w:rFonts w:hAnsi="宋体"/>
          <w:bCs/>
          <w:color w:val="000000"/>
          <w:sz w:val="21"/>
          <w:highlight w:val="none"/>
        </w:rPr>
      </w:pPr>
      <w:r>
        <w:rPr>
          <w:rFonts w:hint="eastAsia" w:hAnsi="宋体"/>
          <w:bCs/>
          <w:color w:val="000000"/>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35463D39">
      <w:pPr>
        <w:pStyle w:val="26"/>
        <w:snapToGrid w:val="0"/>
        <w:spacing w:line="360" w:lineRule="auto"/>
        <w:ind w:firstLine="420"/>
        <w:rPr>
          <w:rFonts w:hAnsi="宋体"/>
          <w:bCs/>
          <w:color w:val="000000"/>
          <w:sz w:val="21"/>
          <w:highlight w:val="none"/>
        </w:rPr>
      </w:pPr>
      <w:r>
        <w:rPr>
          <w:rFonts w:hint="eastAsia" w:hAnsi="宋体"/>
          <w:bCs/>
          <w:color w:val="000000"/>
          <w:sz w:val="21"/>
          <w:highlight w:val="none"/>
        </w:rPr>
        <w:t>质疑答复导致中标结果改变的，采购人或者采购代理机构应当将有关情况书面报告本级财政部门。</w:t>
      </w:r>
    </w:p>
    <w:p w14:paraId="59AC609F">
      <w:pPr>
        <w:pStyle w:val="26"/>
        <w:snapToGrid w:val="0"/>
        <w:spacing w:line="360" w:lineRule="auto"/>
        <w:ind w:firstLine="420" w:firstLineChars="200"/>
        <w:rPr>
          <w:rFonts w:hAnsi="宋体"/>
          <w:color w:val="000000"/>
          <w:sz w:val="21"/>
          <w:highlight w:val="none"/>
        </w:rPr>
      </w:pPr>
      <w:r>
        <w:rPr>
          <w:rFonts w:hAnsi="宋体"/>
          <w:color w:val="000000"/>
          <w:sz w:val="21"/>
          <w:highlight w:val="none"/>
        </w:rPr>
        <w:t>38</w:t>
      </w:r>
      <w:r>
        <w:rPr>
          <w:rFonts w:hint="eastAsia" w:hAnsi="宋体"/>
          <w:color w:val="000000"/>
          <w:sz w:val="21"/>
          <w:highlight w:val="none"/>
        </w:rPr>
        <w:t>.</w:t>
      </w:r>
      <w:r>
        <w:rPr>
          <w:rFonts w:hAnsi="宋体"/>
          <w:color w:val="000000"/>
          <w:sz w:val="21"/>
          <w:highlight w:val="none"/>
        </w:rPr>
        <w:t>5</w:t>
      </w:r>
      <w:r>
        <w:rPr>
          <w:rFonts w:hint="eastAsia" w:hAnsi="宋体"/>
          <w:color w:val="000000"/>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8190A12">
      <w:pPr>
        <w:pStyle w:val="4"/>
        <w:keepNext w:val="0"/>
        <w:keepLines w:val="0"/>
        <w:jc w:val="center"/>
        <w:rPr>
          <w:color w:val="000000"/>
          <w:highlight w:val="none"/>
        </w:rPr>
      </w:pPr>
      <w:r>
        <w:rPr>
          <w:rFonts w:hint="eastAsia"/>
          <w:color w:val="000000"/>
          <w:highlight w:val="none"/>
        </w:rPr>
        <w:t>八、其他事项</w:t>
      </w:r>
    </w:p>
    <w:p w14:paraId="241A2BA9">
      <w:pPr>
        <w:pStyle w:val="6"/>
        <w:keepNext w:val="0"/>
        <w:keepLines w:val="0"/>
        <w:spacing w:before="0" w:after="0" w:line="360" w:lineRule="auto"/>
        <w:ind w:left="420" w:leftChars="200"/>
        <w:rPr>
          <w:rFonts w:ascii="黑体" w:hAnsi="黑体" w:eastAsia="黑体"/>
          <w:color w:val="000000"/>
          <w:sz w:val="24"/>
          <w:highlight w:val="none"/>
        </w:rPr>
      </w:pPr>
      <w:bookmarkStart w:id="138" w:name="_42.代理服务费"/>
      <w:bookmarkEnd w:id="138"/>
      <w:r>
        <w:rPr>
          <w:rFonts w:hint="eastAsia" w:ascii="黑体" w:hAnsi="黑体" w:eastAsia="黑体"/>
          <w:color w:val="000000"/>
          <w:sz w:val="24"/>
          <w:highlight w:val="none"/>
        </w:rPr>
        <w:t>3</w:t>
      </w:r>
      <w:r>
        <w:rPr>
          <w:rFonts w:ascii="黑体" w:hAnsi="黑体" w:eastAsia="黑体"/>
          <w:color w:val="000000"/>
          <w:sz w:val="24"/>
          <w:highlight w:val="none"/>
        </w:rPr>
        <w:t>9</w:t>
      </w:r>
      <w:r>
        <w:rPr>
          <w:rFonts w:hint="eastAsia" w:ascii="黑体" w:hAnsi="黑体" w:eastAsia="黑体"/>
          <w:color w:val="000000"/>
          <w:sz w:val="24"/>
          <w:highlight w:val="none"/>
        </w:rPr>
        <w:t>.代理服务费</w:t>
      </w:r>
    </w:p>
    <w:p w14:paraId="74D76ABE">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9</w:t>
      </w:r>
      <w:r>
        <w:rPr>
          <w:rFonts w:hint="eastAsia" w:ascii="宋体" w:hAnsi="宋体"/>
          <w:b w:val="0"/>
          <w:color w:val="000000"/>
          <w:sz w:val="21"/>
          <w:szCs w:val="21"/>
          <w:highlight w:val="none"/>
        </w:rPr>
        <w:t>.1代理服务收取标准及缴费账户详见“投标人须知前附表”，投标人为联合体的，可以由联合体中的一方或者多方共同交纳代理服务费。</w:t>
      </w:r>
    </w:p>
    <w:p w14:paraId="5A4406F2">
      <w:pPr>
        <w:pStyle w:val="6"/>
        <w:keepNext w:val="0"/>
        <w:keepLines w:val="0"/>
        <w:spacing w:before="0" w:after="0" w:line="360" w:lineRule="auto"/>
        <w:ind w:left="420" w:leftChars="200"/>
        <w:rPr>
          <w:rFonts w:ascii="宋体" w:hAnsi="宋体"/>
          <w:b w:val="0"/>
          <w:color w:val="000000"/>
          <w:sz w:val="21"/>
          <w:szCs w:val="21"/>
          <w:highlight w:val="none"/>
        </w:rPr>
      </w:pPr>
      <w:r>
        <w:rPr>
          <w:rFonts w:hint="eastAsia" w:ascii="宋体" w:hAnsi="宋体"/>
          <w:b w:val="0"/>
          <w:color w:val="000000"/>
          <w:sz w:val="21"/>
          <w:szCs w:val="21"/>
          <w:highlight w:val="none"/>
        </w:rPr>
        <w:t>3</w:t>
      </w:r>
      <w:r>
        <w:rPr>
          <w:rFonts w:ascii="宋体" w:hAnsi="宋体"/>
          <w:b w:val="0"/>
          <w:color w:val="000000"/>
          <w:sz w:val="21"/>
          <w:szCs w:val="21"/>
          <w:highlight w:val="none"/>
        </w:rPr>
        <w:t>9</w:t>
      </w:r>
      <w:r>
        <w:rPr>
          <w:rFonts w:hint="eastAsia" w:ascii="宋体" w:hAnsi="宋体"/>
          <w:b w:val="0"/>
          <w:color w:val="000000"/>
          <w:sz w:val="21"/>
          <w:szCs w:val="21"/>
          <w:highlight w:val="none"/>
        </w:rPr>
        <w:t>.2代理服务收费标准：</w:t>
      </w: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82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D7D91E6">
            <w:pPr>
              <w:spacing w:line="360" w:lineRule="auto"/>
              <w:rPr>
                <w:rFonts w:ascii="宋体" w:hAnsi="宋体"/>
                <w:color w:val="000000"/>
                <w:szCs w:val="21"/>
                <w:highlight w:val="none"/>
              </w:rPr>
            </w:pPr>
            <w:r>
              <w:rPr>
                <w:rFonts w:hint="eastAsia" w:ascii="宋体" w:hAnsi="宋体"/>
                <w:color w:val="000000"/>
                <w:szCs w:val="21"/>
                <w:highlight w:val="none"/>
              </w:rPr>
              <w:t xml:space="preserve">               费率</w:t>
            </w:r>
          </w:p>
          <w:p w14:paraId="3453E5B6">
            <w:pPr>
              <w:spacing w:line="360" w:lineRule="auto"/>
              <w:rPr>
                <w:rFonts w:ascii="宋体" w:hAnsi="宋体"/>
                <w:color w:val="000000"/>
                <w:szCs w:val="21"/>
                <w:highlight w:val="none"/>
              </w:rPr>
            </w:pPr>
            <w:r>
              <w:rPr>
                <w:rFonts w:hint="eastAsia" w:ascii="宋体" w:hAnsi="宋体"/>
                <w:color w:val="000000"/>
                <w:szCs w:val="21"/>
                <w:highlight w:val="none"/>
              </w:rPr>
              <w:t>中标金额</w:t>
            </w:r>
          </w:p>
        </w:tc>
        <w:tc>
          <w:tcPr>
            <w:tcW w:w="1659" w:type="dxa"/>
            <w:vAlign w:val="center"/>
          </w:tcPr>
          <w:p w14:paraId="1EC5ED50">
            <w:pPr>
              <w:spacing w:line="360" w:lineRule="auto"/>
              <w:ind w:firstLine="105" w:firstLineChars="50"/>
              <w:jc w:val="center"/>
              <w:rPr>
                <w:rFonts w:ascii="宋体" w:hAnsi="宋体"/>
                <w:color w:val="000000"/>
                <w:szCs w:val="21"/>
                <w:highlight w:val="none"/>
              </w:rPr>
            </w:pPr>
            <w:r>
              <w:rPr>
                <w:rFonts w:hint="eastAsia" w:ascii="宋体" w:hAnsi="宋体"/>
                <w:color w:val="000000"/>
                <w:szCs w:val="21"/>
                <w:highlight w:val="none"/>
              </w:rPr>
              <w:t>货物招标</w:t>
            </w:r>
          </w:p>
        </w:tc>
        <w:tc>
          <w:tcPr>
            <w:tcW w:w="1687" w:type="dxa"/>
            <w:vAlign w:val="center"/>
          </w:tcPr>
          <w:p w14:paraId="1A0AEB00">
            <w:pPr>
              <w:spacing w:line="360" w:lineRule="auto"/>
              <w:jc w:val="center"/>
              <w:rPr>
                <w:rFonts w:ascii="宋体" w:hAnsi="宋体"/>
                <w:color w:val="000000"/>
                <w:szCs w:val="21"/>
                <w:highlight w:val="none"/>
              </w:rPr>
            </w:pPr>
            <w:r>
              <w:rPr>
                <w:rFonts w:hint="eastAsia" w:ascii="宋体" w:hAnsi="宋体"/>
                <w:color w:val="000000"/>
                <w:szCs w:val="21"/>
                <w:highlight w:val="none"/>
              </w:rPr>
              <w:t>服务招标</w:t>
            </w:r>
          </w:p>
        </w:tc>
        <w:tc>
          <w:tcPr>
            <w:tcW w:w="1659" w:type="dxa"/>
            <w:vAlign w:val="center"/>
          </w:tcPr>
          <w:p w14:paraId="62E80B9B">
            <w:pPr>
              <w:spacing w:line="360" w:lineRule="auto"/>
              <w:jc w:val="center"/>
              <w:rPr>
                <w:rFonts w:ascii="宋体" w:hAnsi="宋体"/>
                <w:color w:val="000000"/>
                <w:szCs w:val="21"/>
                <w:highlight w:val="none"/>
              </w:rPr>
            </w:pPr>
            <w:r>
              <w:rPr>
                <w:rFonts w:hint="eastAsia" w:ascii="宋体" w:hAnsi="宋体"/>
                <w:color w:val="000000"/>
                <w:szCs w:val="21"/>
                <w:highlight w:val="none"/>
              </w:rPr>
              <w:t>工程招标</w:t>
            </w:r>
          </w:p>
        </w:tc>
      </w:tr>
      <w:tr w14:paraId="30C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6DDD14">
            <w:pPr>
              <w:spacing w:line="360" w:lineRule="auto"/>
              <w:rPr>
                <w:rFonts w:ascii="宋体" w:hAnsi="宋体"/>
                <w:color w:val="000000"/>
                <w:szCs w:val="21"/>
                <w:highlight w:val="none"/>
              </w:rPr>
            </w:pPr>
            <w:r>
              <w:rPr>
                <w:rFonts w:hint="eastAsia" w:ascii="宋体" w:hAnsi="宋体"/>
                <w:color w:val="000000"/>
                <w:szCs w:val="21"/>
                <w:highlight w:val="none"/>
              </w:rPr>
              <w:t>100万元以下</w:t>
            </w:r>
          </w:p>
        </w:tc>
        <w:tc>
          <w:tcPr>
            <w:tcW w:w="1659" w:type="dxa"/>
          </w:tcPr>
          <w:p w14:paraId="36CB925E">
            <w:pPr>
              <w:spacing w:line="360" w:lineRule="auto"/>
              <w:rPr>
                <w:rFonts w:ascii="宋体" w:hAnsi="宋体"/>
                <w:color w:val="000000"/>
                <w:szCs w:val="21"/>
                <w:highlight w:val="none"/>
              </w:rPr>
            </w:pP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1.5% </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 xml:space="preserve">    </w:t>
            </w:r>
          </w:p>
        </w:tc>
        <w:tc>
          <w:tcPr>
            <w:tcW w:w="1687" w:type="dxa"/>
          </w:tcPr>
          <w:p w14:paraId="1CA9F2F9">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1.5%</w:t>
            </w:r>
          </w:p>
        </w:tc>
        <w:tc>
          <w:tcPr>
            <w:tcW w:w="1659" w:type="dxa"/>
          </w:tcPr>
          <w:p w14:paraId="29C0EE44">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1.0% </w:t>
            </w:r>
          </w:p>
        </w:tc>
      </w:tr>
      <w:tr w14:paraId="2715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DAF407">
            <w:pPr>
              <w:spacing w:line="360" w:lineRule="auto"/>
              <w:rPr>
                <w:rFonts w:ascii="宋体" w:hAnsi="宋体"/>
                <w:color w:val="000000"/>
                <w:szCs w:val="21"/>
                <w:highlight w:val="none"/>
              </w:rPr>
            </w:pPr>
            <w:r>
              <w:rPr>
                <w:rFonts w:hint="eastAsia" w:ascii="宋体" w:hAnsi="宋体"/>
                <w:color w:val="000000"/>
                <w:szCs w:val="21"/>
                <w:highlight w:val="none"/>
              </w:rPr>
              <w:t>100～500万元</w:t>
            </w:r>
          </w:p>
        </w:tc>
        <w:tc>
          <w:tcPr>
            <w:tcW w:w="1659" w:type="dxa"/>
          </w:tcPr>
          <w:p w14:paraId="1FBA0D80">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1.1% </w:t>
            </w:r>
            <w:r>
              <w:rPr>
                <w:rFonts w:hint="eastAsia" w:ascii="宋体" w:hAnsi="宋体" w:cs="宋体"/>
                <w:color w:val="000000"/>
                <w:kern w:val="0"/>
                <w:szCs w:val="21"/>
                <w:highlight w:val="none"/>
              </w:rPr>
              <w:t xml:space="preserve">                </w:t>
            </w:r>
          </w:p>
        </w:tc>
        <w:tc>
          <w:tcPr>
            <w:tcW w:w="1687" w:type="dxa"/>
          </w:tcPr>
          <w:p w14:paraId="4385664D">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0.8%</w:t>
            </w:r>
          </w:p>
        </w:tc>
        <w:tc>
          <w:tcPr>
            <w:tcW w:w="1659" w:type="dxa"/>
          </w:tcPr>
          <w:p w14:paraId="5ABB8350">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0.7% </w:t>
            </w:r>
          </w:p>
        </w:tc>
      </w:tr>
      <w:tr w14:paraId="0A39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9EFF03">
            <w:pPr>
              <w:spacing w:line="360" w:lineRule="auto"/>
              <w:rPr>
                <w:rFonts w:ascii="宋体" w:hAnsi="宋体"/>
                <w:color w:val="000000"/>
                <w:szCs w:val="21"/>
                <w:highlight w:val="none"/>
              </w:rPr>
            </w:pPr>
            <w:r>
              <w:rPr>
                <w:rFonts w:hint="eastAsia" w:ascii="宋体" w:hAnsi="宋体"/>
                <w:color w:val="000000"/>
                <w:szCs w:val="21"/>
                <w:highlight w:val="none"/>
              </w:rPr>
              <w:t>500～1000万元</w:t>
            </w:r>
          </w:p>
        </w:tc>
        <w:tc>
          <w:tcPr>
            <w:tcW w:w="1659" w:type="dxa"/>
          </w:tcPr>
          <w:p w14:paraId="7E2AC119">
            <w:pPr>
              <w:spacing w:line="360" w:lineRule="auto"/>
              <w:rPr>
                <w:rFonts w:ascii="宋体" w:hAnsi="宋体"/>
                <w:color w:val="000000"/>
                <w:szCs w:val="21"/>
                <w:highlight w:val="none"/>
              </w:rPr>
            </w:pP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0.8% </w:t>
            </w:r>
            <w:r>
              <w:rPr>
                <w:rFonts w:hint="eastAsia" w:ascii="宋体" w:hAnsi="宋体" w:cs="宋体"/>
                <w:color w:val="000000"/>
                <w:kern w:val="0"/>
                <w:szCs w:val="21"/>
                <w:highlight w:val="none"/>
              </w:rPr>
              <w:t xml:space="preserve">               </w:t>
            </w:r>
          </w:p>
        </w:tc>
        <w:tc>
          <w:tcPr>
            <w:tcW w:w="1687" w:type="dxa"/>
          </w:tcPr>
          <w:p w14:paraId="5DFFB937">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0.45%</w:t>
            </w:r>
          </w:p>
        </w:tc>
        <w:tc>
          <w:tcPr>
            <w:tcW w:w="1659" w:type="dxa"/>
          </w:tcPr>
          <w:p w14:paraId="3167469B">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0.55%</w:t>
            </w:r>
          </w:p>
        </w:tc>
      </w:tr>
      <w:tr w14:paraId="328C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FFE4B2">
            <w:pPr>
              <w:spacing w:line="360" w:lineRule="auto"/>
              <w:rPr>
                <w:rFonts w:ascii="宋体" w:hAnsi="宋体"/>
                <w:color w:val="000000"/>
                <w:szCs w:val="21"/>
                <w:highlight w:val="none"/>
              </w:rPr>
            </w:pPr>
            <w:r>
              <w:rPr>
                <w:rFonts w:hint="eastAsia" w:ascii="宋体" w:hAnsi="宋体"/>
                <w:color w:val="000000"/>
                <w:szCs w:val="21"/>
                <w:highlight w:val="none"/>
              </w:rPr>
              <w:t>1000～5000万元</w:t>
            </w:r>
          </w:p>
        </w:tc>
        <w:tc>
          <w:tcPr>
            <w:tcW w:w="1659" w:type="dxa"/>
          </w:tcPr>
          <w:p w14:paraId="63882105">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0.5% </w:t>
            </w:r>
            <w:r>
              <w:rPr>
                <w:rFonts w:hint="eastAsia" w:ascii="宋体" w:hAnsi="宋体" w:cs="宋体"/>
                <w:color w:val="000000"/>
                <w:kern w:val="0"/>
                <w:szCs w:val="21"/>
                <w:highlight w:val="none"/>
              </w:rPr>
              <w:t xml:space="preserve">               </w:t>
            </w:r>
          </w:p>
        </w:tc>
        <w:tc>
          <w:tcPr>
            <w:tcW w:w="1687" w:type="dxa"/>
          </w:tcPr>
          <w:p w14:paraId="7491414B">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0.25%</w:t>
            </w:r>
          </w:p>
        </w:tc>
        <w:tc>
          <w:tcPr>
            <w:tcW w:w="1659" w:type="dxa"/>
          </w:tcPr>
          <w:p w14:paraId="1B9DCA2B">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0.35% </w:t>
            </w:r>
          </w:p>
        </w:tc>
      </w:tr>
      <w:tr w14:paraId="0765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0DC311">
            <w:pPr>
              <w:spacing w:line="360" w:lineRule="auto"/>
              <w:rPr>
                <w:rFonts w:ascii="宋体" w:hAnsi="宋体"/>
                <w:color w:val="000000"/>
                <w:szCs w:val="21"/>
                <w:highlight w:val="none"/>
              </w:rPr>
            </w:pPr>
            <w:r>
              <w:rPr>
                <w:rFonts w:hint="eastAsia" w:ascii="宋体" w:hAnsi="宋体"/>
                <w:color w:val="000000"/>
                <w:szCs w:val="21"/>
                <w:highlight w:val="none"/>
              </w:rPr>
              <w:t>5000万元～1亿元</w:t>
            </w:r>
          </w:p>
        </w:tc>
        <w:tc>
          <w:tcPr>
            <w:tcW w:w="1659" w:type="dxa"/>
          </w:tcPr>
          <w:p w14:paraId="7200BA1B">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 xml:space="preserve">0.25% </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 xml:space="preserve">         </w:t>
            </w:r>
          </w:p>
        </w:tc>
        <w:tc>
          <w:tcPr>
            <w:tcW w:w="1687" w:type="dxa"/>
          </w:tcPr>
          <w:p w14:paraId="4822015F">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0.1%</w:t>
            </w:r>
          </w:p>
        </w:tc>
        <w:tc>
          <w:tcPr>
            <w:tcW w:w="1659" w:type="dxa"/>
          </w:tcPr>
          <w:p w14:paraId="044BA377">
            <w:pPr>
              <w:spacing w:line="360" w:lineRule="auto"/>
              <w:ind w:firstLine="210" w:firstLineChars="100"/>
              <w:rPr>
                <w:rFonts w:ascii="宋体" w:hAnsi="宋体"/>
                <w:color w:val="000000"/>
                <w:szCs w:val="21"/>
                <w:highlight w:val="none"/>
              </w:rPr>
            </w:pPr>
            <w:r>
              <w:rPr>
                <w:rFonts w:ascii="宋体" w:hAnsi="宋体" w:cs="宋体"/>
                <w:color w:val="000000"/>
                <w:kern w:val="0"/>
                <w:szCs w:val="21"/>
                <w:highlight w:val="none"/>
              </w:rPr>
              <w:t>0.2%</w:t>
            </w:r>
          </w:p>
        </w:tc>
      </w:tr>
      <w:tr w14:paraId="64D0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3556EF">
            <w:pPr>
              <w:spacing w:line="360" w:lineRule="auto"/>
              <w:rPr>
                <w:rFonts w:ascii="宋体" w:hAnsi="宋体"/>
                <w:color w:val="000000"/>
                <w:szCs w:val="21"/>
                <w:highlight w:val="none"/>
              </w:rPr>
            </w:pPr>
            <w:r>
              <w:rPr>
                <w:rFonts w:hint="eastAsia" w:ascii="宋体" w:hAnsi="宋体"/>
                <w:color w:val="000000"/>
                <w:szCs w:val="21"/>
                <w:highlight w:val="none"/>
              </w:rPr>
              <w:t>1～5亿元</w:t>
            </w:r>
          </w:p>
        </w:tc>
        <w:tc>
          <w:tcPr>
            <w:tcW w:w="1659" w:type="dxa"/>
          </w:tcPr>
          <w:p w14:paraId="2DF4C54F">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0.05%</w:t>
            </w:r>
          </w:p>
        </w:tc>
        <w:tc>
          <w:tcPr>
            <w:tcW w:w="1687" w:type="dxa"/>
          </w:tcPr>
          <w:p w14:paraId="42BC979C">
            <w:pPr>
              <w:spacing w:line="360" w:lineRule="auto"/>
              <w:rPr>
                <w:rFonts w:ascii="宋体" w:hAnsi="宋体"/>
                <w:color w:val="000000"/>
                <w:szCs w:val="21"/>
                <w:highlight w:val="none"/>
              </w:rPr>
            </w:pPr>
            <w:r>
              <w:rPr>
                <w:rFonts w:hint="eastAsia" w:ascii="宋体" w:hAnsi="宋体"/>
                <w:color w:val="000000"/>
                <w:szCs w:val="21"/>
                <w:highlight w:val="none"/>
              </w:rPr>
              <w:t xml:space="preserve">  0.05%</w:t>
            </w:r>
          </w:p>
        </w:tc>
        <w:tc>
          <w:tcPr>
            <w:tcW w:w="1659" w:type="dxa"/>
          </w:tcPr>
          <w:p w14:paraId="6F8962DD">
            <w:pPr>
              <w:spacing w:line="360" w:lineRule="auto"/>
              <w:rPr>
                <w:rFonts w:ascii="宋体" w:hAnsi="宋体"/>
                <w:color w:val="000000"/>
                <w:szCs w:val="21"/>
                <w:highlight w:val="none"/>
              </w:rPr>
            </w:pPr>
            <w:r>
              <w:rPr>
                <w:rFonts w:hint="eastAsia" w:ascii="宋体" w:hAnsi="宋体"/>
                <w:color w:val="000000"/>
                <w:szCs w:val="21"/>
                <w:highlight w:val="none"/>
              </w:rPr>
              <w:t xml:space="preserve">  0.05%</w:t>
            </w:r>
          </w:p>
        </w:tc>
      </w:tr>
      <w:tr w14:paraId="1FCA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8EEA64">
            <w:pPr>
              <w:spacing w:line="360" w:lineRule="auto"/>
              <w:rPr>
                <w:rFonts w:ascii="宋体" w:hAnsi="宋体"/>
                <w:color w:val="000000"/>
                <w:szCs w:val="21"/>
                <w:highlight w:val="none"/>
              </w:rPr>
            </w:pPr>
            <w:r>
              <w:rPr>
                <w:rFonts w:hint="eastAsia" w:ascii="宋体" w:hAnsi="宋体"/>
                <w:color w:val="000000"/>
                <w:szCs w:val="21"/>
                <w:highlight w:val="none"/>
              </w:rPr>
              <w:t>5～10亿元</w:t>
            </w:r>
          </w:p>
        </w:tc>
        <w:tc>
          <w:tcPr>
            <w:tcW w:w="1659" w:type="dxa"/>
          </w:tcPr>
          <w:p w14:paraId="548D045D">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0.035%</w:t>
            </w:r>
          </w:p>
        </w:tc>
        <w:tc>
          <w:tcPr>
            <w:tcW w:w="1687" w:type="dxa"/>
          </w:tcPr>
          <w:p w14:paraId="632AA90F">
            <w:pPr>
              <w:spacing w:line="360" w:lineRule="auto"/>
              <w:rPr>
                <w:rFonts w:ascii="宋体" w:hAnsi="宋体"/>
                <w:color w:val="000000"/>
                <w:szCs w:val="21"/>
                <w:highlight w:val="none"/>
              </w:rPr>
            </w:pPr>
            <w:r>
              <w:rPr>
                <w:rFonts w:hint="eastAsia" w:ascii="宋体" w:hAnsi="宋体"/>
                <w:color w:val="000000"/>
                <w:szCs w:val="21"/>
                <w:highlight w:val="none"/>
              </w:rPr>
              <w:t xml:space="preserve">  0.035%</w:t>
            </w:r>
          </w:p>
        </w:tc>
        <w:tc>
          <w:tcPr>
            <w:tcW w:w="1659" w:type="dxa"/>
          </w:tcPr>
          <w:p w14:paraId="687F0842">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0.035%</w:t>
            </w:r>
          </w:p>
        </w:tc>
      </w:tr>
      <w:tr w14:paraId="464C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F5FE1B">
            <w:pPr>
              <w:spacing w:line="360" w:lineRule="auto"/>
              <w:rPr>
                <w:rFonts w:ascii="宋体" w:hAnsi="宋体"/>
                <w:color w:val="000000"/>
                <w:szCs w:val="21"/>
                <w:highlight w:val="none"/>
              </w:rPr>
            </w:pPr>
            <w:r>
              <w:rPr>
                <w:rFonts w:hint="eastAsia" w:ascii="宋体" w:hAnsi="宋体"/>
                <w:color w:val="000000"/>
                <w:szCs w:val="21"/>
                <w:highlight w:val="none"/>
              </w:rPr>
              <w:t>10～50亿元</w:t>
            </w:r>
          </w:p>
        </w:tc>
        <w:tc>
          <w:tcPr>
            <w:tcW w:w="1659" w:type="dxa"/>
          </w:tcPr>
          <w:p w14:paraId="1FD5E31A">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0.008%</w:t>
            </w:r>
          </w:p>
        </w:tc>
        <w:tc>
          <w:tcPr>
            <w:tcW w:w="1687" w:type="dxa"/>
          </w:tcPr>
          <w:p w14:paraId="0EC3BDF6">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0.008%</w:t>
            </w:r>
          </w:p>
        </w:tc>
        <w:tc>
          <w:tcPr>
            <w:tcW w:w="1659" w:type="dxa"/>
          </w:tcPr>
          <w:p w14:paraId="0491103B">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0.008%</w:t>
            </w:r>
          </w:p>
        </w:tc>
      </w:tr>
      <w:tr w14:paraId="370F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8E013F">
            <w:pPr>
              <w:spacing w:line="360" w:lineRule="auto"/>
              <w:rPr>
                <w:rFonts w:ascii="宋体" w:hAnsi="宋体"/>
                <w:color w:val="000000"/>
                <w:szCs w:val="21"/>
                <w:highlight w:val="none"/>
              </w:rPr>
            </w:pPr>
            <w:r>
              <w:rPr>
                <w:rFonts w:hint="eastAsia" w:ascii="宋体" w:hAnsi="宋体"/>
                <w:color w:val="000000"/>
                <w:szCs w:val="21"/>
                <w:highlight w:val="none"/>
              </w:rPr>
              <w:t>50～100亿元</w:t>
            </w:r>
          </w:p>
        </w:tc>
        <w:tc>
          <w:tcPr>
            <w:tcW w:w="1659" w:type="dxa"/>
          </w:tcPr>
          <w:p w14:paraId="5E333EA6">
            <w:pPr>
              <w:spacing w:line="360" w:lineRule="auto"/>
              <w:rPr>
                <w:rFonts w:ascii="宋体" w:hAnsi="宋体"/>
                <w:color w:val="000000"/>
                <w:szCs w:val="21"/>
                <w:highlight w:val="none"/>
              </w:rPr>
            </w:pPr>
            <w:r>
              <w:rPr>
                <w:rFonts w:hint="eastAsia" w:ascii="宋体" w:hAnsi="宋体"/>
                <w:color w:val="000000"/>
                <w:szCs w:val="21"/>
                <w:highlight w:val="none"/>
              </w:rPr>
              <w:t xml:space="preserve"> 0.006%</w:t>
            </w:r>
          </w:p>
        </w:tc>
        <w:tc>
          <w:tcPr>
            <w:tcW w:w="1687" w:type="dxa"/>
          </w:tcPr>
          <w:p w14:paraId="411A1BAA">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0.006%</w:t>
            </w:r>
          </w:p>
        </w:tc>
        <w:tc>
          <w:tcPr>
            <w:tcW w:w="1659" w:type="dxa"/>
          </w:tcPr>
          <w:p w14:paraId="78D464B9">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0.006%</w:t>
            </w:r>
          </w:p>
        </w:tc>
      </w:tr>
      <w:tr w14:paraId="232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511AD2">
            <w:pPr>
              <w:spacing w:line="360" w:lineRule="auto"/>
              <w:rPr>
                <w:rFonts w:ascii="宋体" w:hAnsi="宋体"/>
                <w:color w:val="000000"/>
                <w:szCs w:val="21"/>
                <w:highlight w:val="none"/>
              </w:rPr>
            </w:pPr>
            <w:r>
              <w:rPr>
                <w:rFonts w:hint="eastAsia" w:ascii="宋体" w:hAnsi="宋体"/>
                <w:color w:val="000000"/>
                <w:szCs w:val="21"/>
                <w:highlight w:val="none"/>
              </w:rPr>
              <w:t>100亿以上</w:t>
            </w:r>
          </w:p>
        </w:tc>
        <w:tc>
          <w:tcPr>
            <w:tcW w:w="1659" w:type="dxa"/>
          </w:tcPr>
          <w:p w14:paraId="345710A3">
            <w:pPr>
              <w:spacing w:line="360" w:lineRule="auto"/>
              <w:rPr>
                <w:rFonts w:ascii="宋体" w:hAnsi="宋体"/>
                <w:color w:val="000000"/>
                <w:szCs w:val="21"/>
                <w:highlight w:val="none"/>
              </w:rPr>
            </w:pPr>
            <w:r>
              <w:rPr>
                <w:rFonts w:hint="eastAsia" w:ascii="宋体" w:hAnsi="宋体"/>
                <w:color w:val="000000"/>
                <w:szCs w:val="21"/>
                <w:highlight w:val="none"/>
              </w:rPr>
              <w:t xml:space="preserve"> 0.004%</w:t>
            </w:r>
          </w:p>
        </w:tc>
        <w:tc>
          <w:tcPr>
            <w:tcW w:w="1687" w:type="dxa"/>
          </w:tcPr>
          <w:p w14:paraId="07A74C0D">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0.004%</w:t>
            </w:r>
          </w:p>
        </w:tc>
        <w:tc>
          <w:tcPr>
            <w:tcW w:w="1659" w:type="dxa"/>
          </w:tcPr>
          <w:p w14:paraId="65BE7196">
            <w:pPr>
              <w:spacing w:line="360" w:lineRule="auto"/>
              <w:ind w:firstLine="105" w:firstLineChars="50"/>
              <w:rPr>
                <w:rFonts w:ascii="宋体" w:hAnsi="宋体"/>
                <w:color w:val="000000"/>
                <w:szCs w:val="21"/>
                <w:highlight w:val="none"/>
              </w:rPr>
            </w:pPr>
            <w:r>
              <w:rPr>
                <w:rFonts w:hint="eastAsia" w:ascii="宋体" w:hAnsi="宋体"/>
                <w:color w:val="000000"/>
                <w:szCs w:val="21"/>
                <w:highlight w:val="none"/>
              </w:rPr>
              <w:t>0.004%</w:t>
            </w:r>
          </w:p>
        </w:tc>
      </w:tr>
    </w:tbl>
    <w:p w14:paraId="762A2386">
      <w:pPr>
        <w:spacing w:line="360" w:lineRule="auto"/>
        <w:ind w:firstLine="420" w:firstLineChars="200"/>
        <w:rPr>
          <w:rFonts w:ascii="宋体" w:hAnsi="宋体" w:cs="宋体"/>
          <w:color w:val="000000"/>
          <w:szCs w:val="21"/>
          <w:highlight w:val="none"/>
        </w:rPr>
      </w:pPr>
      <w:r>
        <w:rPr>
          <w:rFonts w:hint="eastAsia" w:ascii="宋体" w:hAnsi="宋体"/>
          <w:color w:val="000000"/>
          <w:szCs w:val="21"/>
          <w:highlight w:val="none"/>
        </w:rPr>
        <w:t>注:</w:t>
      </w:r>
      <w:r>
        <w:rPr>
          <w:rFonts w:ascii="宋体" w:hAnsi="宋体" w:cs="宋体"/>
          <w:color w:val="000000"/>
          <w:szCs w:val="21"/>
          <w:highlight w:val="none"/>
        </w:rPr>
        <w:t xml:space="preserve"> </w:t>
      </w:r>
    </w:p>
    <w:p w14:paraId="62BBA19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按本表费率计算的收费为</w:t>
      </w:r>
      <w:r>
        <w:rPr>
          <w:rFonts w:hint="eastAsia" w:ascii="宋体" w:hAnsi="宋体" w:cs="宋体"/>
          <w:color w:val="000000"/>
          <w:szCs w:val="21"/>
          <w:highlight w:val="none"/>
        </w:rPr>
        <w:t>采购</w:t>
      </w:r>
      <w:r>
        <w:rPr>
          <w:rFonts w:ascii="宋体" w:hAnsi="宋体" w:cs="宋体"/>
          <w:color w:val="000000"/>
          <w:szCs w:val="21"/>
          <w:highlight w:val="none"/>
        </w:rPr>
        <w:t>代理的收费基准价格</w:t>
      </w:r>
      <w:r>
        <w:rPr>
          <w:rFonts w:hint="eastAsia" w:ascii="宋体" w:hAnsi="宋体" w:cs="宋体"/>
          <w:color w:val="000000"/>
          <w:szCs w:val="21"/>
          <w:highlight w:val="none"/>
        </w:rPr>
        <w:t>；</w:t>
      </w:r>
    </w:p>
    <w:p w14:paraId="2DC5149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（2）采购</w:t>
      </w:r>
      <w:r>
        <w:rPr>
          <w:rFonts w:ascii="宋体" w:hAnsi="宋体" w:cs="宋体"/>
          <w:color w:val="000000"/>
          <w:szCs w:val="21"/>
          <w:highlight w:val="none"/>
        </w:rPr>
        <w:t>代理收费按差额定率累进法计算。</w:t>
      </w:r>
    </w:p>
    <w:p w14:paraId="767EE0BC">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例如：某</w:t>
      </w:r>
      <w:r>
        <w:rPr>
          <w:rFonts w:hint="eastAsia" w:ascii="宋体" w:hAnsi="宋体" w:cs="宋体"/>
          <w:color w:val="000000"/>
          <w:szCs w:val="21"/>
          <w:highlight w:val="none"/>
        </w:rPr>
        <w:t>货物采购</w:t>
      </w:r>
      <w:r>
        <w:rPr>
          <w:rFonts w:ascii="宋体" w:hAnsi="宋体" w:cs="宋体"/>
          <w:color w:val="000000"/>
          <w:szCs w:val="21"/>
          <w:highlight w:val="none"/>
        </w:rPr>
        <w:t>代理业务</w:t>
      </w:r>
      <w:r>
        <w:rPr>
          <w:rFonts w:hint="eastAsia" w:ascii="宋体" w:hAnsi="宋体" w:cs="宋体"/>
          <w:color w:val="000000"/>
          <w:szCs w:val="21"/>
          <w:highlight w:val="none"/>
        </w:rPr>
        <w:t>中标</w:t>
      </w:r>
      <w:r>
        <w:rPr>
          <w:rFonts w:ascii="宋体" w:hAnsi="宋体" w:cs="宋体"/>
          <w:color w:val="000000"/>
          <w:szCs w:val="21"/>
          <w:highlight w:val="none"/>
        </w:rPr>
        <w:t>金额</w:t>
      </w:r>
      <w:r>
        <w:rPr>
          <w:rFonts w:hint="eastAsia" w:ascii="宋体" w:hAnsi="宋体" w:cs="宋体"/>
          <w:color w:val="000000"/>
          <w:szCs w:val="21"/>
          <w:highlight w:val="none"/>
        </w:rPr>
        <w:t>或者暂定价</w:t>
      </w:r>
      <w:r>
        <w:rPr>
          <w:rFonts w:ascii="宋体" w:hAnsi="宋体" w:cs="宋体"/>
          <w:color w:val="000000"/>
          <w:szCs w:val="21"/>
          <w:highlight w:val="none"/>
        </w:rPr>
        <w:t>为200万元，计算</w:t>
      </w:r>
      <w:r>
        <w:rPr>
          <w:rFonts w:hint="eastAsia" w:ascii="宋体" w:hAnsi="宋体" w:cs="宋体"/>
          <w:color w:val="000000"/>
          <w:szCs w:val="21"/>
          <w:highlight w:val="none"/>
        </w:rPr>
        <w:t>采购</w:t>
      </w:r>
      <w:r>
        <w:rPr>
          <w:rFonts w:ascii="宋体" w:hAnsi="宋体" w:cs="宋体"/>
          <w:color w:val="000000"/>
          <w:szCs w:val="21"/>
          <w:highlight w:val="none"/>
        </w:rPr>
        <w:t>代理收费额如下：</w:t>
      </w:r>
    </w:p>
    <w:p w14:paraId="028B54C9">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100 万元×l.5 ％＝ 1.5 万元</w:t>
      </w:r>
    </w:p>
    <w:p w14:paraId="5629261C">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 200 － 100 ）万元 ×1.1％＝1.1万元</w:t>
      </w:r>
    </w:p>
    <w:p w14:paraId="03DCE8D1">
      <w:pPr>
        <w:pStyle w:val="26"/>
        <w:snapToGrid w:val="0"/>
        <w:spacing w:before="120" w:after="120" w:line="360" w:lineRule="auto"/>
        <w:ind w:firstLine="420" w:firstLineChars="200"/>
        <w:rPr>
          <w:rFonts w:hAnsi="宋体" w:cs="宋体"/>
          <w:color w:val="000000"/>
          <w:sz w:val="21"/>
          <w:highlight w:val="none"/>
        </w:rPr>
      </w:pPr>
      <w:r>
        <w:rPr>
          <w:rFonts w:hAnsi="宋体" w:cs="宋体"/>
          <w:color w:val="000000"/>
          <w:sz w:val="21"/>
          <w:highlight w:val="none"/>
        </w:rPr>
        <w:t>合计收费＝ 1.5</w:t>
      </w:r>
      <w:r>
        <w:rPr>
          <w:rFonts w:hint="eastAsia" w:hAnsi="宋体" w:cs="宋体"/>
          <w:color w:val="000000"/>
          <w:sz w:val="21"/>
          <w:highlight w:val="none"/>
        </w:rPr>
        <w:t>+</w:t>
      </w:r>
      <w:r>
        <w:rPr>
          <w:rFonts w:hAnsi="宋体" w:cs="宋体"/>
          <w:color w:val="000000"/>
          <w:sz w:val="21"/>
          <w:highlight w:val="none"/>
        </w:rPr>
        <w:t>1.1＝ 2.6 （万元）</w:t>
      </w:r>
    </w:p>
    <w:p w14:paraId="4DCCBCBE">
      <w:pPr>
        <w:pStyle w:val="6"/>
        <w:keepNext w:val="0"/>
        <w:keepLines w:val="0"/>
        <w:spacing w:before="0" w:after="0" w:line="360" w:lineRule="auto"/>
        <w:ind w:left="420" w:leftChars="200"/>
        <w:rPr>
          <w:rFonts w:ascii="黑体" w:hAnsi="黑体" w:eastAsia="黑体"/>
          <w:color w:val="000000"/>
          <w:sz w:val="24"/>
          <w:highlight w:val="none"/>
        </w:rPr>
      </w:pPr>
      <w:r>
        <w:rPr>
          <w:rFonts w:ascii="黑体" w:hAnsi="黑体" w:eastAsia="黑体"/>
          <w:color w:val="000000"/>
          <w:sz w:val="24"/>
          <w:highlight w:val="none"/>
        </w:rPr>
        <w:t>40. 需要补充的其他内容</w:t>
      </w:r>
    </w:p>
    <w:p w14:paraId="571D001F">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40.1本招标文件解释规则详见“投标人须知前附表”。</w:t>
      </w:r>
    </w:p>
    <w:p w14:paraId="7AA22E7A">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40.2 其他事项详见“投标人须知前附表”。</w:t>
      </w:r>
    </w:p>
    <w:p w14:paraId="282B9BD4">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40.3</w:t>
      </w:r>
      <w:bookmarkStart w:id="139" w:name="_Hlk65857140"/>
      <w:r>
        <w:rPr>
          <w:rFonts w:hint="eastAsia" w:hAnsi="宋体" w:cs="宋体"/>
          <w:color w:val="000000"/>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3AFA4A6">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（1）在货物采购项目中，货物由中小企业制造，即货物由中小企业生产且使用该中小企业商号或者注册商标，不对其中涉及的工程承建商和服务的承接商作出要求；</w:t>
      </w:r>
    </w:p>
    <w:p w14:paraId="26E1A88E">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（2）在工程采购项目中，工程由中小企业承建，即工程施工单位为中小企业，不对其中涉及的货物的制造商和服务的承接商作出要求；</w:t>
      </w:r>
    </w:p>
    <w:p w14:paraId="29F9E79F">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9912BFC">
      <w:pPr>
        <w:pStyle w:val="26"/>
        <w:spacing w:before="120" w:after="120" w:line="360" w:lineRule="auto"/>
        <w:ind w:firstLine="420" w:firstLineChars="200"/>
        <w:contextualSpacing/>
        <w:rPr>
          <w:rFonts w:hAnsi="宋体" w:cs="宋体"/>
          <w:color w:val="000000"/>
          <w:sz w:val="21"/>
          <w:highlight w:val="none"/>
        </w:rPr>
      </w:pPr>
      <w:r>
        <w:rPr>
          <w:rFonts w:hint="eastAsia" w:hAnsi="宋体" w:cs="宋体"/>
          <w:color w:val="000000"/>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8637DC2">
      <w:pPr>
        <w:pStyle w:val="26"/>
        <w:spacing w:before="120" w:after="120" w:line="360" w:lineRule="auto"/>
        <w:ind w:firstLine="420" w:firstLineChars="200"/>
        <w:contextualSpacing/>
        <w:rPr>
          <w:rFonts w:hAnsi="宋体" w:cs="宋体"/>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cs="宋体"/>
          <w:color w:val="000000"/>
          <w:sz w:val="21"/>
          <w:highlight w:val="none"/>
        </w:rPr>
        <w:t>依据本招标文件规定享受扶持政策获得政府采购合同的，小微企业不得将合同分包给大中型企业，中型企业不得将合同分包给大型企业。</w:t>
      </w:r>
      <w:bookmarkEnd w:id="139"/>
    </w:p>
    <w:p w14:paraId="0798FE19">
      <w:pPr>
        <w:snapToGrid w:val="0"/>
        <w:spacing w:line="440" w:lineRule="exact"/>
        <w:ind w:firstLine="602" w:firstLineChars="200"/>
        <w:rPr>
          <w:rFonts w:ascii="宋体" w:hAnsi="宋体" w:cs="宋体"/>
          <w:b/>
          <w:bCs/>
          <w:kern w:val="0"/>
          <w:sz w:val="30"/>
          <w:szCs w:val="30"/>
          <w:highlight w:val="none"/>
        </w:rPr>
      </w:pPr>
      <w:r>
        <w:rPr>
          <w:rFonts w:hint="eastAsia" w:ascii="宋体" w:hAnsi="宋体" w:cs="宋体"/>
          <w:b/>
          <w:bCs/>
          <w:kern w:val="0"/>
          <w:sz w:val="30"/>
          <w:szCs w:val="30"/>
          <w:highlight w:val="none"/>
        </w:rPr>
        <w:t>附件1：</w:t>
      </w:r>
    </w:p>
    <w:p w14:paraId="5B93C741">
      <w:pPr>
        <w:widowControl/>
        <w:shd w:val="clear" w:color="auto" w:fill="FFFFFF"/>
        <w:spacing w:line="480" w:lineRule="atLeast"/>
        <w:jc w:val="center"/>
        <w:rPr>
          <w:rFonts w:ascii="宋体" w:hAnsi="宋体" w:cs="宋体"/>
          <w:b/>
          <w:bCs/>
          <w:kern w:val="0"/>
          <w:sz w:val="28"/>
          <w:szCs w:val="28"/>
          <w:highlight w:val="none"/>
        </w:rPr>
      </w:pPr>
      <w:r>
        <w:rPr>
          <w:rFonts w:hint="eastAsia" w:ascii="宋体" w:hAnsi="宋体" w:cs="宋体"/>
          <w:b/>
          <w:bCs/>
          <w:kern w:val="0"/>
          <w:sz w:val="28"/>
          <w:szCs w:val="28"/>
          <w:highlight w:val="none"/>
        </w:rPr>
        <w:t>采购项目合同验收书（格式）</w:t>
      </w:r>
    </w:p>
    <w:p w14:paraId="3F661F1B">
      <w:pPr>
        <w:widowControl/>
        <w:shd w:val="clear" w:color="auto" w:fill="FFFFFF"/>
        <w:snapToGrid w:val="0"/>
        <w:spacing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根据采购项目（</w:t>
      </w:r>
      <w:r>
        <w:rPr>
          <w:rFonts w:hint="eastAsia" w:ascii="宋体" w:hAnsi="宋体" w:cs="宋体"/>
          <w:kern w:val="0"/>
          <w:szCs w:val="21"/>
          <w:highlight w:val="none"/>
          <w:u w:val="single"/>
        </w:rPr>
        <w:t>采购合同编号：</w:t>
      </w:r>
      <w:r>
        <w:rPr>
          <w:rFonts w:hint="eastAsia" w:ascii="宋体" w:hAnsi="宋体" w:cs="宋体"/>
          <w:kern w:val="0"/>
          <w:szCs w:val="21"/>
          <w:highlight w:val="none"/>
          <w:u w:val="single"/>
        </w:rPr>
        <w:softHyphen/>
      </w:r>
      <w:r>
        <w:rPr>
          <w:rFonts w:hint="eastAsia" w:ascii="宋体" w:hAnsi="宋体" w:cs="宋体"/>
          <w:kern w:val="0"/>
          <w:szCs w:val="21"/>
          <w:highlight w:val="none"/>
          <w:u w:val="single"/>
        </w:rPr>
        <w:t>   </w:t>
      </w:r>
      <w:r>
        <w:rPr>
          <w:rFonts w:hint="eastAsia" w:ascii="宋体" w:hAnsi="宋体" w:cs="宋体"/>
          <w:kern w:val="0"/>
          <w:szCs w:val="21"/>
          <w:highlight w:val="none"/>
        </w:rPr>
        <w:t>）的约定，我单位对（</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）采购项目中标（或成交）供应商（</w:t>
      </w:r>
      <w:r>
        <w:rPr>
          <w:rFonts w:hint="eastAsia" w:ascii="宋体" w:hAnsi="宋体" w:cs="宋体"/>
          <w:kern w:val="0"/>
          <w:szCs w:val="21"/>
          <w:highlight w:val="none"/>
          <w:u w:val="single"/>
        </w:rPr>
        <w:t xml:space="preserve">            公司名称              </w:t>
      </w:r>
      <w:r>
        <w:rPr>
          <w:rFonts w:hint="eastAsia" w:ascii="宋体" w:hAnsi="宋体" w:cs="宋体"/>
          <w:kern w:val="0"/>
          <w:szCs w:val="21"/>
          <w:highlight w:val="none"/>
        </w:rPr>
        <w:t>）提供的货物（或工程、服务）进行了验收，验收情况如下：</w:t>
      </w:r>
    </w:p>
    <w:tbl>
      <w:tblPr>
        <w:tblStyle w:val="48"/>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79AC530B">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619B3E19">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14:paraId="795948E1">
            <w:pPr>
              <w:widowControl/>
              <w:snapToGrid w:val="0"/>
              <w:spacing w:before="100" w:beforeAutospacing="1" w:after="100" w:afterAutospacing="1" w:line="320" w:lineRule="atLeast"/>
              <w:ind w:firstLine="480"/>
              <w:jc w:val="center"/>
              <w:rPr>
                <w:rFonts w:ascii="宋体" w:hAnsi="宋体" w:cs="宋体"/>
                <w:kern w:val="0"/>
                <w:szCs w:val="21"/>
                <w:highlight w:val="none"/>
              </w:rPr>
            </w:pPr>
            <w:r>
              <w:rPr>
                <w:rFonts w:hint="eastAsia" w:ascii="宋体" w:hAnsi="宋体" w:cs="宋体"/>
                <w:kern w:val="0"/>
                <w:szCs w:val="21"/>
                <w:highlight w:val="none"/>
              </w:rPr>
              <w:t>□自行验收        □委托验收</w:t>
            </w:r>
          </w:p>
        </w:tc>
      </w:tr>
      <w:tr w14:paraId="196B4571">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097112AE">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1681" w:type="dxa"/>
            <w:tcBorders>
              <w:top w:val="nil"/>
              <w:left w:val="nil"/>
              <w:bottom w:val="single" w:color="auto" w:sz="8" w:space="0"/>
              <w:right w:val="single" w:color="auto" w:sz="8" w:space="0"/>
            </w:tcBorders>
            <w:vAlign w:val="center"/>
          </w:tcPr>
          <w:p w14:paraId="55B77868">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14:paraId="15B847A7">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4F4DC12A">
            <w:pPr>
              <w:widowControl/>
              <w:snapToGrid w:val="0"/>
              <w:spacing w:before="100" w:beforeAutospacing="1" w:after="100"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1796" w:type="dxa"/>
            <w:tcBorders>
              <w:top w:val="nil"/>
              <w:left w:val="nil"/>
              <w:bottom w:val="single" w:color="auto" w:sz="8" w:space="0"/>
              <w:right w:val="single" w:color="auto" w:sz="8" w:space="0"/>
            </w:tcBorders>
            <w:vAlign w:val="center"/>
          </w:tcPr>
          <w:p w14:paraId="58382ECD">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 额</w:t>
            </w:r>
          </w:p>
        </w:tc>
      </w:tr>
      <w:tr w14:paraId="2EC83996">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10F2318F">
            <w:pPr>
              <w:widowControl/>
              <w:snapToGrid w:val="0"/>
              <w:spacing w:before="100" w:beforeAutospacing="1" w:after="100" w:afterAutospacing="1" w:line="320" w:lineRule="atLeast"/>
              <w:ind w:firstLine="5"/>
              <w:jc w:val="left"/>
              <w:rPr>
                <w:rFonts w:ascii="宋体" w:hAnsi="宋体" w:cs="宋体"/>
                <w:kern w:val="0"/>
                <w:szCs w:val="21"/>
                <w:highlight w:val="none"/>
              </w:rPr>
            </w:pPr>
            <w:r>
              <w:rPr>
                <w:rFonts w:hint="eastAsia" w:ascii="宋体" w:hAnsi="宋体" w:cs="宋体"/>
                <w:kern w:val="0"/>
                <w:szCs w:val="21"/>
                <w:highlight w:val="none"/>
              </w:rPr>
              <w:t> </w:t>
            </w:r>
          </w:p>
        </w:tc>
        <w:tc>
          <w:tcPr>
            <w:tcW w:w="1681" w:type="dxa"/>
            <w:tcBorders>
              <w:top w:val="nil"/>
              <w:left w:val="nil"/>
              <w:bottom w:val="single" w:color="auto" w:sz="8" w:space="0"/>
              <w:right w:val="single" w:color="auto" w:sz="8" w:space="0"/>
            </w:tcBorders>
            <w:vAlign w:val="center"/>
          </w:tcPr>
          <w:p w14:paraId="1CFCF628">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7DA8374B">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2DC9BFC3">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796" w:type="dxa"/>
            <w:tcBorders>
              <w:top w:val="nil"/>
              <w:left w:val="nil"/>
              <w:bottom w:val="single" w:color="auto" w:sz="8" w:space="0"/>
              <w:right w:val="single" w:color="auto" w:sz="8" w:space="0"/>
            </w:tcBorders>
            <w:vAlign w:val="center"/>
          </w:tcPr>
          <w:p w14:paraId="33110B3B">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549EAA23">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76FBBBD8">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681" w:type="dxa"/>
            <w:tcBorders>
              <w:top w:val="nil"/>
              <w:left w:val="nil"/>
              <w:bottom w:val="single" w:color="auto" w:sz="8" w:space="0"/>
              <w:right w:val="single" w:color="auto" w:sz="8" w:space="0"/>
            </w:tcBorders>
            <w:vAlign w:val="center"/>
          </w:tcPr>
          <w:p w14:paraId="1816CB36">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41A7B163">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216E424F">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796" w:type="dxa"/>
            <w:tcBorders>
              <w:top w:val="nil"/>
              <w:left w:val="nil"/>
              <w:bottom w:val="single" w:color="auto" w:sz="8" w:space="0"/>
              <w:right w:val="single" w:color="auto" w:sz="8" w:space="0"/>
            </w:tcBorders>
            <w:vAlign w:val="center"/>
          </w:tcPr>
          <w:p w14:paraId="2F0FF85E">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624E7DBB">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34749667">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681" w:type="dxa"/>
            <w:tcBorders>
              <w:top w:val="nil"/>
              <w:left w:val="nil"/>
              <w:bottom w:val="single" w:color="auto" w:sz="8" w:space="0"/>
              <w:right w:val="single" w:color="auto" w:sz="8" w:space="0"/>
            </w:tcBorders>
            <w:vAlign w:val="center"/>
          </w:tcPr>
          <w:p w14:paraId="025A0B19">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681" w:type="dxa"/>
            <w:gridSpan w:val="2"/>
            <w:tcBorders>
              <w:top w:val="nil"/>
              <w:left w:val="nil"/>
              <w:bottom w:val="single" w:color="auto" w:sz="8" w:space="0"/>
              <w:right w:val="single" w:color="auto" w:sz="8" w:space="0"/>
            </w:tcBorders>
            <w:vAlign w:val="center"/>
          </w:tcPr>
          <w:p w14:paraId="512DE9FB">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906" w:type="dxa"/>
            <w:gridSpan w:val="2"/>
            <w:tcBorders>
              <w:top w:val="nil"/>
              <w:left w:val="nil"/>
              <w:bottom w:val="single" w:color="auto" w:sz="8" w:space="0"/>
              <w:right w:val="single" w:color="auto" w:sz="8" w:space="0"/>
            </w:tcBorders>
            <w:vAlign w:val="center"/>
          </w:tcPr>
          <w:p w14:paraId="222670BF">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796" w:type="dxa"/>
            <w:tcBorders>
              <w:top w:val="nil"/>
              <w:left w:val="nil"/>
              <w:bottom w:val="single" w:color="auto" w:sz="8" w:space="0"/>
              <w:right w:val="single" w:color="auto" w:sz="8" w:space="0"/>
            </w:tcBorders>
            <w:vAlign w:val="center"/>
          </w:tcPr>
          <w:p w14:paraId="286C7E65">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51CD1AF6">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3E082F4E">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hint="eastAsia" w:ascii="宋体" w:hAnsi="宋体" w:cs="宋体"/>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14:paraId="7E338CF6">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1796" w:type="dxa"/>
            <w:tcBorders>
              <w:top w:val="nil"/>
              <w:left w:val="nil"/>
              <w:bottom w:val="single" w:color="auto" w:sz="8" w:space="0"/>
              <w:right w:val="single" w:color="auto" w:sz="8" w:space="0"/>
            </w:tcBorders>
            <w:vAlign w:val="center"/>
          </w:tcPr>
          <w:p w14:paraId="4973554D">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48B4E42E">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1DF89551">
            <w:pPr>
              <w:widowControl/>
              <w:snapToGrid w:val="0"/>
              <w:spacing w:before="100" w:beforeAutospacing="1" w:after="100"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合计大写金额：  仟   佰   拾   万   仟   佰   拾   元</w:t>
            </w:r>
          </w:p>
        </w:tc>
      </w:tr>
      <w:tr w14:paraId="2FF196C5">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2B2AAC8C">
            <w:pPr>
              <w:widowControl/>
              <w:snapToGrid w:val="0"/>
              <w:spacing w:before="100" w:beforeAutospacing="1" w:after="100"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14:paraId="480198F8">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5F6333F2">
            <w:pPr>
              <w:widowControl/>
              <w:snapToGrid w:val="0"/>
              <w:spacing w:before="100" w:beforeAutospacing="1" w:after="100" w:afterAutospacing="1" w:line="320" w:lineRule="atLeast"/>
              <w:ind w:firstLine="46"/>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14:paraId="42920F43">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642C47B8">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170A3864">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345" w:type="dxa"/>
            <w:gridSpan w:val="2"/>
            <w:tcBorders>
              <w:top w:val="nil"/>
              <w:left w:val="nil"/>
              <w:bottom w:val="single" w:color="auto" w:sz="8" w:space="0"/>
              <w:right w:val="single" w:color="auto" w:sz="8" w:space="0"/>
            </w:tcBorders>
            <w:vAlign w:val="center"/>
          </w:tcPr>
          <w:p w14:paraId="6B012D6C">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203" w:type="dxa"/>
            <w:gridSpan w:val="2"/>
            <w:tcBorders>
              <w:top w:val="nil"/>
              <w:left w:val="nil"/>
              <w:bottom w:val="single" w:color="auto" w:sz="8" w:space="0"/>
              <w:right w:val="single" w:color="auto" w:sz="8" w:space="0"/>
            </w:tcBorders>
            <w:vAlign w:val="center"/>
          </w:tcPr>
          <w:p w14:paraId="3E65DAB5">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c>
          <w:tcPr>
            <w:tcW w:w="2516" w:type="dxa"/>
            <w:gridSpan w:val="2"/>
            <w:tcBorders>
              <w:top w:val="nil"/>
              <w:left w:val="nil"/>
              <w:bottom w:val="single" w:color="auto" w:sz="8" w:space="0"/>
              <w:right w:val="single" w:color="auto" w:sz="8" w:space="0"/>
            </w:tcBorders>
            <w:vAlign w:val="center"/>
          </w:tcPr>
          <w:p w14:paraId="26016657">
            <w:pPr>
              <w:widowControl/>
              <w:snapToGrid w:val="0"/>
              <w:spacing w:before="100" w:beforeAutospacing="1" w:after="100" w:afterAutospacing="1" w:line="320" w:lineRule="atLeast"/>
              <w:ind w:firstLine="480"/>
              <w:jc w:val="left"/>
              <w:rPr>
                <w:rFonts w:ascii="宋体" w:hAnsi="宋体" w:cs="宋体"/>
                <w:kern w:val="0"/>
                <w:szCs w:val="21"/>
                <w:highlight w:val="none"/>
              </w:rPr>
            </w:pPr>
            <w:r>
              <w:rPr>
                <w:rFonts w:hint="eastAsia" w:ascii="宋体" w:hAnsi="宋体" w:cs="宋体"/>
                <w:kern w:val="0"/>
                <w:szCs w:val="21"/>
                <w:highlight w:val="none"/>
              </w:rPr>
              <w:t> </w:t>
            </w:r>
          </w:p>
        </w:tc>
      </w:tr>
      <w:tr w14:paraId="459C9E53">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C54EB5">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5CCF8417">
            <w:pPr>
              <w:widowControl/>
              <w:snapToGrid w:val="0"/>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（应按采购合同、采购文件、磋商响应文件及验收方案等进行验收；并核对中标或者</w:t>
            </w:r>
            <w:r>
              <w:rPr>
                <w:rFonts w:hint="eastAsia" w:ascii="宋体" w:hAnsi="宋体" w:cs="宋体"/>
                <w:kern w:val="0"/>
                <w:szCs w:val="21"/>
                <w:highlight w:val="none"/>
                <w:lang w:eastAsia="zh-CN"/>
              </w:rPr>
              <w:t>中标人</w:t>
            </w:r>
            <w:r>
              <w:rPr>
                <w:rFonts w:hint="eastAsia" w:ascii="宋体" w:hAnsi="宋体" w:cs="宋体"/>
                <w:kern w:val="0"/>
                <w:szCs w:val="21"/>
                <w:highlight w:val="none"/>
              </w:rPr>
              <w:t>在安装调试等方面是否违反合同约定或服务规范要求、提供的质量保证证明材料是否齐全、应有的配件及附件是否达到合同约定等。可附件)</w:t>
            </w:r>
          </w:p>
        </w:tc>
      </w:tr>
      <w:tr w14:paraId="2C2D2C5F">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F27943">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14:paraId="1413835D">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验收结论性意见：</w:t>
            </w:r>
          </w:p>
          <w:p w14:paraId="000C21B7">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w:t>
            </w:r>
          </w:p>
        </w:tc>
      </w:tr>
      <w:tr w14:paraId="48277F86">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5A51A25D">
            <w:pPr>
              <w:widowControl/>
              <w:jc w:val="left"/>
              <w:rPr>
                <w:rFonts w:ascii="宋体" w:hAnsi="宋体" w:cs="宋体"/>
                <w:kern w:val="0"/>
                <w:szCs w:val="21"/>
                <w:highlight w:val="none"/>
              </w:rPr>
            </w:pPr>
          </w:p>
        </w:tc>
        <w:tc>
          <w:tcPr>
            <w:tcW w:w="7064" w:type="dxa"/>
            <w:gridSpan w:val="6"/>
            <w:tcBorders>
              <w:top w:val="nil"/>
              <w:left w:val="nil"/>
              <w:bottom w:val="single" w:color="auto" w:sz="8" w:space="0"/>
              <w:right w:val="single" w:color="auto" w:sz="8" w:space="0"/>
            </w:tcBorders>
            <w:vAlign w:val="center"/>
          </w:tcPr>
          <w:p w14:paraId="7C9F44E1">
            <w:pPr>
              <w:widowControl/>
              <w:spacing w:before="100" w:beforeAutospacing="1" w:after="100" w:afterAutospacing="1" w:line="320" w:lineRule="atLeast"/>
              <w:ind w:firstLine="96"/>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12F1BE7D">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签字：</w:t>
            </w:r>
          </w:p>
        </w:tc>
      </w:tr>
      <w:tr w14:paraId="26F5A134">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F7D42E">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1E56B604">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A5623B">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监督人员或其他相关人员签字：</w:t>
            </w:r>
          </w:p>
          <w:p w14:paraId="37107EBF">
            <w:pPr>
              <w:widowControl/>
              <w:spacing w:before="100" w:beforeAutospacing="1" w:after="100" w:afterAutospacing="1" w:line="320" w:lineRule="atLeast"/>
              <w:ind w:firstLine="74"/>
              <w:jc w:val="left"/>
              <w:rPr>
                <w:rFonts w:ascii="宋体" w:hAnsi="宋体" w:cs="宋体"/>
                <w:kern w:val="0"/>
                <w:szCs w:val="21"/>
                <w:highlight w:val="none"/>
              </w:rPr>
            </w:pPr>
            <w:r>
              <w:rPr>
                <w:rFonts w:hint="eastAsia" w:ascii="宋体" w:hAnsi="宋体" w:cs="宋体"/>
                <w:kern w:val="0"/>
                <w:szCs w:val="21"/>
                <w:highlight w:val="none"/>
              </w:rPr>
              <w:t>或受邀机构的意见（盖章）：</w:t>
            </w:r>
          </w:p>
        </w:tc>
      </w:tr>
      <w:tr w14:paraId="030DA369">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4CF62A60">
            <w:pPr>
              <w:widowControl/>
              <w:spacing w:before="100" w:beforeAutospacing="1" w:after="100" w:afterAutospacing="1" w:line="320" w:lineRule="atLeast"/>
              <w:ind w:right="-223" w:rightChars="-106" w:firstLine="74"/>
              <w:jc w:val="left"/>
              <w:rPr>
                <w:rFonts w:ascii="宋体" w:hAnsi="宋体" w:cs="宋体"/>
                <w:kern w:val="0"/>
                <w:szCs w:val="21"/>
                <w:highlight w:val="none"/>
              </w:rPr>
            </w:pPr>
            <w:r>
              <w:rPr>
                <w:rFonts w:hint="eastAsia" w:ascii="宋体" w:hAnsi="宋体" w:cs="宋体"/>
                <w:kern w:val="0"/>
                <w:szCs w:val="21"/>
                <w:highlight w:val="none"/>
              </w:rPr>
              <w:t>中标或者</w:t>
            </w:r>
            <w:r>
              <w:rPr>
                <w:rFonts w:hint="eastAsia" w:ascii="宋体" w:hAnsi="宋体" w:cs="宋体"/>
                <w:kern w:val="0"/>
                <w:szCs w:val="21"/>
                <w:highlight w:val="none"/>
                <w:lang w:eastAsia="zh-CN"/>
              </w:rPr>
              <w:t>中标人</w:t>
            </w:r>
            <w:r>
              <w:rPr>
                <w:rFonts w:hint="eastAsia" w:ascii="宋体" w:hAnsi="宋体" w:cs="宋体"/>
                <w:kern w:val="0"/>
                <w:szCs w:val="21"/>
                <w:highlight w:val="none"/>
              </w:rPr>
              <w:t>负责人签字或盖章：</w:t>
            </w:r>
          </w:p>
          <w:p w14:paraId="5719EEC9">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联系电话：        年 月 日</w:t>
            </w:r>
          </w:p>
        </w:tc>
        <w:tc>
          <w:tcPr>
            <w:tcW w:w="4719" w:type="dxa"/>
            <w:gridSpan w:val="4"/>
            <w:tcBorders>
              <w:top w:val="nil"/>
              <w:left w:val="nil"/>
              <w:bottom w:val="single" w:color="auto" w:sz="8" w:space="0"/>
              <w:right w:val="single" w:color="auto" w:sz="8" w:space="0"/>
            </w:tcBorders>
            <w:vAlign w:val="center"/>
          </w:tcPr>
          <w:p w14:paraId="3D676593">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 采购人或受托机构的意见（盖章）：</w:t>
            </w:r>
          </w:p>
          <w:p w14:paraId="1F9F61B2">
            <w:pPr>
              <w:widowControl/>
              <w:spacing w:before="100" w:beforeAutospacing="1" w:after="100" w:afterAutospacing="1" w:line="320" w:lineRule="atLeast"/>
              <w:ind w:left="399" w:leftChars="190"/>
              <w:jc w:val="left"/>
              <w:rPr>
                <w:rFonts w:ascii="宋体" w:hAnsi="宋体" w:cs="宋体"/>
                <w:kern w:val="0"/>
                <w:szCs w:val="21"/>
                <w:highlight w:val="none"/>
              </w:rPr>
            </w:pPr>
            <w:r>
              <w:rPr>
                <w:rFonts w:hint="eastAsia" w:ascii="宋体" w:hAnsi="宋体" w:cs="宋体"/>
                <w:kern w:val="0"/>
                <w:szCs w:val="21"/>
                <w:highlight w:val="none"/>
              </w:rPr>
              <w:t>联系电话：        年  月  日</w:t>
            </w:r>
          </w:p>
        </w:tc>
      </w:tr>
    </w:tbl>
    <w:p w14:paraId="0035EE2A">
      <w:pPr>
        <w:snapToGrid w:val="0"/>
        <w:rPr>
          <w:rFonts w:ascii="宋体" w:hAnsi="宋体" w:cs="宋体"/>
          <w:b/>
          <w:szCs w:val="20"/>
          <w:highlight w:val="none"/>
        </w:rPr>
        <w:sectPr>
          <w:pgSz w:w="11906" w:h="16838"/>
          <w:pgMar w:top="1701" w:right="1701" w:bottom="1701" w:left="1701" w:header="851" w:footer="992" w:gutter="0"/>
          <w:cols w:space="720" w:num="1"/>
          <w:titlePg/>
          <w:docGrid w:linePitch="312" w:charSpace="0"/>
        </w:sectPr>
      </w:pPr>
    </w:p>
    <w:p w14:paraId="1555B37E">
      <w:pPr>
        <w:snapToGrid w:val="0"/>
        <w:rPr>
          <w:rFonts w:ascii="宋体" w:hAnsi="宋体" w:cs="宋体"/>
          <w:sz w:val="30"/>
          <w:szCs w:val="30"/>
          <w:highlight w:val="none"/>
        </w:rPr>
      </w:pPr>
      <w:r>
        <w:rPr>
          <w:rFonts w:hint="eastAsia" w:ascii="宋体" w:hAnsi="宋体" w:cs="宋体"/>
          <w:b/>
          <w:sz w:val="30"/>
          <w:szCs w:val="30"/>
          <w:highlight w:val="none"/>
        </w:rPr>
        <w:t>附件2：</w:t>
      </w:r>
    </w:p>
    <w:p w14:paraId="5241D331">
      <w:pPr>
        <w:jc w:val="center"/>
        <w:rPr>
          <w:rFonts w:ascii="宋体" w:hAnsi="宋体" w:cs="宋体"/>
          <w:b/>
          <w:bCs/>
          <w:sz w:val="28"/>
          <w:szCs w:val="28"/>
          <w:highlight w:val="none"/>
        </w:rPr>
      </w:pPr>
      <w:r>
        <w:rPr>
          <w:rFonts w:hint="eastAsia" w:ascii="宋体" w:hAnsi="宋体" w:cs="宋体"/>
          <w:b/>
          <w:bCs/>
          <w:sz w:val="28"/>
          <w:szCs w:val="28"/>
          <w:highlight w:val="none"/>
        </w:rPr>
        <w:t>政府采购项目履约保证金退付意见书</w:t>
      </w:r>
    </w:p>
    <w:tbl>
      <w:tblPr>
        <w:tblStyle w:val="4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7BA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05E81B5B">
            <w:pPr>
              <w:jc w:val="center"/>
              <w:rPr>
                <w:sz w:val="24"/>
                <w:highlight w:val="none"/>
              </w:rPr>
            </w:pPr>
            <w:r>
              <w:rPr>
                <w:rFonts w:hint="eastAsia"/>
                <w:sz w:val="24"/>
                <w:highlight w:val="none"/>
              </w:rPr>
              <w:t>供</w:t>
            </w:r>
          </w:p>
          <w:p w14:paraId="246F8453">
            <w:pPr>
              <w:jc w:val="center"/>
              <w:rPr>
                <w:sz w:val="24"/>
                <w:highlight w:val="none"/>
              </w:rPr>
            </w:pPr>
            <w:r>
              <w:rPr>
                <w:rFonts w:hint="eastAsia"/>
                <w:sz w:val="24"/>
                <w:highlight w:val="none"/>
              </w:rPr>
              <w:t>应</w:t>
            </w:r>
          </w:p>
          <w:p w14:paraId="77AF99AB">
            <w:pPr>
              <w:jc w:val="center"/>
              <w:rPr>
                <w:sz w:val="24"/>
                <w:highlight w:val="none"/>
              </w:rPr>
            </w:pPr>
            <w:r>
              <w:rPr>
                <w:rFonts w:hint="eastAsia"/>
                <w:sz w:val="24"/>
                <w:highlight w:val="none"/>
              </w:rPr>
              <w:t>商</w:t>
            </w:r>
          </w:p>
          <w:p w14:paraId="1891507B">
            <w:pPr>
              <w:jc w:val="center"/>
              <w:rPr>
                <w:sz w:val="24"/>
                <w:highlight w:val="none"/>
              </w:rPr>
            </w:pPr>
            <w:r>
              <w:rPr>
                <w:rFonts w:hint="eastAsia"/>
                <w:sz w:val="24"/>
                <w:highlight w:val="none"/>
              </w:rPr>
              <w:t>申</w:t>
            </w:r>
          </w:p>
          <w:p w14:paraId="198A7DEF">
            <w:pPr>
              <w:jc w:val="center"/>
              <w:rPr>
                <w:sz w:val="24"/>
                <w:highlight w:val="none"/>
              </w:rPr>
            </w:pPr>
            <w:r>
              <w:rPr>
                <w:rFonts w:hint="eastAsia"/>
                <w:sz w:val="24"/>
                <w:highlight w:val="none"/>
              </w:rPr>
              <w:t>请</w:t>
            </w:r>
          </w:p>
        </w:tc>
        <w:tc>
          <w:tcPr>
            <w:tcW w:w="8009" w:type="dxa"/>
            <w:vAlign w:val="center"/>
          </w:tcPr>
          <w:p w14:paraId="4FD0784F">
            <w:pPr>
              <w:rPr>
                <w:sz w:val="24"/>
                <w:highlight w:val="none"/>
              </w:rPr>
            </w:pPr>
            <w:r>
              <w:rPr>
                <w:rFonts w:hint="eastAsia"/>
                <w:sz w:val="24"/>
                <w:highlight w:val="none"/>
              </w:rPr>
              <w:t>项目编号：</w:t>
            </w:r>
          </w:p>
        </w:tc>
      </w:tr>
      <w:tr w14:paraId="1607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7884BDDB">
            <w:pPr>
              <w:rPr>
                <w:sz w:val="24"/>
                <w:highlight w:val="none"/>
              </w:rPr>
            </w:pPr>
          </w:p>
        </w:tc>
        <w:tc>
          <w:tcPr>
            <w:tcW w:w="8009" w:type="dxa"/>
            <w:vAlign w:val="center"/>
          </w:tcPr>
          <w:p w14:paraId="5A872BB3">
            <w:pPr>
              <w:rPr>
                <w:sz w:val="24"/>
                <w:highlight w:val="none"/>
              </w:rPr>
            </w:pPr>
            <w:r>
              <w:rPr>
                <w:rFonts w:hint="eastAsia"/>
                <w:sz w:val="24"/>
                <w:highlight w:val="none"/>
              </w:rPr>
              <w:t>项目名称：</w:t>
            </w:r>
          </w:p>
        </w:tc>
      </w:tr>
      <w:tr w14:paraId="1FF4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46B75F9C">
            <w:pPr>
              <w:rPr>
                <w:sz w:val="24"/>
                <w:highlight w:val="none"/>
              </w:rPr>
            </w:pPr>
          </w:p>
        </w:tc>
        <w:tc>
          <w:tcPr>
            <w:tcW w:w="8009" w:type="dxa"/>
            <w:vAlign w:val="center"/>
          </w:tcPr>
          <w:p w14:paraId="1D9F4D9A">
            <w:pPr>
              <w:rPr>
                <w:sz w:val="24"/>
                <w:highlight w:val="none"/>
              </w:rPr>
            </w:pPr>
            <w:r>
              <w:rPr>
                <w:rFonts w:hint="eastAsia"/>
                <w:sz w:val="24"/>
                <w:highlight w:val="none"/>
              </w:rPr>
              <w:t>合同编号：</w:t>
            </w:r>
          </w:p>
        </w:tc>
      </w:tr>
      <w:tr w14:paraId="2D91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1D3BBB19">
            <w:pPr>
              <w:rPr>
                <w:sz w:val="24"/>
                <w:highlight w:val="none"/>
              </w:rPr>
            </w:pPr>
          </w:p>
        </w:tc>
        <w:tc>
          <w:tcPr>
            <w:tcW w:w="8009" w:type="dxa"/>
          </w:tcPr>
          <w:p w14:paraId="466521C8">
            <w:pPr>
              <w:rPr>
                <w:sz w:val="24"/>
                <w:highlight w:val="none"/>
              </w:rPr>
            </w:pPr>
            <w:r>
              <w:rPr>
                <w:rFonts w:hint="eastAsia"/>
                <w:sz w:val="24"/>
                <w:highlight w:val="none"/>
              </w:rPr>
              <w:t xml:space="preserve">  </w:t>
            </w:r>
          </w:p>
          <w:p w14:paraId="6CA615A1">
            <w:pPr>
              <w:ind w:firstLine="480" w:firstLineChars="200"/>
              <w:rPr>
                <w:sz w:val="24"/>
                <w:highlight w:val="none"/>
              </w:rPr>
            </w:pPr>
            <w:r>
              <w:rPr>
                <w:rFonts w:hint="eastAsia"/>
                <w:sz w:val="24"/>
                <w:highlight w:val="none"/>
              </w:rPr>
              <w:t>该项目已于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日验收并交付使用。根据合同规定，该项目的履约保证金期限于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日已满，请将履约保证金（大写金额）</w:t>
            </w:r>
            <w:r>
              <w:rPr>
                <w:rFonts w:hint="eastAsia"/>
                <w:sz w:val="24"/>
                <w:highlight w:val="none"/>
                <w:u w:val="single"/>
              </w:rPr>
              <w:t xml:space="preserve">                              </w:t>
            </w:r>
            <w:r>
              <w:rPr>
                <w:rFonts w:hint="eastAsia"/>
                <w:sz w:val="24"/>
                <w:highlight w:val="none"/>
              </w:rPr>
              <w:t>，（小写金额）¥</w:t>
            </w:r>
            <w:r>
              <w:rPr>
                <w:rFonts w:hint="eastAsia"/>
                <w:sz w:val="24"/>
                <w:highlight w:val="none"/>
                <w:u w:val="single"/>
              </w:rPr>
              <w:t xml:space="preserve">          </w:t>
            </w:r>
            <w:r>
              <w:rPr>
                <w:rFonts w:hint="eastAsia"/>
                <w:sz w:val="24"/>
                <w:highlight w:val="none"/>
              </w:rPr>
              <w:t>退付到达以下</w:t>
            </w:r>
            <w:r>
              <w:rPr>
                <w:rFonts w:hint="eastAsia"/>
                <w:sz w:val="24"/>
                <w:highlight w:val="none"/>
                <w:lang w:eastAsia="zh-CN"/>
              </w:rPr>
              <w:t>账</w:t>
            </w:r>
            <w:r>
              <w:rPr>
                <w:rFonts w:hint="eastAsia"/>
                <w:sz w:val="24"/>
                <w:highlight w:val="none"/>
              </w:rPr>
              <w:t>户。</w:t>
            </w:r>
          </w:p>
          <w:p w14:paraId="5FC88E41">
            <w:pPr>
              <w:rPr>
                <w:sz w:val="24"/>
                <w:highlight w:val="none"/>
              </w:rPr>
            </w:pPr>
            <w:r>
              <w:rPr>
                <w:rFonts w:hint="eastAsia"/>
                <w:sz w:val="24"/>
                <w:highlight w:val="none"/>
              </w:rPr>
              <w:t>单位名称：</w:t>
            </w:r>
          </w:p>
          <w:p w14:paraId="3BEDCF75">
            <w:pPr>
              <w:rPr>
                <w:sz w:val="24"/>
                <w:highlight w:val="none"/>
              </w:rPr>
            </w:pPr>
            <w:r>
              <w:rPr>
                <w:rFonts w:hint="eastAsia"/>
                <w:sz w:val="24"/>
                <w:highlight w:val="none"/>
              </w:rPr>
              <w:t>开户银行：</w:t>
            </w:r>
          </w:p>
          <w:p w14:paraId="3130079F">
            <w:pPr>
              <w:rPr>
                <w:sz w:val="24"/>
                <w:highlight w:val="none"/>
              </w:rPr>
            </w:pPr>
            <w:r>
              <w:rPr>
                <w:rFonts w:hint="eastAsia"/>
                <w:sz w:val="24"/>
                <w:highlight w:val="none"/>
                <w:lang w:eastAsia="zh-CN"/>
              </w:rPr>
              <w:t>账</w:t>
            </w:r>
            <w:r>
              <w:rPr>
                <w:rFonts w:hint="eastAsia"/>
                <w:sz w:val="24"/>
                <w:highlight w:val="none"/>
              </w:rPr>
              <w:t xml:space="preserve">    号：</w:t>
            </w:r>
          </w:p>
          <w:p w14:paraId="3277E841">
            <w:pPr>
              <w:rPr>
                <w:sz w:val="24"/>
                <w:highlight w:val="none"/>
              </w:rPr>
            </w:pPr>
            <w:r>
              <w:rPr>
                <w:rFonts w:hint="eastAsia"/>
                <w:sz w:val="24"/>
                <w:highlight w:val="none"/>
              </w:rPr>
              <w:t>联系人及电话：</w:t>
            </w:r>
          </w:p>
          <w:p w14:paraId="643B8AAB">
            <w:pPr>
              <w:rPr>
                <w:sz w:val="24"/>
                <w:highlight w:val="none"/>
              </w:rPr>
            </w:pPr>
          </w:p>
          <w:p w14:paraId="63E9FF06">
            <w:pPr>
              <w:jc w:val="center"/>
              <w:rPr>
                <w:sz w:val="24"/>
                <w:highlight w:val="none"/>
              </w:rPr>
            </w:pPr>
            <w:r>
              <w:rPr>
                <w:rFonts w:hint="eastAsia"/>
                <w:sz w:val="24"/>
                <w:highlight w:val="none"/>
              </w:rPr>
              <w:t xml:space="preserve">                           </w:t>
            </w:r>
            <w:r>
              <w:rPr>
                <w:rFonts w:hint="eastAsia"/>
                <w:sz w:val="24"/>
                <w:highlight w:val="none"/>
                <w:lang w:eastAsia="zh-CN"/>
              </w:rPr>
              <w:t>投标人公章</w:t>
            </w:r>
            <w:r>
              <w:rPr>
                <w:rFonts w:hint="eastAsia"/>
                <w:sz w:val="24"/>
                <w:highlight w:val="none"/>
              </w:rPr>
              <w:t>：</w:t>
            </w:r>
          </w:p>
          <w:p w14:paraId="40386F3F">
            <w:pPr>
              <w:jc w:val="center"/>
              <w:rPr>
                <w:sz w:val="24"/>
                <w:highlight w:val="none"/>
              </w:rPr>
            </w:pPr>
            <w:r>
              <w:rPr>
                <w:rFonts w:hint="eastAsia"/>
                <w:sz w:val="24"/>
                <w:highlight w:val="none"/>
              </w:rPr>
              <w:t xml:space="preserve">                                                年    月    日</w:t>
            </w:r>
          </w:p>
        </w:tc>
      </w:tr>
      <w:tr w14:paraId="5625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46EA3A8">
            <w:pPr>
              <w:jc w:val="center"/>
              <w:rPr>
                <w:sz w:val="24"/>
                <w:highlight w:val="none"/>
              </w:rPr>
            </w:pPr>
            <w:r>
              <w:rPr>
                <w:rFonts w:hint="eastAsia"/>
                <w:sz w:val="24"/>
                <w:highlight w:val="none"/>
              </w:rPr>
              <w:t>采</w:t>
            </w:r>
          </w:p>
          <w:p w14:paraId="69C46A00">
            <w:pPr>
              <w:jc w:val="center"/>
              <w:rPr>
                <w:sz w:val="24"/>
                <w:highlight w:val="none"/>
              </w:rPr>
            </w:pPr>
            <w:r>
              <w:rPr>
                <w:rFonts w:hint="eastAsia"/>
                <w:sz w:val="24"/>
                <w:highlight w:val="none"/>
              </w:rPr>
              <w:t>购</w:t>
            </w:r>
          </w:p>
          <w:p w14:paraId="37B0BBD8">
            <w:pPr>
              <w:jc w:val="center"/>
              <w:rPr>
                <w:sz w:val="24"/>
                <w:highlight w:val="none"/>
              </w:rPr>
            </w:pPr>
            <w:r>
              <w:rPr>
                <w:rFonts w:hint="eastAsia"/>
                <w:sz w:val="24"/>
                <w:highlight w:val="none"/>
              </w:rPr>
              <w:t>单</w:t>
            </w:r>
          </w:p>
          <w:p w14:paraId="3E3FE1D0">
            <w:pPr>
              <w:jc w:val="center"/>
              <w:rPr>
                <w:sz w:val="24"/>
                <w:highlight w:val="none"/>
              </w:rPr>
            </w:pPr>
            <w:r>
              <w:rPr>
                <w:rFonts w:hint="eastAsia"/>
                <w:sz w:val="24"/>
                <w:highlight w:val="none"/>
              </w:rPr>
              <w:t>位</w:t>
            </w:r>
          </w:p>
          <w:p w14:paraId="28364F2A">
            <w:pPr>
              <w:jc w:val="center"/>
              <w:rPr>
                <w:sz w:val="24"/>
                <w:highlight w:val="none"/>
              </w:rPr>
            </w:pPr>
            <w:r>
              <w:rPr>
                <w:rFonts w:hint="eastAsia"/>
                <w:sz w:val="24"/>
                <w:highlight w:val="none"/>
              </w:rPr>
              <w:t>意</w:t>
            </w:r>
          </w:p>
          <w:p w14:paraId="0143E432">
            <w:pPr>
              <w:jc w:val="center"/>
              <w:rPr>
                <w:sz w:val="24"/>
                <w:highlight w:val="none"/>
              </w:rPr>
            </w:pPr>
            <w:r>
              <w:rPr>
                <w:rFonts w:hint="eastAsia"/>
                <w:sz w:val="24"/>
                <w:highlight w:val="none"/>
              </w:rPr>
              <w:t>见</w:t>
            </w:r>
          </w:p>
        </w:tc>
        <w:tc>
          <w:tcPr>
            <w:tcW w:w="8009" w:type="dxa"/>
          </w:tcPr>
          <w:p w14:paraId="42A253A8">
            <w:pPr>
              <w:rPr>
                <w:sz w:val="24"/>
                <w:highlight w:val="none"/>
              </w:rPr>
            </w:pPr>
          </w:p>
          <w:p w14:paraId="2B10F8AA">
            <w:pPr>
              <w:rPr>
                <w:sz w:val="24"/>
                <w:highlight w:val="none"/>
              </w:rPr>
            </w:pPr>
            <w:r>
              <w:rPr>
                <w:rFonts w:hint="eastAsia"/>
                <w:sz w:val="24"/>
                <w:highlight w:val="none"/>
              </w:rPr>
              <w:t>退付意见：是否同意退付履约保证金及退付金额：</w:t>
            </w:r>
          </w:p>
          <w:p w14:paraId="0C41EAB5">
            <w:pPr>
              <w:rPr>
                <w:sz w:val="24"/>
                <w:highlight w:val="none"/>
              </w:rPr>
            </w:pPr>
          </w:p>
          <w:p w14:paraId="32BC9B72">
            <w:pPr>
              <w:rPr>
                <w:sz w:val="24"/>
                <w:highlight w:val="none"/>
              </w:rPr>
            </w:pPr>
          </w:p>
          <w:p w14:paraId="302B5742">
            <w:pPr>
              <w:rPr>
                <w:sz w:val="24"/>
                <w:highlight w:val="none"/>
              </w:rPr>
            </w:pPr>
          </w:p>
          <w:p w14:paraId="56542D3A">
            <w:pPr>
              <w:rPr>
                <w:sz w:val="24"/>
                <w:highlight w:val="none"/>
              </w:rPr>
            </w:pPr>
            <w:r>
              <w:rPr>
                <w:rFonts w:hint="eastAsia"/>
                <w:sz w:val="24"/>
                <w:highlight w:val="none"/>
              </w:rPr>
              <w:t xml:space="preserve">联系人及电话： </w:t>
            </w:r>
          </w:p>
          <w:p w14:paraId="6C6232BC">
            <w:pPr>
              <w:rPr>
                <w:sz w:val="24"/>
                <w:highlight w:val="none"/>
              </w:rPr>
            </w:pPr>
            <w:r>
              <w:rPr>
                <w:rFonts w:hint="eastAsia"/>
                <w:sz w:val="24"/>
                <w:highlight w:val="none"/>
              </w:rPr>
              <w:t xml:space="preserve">                               </w:t>
            </w:r>
          </w:p>
          <w:p w14:paraId="584CF2D7">
            <w:pPr>
              <w:rPr>
                <w:sz w:val="24"/>
                <w:highlight w:val="none"/>
              </w:rPr>
            </w:pPr>
            <w:r>
              <w:rPr>
                <w:rFonts w:hint="eastAsia"/>
                <w:sz w:val="24"/>
                <w:highlight w:val="none"/>
              </w:rPr>
              <w:t>分管校领导签字：</w:t>
            </w:r>
          </w:p>
          <w:p w14:paraId="078B09C4">
            <w:pPr>
              <w:rPr>
                <w:sz w:val="24"/>
                <w:highlight w:val="none"/>
              </w:rPr>
            </w:pPr>
          </w:p>
          <w:p w14:paraId="7AFB3A51">
            <w:pPr>
              <w:ind w:firstLine="4560" w:firstLineChars="1900"/>
              <w:rPr>
                <w:sz w:val="24"/>
                <w:highlight w:val="none"/>
              </w:rPr>
            </w:pPr>
            <w:r>
              <w:rPr>
                <w:rFonts w:hint="eastAsia"/>
                <w:sz w:val="24"/>
                <w:highlight w:val="none"/>
              </w:rPr>
              <w:t xml:space="preserve"> 采购单位公章：</w:t>
            </w:r>
          </w:p>
          <w:p w14:paraId="0281703C">
            <w:pPr>
              <w:jc w:val="center"/>
              <w:rPr>
                <w:sz w:val="24"/>
                <w:highlight w:val="none"/>
              </w:rPr>
            </w:pPr>
            <w:r>
              <w:rPr>
                <w:rFonts w:hint="eastAsia"/>
                <w:sz w:val="24"/>
                <w:highlight w:val="none"/>
              </w:rPr>
              <w:t xml:space="preserve">                                                年    月    日</w:t>
            </w:r>
          </w:p>
        </w:tc>
      </w:tr>
      <w:tr w14:paraId="4274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A679739">
            <w:pPr>
              <w:jc w:val="center"/>
              <w:rPr>
                <w:sz w:val="24"/>
                <w:highlight w:val="none"/>
              </w:rPr>
            </w:pPr>
            <w:r>
              <w:rPr>
                <w:rFonts w:hint="eastAsia"/>
                <w:sz w:val="24"/>
                <w:highlight w:val="none"/>
              </w:rPr>
              <w:t>财</w:t>
            </w:r>
          </w:p>
          <w:p w14:paraId="37D5E668">
            <w:pPr>
              <w:jc w:val="center"/>
              <w:rPr>
                <w:sz w:val="24"/>
                <w:highlight w:val="none"/>
              </w:rPr>
            </w:pPr>
            <w:r>
              <w:rPr>
                <w:rFonts w:hint="eastAsia"/>
                <w:sz w:val="24"/>
                <w:highlight w:val="none"/>
              </w:rPr>
              <w:t>务</w:t>
            </w:r>
          </w:p>
          <w:p w14:paraId="7F7FB1BD">
            <w:pPr>
              <w:jc w:val="center"/>
              <w:rPr>
                <w:sz w:val="24"/>
                <w:highlight w:val="none"/>
              </w:rPr>
            </w:pPr>
            <w:r>
              <w:rPr>
                <w:rFonts w:hint="eastAsia"/>
                <w:sz w:val="24"/>
                <w:highlight w:val="none"/>
              </w:rPr>
              <w:t>部</w:t>
            </w:r>
          </w:p>
          <w:p w14:paraId="10B40772">
            <w:pPr>
              <w:jc w:val="center"/>
              <w:rPr>
                <w:sz w:val="24"/>
                <w:highlight w:val="none"/>
              </w:rPr>
            </w:pPr>
            <w:r>
              <w:rPr>
                <w:rFonts w:hint="eastAsia"/>
                <w:sz w:val="24"/>
                <w:highlight w:val="none"/>
              </w:rPr>
              <w:t>门</w:t>
            </w:r>
          </w:p>
          <w:p w14:paraId="2DBB53E8">
            <w:pPr>
              <w:jc w:val="center"/>
              <w:rPr>
                <w:sz w:val="24"/>
                <w:highlight w:val="none"/>
              </w:rPr>
            </w:pPr>
            <w:r>
              <w:rPr>
                <w:rFonts w:hint="eastAsia"/>
                <w:sz w:val="24"/>
                <w:highlight w:val="none"/>
              </w:rPr>
              <w:t>意</w:t>
            </w:r>
          </w:p>
          <w:p w14:paraId="396EEA1E">
            <w:pPr>
              <w:jc w:val="center"/>
              <w:rPr>
                <w:sz w:val="24"/>
                <w:highlight w:val="none"/>
              </w:rPr>
            </w:pPr>
            <w:r>
              <w:rPr>
                <w:rFonts w:hint="eastAsia"/>
                <w:sz w:val="24"/>
                <w:highlight w:val="none"/>
              </w:rPr>
              <w:t>见</w:t>
            </w:r>
          </w:p>
        </w:tc>
        <w:tc>
          <w:tcPr>
            <w:tcW w:w="8009" w:type="dxa"/>
          </w:tcPr>
          <w:p w14:paraId="4AB45DB0">
            <w:pPr>
              <w:rPr>
                <w:sz w:val="24"/>
                <w:highlight w:val="none"/>
              </w:rPr>
            </w:pPr>
            <w:r>
              <w:rPr>
                <w:rFonts w:hint="eastAsia"/>
                <w:sz w:val="24"/>
                <w:highlight w:val="none"/>
              </w:rPr>
              <w:t>此表于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日收到。</w:t>
            </w:r>
          </w:p>
          <w:p w14:paraId="52CAD959">
            <w:pPr>
              <w:rPr>
                <w:sz w:val="24"/>
                <w:highlight w:val="none"/>
              </w:rPr>
            </w:pPr>
          </w:p>
          <w:p w14:paraId="0D59FC0A">
            <w:pPr>
              <w:rPr>
                <w:sz w:val="24"/>
                <w:highlight w:val="none"/>
              </w:rPr>
            </w:pPr>
            <w:r>
              <w:rPr>
                <w:rFonts w:hint="eastAsia"/>
                <w:sz w:val="24"/>
                <w:highlight w:val="none"/>
              </w:rPr>
              <w:t>会计审核：</w:t>
            </w:r>
          </w:p>
          <w:p w14:paraId="51D8719F">
            <w:pPr>
              <w:rPr>
                <w:sz w:val="24"/>
                <w:highlight w:val="none"/>
              </w:rPr>
            </w:pPr>
          </w:p>
          <w:p w14:paraId="753126A8">
            <w:pPr>
              <w:rPr>
                <w:sz w:val="24"/>
                <w:highlight w:val="none"/>
              </w:rPr>
            </w:pPr>
            <w:r>
              <w:rPr>
                <w:rFonts w:hint="eastAsia"/>
                <w:sz w:val="24"/>
                <w:highlight w:val="none"/>
              </w:rPr>
              <w:t>财务负责人审核：</w:t>
            </w:r>
          </w:p>
          <w:p w14:paraId="74BDD1A5">
            <w:pPr>
              <w:rPr>
                <w:sz w:val="24"/>
                <w:highlight w:val="none"/>
              </w:rPr>
            </w:pPr>
          </w:p>
          <w:p w14:paraId="508A6504">
            <w:pPr>
              <w:rPr>
                <w:sz w:val="24"/>
                <w:highlight w:val="none"/>
              </w:rPr>
            </w:pPr>
            <w:r>
              <w:rPr>
                <w:rFonts w:hint="eastAsia"/>
                <w:sz w:val="24"/>
                <w:highlight w:val="none"/>
              </w:rPr>
              <w:t>出纳办理转账日期：</w:t>
            </w:r>
          </w:p>
        </w:tc>
      </w:tr>
    </w:tbl>
    <w:p w14:paraId="63912A06">
      <w:pPr>
        <w:pStyle w:val="26"/>
        <w:spacing w:before="120" w:after="120" w:line="360" w:lineRule="auto"/>
        <w:ind w:firstLine="420" w:firstLineChars="200"/>
        <w:contextualSpacing/>
        <w:rPr>
          <w:rFonts w:hAnsi="宋体" w:cs="宋体"/>
          <w:color w:val="000000"/>
          <w:sz w:val="21"/>
          <w:highlight w:val="none"/>
        </w:rPr>
        <w:sectPr>
          <w:pgSz w:w="11906" w:h="16838"/>
          <w:pgMar w:top="1701" w:right="1701" w:bottom="1701" w:left="1701" w:header="851" w:footer="992" w:gutter="0"/>
          <w:cols w:space="720" w:num="1"/>
          <w:titlePg/>
          <w:docGrid w:linePitch="312" w:charSpace="0"/>
        </w:sectPr>
      </w:pPr>
    </w:p>
    <w:p w14:paraId="0BB93A42">
      <w:pPr>
        <w:pStyle w:val="26"/>
        <w:spacing w:before="120" w:after="120" w:line="360" w:lineRule="auto"/>
        <w:ind w:firstLine="420" w:firstLineChars="200"/>
        <w:contextualSpacing/>
        <w:rPr>
          <w:rFonts w:hAnsi="宋体" w:cs="宋体"/>
          <w:color w:val="000000"/>
          <w:sz w:val="21"/>
          <w:highlight w:val="none"/>
        </w:rPr>
      </w:pPr>
    </w:p>
    <w:p w14:paraId="417E453F">
      <w:pPr>
        <w:pStyle w:val="2"/>
        <w:jc w:val="center"/>
        <w:rPr>
          <w:color w:val="000000"/>
          <w:highlight w:val="none"/>
        </w:rPr>
      </w:pPr>
      <w:bookmarkStart w:id="140" w:name="_Toc74320803"/>
      <w:bookmarkStart w:id="141" w:name="_Toc254970548"/>
      <w:bookmarkStart w:id="142" w:name="_Toc254970689"/>
      <w:bookmarkStart w:id="143" w:name="_Toc330456896"/>
      <w:r>
        <w:rPr>
          <w:rFonts w:hint="eastAsia"/>
          <w:color w:val="000000"/>
          <w:highlight w:val="none"/>
        </w:rPr>
        <w:t>第四章  评标方法及评标标准</w:t>
      </w:r>
      <w:bookmarkEnd w:id="140"/>
      <w:bookmarkEnd w:id="141"/>
      <w:bookmarkEnd w:id="142"/>
      <w:bookmarkEnd w:id="143"/>
    </w:p>
    <w:p w14:paraId="2CDE4857">
      <w:pPr>
        <w:pStyle w:val="4"/>
        <w:keepNext w:val="0"/>
        <w:keepLines w:val="0"/>
        <w:jc w:val="center"/>
        <w:rPr>
          <w:color w:val="000000"/>
          <w:sz w:val="30"/>
          <w:szCs w:val="30"/>
          <w:highlight w:val="none"/>
        </w:rPr>
      </w:pPr>
      <w:r>
        <w:rPr>
          <w:rFonts w:hint="eastAsia"/>
          <w:color w:val="000000"/>
          <w:sz w:val="30"/>
          <w:szCs w:val="30"/>
          <w:highlight w:val="none"/>
        </w:rPr>
        <w:t>一、评标方法</w:t>
      </w:r>
    </w:p>
    <w:p w14:paraId="286EDA05">
      <w:pPr>
        <w:pStyle w:val="26"/>
        <w:spacing w:line="360" w:lineRule="auto"/>
        <w:ind w:firstLine="420"/>
        <w:rPr>
          <w:rFonts w:hAnsi="宋体"/>
          <w:color w:val="000000"/>
          <w:sz w:val="21"/>
          <w:highlight w:val="none"/>
        </w:rPr>
      </w:pPr>
      <w:r>
        <w:rPr>
          <w:rFonts w:hint="eastAsia" w:hAnsi="宋体"/>
          <w:color w:val="000000"/>
          <w:sz w:val="21"/>
          <w:highlight w:val="none"/>
        </w:rPr>
        <w:t>综合评分法，是指投标文件满足招标文件全部实质性要求，且按照评审因素的量化指标评审得分最高的投标人为中标候选人的评标方法。</w:t>
      </w:r>
    </w:p>
    <w:p w14:paraId="10940710">
      <w:pPr>
        <w:pStyle w:val="26"/>
        <w:spacing w:line="360" w:lineRule="auto"/>
        <w:ind w:firstLine="420"/>
        <w:rPr>
          <w:rFonts w:hAnsi="宋体"/>
          <w:color w:val="000000"/>
          <w:sz w:val="21"/>
          <w:highlight w:val="none"/>
        </w:rPr>
      </w:pPr>
      <w:r>
        <w:rPr>
          <w:rFonts w:hint="eastAsia" w:hAnsi="宋体"/>
          <w:color w:val="000000"/>
          <w:sz w:val="21"/>
          <w:highlight w:val="none"/>
        </w:rPr>
        <w:t>最低评标价法，是指投标文件满足招标文件全部实质性要求，且投标报价最低的投标人为中标候选人的评标方法。</w:t>
      </w:r>
    </w:p>
    <w:p w14:paraId="1736B414">
      <w:pPr>
        <w:pStyle w:val="4"/>
        <w:keepNext w:val="0"/>
        <w:keepLines w:val="0"/>
        <w:jc w:val="center"/>
        <w:rPr>
          <w:color w:val="000000"/>
          <w:sz w:val="30"/>
          <w:szCs w:val="30"/>
          <w:highlight w:val="none"/>
        </w:rPr>
      </w:pPr>
      <w:r>
        <w:rPr>
          <w:rFonts w:hint="eastAsia"/>
          <w:color w:val="000000"/>
          <w:sz w:val="30"/>
          <w:szCs w:val="30"/>
          <w:highlight w:val="none"/>
        </w:rPr>
        <w:t>二、评标程序</w:t>
      </w:r>
    </w:p>
    <w:p w14:paraId="27E936BB">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1.符合性审查</w:t>
      </w:r>
    </w:p>
    <w:p w14:paraId="4494906A">
      <w:pPr>
        <w:pStyle w:val="26"/>
        <w:snapToGrid w:val="0"/>
        <w:spacing w:line="360" w:lineRule="auto"/>
        <w:ind w:left="1" w:firstLine="420"/>
        <w:rPr>
          <w:rFonts w:hAnsi="宋体"/>
          <w:b/>
          <w:color w:val="000000"/>
          <w:kern w:val="2"/>
          <w:sz w:val="21"/>
          <w:highlight w:val="none"/>
        </w:rPr>
      </w:pPr>
      <w:r>
        <w:rPr>
          <w:rFonts w:hint="eastAsia" w:hAnsi="宋体"/>
          <w:b/>
          <w:color w:val="000000"/>
          <w:kern w:val="2"/>
          <w:sz w:val="21"/>
          <w:highlight w:val="none"/>
        </w:rPr>
        <w:t>评标委员会应当对符合资格的投标人的投标文件进行投标报价、商务、技术等实质性内容符合性审查，以确定其是否满足招标文件的实质性要求。</w:t>
      </w:r>
    </w:p>
    <w:p w14:paraId="072C53C0">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2</w:t>
      </w:r>
      <w:r>
        <w:rPr>
          <w:rFonts w:ascii="宋体" w:hAnsi="宋体"/>
          <w:color w:val="000000"/>
          <w:sz w:val="21"/>
          <w:szCs w:val="21"/>
          <w:highlight w:val="none"/>
        </w:rPr>
        <w:t>.</w:t>
      </w:r>
      <w:r>
        <w:rPr>
          <w:rFonts w:hint="eastAsia" w:ascii="宋体" w:hAnsi="宋体"/>
          <w:color w:val="000000"/>
          <w:sz w:val="21"/>
          <w:szCs w:val="21"/>
          <w:highlight w:val="none"/>
        </w:rPr>
        <w:t>符合性审查不通过而导致投标无效的情形</w:t>
      </w:r>
    </w:p>
    <w:p w14:paraId="330C935F">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投标人的投标文件中存在对招标文件的任何实质性要求和条件的负偏离，将被视为投标无效。</w:t>
      </w:r>
    </w:p>
    <w:p w14:paraId="2428287F">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2.1在报价评审时，如发现下列情形之一的，将被视为投标无效：</w:t>
      </w:r>
    </w:p>
    <w:p w14:paraId="1A257102">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未提供“投标人须知前附表”第13.1条规定中“必须提供”的文件资料的；</w:t>
      </w:r>
    </w:p>
    <w:p w14:paraId="08D24750">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zCs w:val="21"/>
          <w:highlight w:val="none"/>
        </w:rPr>
        <w:t>未采用人民币报价或者未按照招标文件标明的币种报价的；</w:t>
      </w:r>
    </w:p>
    <w:p w14:paraId="62D78F99">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zCs w:val="21"/>
          <w:highlight w:val="none"/>
        </w:rPr>
        <w:t>各分标报价超出招标文件相应分标规定最高限价，或者超出相应分标采购预算金额的；</w:t>
      </w:r>
    </w:p>
    <w:p w14:paraId="4F6A3ACD">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344B986">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zCs w:val="21"/>
          <w:highlight w:val="none"/>
        </w:rPr>
        <w:t>修正后的报价，投标人不确认的；</w:t>
      </w:r>
    </w:p>
    <w:p w14:paraId="6BF24B4B">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zCs w:val="21"/>
          <w:highlight w:val="none"/>
        </w:rPr>
        <w:t>投标人属于本章第</w:t>
      </w:r>
      <w:r>
        <w:rPr>
          <w:rFonts w:ascii="宋体" w:hAnsi="宋体"/>
          <w:b/>
          <w:color w:val="000000"/>
          <w:szCs w:val="21"/>
          <w:highlight w:val="none"/>
        </w:rPr>
        <w:t>5.1</w:t>
      </w:r>
      <w:r>
        <w:rPr>
          <w:rFonts w:hint="eastAsia" w:ascii="宋体" w:hAnsi="宋体"/>
          <w:b/>
          <w:color w:val="000000"/>
          <w:szCs w:val="21"/>
          <w:highlight w:val="none"/>
        </w:rPr>
        <w:t>条（2）或者第5</w:t>
      </w:r>
      <w:r>
        <w:rPr>
          <w:rFonts w:ascii="宋体" w:hAnsi="宋体"/>
          <w:b/>
          <w:color w:val="000000"/>
          <w:szCs w:val="21"/>
          <w:highlight w:val="none"/>
        </w:rPr>
        <w:t>.2条</w:t>
      </w:r>
      <w:r>
        <w:rPr>
          <w:rFonts w:hint="eastAsia" w:ascii="宋体" w:hAnsi="宋体"/>
          <w:b/>
          <w:color w:val="000000"/>
          <w:szCs w:val="21"/>
          <w:highlight w:val="none"/>
        </w:rPr>
        <w:t>（2）项情形的；</w:t>
      </w:r>
    </w:p>
    <w:p w14:paraId="5F06E715">
      <w:pPr>
        <w:pStyle w:val="7"/>
        <w:numPr>
          <w:ilvl w:val="0"/>
          <w:numId w:val="11"/>
        </w:numPr>
        <w:spacing w:line="360" w:lineRule="auto"/>
        <w:ind w:firstLine="422"/>
        <w:rPr>
          <w:rFonts w:ascii="宋体" w:hAnsi="宋体"/>
          <w:b/>
          <w:color w:val="000000"/>
          <w:szCs w:val="21"/>
          <w:highlight w:val="none"/>
        </w:rPr>
      </w:pPr>
      <w:r>
        <w:rPr>
          <w:rFonts w:hint="eastAsia" w:ascii="宋体" w:hAnsi="宋体"/>
          <w:b/>
          <w:color w:val="000000"/>
          <w:spacing w:val="-6"/>
          <w:szCs w:val="21"/>
          <w:highlight w:val="none"/>
        </w:rPr>
        <w:t>报价文件</w:t>
      </w:r>
      <w:r>
        <w:rPr>
          <w:rFonts w:hint="eastAsia" w:ascii="宋体" w:hAnsi="宋体"/>
          <w:b/>
          <w:color w:val="000000"/>
          <w:szCs w:val="21"/>
          <w:highlight w:val="none"/>
        </w:rPr>
        <w:t>响应的标的数量及单位与招标文件要求实质性不一致的。</w:t>
      </w:r>
    </w:p>
    <w:p w14:paraId="71560C75">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2.2在商务评审时，如发现下列情形之一的，将被视为投标无效：</w:t>
      </w:r>
    </w:p>
    <w:p w14:paraId="640520E1">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投标文件未按招标文件要求签署、盖章的；</w:t>
      </w:r>
    </w:p>
    <w:p w14:paraId="1DBB7FB8">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委托代理人未能出具有效身份证或者出具的身份证与授权委托书中的信息不符的；</w:t>
      </w:r>
    </w:p>
    <w:p w14:paraId="341018C3">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为无效投标保证金的或者未按照招标文件的规定提交投标保证金的；</w:t>
      </w:r>
    </w:p>
    <w:p w14:paraId="6AB3A1D8">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投标文件未提供“投标人须知前附表”第13.</w:t>
      </w:r>
      <w:r>
        <w:rPr>
          <w:rFonts w:ascii="宋体" w:hAnsi="宋体"/>
          <w:b/>
          <w:color w:val="000000"/>
          <w:szCs w:val="21"/>
          <w:highlight w:val="none"/>
        </w:rPr>
        <w:t>1</w:t>
      </w:r>
      <w:r>
        <w:rPr>
          <w:rFonts w:hint="eastAsia" w:ascii="宋体" w:hAnsi="宋体"/>
          <w:b/>
          <w:color w:val="000000"/>
          <w:szCs w:val="21"/>
          <w:highlight w:val="none"/>
        </w:rPr>
        <w:t>条规定中“必须提供”或者“委托时必须提供”的文件资料的；</w:t>
      </w:r>
    </w:p>
    <w:p w14:paraId="45231D1C">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商务要求评审允许负偏离的条款数超过“投标人须知前附表”规定项数的；</w:t>
      </w:r>
    </w:p>
    <w:p w14:paraId="57FB63F3">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投标文件的实质性内容未使用中文表述、使用计量单位不符合招标文件要求的；</w:t>
      </w:r>
    </w:p>
    <w:p w14:paraId="7FF16F80">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投标文件中的文件资料因填写不齐全或者内容虚假或者出现其他情形而导致被评标委员会认定无效的；</w:t>
      </w:r>
    </w:p>
    <w:p w14:paraId="236B1AAC">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投标文件含有采购人不能接受的附加条件的；</w:t>
      </w:r>
    </w:p>
    <w:p w14:paraId="232C415E">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属于投标人须知正文第</w:t>
      </w:r>
      <w:r>
        <w:rPr>
          <w:rFonts w:ascii="宋体" w:hAnsi="宋体"/>
          <w:b/>
          <w:color w:val="000000"/>
          <w:szCs w:val="21"/>
          <w:highlight w:val="none"/>
        </w:rPr>
        <w:t>9.2</w:t>
      </w:r>
      <w:r>
        <w:rPr>
          <w:rFonts w:hint="eastAsia" w:ascii="宋体" w:hAnsi="宋体"/>
          <w:b/>
          <w:color w:val="000000"/>
          <w:szCs w:val="21"/>
          <w:highlight w:val="none"/>
        </w:rPr>
        <w:t>条情形的；</w:t>
      </w:r>
    </w:p>
    <w:p w14:paraId="6B289E95">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投标文件标注的项目名称或者项目编号与招标文件标注的项目名称或者项目编号不一致的；</w:t>
      </w:r>
    </w:p>
    <w:p w14:paraId="4A7E34C1">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招标文件明确不允许分包，投标文件拟分包的；</w:t>
      </w:r>
    </w:p>
    <w:p w14:paraId="0205CE97">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未响应招标文件实质性要求的；</w:t>
      </w:r>
    </w:p>
    <w:p w14:paraId="0A00BC40">
      <w:pPr>
        <w:numPr>
          <w:ilvl w:val="0"/>
          <w:numId w:val="12"/>
        </w:num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法律、法规和招标文件规定的其他无效情形。</w:t>
      </w:r>
    </w:p>
    <w:p w14:paraId="3CB707F9">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2.3在技术评审时，如发现下列情形之一的，将被视为投标无效：</w:t>
      </w:r>
    </w:p>
    <w:p w14:paraId="3BBC86F4">
      <w:pPr>
        <w:pStyle w:val="21"/>
        <w:snapToGrid w:val="0"/>
        <w:spacing w:line="360" w:lineRule="auto"/>
        <w:ind w:firstLine="413" w:firstLineChars="196"/>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（1）技术要求评审允许负偏离的条款数超过“投标人须知前附表”规定项数的；</w:t>
      </w:r>
    </w:p>
    <w:p w14:paraId="4D3D7C3D">
      <w:pPr>
        <w:pStyle w:val="21"/>
        <w:snapToGrid w:val="0"/>
        <w:spacing w:line="360" w:lineRule="auto"/>
        <w:ind w:firstLine="413" w:firstLineChars="196"/>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（2）投标文件未提供“投标人须知前附表”第13.</w:t>
      </w:r>
      <w:r>
        <w:rPr>
          <w:rFonts w:ascii="宋体" w:hAnsi="宋体" w:eastAsia="宋体"/>
          <w:b/>
          <w:color w:val="000000"/>
          <w:kern w:val="2"/>
          <w:sz w:val="21"/>
          <w:szCs w:val="21"/>
          <w:highlight w:val="none"/>
        </w:rPr>
        <w:t>1</w:t>
      </w:r>
      <w:r>
        <w:rPr>
          <w:rFonts w:hint="eastAsia" w:ascii="宋体" w:hAnsi="宋体" w:eastAsia="宋体"/>
          <w:b/>
          <w:color w:val="000000"/>
          <w:kern w:val="2"/>
          <w:sz w:val="21"/>
          <w:szCs w:val="21"/>
          <w:highlight w:val="none"/>
        </w:rPr>
        <w:t>条规定中“必须提供”的文件资料的；</w:t>
      </w:r>
    </w:p>
    <w:p w14:paraId="36A2BFBF">
      <w:pPr>
        <w:pStyle w:val="21"/>
        <w:snapToGrid w:val="0"/>
        <w:spacing w:line="360" w:lineRule="auto"/>
        <w:ind w:firstLine="413" w:firstLineChars="196"/>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（3）虚假投标，或者出现其他情形而导致被评标委员会认定无效的；</w:t>
      </w:r>
    </w:p>
    <w:p w14:paraId="72DD99A5">
      <w:pPr>
        <w:pStyle w:val="21"/>
        <w:snapToGrid w:val="0"/>
        <w:spacing w:line="360" w:lineRule="auto"/>
        <w:ind w:firstLine="413" w:firstLineChars="196"/>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（4）</w:t>
      </w:r>
      <w:bookmarkStart w:id="144" w:name="_Hlk71706244"/>
      <w:r>
        <w:rPr>
          <w:rFonts w:hint="eastAsia" w:ascii="宋体" w:hAnsi="宋体" w:eastAsia="宋体"/>
          <w:b/>
          <w:color w:val="000000"/>
          <w:kern w:val="2"/>
          <w:sz w:val="21"/>
          <w:szCs w:val="21"/>
          <w:highlight w:val="none"/>
        </w:rPr>
        <w:t>招标文件未载明允许提供备选（替代）投标方案或明确不允许提供备选（替代）投标方案时，投标人提供了备选（替代）投标方案的；</w:t>
      </w:r>
      <w:bookmarkEnd w:id="144"/>
    </w:p>
    <w:p w14:paraId="784D307D">
      <w:pPr>
        <w:pStyle w:val="21"/>
        <w:snapToGrid w:val="0"/>
        <w:spacing w:line="360" w:lineRule="auto"/>
        <w:ind w:firstLine="413" w:firstLineChars="196"/>
        <w:rPr>
          <w:rFonts w:ascii="宋体" w:hAnsi="宋体" w:eastAsia="宋体"/>
          <w:b/>
          <w:color w:val="000000"/>
          <w:kern w:val="2"/>
          <w:sz w:val="21"/>
          <w:szCs w:val="21"/>
          <w:highlight w:val="none"/>
        </w:rPr>
      </w:pPr>
      <w:r>
        <w:rPr>
          <w:rFonts w:hint="eastAsia" w:ascii="宋体" w:hAnsi="宋体" w:eastAsia="宋体"/>
          <w:b/>
          <w:color w:val="000000"/>
          <w:kern w:val="2"/>
          <w:sz w:val="21"/>
          <w:szCs w:val="21"/>
          <w:highlight w:val="none"/>
        </w:rPr>
        <w:t>（5）未响应招标文件实质性要求的。</w:t>
      </w:r>
    </w:p>
    <w:p w14:paraId="5974E6F3">
      <w:pPr>
        <w:pStyle w:val="6"/>
        <w:keepNext w:val="0"/>
        <w:keepLines w:val="0"/>
        <w:spacing w:before="0" w:after="0" w:line="360" w:lineRule="auto"/>
        <w:ind w:left="420" w:leftChars="200"/>
        <w:rPr>
          <w:rFonts w:ascii="宋体" w:hAnsi="宋体"/>
          <w:color w:val="000000"/>
          <w:sz w:val="21"/>
          <w:szCs w:val="21"/>
          <w:highlight w:val="none"/>
        </w:rPr>
      </w:pPr>
      <w:r>
        <w:rPr>
          <w:rFonts w:hint="eastAsia" w:ascii="宋体" w:hAnsi="宋体"/>
          <w:color w:val="000000"/>
          <w:sz w:val="21"/>
          <w:szCs w:val="21"/>
          <w:highlight w:val="none"/>
        </w:rPr>
        <w:t>3</w:t>
      </w:r>
      <w:r>
        <w:rPr>
          <w:rFonts w:ascii="宋体" w:hAnsi="宋体"/>
          <w:color w:val="000000"/>
          <w:sz w:val="21"/>
          <w:szCs w:val="21"/>
          <w:highlight w:val="none"/>
        </w:rPr>
        <w:t>.</w:t>
      </w:r>
      <w:r>
        <w:rPr>
          <w:rFonts w:hint="eastAsia" w:ascii="宋体" w:hAnsi="宋体"/>
          <w:color w:val="000000"/>
          <w:sz w:val="21"/>
          <w:szCs w:val="21"/>
          <w:highlight w:val="none"/>
        </w:rPr>
        <w:t>澄清补正</w:t>
      </w:r>
    </w:p>
    <w:p w14:paraId="67CBE558">
      <w:pPr>
        <w:spacing w:line="360" w:lineRule="auto"/>
        <w:ind w:firstLine="420" w:firstLineChars="200"/>
        <w:rPr>
          <w:rFonts w:ascii="宋体" w:hAnsi="宋体" w:cs="Courier New"/>
          <w:b/>
          <w:color w:val="000000"/>
          <w:szCs w:val="21"/>
          <w:highlight w:val="none"/>
        </w:rPr>
      </w:pPr>
      <w:r>
        <w:rPr>
          <w:rFonts w:hint="eastAsia" w:ascii="宋体" w:hAnsi="宋体" w:cs="Courier New"/>
          <w:color w:val="000000"/>
          <w:szCs w:val="21"/>
          <w:highlight w:val="none"/>
        </w:rPr>
        <w:t>对投标文件中含义不明确、同类问题表述不一致或者有明显文字和计算错误的内容，评标委员会应在</w:t>
      </w:r>
      <w:r>
        <w:rPr>
          <w:rFonts w:hint="eastAsia" w:ascii="宋体" w:hAnsi="宋体"/>
          <w:color w:val="000000"/>
          <w:szCs w:val="21"/>
          <w:highlight w:val="none"/>
        </w:rPr>
        <w:t>广西政府采购云平台</w:t>
      </w:r>
      <w:r>
        <w:rPr>
          <w:rFonts w:hint="eastAsia" w:ascii="宋体" w:hAnsi="宋体" w:cs="Courier New"/>
          <w:color w:val="000000"/>
          <w:szCs w:val="21"/>
          <w:highlight w:val="none"/>
        </w:rPr>
        <w:t>发布电子询标函，要求投标人在规定时间内作出必要的澄清、说明或者补正。投标人在</w:t>
      </w:r>
      <w:r>
        <w:rPr>
          <w:rFonts w:hint="eastAsia" w:ascii="宋体" w:hAnsi="宋体"/>
          <w:color w:val="000000"/>
          <w:szCs w:val="21"/>
          <w:highlight w:val="none"/>
        </w:rPr>
        <w:t>广西政府采购云平台</w:t>
      </w:r>
      <w:r>
        <w:rPr>
          <w:rFonts w:hint="eastAsia" w:ascii="宋体" w:hAnsi="宋体" w:cs="Courier New"/>
          <w:color w:val="000000"/>
          <w:szCs w:val="21"/>
          <w:highlight w:val="none"/>
        </w:rPr>
        <w:t>接收到电子询标函后根据澄清函内容上传PDF格式回函，电子澄清答复函使用CA证书加盖单位公章后在线上传至评标委员会。投标人的澄清、说明或者补正不得超出投标文件的范围或者改变投标文件的实质性内容。</w:t>
      </w:r>
    </w:p>
    <w:p w14:paraId="71ADE7F4">
      <w:pPr>
        <w:spacing w:line="36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14:paraId="652B163A">
      <w:pPr>
        <w:spacing w:line="36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未按评标委员会的要求作出明确澄清、说明或者更正的投标人的投标文件将按照有利于采购人的原则由评标委员会进行判定。</w:t>
      </w:r>
    </w:p>
    <w:p w14:paraId="6EF03683">
      <w:pPr>
        <w:pStyle w:val="6"/>
        <w:keepNext w:val="0"/>
        <w:keepLines w:val="0"/>
        <w:spacing w:before="0" w:after="0" w:line="360" w:lineRule="auto"/>
        <w:ind w:left="420" w:leftChars="200"/>
        <w:rPr>
          <w:rFonts w:ascii="宋体" w:hAnsi="宋体"/>
          <w:color w:val="000000"/>
          <w:sz w:val="21"/>
          <w:szCs w:val="21"/>
          <w:highlight w:val="none"/>
        </w:rPr>
      </w:pPr>
      <w:r>
        <w:rPr>
          <w:rFonts w:ascii="宋体" w:hAnsi="宋体"/>
          <w:color w:val="000000"/>
          <w:sz w:val="21"/>
          <w:szCs w:val="21"/>
          <w:highlight w:val="none"/>
        </w:rPr>
        <w:t>4.</w:t>
      </w:r>
      <w:r>
        <w:rPr>
          <w:rFonts w:hint="eastAsia" w:ascii="宋体" w:hAnsi="宋体"/>
          <w:color w:val="000000"/>
          <w:sz w:val="21"/>
          <w:szCs w:val="21"/>
          <w:highlight w:val="none"/>
        </w:rPr>
        <w:t>投标文件修正</w:t>
      </w:r>
    </w:p>
    <w:p w14:paraId="1B8A9C21">
      <w:pPr>
        <w:pStyle w:val="6"/>
        <w:keepNext w:val="0"/>
        <w:keepLines w:val="0"/>
        <w:spacing w:before="0" w:after="0" w:line="360" w:lineRule="auto"/>
        <w:ind w:left="420" w:leftChars="200"/>
        <w:rPr>
          <w:rFonts w:ascii="宋体" w:hAnsi="宋体"/>
          <w:b w:val="0"/>
          <w:color w:val="000000"/>
          <w:sz w:val="21"/>
          <w:szCs w:val="21"/>
          <w:highlight w:val="none"/>
        </w:rPr>
      </w:pPr>
      <w:r>
        <w:rPr>
          <w:rFonts w:ascii="宋体" w:hAnsi="宋体"/>
          <w:b w:val="0"/>
          <w:color w:val="000000"/>
          <w:sz w:val="21"/>
          <w:szCs w:val="21"/>
          <w:highlight w:val="none"/>
        </w:rPr>
        <w:t>4</w:t>
      </w:r>
      <w:r>
        <w:rPr>
          <w:rFonts w:hint="eastAsia" w:ascii="宋体" w:hAnsi="宋体"/>
          <w:b w:val="0"/>
          <w:color w:val="000000"/>
          <w:sz w:val="21"/>
          <w:szCs w:val="21"/>
          <w:highlight w:val="none"/>
        </w:rPr>
        <w:t xml:space="preserve">.1投标文件报价出现前后不一致的，按照下列规定修正： </w:t>
      </w:r>
    </w:p>
    <w:p w14:paraId="5CC3145B">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（1）投标文件中开标一览表（报价表）内容与投标文件中相应内容不一致的，以开标一览表（报价表）为准；</w:t>
      </w:r>
    </w:p>
    <w:p w14:paraId="1B6E55BB">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（2）大写金额和小写金额不一致的，以大写金额为准；</w:t>
      </w:r>
    </w:p>
    <w:p w14:paraId="4CBF2067">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（3）单价金额小数点或者百分比有明显错位的，以开标一览表的总价为准，并修改单价；</w:t>
      </w:r>
    </w:p>
    <w:p w14:paraId="56700319">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（4）总价金额与按单价汇总金额不一致的，以单价金额计算结果为准。</w:t>
      </w:r>
    </w:p>
    <w:p w14:paraId="638F18D9">
      <w:pPr>
        <w:pStyle w:val="26"/>
        <w:snapToGrid w:val="0"/>
        <w:spacing w:line="360" w:lineRule="auto"/>
        <w:ind w:firstLine="420" w:firstLineChars="200"/>
        <w:rPr>
          <w:rFonts w:hAnsi="宋体"/>
          <w:color w:val="000000"/>
          <w:sz w:val="21"/>
          <w:highlight w:val="none"/>
        </w:rPr>
      </w:pPr>
      <w:r>
        <w:rPr>
          <w:rFonts w:hint="eastAsia" w:hAnsi="宋体"/>
          <w:color w:val="000000"/>
          <w:sz w:val="21"/>
          <w:highlight w:val="none"/>
        </w:rPr>
        <w:t>同时出现两种以上不一致的，按照以上（1）-（4）规定的顺序修正。修正后的报价经投标人确认后产生约束力，投标人不确认的，</w:t>
      </w:r>
      <w:r>
        <w:rPr>
          <w:rFonts w:hint="eastAsia" w:hAnsi="宋体"/>
          <w:b/>
          <w:color w:val="000000"/>
          <w:kern w:val="2"/>
          <w:sz w:val="21"/>
          <w:highlight w:val="none"/>
        </w:rPr>
        <w:t>其投标无效</w:t>
      </w:r>
      <w:r>
        <w:rPr>
          <w:rFonts w:hint="eastAsia" w:hAnsi="宋体"/>
          <w:color w:val="000000"/>
          <w:sz w:val="21"/>
          <w:highlight w:val="none"/>
        </w:rPr>
        <w:t>。</w:t>
      </w:r>
    </w:p>
    <w:p w14:paraId="4139C25C">
      <w:pPr>
        <w:pStyle w:val="6"/>
        <w:keepNext w:val="0"/>
        <w:keepLines w:val="0"/>
        <w:spacing w:before="0" w:after="0" w:line="360" w:lineRule="auto"/>
        <w:rPr>
          <w:rFonts w:ascii="宋体" w:hAnsi="宋体"/>
          <w:b w:val="0"/>
          <w:color w:val="000000"/>
          <w:sz w:val="21"/>
          <w:szCs w:val="21"/>
          <w:highlight w:val="none"/>
        </w:rPr>
      </w:pPr>
      <w:r>
        <w:rPr>
          <w:rFonts w:ascii="宋体" w:hAnsi="宋体"/>
          <w:b w:val="0"/>
          <w:color w:val="000000"/>
          <w:sz w:val="21"/>
          <w:szCs w:val="21"/>
          <w:highlight w:val="none"/>
        </w:rPr>
        <w:t xml:space="preserve">    4</w:t>
      </w:r>
      <w:r>
        <w:rPr>
          <w:rFonts w:hint="eastAsia" w:ascii="宋体" w:hAnsi="宋体"/>
          <w:b w:val="0"/>
          <w:color w:val="000000"/>
          <w:sz w:val="21"/>
          <w:szCs w:val="21"/>
          <w:highlight w:val="none"/>
        </w:rPr>
        <w:t>.2经投标人确认修正后的报价若超过采购预算金额或者最高限价，</w:t>
      </w:r>
      <w:r>
        <w:rPr>
          <w:rFonts w:hint="eastAsia" w:ascii="宋体" w:hAnsi="宋体"/>
          <w:color w:val="000000"/>
          <w:sz w:val="21"/>
          <w:szCs w:val="21"/>
          <w:highlight w:val="none"/>
        </w:rPr>
        <w:t>投标人的投标文件作无效投标处理</w:t>
      </w:r>
      <w:r>
        <w:rPr>
          <w:rFonts w:hint="eastAsia" w:ascii="宋体" w:hAnsi="宋体"/>
          <w:b w:val="0"/>
          <w:color w:val="000000"/>
          <w:sz w:val="21"/>
          <w:szCs w:val="21"/>
          <w:highlight w:val="none"/>
        </w:rPr>
        <w:t>。</w:t>
      </w:r>
    </w:p>
    <w:p w14:paraId="65E4B1C5">
      <w:pPr>
        <w:snapToGrid w:val="0"/>
        <w:spacing w:line="360" w:lineRule="auto"/>
        <w:ind w:firstLine="420" w:firstLineChars="200"/>
        <w:rPr>
          <w:rFonts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.3经投标人确认修正后的报价作为签订合同的依据，并以此报价计算价格分。</w:t>
      </w:r>
    </w:p>
    <w:p w14:paraId="3D1B00D8">
      <w:pPr>
        <w:pStyle w:val="6"/>
        <w:keepNext w:val="0"/>
        <w:keepLines w:val="0"/>
        <w:spacing w:before="0" w:after="0" w:line="360" w:lineRule="auto"/>
        <w:ind w:left="420" w:leftChars="200"/>
        <w:rPr>
          <w:rFonts w:ascii="宋体" w:hAnsi="宋体"/>
          <w:color w:val="000000"/>
          <w:sz w:val="21"/>
          <w:szCs w:val="21"/>
          <w:highlight w:val="none"/>
        </w:rPr>
      </w:pPr>
      <w:r>
        <w:rPr>
          <w:rFonts w:ascii="宋体" w:hAnsi="宋体"/>
          <w:color w:val="000000"/>
          <w:sz w:val="21"/>
          <w:szCs w:val="21"/>
          <w:highlight w:val="none"/>
        </w:rPr>
        <w:t>5.</w:t>
      </w:r>
      <w:r>
        <w:rPr>
          <w:rFonts w:hint="eastAsia" w:ascii="宋体" w:hAnsi="宋体"/>
          <w:color w:val="000000"/>
          <w:sz w:val="21"/>
          <w:szCs w:val="21"/>
          <w:highlight w:val="none"/>
        </w:rPr>
        <w:t>比较与评价</w:t>
      </w:r>
    </w:p>
    <w:p w14:paraId="22D7D70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5.1采用综合评分法的</w:t>
      </w:r>
    </w:p>
    <w:p w14:paraId="325D41C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（1）评标委员会按照招标文件中规定的评标方法及评标标准，对符合性审查合格的投标文件进行商务和技术评估，综合比较与评价。</w:t>
      </w:r>
    </w:p>
    <w:p w14:paraId="1A7C82F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（2）评标委员会独立对每个投标人的投标文件进行评价，并汇总每个投标人的得分。</w:t>
      </w:r>
    </w:p>
    <w:p w14:paraId="5C2A4BCE">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highlight w:val="none"/>
        </w:rPr>
        <w:t>投标人不能证明其报价合理性的，评标委员会将其作为无效投标处理</w:t>
      </w:r>
      <w:r>
        <w:rPr>
          <w:rFonts w:hint="eastAsia" w:ascii="宋体" w:hAnsi="宋体"/>
          <w:color w:val="000000"/>
          <w:szCs w:val="21"/>
          <w:highlight w:val="none"/>
        </w:rPr>
        <w:t>。</w:t>
      </w:r>
    </w:p>
    <w:p w14:paraId="45E60F88">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（3）评标委员会按照招标文件中规定的评标方法和标准计算各投标人的报价得分。在计算过程中，不得去掉最高报价或者最低报价。</w:t>
      </w:r>
    </w:p>
    <w:p w14:paraId="37B857E2">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（4）各投标人的得分为所有评委的有效评分的算术平均数。</w:t>
      </w:r>
    </w:p>
    <w:p w14:paraId="228912E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（5）评标委员会按照招标文件中的规定推荐中标候选人。</w:t>
      </w:r>
    </w:p>
    <w:p w14:paraId="508A1F7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5056E94">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5.2采用</w:t>
      </w:r>
      <w:r>
        <w:rPr>
          <w:rFonts w:hint="eastAsia" w:hAnsi="宋体"/>
          <w:color w:val="000000"/>
          <w:highlight w:val="none"/>
        </w:rPr>
        <w:t>最低评标价法</w:t>
      </w:r>
      <w:r>
        <w:rPr>
          <w:rFonts w:hint="eastAsia" w:ascii="宋体" w:hAnsi="宋体"/>
          <w:color w:val="000000"/>
          <w:szCs w:val="21"/>
          <w:highlight w:val="none"/>
        </w:rPr>
        <w:t>的</w:t>
      </w:r>
    </w:p>
    <w:p w14:paraId="49401931">
      <w:pPr>
        <w:snapToGrid w:val="0"/>
        <w:spacing w:line="360" w:lineRule="auto"/>
        <w:ind w:firstLine="424" w:firstLineChars="202"/>
        <w:jc w:val="left"/>
        <w:rPr>
          <w:rFonts w:ascii="宋体" w:hAnsi="宋体"/>
          <w:color w:val="000000"/>
          <w:szCs w:val="21"/>
          <w:highlight w:val="none"/>
        </w:rPr>
      </w:pPr>
      <w:r>
        <w:rPr>
          <w:rFonts w:hint="eastAsia" w:ascii="宋体" w:hAnsi="宋体"/>
          <w:color w:val="000000"/>
          <w:szCs w:val="21"/>
          <w:highlight w:val="none"/>
        </w:rPr>
        <w:t>（1）评标委员会按照招标文件中规定的评标方法及评标标准，对符合性审查合格的投标文件报价进行比较。</w:t>
      </w:r>
    </w:p>
    <w:p w14:paraId="1BB637EF">
      <w:pPr>
        <w:snapToGrid w:val="0"/>
        <w:spacing w:line="360" w:lineRule="auto"/>
        <w:ind w:firstLine="399" w:firstLineChars="202"/>
        <w:jc w:val="left"/>
        <w:rPr>
          <w:rFonts w:ascii="宋体" w:hAnsi="宋体"/>
          <w:color w:val="000000"/>
          <w:spacing w:val="-6"/>
          <w:szCs w:val="21"/>
          <w:highlight w:val="none"/>
        </w:rPr>
      </w:pPr>
      <w:r>
        <w:rPr>
          <w:rFonts w:hint="eastAsia" w:ascii="宋体" w:hAnsi="宋体"/>
          <w:color w:val="000000"/>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pacing w:val="-6"/>
          <w:szCs w:val="21"/>
          <w:highlight w:val="none"/>
        </w:rPr>
        <w:t>投标人不能证明其报价合理性的，评标委员会将其作为无效投标处理</w:t>
      </w:r>
      <w:r>
        <w:rPr>
          <w:rFonts w:hint="eastAsia" w:ascii="宋体" w:hAnsi="宋体"/>
          <w:color w:val="000000"/>
          <w:spacing w:val="-6"/>
          <w:szCs w:val="21"/>
          <w:highlight w:val="none"/>
        </w:rPr>
        <w:t>。</w:t>
      </w:r>
    </w:p>
    <w:p w14:paraId="64DE20B5">
      <w:pPr>
        <w:snapToGrid w:val="0"/>
        <w:spacing w:line="360" w:lineRule="auto"/>
        <w:ind w:firstLine="424" w:firstLineChars="202"/>
        <w:jc w:val="left"/>
        <w:rPr>
          <w:rFonts w:ascii="宋体" w:hAnsi="宋体"/>
          <w:color w:val="000000"/>
          <w:szCs w:val="21"/>
          <w:highlight w:val="none"/>
        </w:rPr>
      </w:pPr>
      <w:r>
        <w:rPr>
          <w:rFonts w:hint="eastAsia" w:ascii="宋体" w:hAnsi="宋体"/>
          <w:color w:val="000000"/>
          <w:szCs w:val="21"/>
          <w:highlight w:val="none"/>
        </w:rPr>
        <w:t>（3）评标委员会按照招标文件中的规定推荐中标候选人。</w:t>
      </w:r>
    </w:p>
    <w:p w14:paraId="12383EB9">
      <w:pPr>
        <w:snapToGrid w:val="0"/>
        <w:spacing w:line="360" w:lineRule="auto"/>
        <w:ind w:firstLine="424" w:firstLineChars="202"/>
        <w:jc w:val="left"/>
        <w:rPr>
          <w:rFonts w:ascii="宋体" w:hAnsi="宋体"/>
          <w:color w:val="000000"/>
          <w:szCs w:val="21"/>
          <w:highlight w:val="none"/>
        </w:rPr>
      </w:pPr>
      <w:r>
        <w:rPr>
          <w:rFonts w:hint="eastAsia" w:ascii="宋体" w:hAnsi="宋体"/>
          <w:color w:val="000000"/>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6EF816A">
      <w:pPr>
        <w:snapToGrid w:val="0"/>
        <w:spacing w:line="360" w:lineRule="auto"/>
        <w:jc w:val="center"/>
        <w:rPr>
          <w:color w:val="000000"/>
          <w:highlight w:val="none"/>
        </w:rPr>
      </w:pPr>
      <w:r>
        <w:rPr>
          <w:color w:val="000000"/>
          <w:highlight w:val="none"/>
        </w:rPr>
        <w:br w:type="page"/>
      </w:r>
      <w:r>
        <w:rPr>
          <w:rFonts w:ascii="宋体" w:hAnsi="宋体" w:cs="宋体"/>
          <w:b/>
          <w:bCs/>
          <w:color w:val="000000"/>
          <w:sz w:val="32"/>
          <w:szCs w:val="32"/>
          <w:highlight w:val="none"/>
        </w:rPr>
        <w:t>三</w:t>
      </w:r>
      <w:r>
        <w:rPr>
          <w:rFonts w:hint="eastAsia" w:ascii="宋体" w:hAnsi="宋体" w:cs="宋体"/>
          <w:b/>
          <w:bCs/>
          <w:color w:val="000000"/>
          <w:sz w:val="32"/>
          <w:szCs w:val="32"/>
          <w:highlight w:val="none"/>
        </w:rPr>
        <w:t>、评标标准</w:t>
      </w:r>
    </w:p>
    <w:p w14:paraId="67F0658A">
      <w:pPr>
        <w:pStyle w:val="4"/>
        <w:keepNext w:val="0"/>
        <w:keepLines w:val="0"/>
        <w:jc w:val="center"/>
        <w:rPr>
          <w:color w:val="000000"/>
          <w:highlight w:val="none"/>
        </w:rPr>
      </w:pPr>
      <w:r>
        <w:rPr>
          <w:rFonts w:hint="eastAsia"/>
          <w:color w:val="000000"/>
          <w:highlight w:val="none"/>
        </w:rPr>
        <w:t>综合评分法</w:t>
      </w:r>
    </w:p>
    <w:tbl>
      <w:tblPr>
        <w:tblStyle w:val="4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14:paraId="1207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774F4507">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适用于</w:t>
            </w:r>
            <w:r>
              <w:rPr>
                <w:rFonts w:hint="eastAsia" w:ascii="宋体" w:hAnsi="宋体" w:eastAsia="宋体" w:cs="宋体"/>
                <w:b/>
                <w:bCs/>
                <w:color w:val="000000"/>
                <w:kern w:val="0"/>
                <w:sz w:val="21"/>
                <w:szCs w:val="21"/>
                <w:highlight w:val="none"/>
                <w:lang w:val="en-US" w:eastAsia="zh-CN"/>
              </w:rPr>
              <w:t>A分标</w:t>
            </w:r>
          </w:p>
        </w:tc>
      </w:tr>
      <w:tr w14:paraId="3617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11CE0D7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08E4BAC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14:paraId="3C3A593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061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4E6513F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30F7035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价格分</w:t>
            </w:r>
          </w:p>
          <w:p w14:paraId="1577EB8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（30满分分）</w:t>
            </w:r>
          </w:p>
        </w:tc>
        <w:tc>
          <w:tcPr>
            <w:tcW w:w="1105" w:type="dxa"/>
            <w:tcBorders>
              <w:top w:val="single" w:color="auto" w:sz="4" w:space="0"/>
              <w:left w:val="single" w:color="auto" w:sz="4" w:space="0"/>
              <w:bottom w:val="single" w:color="auto" w:sz="4" w:space="0"/>
              <w:right w:val="single" w:color="auto" w:sz="4" w:space="0"/>
            </w:tcBorders>
            <w:vAlign w:val="center"/>
          </w:tcPr>
          <w:p w14:paraId="0FE865E2">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14:paraId="358D4759">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（1）评标报价为投标人的投标报价进行政策性扣除后的价格，评标报价只是作为评标时使用。最终中标人的中标金额等于投标报价。</w:t>
            </w:r>
          </w:p>
          <w:p w14:paraId="54AB6350">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（2）政策性扣除计算方法。</w:t>
            </w:r>
          </w:p>
          <w:p w14:paraId="4D912BCA">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w:t>
            </w:r>
            <w:r>
              <w:rPr>
                <w:rFonts w:hint="eastAsia" w:ascii="宋体" w:hAnsi="宋体" w:eastAsia="宋体" w:cs="宋体"/>
                <w:bCs/>
                <w:sz w:val="21"/>
                <w:szCs w:val="21"/>
                <w:highlight w:val="none"/>
                <w:lang w:eastAsia="zh-CN"/>
              </w:rPr>
              <w:t>桂财采〔2024〕55号</w:t>
            </w:r>
            <w:r>
              <w:rPr>
                <w:rFonts w:hint="eastAsia" w:ascii="宋体" w:hAnsi="宋体" w:eastAsia="宋体" w:cs="宋体"/>
                <w:bCs/>
                <w:sz w:val="21"/>
                <w:szCs w:val="21"/>
                <w:highlight w:val="none"/>
              </w:rPr>
              <w:t>）的规定</w:t>
            </w:r>
            <w:r>
              <w:rPr>
                <w:rFonts w:hint="eastAsia" w:ascii="宋体" w:hAnsi="宋体" w:eastAsia="宋体" w:cs="宋体"/>
                <w:bCs/>
                <w:color w:val="000000"/>
                <w:sz w:val="21"/>
                <w:szCs w:val="21"/>
                <w:highlight w:val="none"/>
              </w:rPr>
              <w:t>，投标人在其投标文件中提供《中小企业声明函》，且其投标全部货物由小微企业制造的，对其投标报价给予</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%的扣除，扣除后的价格为评标报价，即评标报价=投标报价×（1-</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%的扣除，用扣除后的价格参加评审，扣除后的价格为评标报价，即评标报价=投标报价×（1-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%）。除上述情况外，评标报价=投标报价。</w:t>
            </w:r>
          </w:p>
          <w:p w14:paraId="1C60384A">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F2E2A2A">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611F46">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（5）满足招标文件要求且评标报价最低的评标报价为评标基准价，其价格分为满分。</w:t>
            </w:r>
          </w:p>
          <w:p w14:paraId="7BD1CAAD">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（6）价格分计算公式：价格分=(评标基准价／评标报价)×30分 </w:t>
            </w:r>
            <w:r>
              <w:rPr>
                <w:rFonts w:hint="eastAsia" w:ascii="宋体" w:hAnsi="宋体" w:eastAsia="宋体" w:cs="宋体"/>
                <w:color w:val="000000"/>
                <w:sz w:val="21"/>
                <w:szCs w:val="21"/>
                <w:highlight w:val="none"/>
              </w:rPr>
              <w:t xml:space="preserve">  </w:t>
            </w:r>
          </w:p>
          <w:p w14:paraId="689DAAA3">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14C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3C7881B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851" w:type="dxa"/>
            <w:vMerge w:val="restart"/>
            <w:tcBorders>
              <w:top w:val="single" w:color="auto" w:sz="4" w:space="0"/>
              <w:left w:val="single" w:color="auto" w:sz="4" w:space="0"/>
              <w:right w:val="single" w:color="auto" w:sz="4" w:space="0"/>
            </w:tcBorders>
            <w:vAlign w:val="center"/>
          </w:tcPr>
          <w:p w14:paraId="4F84352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pacing w:val="-18"/>
                <w:sz w:val="21"/>
                <w:szCs w:val="21"/>
                <w:highlight w:val="none"/>
              </w:rPr>
            </w:pPr>
            <w:r>
              <w:rPr>
                <w:rFonts w:hint="eastAsia" w:ascii="宋体" w:hAnsi="宋体" w:eastAsia="宋体" w:cs="宋体"/>
                <w:b/>
                <w:bCs/>
                <w:sz w:val="21"/>
                <w:szCs w:val="21"/>
                <w:highlight w:val="none"/>
              </w:rPr>
              <w:t>技术分（满分</w:t>
            </w:r>
            <w:r>
              <w:rPr>
                <w:rFonts w:hint="default" w:ascii="宋体" w:hAnsi="宋体" w:cs="宋体"/>
                <w:b/>
                <w:bCs/>
                <w:sz w:val="21"/>
                <w:szCs w:val="21"/>
                <w:highlight w:val="none"/>
                <w:lang w:val="en-US" w:eastAsia="zh-CN"/>
              </w:rPr>
              <w:t>60</w:t>
            </w:r>
            <w:r>
              <w:rPr>
                <w:rFonts w:hint="eastAsia" w:ascii="宋体" w:hAnsi="宋体" w:eastAsia="宋体" w:cs="宋体"/>
                <w:b/>
                <w:bCs/>
                <w:sz w:val="21"/>
                <w:szCs w:val="21"/>
                <w:highlight w:val="none"/>
              </w:rPr>
              <w:t>分）</w:t>
            </w:r>
          </w:p>
        </w:tc>
        <w:tc>
          <w:tcPr>
            <w:tcW w:w="1105" w:type="dxa"/>
            <w:vMerge w:val="restart"/>
            <w:tcBorders>
              <w:top w:val="single" w:color="auto" w:sz="4" w:space="0"/>
              <w:left w:val="single" w:color="auto" w:sz="4" w:space="0"/>
              <w:right w:val="single" w:color="auto" w:sz="4" w:space="0"/>
            </w:tcBorders>
            <w:vAlign w:val="center"/>
          </w:tcPr>
          <w:p w14:paraId="3A81625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技术性能分</w:t>
            </w:r>
            <w:r>
              <w:rPr>
                <w:rFonts w:hint="eastAsia" w:ascii="宋体" w:hAnsi="宋体" w:eastAsia="宋体" w:cs="宋体"/>
                <w:bCs/>
                <w:sz w:val="21"/>
                <w:szCs w:val="21"/>
                <w:highlight w:val="none"/>
              </w:rPr>
              <w:t>（满分</w:t>
            </w:r>
            <w:r>
              <w:rPr>
                <w:rFonts w:hint="default" w:ascii="宋体" w:hAnsi="宋体" w:cs="宋体"/>
                <w:bCs/>
                <w:sz w:val="21"/>
                <w:szCs w:val="21"/>
                <w:highlight w:val="none"/>
                <w:lang w:val="en-US" w:eastAsia="zh-CN"/>
              </w:rPr>
              <w:t>19</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64B53A6F">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投标产品技术完全满足招标文件“技术要求”且无任何负偏离的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eastAsia="zh-CN"/>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5413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15" w:type="dxa"/>
            <w:vMerge w:val="continue"/>
            <w:tcBorders>
              <w:left w:val="single" w:color="auto" w:sz="4" w:space="0"/>
              <w:right w:val="single" w:color="auto" w:sz="4" w:space="0"/>
            </w:tcBorders>
            <w:vAlign w:val="center"/>
          </w:tcPr>
          <w:p w14:paraId="59385FE2">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57A92FC7">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pacing w:val="-18"/>
                <w:sz w:val="21"/>
                <w:szCs w:val="21"/>
                <w:highlight w:val="none"/>
              </w:rPr>
            </w:pPr>
          </w:p>
        </w:tc>
        <w:tc>
          <w:tcPr>
            <w:tcW w:w="1105" w:type="dxa"/>
            <w:vMerge w:val="continue"/>
            <w:tcBorders>
              <w:left w:val="single" w:color="auto" w:sz="4" w:space="0"/>
              <w:bottom w:val="single" w:color="auto" w:sz="4" w:space="0"/>
              <w:right w:val="single" w:color="auto" w:sz="4" w:space="0"/>
            </w:tcBorders>
            <w:vAlign w:val="center"/>
          </w:tcPr>
          <w:p w14:paraId="28E27E6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p>
        </w:tc>
        <w:tc>
          <w:tcPr>
            <w:tcW w:w="6523" w:type="dxa"/>
            <w:tcBorders>
              <w:top w:val="single" w:color="auto" w:sz="4" w:space="0"/>
              <w:left w:val="single" w:color="auto" w:sz="4" w:space="0"/>
              <w:bottom w:val="single" w:color="auto" w:sz="4" w:space="0"/>
              <w:right w:val="single" w:color="auto" w:sz="4" w:space="0"/>
            </w:tcBorders>
            <w:vAlign w:val="center"/>
          </w:tcPr>
          <w:p w14:paraId="5E62E128">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rPr>
              <w:t>在满足基本分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val="en-US"/>
              </w:rPr>
              <w:t>基础上，标注“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en-US"/>
              </w:rPr>
              <w:t>”的技术参数能提供相关证明材料，每1项加</w:t>
            </w:r>
            <w:r>
              <w:rPr>
                <w:rFonts w:hint="default" w:hAnsi="宋体" w:cs="宋体"/>
                <w:bCs/>
                <w:sz w:val="21"/>
                <w:szCs w:val="21"/>
                <w:highlight w:val="none"/>
                <w:lang w:val="en-US" w:eastAsia="zh-CN"/>
              </w:rPr>
              <w:t>1</w:t>
            </w:r>
            <w:r>
              <w:rPr>
                <w:rFonts w:hint="eastAsia" w:ascii="宋体" w:hAnsi="宋体" w:eastAsia="宋体" w:cs="宋体"/>
                <w:bCs/>
                <w:sz w:val="21"/>
                <w:szCs w:val="21"/>
                <w:highlight w:val="none"/>
                <w:lang w:val="en-US"/>
              </w:rPr>
              <w:t>分，满分</w:t>
            </w:r>
            <w:r>
              <w:rPr>
                <w:rFonts w:hint="default" w:hAnsi="宋体" w:cs="宋体"/>
                <w:bCs/>
                <w:sz w:val="21"/>
                <w:szCs w:val="21"/>
                <w:highlight w:val="none"/>
                <w:lang w:val="en-US" w:eastAsia="zh-CN"/>
              </w:rPr>
              <w:t>7</w:t>
            </w:r>
            <w:r>
              <w:rPr>
                <w:rFonts w:hint="eastAsia" w:ascii="宋体" w:hAnsi="宋体" w:eastAsia="宋体" w:cs="宋体"/>
                <w:bCs/>
                <w:sz w:val="21"/>
                <w:szCs w:val="21"/>
                <w:highlight w:val="none"/>
                <w:lang w:val="en-US"/>
              </w:rPr>
              <w:t>分。</w:t>
            </w:r>
          </w:p>
          <w:p w14:paraId="63665305">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rPr>
              <w:t>注：证明材料可以是：</w:t>
            </w:r>
            <w:r>
              <w:rPr>
                <w:rFonts w:hint="eastAsia" w:ascii="宋体" w:hAnsi="宋体" w:eastAsia="宋体" w:cs="宋体"/>
                <w:bCs/>
                <w:sz w:val="21"/>
                <w:szCs w:val="21"/>
                <w:highlight w:val="none"/>
                <w:lang w:val="en-US" w:eastAsia="zh-CN"/>
              </w:rPr>
              <w:t>功能</w:t>
            </w:r>
            <w:r>
              <w:rPr>
                <w:rFonts w:hint="eastAsia" w:ascii="宋体" w:hAnsi="宋体" w:eastAsia="宋体" w:cs="宋体"/>
                <w:bCs/>
                <w:sz w:val="21"/>
                <w:szCs w:val="21"/>
                <w:highlight w:val="none"/>
                <w:lang w:val="en-US"/>
              </w:rPr>
              <w:t>截图证明材料复印件或第三方检测报告复印件或产品生产厂家出具的技术参数说明证明复印件，评审时被</w:t>
            </w:r>
            <w:r>
              <w:rPr>
                <w:rFonts w:hint="eastAsia" w:ascii="宋体" w:hAnsi="宋体" w:eastAsia="宋体" w:cs="宋体"/>
                <w:bCs/>
                <w:sz w:val="21"/>
                <w:szCs w:val="21"/>
                <w:highlight w:val="none"/>
                <w:lang w:val="en-US" w:eastAsia="zh-CN"/>
              </w:rPr>
              <w:t>评标委员会</w:t>
            </w:r>
            <w:r>
              <w:rPr>
                <w:rFonts w:hint="eastAsia" w:ascii="宋体" w:hAnsi="宋体" w:eastAsia="宋体" w:cs="宋体"/>
                <w:bCs/>
                <w:sz w:val="21"/>
                <w:szCs w:val="21"/>
                <w:highlight w:val="none"/>
                <w:lang w:val="en-US"/>
              </w:rPr>
              <w:t>接受的给予计分。</w:t>
            </w:r>
          </w:p>
        </w:tc>
      </w:tr>
      <w:tr w14:paraId="26CC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14:paraId="1A0D8B1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17B706D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364FC1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项目实施方案（满分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4D00A91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bookmarkStart w:id="145" w:name="_Toc12660"/>
            <w:r>
              <w:rPr>
                <w:rFonts w:hint="eastAsia" w:ascii="宋体" w:hAnsi="宋体" w:eastAsia="宋体" w:cs="宋体"/>
                <w:kern w:val="0"/>
                <w:sz w:val="21"/>
                <w:szCs w:val="21"/>
                <w:highlight w:val="none"/>
              </w:rPr>
              <w:t>评标委员会根据供应商提供的</w:t>
            </w:r>
            <w:r>
              <w:rPr>
                <w:rFonts w:hint="eastAsia" w:ascii="宋体" w:hAnsi="宋体" w:eastAsia="宋体" w:cs="宋体"/>
                <w:sz w:val="21"/>
                <w:szCs w:val="21"/>
                <w:highlight w:val="none"/>
              </w:rPr>
              <w:t>项目实施方案</w:t>
            </w:r>
            <w:r>
              <w:rPr>
                <w:rFonts w:hint="eastAsia" w:ascii="宋体" w:hAnsi="宋体" w:eastAsia="宋体" w:cs="宋体"/>
                <w:kern w:val="0"/>
                <w:sz w:val="21"/>
                <w:szCs w:val="21"/>
                <w:highlight w:val="none"/>
              </w:rPr>
              <w:t>进行独立评审打分。</w:t>
            </w:r>
            <w:bookmarkEnd w:id="145"/>
          </w:p>
          <w:p w14:paraId="06F9611D">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一档（0分）：未提供项目实施方案或未达到二档要求。</w:t>
            </w:r>
          </w:p>
          <w:p w14:paraId="1DDF9B4D">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二档（满分</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分）：对项目理解不全面，措施不具体；项目方案中提出的方案基本合理但不透彻；总体方案评述不全面。</w:t>
            </w:r>
          </w:p>
          <w:p w14:paraId="72FCEAE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分）：在满足二档的前提下，对项目认识较全面，思路较清晰，有相对应的措施方案；项目方案中提出的方案基本合理但可行性不强；工作内容和实施办法不够详细，总体方案评述全面。</w:t>
            </w:r>
          </w:p>
          <w:p w14:paraId="3545B04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分）：在满足三档的前提下，对项目认识充分，方案表达清晰、完整，措施具体且依据项目具体情况采取有效的措施，符合规范要求；</w:t>
            </w:r>
            <w:r>
              <w:rPr>
                <w:rFonts w:hint="eastAsia" w:ascii="宋体" w:hAnsi="宋体" w:eastAsia="宋体" w:cs="宋体"/>
                <w:sz w:val="21"/>
                <w:szCs w:val="21"/>
                <w:highlight w:val="none"/>
              </w:rPr>
              <w:t>实施方案较详细、可行，提供全面的档案管理制度、项目人员管理制度</w:t>
            </w:r>
            <w:r>
              <w:rPr>
                <w:rFonts w:hint="eastAsia" w:ascii="宋体" w:hAnsi="宋体" w:eastAsia="宋体" w:cs="宋体"/>
                <w:kern w:val="0"/>
                <w:sz w:val="21"/>
                <w:szCs w:val="21"/>
                <w:highlight w:val="none"/>
              </w:rPr>
              <w:t>；总体思路、理念和方案表述清晰，方案总体评述完整、全面。</w:t>
            </w:r>
          </w:p>
          <w:p w14:paraId="28BEE16A">
            <w:pPr>
              <w:pStyle w:val="26"/>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五档（满分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 xml:space="preserve">分）：在满足四档的前提下，对项目的特点、关键技术问题的认识准确透彻，总体思路、理念和方案表述清晰、严瑾、完整且依据项目具体情况采取有针对性的措施，符合规范要求；对采购人需求了解透彻，准确理解采购人待解决的痛点、难点；组织安排合理详细；提供较全面的档案管理制度、项目人员管理制度、保密制度、货物管理制度，且针对本项目的实施提供能提供合理化建议，符合采购人预定的需求；总体方案评述较全面、完整、且有针对性。 </w:t>
            </w:r>
          </w:p>
        </w:tc>
      </w:tr>
      <w:tr w14:paraId="43E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565B8D7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1FD4BD85">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29C289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项目质量进度、控制方案分（满分</w:t>
            </w:r>
            <w:r>
              <w:rPr>
                <w:rFonts w:hint="eastAsia" w:ascii="宋体" w:hAnsi="宋体" w:eastAsia="宋体" w:cs="宋体"/>
                <w:color w:val="000000"/>
                <w:sz w:val="21"/>
                <w:szCs w:val="21"/>
                <w:highlight w:val="none"/>
                <w:lang w:val="en-US" w:eastAsia="zh-CN"/>
              </w:rPr>
              <w:t>8分</w:t>
            </w:r>
            <w:r>
              <w:rPr>
                <w:rFonts w:hint="eastAsia" w:ascii="宋体" w:hAnsi="宋体" w:eastAsia="宋体" w:cs="宋体"/>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vAlign w:val="center"/>
          </w:tcPr>
          <w:p w14:paraId="71E26B4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提供的项目进度、质量控制方案独立评审打分。</w:t>
            </w:r>
          </w:p>
          <w:p w14:paraId="0DC5F1F8">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一档（0分）：未提供项目质量进度、控制方案或未达到二档的要求。</w:t>
            </w:r>
          </w:p>
          <w:p w14:paraId="167E63DA">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二档（满分</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分）：提供保证项目的具体措施。各项计划图表编制不完善，安排不够紧凑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总体方案评述</w:t>
            </w:r>
            <w:r>
              <w:rPr>
                <w:rFonts w:hint="eastAsia" w:ascii="宋体" w:hAnsi="宋体" w:eastAsia="宋体" w:cs="宋体"/>
                <w:kern w:val="0"/>
                <w:sz w:val="21"/>
                <w:szCs w:val="21"/>
                <w:highlight w:val="none"/>
                <w:lang w:eastAsia="zh-CN"/>
              </w:rPr>
              <w:t>完整，但</w:t>
            </w:r>
            <w:r>
              <w:rPr>
                <w:rFonts w:hint="eastAsia" w:ascii="宋体" w:hAnsi="宋体" w:eastAsia="宋体" w:cs="宋体"/>
                <w:kern w:val="0"/>
                <w:sz w:val="21"/>
                <w:szCs w:val="21"/>
                <w:highlight w:val="none"/>
              </w:rPr>
              <w:t>不全面。</w:t>
            </w:r>
            <w:r>
              <w:rPr>
                <w:rFonts w:hint="eastAsia" w:ascii="宋体" w:hAnsi="宋体" w:eastAsia="宋体" w:cs="宋体"/>
                <w:kern w:val="0"/>
                <w:sz w:val="21"/>
                <w:szCs w:val="21"/>
                <w:highlight w:val="none"/>
                <w:lang w:val="en-US" w:eastAsia="zh-CN"/>
              </w:rPr>
              <w:t xml:space="preserve"> </w:t>
            </w:r>
          </w:p>
          <w:p w14:paraId="0C09899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分）：在满足二档的前提下，提供有保证项目的具体措施，措施基本得当。各项计划图表编制基本齐全；有提供优化技术管理方案，安排基本合理，基本满足本项目采购需求。总体方案评述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val="en-US" w:eastAsia="zh-CN"/>
              </w:rPr>
              <w:t xml:space="preserve"> </w:t>
            </w:r>
          </w:p>
          <w:p w14:paraId="3AE0B6B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分）：在满足三档的前提下，提供有保证项目的具体措施且措施得当。各项计划图表编制完善，安排较合理；</w:t>
            </w:r>
            <w:r>
              <w:rPr>
                <w:rFonts w:hint="eastAsia" w:ascii="宋体" w:hAnsi="宋体" w:eastAsia="宋体" w:cs="宋体"/>
                <w:kern w:val="0"/>
                <w:sz w:val="21"/>
                <w:szCs w:val="21"/>
                <w:highlight w:val="none"/>
                <w:lang w:eastAsia="zh-CN"/>
              </w:rPr>
              <w:t>能</w:t>
            </w:r>
            <w:r>
              <w:rPr>
                <w:rFonts w:hint="eastAsia" w:ascii="宋体" w:hAnsi="宋体" w:eastAsia="宋体" w:cs="宋体"/>
                <w:kern w:val="0"/>
                <w:sz w:val="21"/>
                <w:szCs w:val="21"/>
                <w:highlight w:val="none"/>
              </w:rPr>
              <w:t>提供</w:t>
            </w:r>
            <w:r>
              <w:rPr>
                <w:rFonts w:hint="eastAsia" w:ascii="宋体" w:hAnsi="宋体" w:eastAsia="宋体" w:cs="宋体"/>
                <w:kern w:val="0"/>
                <w:sz w:val="21"/>
                <w:szCs w:val="21"/>
                <w:highlight w:val="none"/>
                <w:lang w:eastAsia="zh-CN"/>
              </w:rPr>
              <w:t>较全面、详细的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w:t>
            </w:r>
            <w:r>
              <w:rPr>
                <w:rFonts w:hint="eastAsia" w:ascii="宋体" w:hAnsi="宋体" w:eastAsia="宋体" w:cs="宋体"/>
                <w:kern w:val="0"/>
                <w:sz w:val="21"/>
                <w:szCs w:val="21"/>
                <w:highlight w:val="none"/>
                <w:lang w:eastAsia="zh-CN"/>
              </w:rPr>
              <w:t>；提供了较清晰、明确的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能较好满足项目需求。方案总体评述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eastAsia="zh-CN"/>
              </w:rPr>
              <w:t>、有一定的科学性</w:t>
            </w:r>
            <w:r>
              <w:rPr>
                <w:rFonts w:hint="eastAsia" w:ascii="宋体" w:hAnsi="宋体" w:eastAsia="宋体" w:cs="宋体"/>
                <w:kern w:val="0"/>
                <w:sz w:val="21"/>
                <w:szCs w:val="21"/>
                <w:highlight w:val="none"/>
              </w:rPr>
              <w:t>。</w:t>
            </w:r>
          </w:p>
          <w:p w14:paraId="260DD4FA">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五档（满分</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分）：在满足四档的前提下，提供的方案整体描述全面、具体、可行；质量管控方式多样；有详细的工作计划编排及保证措施，控制重点分析合理；提供</w:t>
            </w:r>
            <w:r>
              <w:rPr>
                <w:rFonts w:hint="eastAsia" w:ascii="宋体" w:hAnsi="宋体" w:eastAsia="宋体" w:cs="宋体"/>
                <w:kern w:val="0"/>
                <w:sz w:val="21"/>
                <w:szCs w:val="21"/>
                <w:highlight w:val="none"/>
                <w:lang w:eastAsia="zh-CN"/>
              </w:rPr>
              <w:t>全面、详细、合理的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风险控制解决方案；针对本项目进度控制重点提出了具体、可行的措施，能有效保证项目实施或缩短项目周期；</w:t>
            </w:r>
            <w:r>
              <w:rPr>
                <w:rFonts w:hint="eastAsia" w:ascii="宋体" w:hAnsi="宋体" w:eastAsia="宋体" w:cs="宋体"/>
                <w:kern w:val="0"/>
                <w:sz w:val="21"/>
                <w:szCs w:val="21"/>
                <w:highlight w:val="none"/>
                <w:lang w:eastAsia="zh-CN"/>
              </w:rPr>
              <w:t>提供了全面、可行的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方案及</w:t>
            </w:r>
            <w:r>
              <w:rPr>
                <w:rFonts w:hint="eastAsia" w:ascii="宋体" w:hAnsi="宋体" w:eastAsia="宋体" w:cs="宋体"/>
                <w:kern w:val="0"/>
                <w:sz w:val="21"/>
                <w:szCs w:val="21"/>
                <w:highlight w:val="none"/>
              </w:rPr>
              <w:t>应急预案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完全满足项目需求。总体方案评述全面、完整、</w:t>
            </w:r>
            <w:r>
              <w:rPr>
                <w:rFonts w:hint="eastAsia" w:ascii="宋体" w:hAnsi="宋体" w:eastAsia="宋体" w:cs="宋体"/>
                <w:kern w:val="0"/>
                <w:sz w:val="21"/>
                <w:szCs w:val="21"/>
                <w:highlight w:val="none"/>
                <w:lang w:eastAsia="zh-CN"/>
              </w:rPr>
              <w:t>有科学性、</w:t>
            </w:r>
            <w:r>
              <w:rPr>
                <w:rFonts w:hint="eastAsia" w:ascii="宋体" w:hAnsi="宋体" w:eastAsia="宋体" w:cs="宋体"/>
                <w:kern w:val="0"/>
                <w:sz w:val="21"/>
                <w:szCs w:val="21"/>
                <w:highlight w:val="none"/>
              </w:rPr>
              <w:t>针对性。</w:t>
            </w:r>
          </w:p>
        </w:tc>
      </w:tr>
      <w:tr w14:paraId="46BD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366D9470">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6AFF08EB">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7A48E0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售后服务方案（满分</w:t>
            </w:r>
            <w:r>
              <w:rPr>
                <w:rFonts w:hint="default" w:ascii="宋体" w:hAnsi="宋体" w:cs="宋体"/>
                <w:bCs/>
                <w:sz w:val="21"/>
                <w:szCs w:val="21"/>
                <w:highlight w:val="none"/>
                <w:lang w:val="en-US" w:eastAsia="zh-CN"/>
              </w:rPr>
              <w:t>9</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top"/>
          </w:tcPr>
          <w:p w14:paraId="282E02D8">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进行独立评审打分。</w:t>
            </w:r>
          </w:p>
          <w:p w14:paraId="67AEA114">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一档（0分）：未提供</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或未达到</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档的要求。</w:t>
            </w:r>
          </w:p>
          <w:p w14:paraId="06A26B58">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二档（满分</w:t>
            </w:r>
            <w:r>
              <w:rPr>
                <w:rFonts w:hint="default" w:ascii="宋体" w:hAnsi="宋体" w:cs="宋体"/>
                <w:sz w:val="21"/>
                <w:szCs w:val="21"/>
                <w:highlight w:val="none"/>
                <w:lang w:val="en-US" w:eastAsia="zh-CN"/>
              </w:rPr>
              <w:t>3</w:t>
            </w:r>
            <w:r>
              <w:rPr>
                <w:rFonts w:hint="eastAsia" w:ascii="宋体" w:hAnsi="宋体" w:eastAsia="宋体" w:cs="宋体"/>
                <w:sz w:val="21"/>
                <w:szCs w:val="21"/>
                <w:highlight w:val="none"/>
              </w:rPr>
              <w:t>分）：基本满足采购文件要求；简单提供可行的后续服务承诺；对前期工作方案及承诺响应内容描简单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w:t>
            </w:r>
            <w:r>
              <w:rPr>
                <w:rFonts w:hint="eastAsia" w:ascii="宋体" w:hAnsi="宋体" w:eastAsia="宋体" w:cs="宋体"/>
                <w:sz w:val="21"/>
                <w:szCs w:val="21"/>
                <w:highlight w:val="none"/>
                <w:lang w:eastAsia="zh-CN"/>
              </w:rPr>
              <w:t>完整，但</w:t>
            </w:r>
            <w:r>
              <w:rPr>
                <w:rFonts w:hint="eastAsia" w:ascii="宋体" w:hAnsi="宋体" w:eastAsia="宋体" w:cs="宋体"/>
                <w:sz w:val="21"/>
                <w:szCs w:val="21"/>
                <w:highlight w:val="none"/>
              </w:rPr>
              <w:t>不全面。</w:t>
            </w:r>
            <w:r>
              <w:rPr>
                <w:rFonts w:hint="eastAsia" w:ascii="宋体" w:hAnsi="宋体" w:eastAsia="宋体" w:cs="宋体"/>
                <w:sz w:val="21"/>
                <w:szCs w:val="21"/>
                <w:highlight w:val="none"/>
                <w:lang w:val="en-US" w:eastAsia="zh-CN"/>
              </w:rPr>
              <w:t xml:space="preserve"> </w:t>
            </w:r>
          </w:p>
          <w:p w14:paraId="522721A6">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三档（满分</w:t>
            </w:r>
            <w:r>
              <w:rPr>
                <w:rFonts w:hint="default" w:ascii="宋体" w:hAnsi="宋体" w:cs="宋体"/>
                <w:sz w:val="21"/>
                <w:szCs w:val="21"/>
                <w:highlight w:val="none"/>
                <w:lang w:val="en-US" w:eastAsia="zh-CN"/>
              </w:rPr>
              <w:t>6</w:t>
            </w:r>
            <w:r>
              <w:rPr>
                <w:rFonts w:hint="eastAsia" w:ascii="宋体" w:hAnsi="宋体" w:eastAsia="宋体" w:cs="宋体"/>
                <w:sz w:val="21"/>
                <w:szCs w:val="21"/>
                <w:highlight w:val="none"/>
              </w:rPr>
              <w:t>分）：在满足二档的前提下；提供比较详细可行的后续服务承诺；对前期工作方案及承诺响应较好；有简单的后续记录档案制度；有比较完整具体实施事项分析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方案总体评述</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完整、全面</w:t>
            </w:r>
            <w:r>
              <w:rPr>
                <w:rFonts w:hint="eastAsia" w:ascii="宋体" w:hAnsi="宋体" w:eastAsia="宋体" w:cs="宋体"/>
                <w:sz w:val="21"/>
                <w:szCs w:val="21"/>
                <w:highlight w:val="none"/>
                <w:lang w:eastAsia="zh-CN"/>
              </w:rPr>
              <w:t>、有一定的科学性</w:t>
            </w:r>
            <w:r>
              <w:rPr>
                <w:rFonts w:hint="eastAsia" w:ascii="宋体" w:hAnsi="宋体" w:eastAsia="宋体" w:cs="宋体"/>
                <w:sz w:val="21"/>
                <w:szCs w:val="21"/>
                <w:highlight w:val="none"/>
              </w:rPr>
              <w:t>。</w:t>
            </w:r>
          </w:p>
          <w:p w14:paraId="31844D43">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四档（满分</w:t>
            </w:r>
            <w:r>
              <w:rPr>
                <w:rFonts w:hint="default" w:ascii="宋体" w:hAnsi="宋体" w:cs="宋体"/>
                <w:sz w:val="21"/>
                <w:szCs w:val="21"/>
                <w:highlight w:val="none"/>
                <w:lang w:val="en-US" w:eastAsia="zh-CN"/>
              </w:rPr>
              <w:t>9</w:t>
            </w:r>
            <w:r>
              <w:rPr>
                <w:rFonts w:hint="eastAsia" w:ascii="宋体" w:hAnsi="宋体" w:eastAsia="宋体" w:cs="宋体"/>
                <w:sz w:val="21"/>
                <w:szCs w:val="21"/>
                <w:highlight w:val="none"/>
              </w:rPr>
              <w:t>分）：在满足三档的前提下，提供比较详细可行的后续服务承诺；对前期工作方案及承诺响应较好；有完整的后续记录档案制度；对内容、流程详尽有操作性；跟踪指导服务及时，后续跟踪服务内容全面多样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总体方案评述全面、完整、</w:t>
            </w:r>
            <w:r>
              <w:rPr>
                <w:rFonts w:hint="eastAsia" w:ascii="宋体" w:hAnsi="宋体" w:eastAsia="宋体" w:cs="宋体"/>
                <w:sz w:val="21"/>
                <w:szCs w:val="21"/>
                <w:highlight w:val="none"/>
                <w:lang w:eastAsia="zh-CN"/>
              </w:rPr>
              <w:t>有科学性、</w:t>
            </w:r>
            <w:r>
              <w:rPr>
                <w:rFonts w:hint="eastAsia" w:ascii="宋体" w:hAnsi="宋体" w:eastAsia="宋体" w:cs="宋体"/>
                <w:sz w:val="21"/>
                <w:szCs w:val="21"/>
                <w:highlight w:val="none"/>
              </w:rPr>
              <w:t xml:space="preserve">针对性。 </w:t>
            </w:r>
          </w:p>
        </w:tc>
      </w:tr>
      <w:tr w14:paraId="5D1A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bottom w:val="single" w:color="auto" w:sz="4" w:space="0"/>
              <w:right w:val="single" w:color="auto" w:sz="4" w:space="0"/>
            </w:tcBorders>
            <w:vAlign w:val="center"/>
          </w:tcPr>
          <w:p w14:paraId="0D57D29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bottom w:val="single" w:color="auto" w:sz="4" w:space="0"/>
              <w:right w:val="single" w:color="auto" w:sz="4" w:space="0"/>
            </w:tcBorders>
            <w:vAlign w:val="center"/>
          </w:tcPr>
          <w:p w14:paraId="61C7CE4B">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2339F5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演示分</w:t>
            </w:r>
            <w:r>
              <w:rPr>
                <w:rFonts w:hint="eastAsia" w:ascii="宋体" w:hAnsi="宋体" w:eastAsia="宋体" w:cs="宋体"/>
                <w:color w:val="000000"/>
                <w:sz w:val="21"/>
                <w:szCs w:val="21"/>
                <w:highlight w:val="none"/>
              </w:rPr>
              <w:t>（满分</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top"/>
          </w:tcPr>
          <w:p w14:paraId="0DCDE4C5">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供应商需在广西政府采购云平台上对《具体说明、功能及技术参数要求》中标注“◆”功能进行详细讲解和阐述，未进行演示的不得分，计0分</w:t>
            </w:r>
            <w:r>
              <w:rPr>
                <w:rFonts w:hint="eastAsia" w:ascii="宋体" w:hAnsi="宋体" w:eastAsia="宋体" w:cs="宋体"/>
                <w:sz w:val="21"/>
                <w:szCs w:val="21"/>
                <w:highlight w:val="none"/>
                <w:lang w:eastAsia="zh-CN"/>
              </w:rPr>
              <w:t>，本项满分</w:t>
            </w:r>
            <w:r>
              <w:rPr>
                <w:rFonts w:hint="eastAsia" w:ascii="宋体" w:hAnsi="宋体" w:eastAsia="宋体" w:cs="宋体"/>
                <w:sz w:val="21"/>
                <w:szCs w:val="21"/>
                <w:highlight w:val="none"/>
                <w:lang w:val="en-US" w:eastAsia="zh-CN"/>
              </w:rPr>
              <w:t>12分</w:t>
            </w:r>
            <w:r>
              <w:rPr>
                <w:rFonts w:hint="eastAsia" w:ascii="宋体" w:hAnsi="宋体" w:eastAsia="宋体" w:cs="宋体"/>
                <w:sz w:val="21"/>
                <w:szCs w:val="21"/>
                <w:highlight w:val="none"/>
              </w:rPr>
              <w:t>。</w:t>
            </w:r>
          </w:p>
          <w:p w14:paraId="198B589A">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通过PPT或者截图形式进行产品演示。每成功演示《具体说明、功能及技术参数要求》中标注“◆”的功能并经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3577CD53">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通过以视频播放形式进行产品演示。每成功演示《具体说明、功能及技术参数要求》中标注“◆”的功能并经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1325474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通过软件实测进行演示。每成功演示《具体说明、功能及技术参数要求》中标注“◆”的功能并经</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认可的，每项加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228EC4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可自由选择演示的表现形式，如采用PPT与软件实测混合演示模式的，加分按演示形式所属档次分别赋分。</w:t>
            </w:r>
          </w:p>
        </w:tc>
      </w:tr>
      <w:tr w14:paraId="2A43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left w:val="single" w:color="auto" w:sz="4" w:space="0"/>
              <w:right w:val="single" w:color="auto" w:sz="4" w:space="0"/>
            </w:tcBorders>
            <w:vAlign w:val="center"/>
          </w:tcPr>
          <w:p w14:paraId="75FA716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851" w:type="dxa"/>
            <w:tcBorders>
              <w:left w:val="single" w:color="auto" w:sz="4" w:space="0"/>
              <w:right w:val="single" w:color="auto" w:sz="4" w:space="0"/>
            </w:tcBorders>
            <w:vAlign w:val="center"/>
          </w:tcPr>
          <w:p w14:paraId="73AA274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商务分（满分</w:t>
            </w:r>
            <w:r>
              <w:rPr>
                <w:rFonts w:hint="default" w:ascii="宋体" w:hAnsi="宋体" w:cs="宋体"/>
                <w:b/>
                <w:bCs/>
                <w:sz w:val="21"/>
                <w:szCs w:val="21"/>
                <w:highlight w:val="none"/>
                <w:lang w:val="en-US" w:eastAsia="zh-CN"/>
              </w:rPr>
              <w:t>8</w:t>
            </w:r>
            <w:r>
              <w:rPr>
                <w:rFonts w:hint="eastAsia" w:ascii="宋体" w:hAnsi="宋体" w:eastAsia="宋体" w:cs="宋体"/>
                <w:b/>
                <w:bCs/>
                <w:sz w:val="21"/>
                <w:szCs w:val="21"/>
                <w:highlight w:val="none"/>
              </w:rPr>
              <w:t>分）</w:t>
            </w:r>
          </w:p>
        </w:tc>
        <w:tc>
          <w:tcPr>
            <w:tcW w:w="110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E74DB8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业绩分（满分</w:t>
            </w:r>
            <w:r>
              <w:rPr>
                <w:rFonts w:hint="default" w:ascii="宋体" w:hAnsi="宋体" w:cs="宋体"/>
                <w:bCs/>
                <w:sz w:val="21"/>
                <w:szCs w:val="21"/>
                <w:highlight w:val="none"/>
                <w:lang w:val="en-US" w:eastAsia="zh-CN"/>
              </w:rPr>
              <w:t>8</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tcPr>
          <w:p w14:paraId="726FA4A2">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年1月1日以来承接过类似项目的（类似项目指实训室设备项目或教学设备项目或教学信息化建设项目等），每提供一份项目合同业绩的得</w:t>
            </w:r>
            <w:r>
              <w:rPr>
                <w:rFonts w:hint="default" w:ascii="宋体" w:hAnsi="宋体" w:cs="宋体"/>
                <w:sz w:val="21"/>
                <w:szCs w:val="21"/>
                <w:highlight w:val="none"/>
                <w:lang w:val="en-US" w:eastAsia="zh-CN"/>
              </w:rPr>
              <w:t>2</w:t>
            </w:r>
            <w:r>
              <w:rPr>
                <w:rFonts w:hint="eastAsia" w:ascii="宋体" w:hAnsi="宋体" w:eastAsia="宋体" w:cs="宋体"/>
                <w:sz w:val="21"/>
                <w:szCs w:val="21"/>
                <w:highlight w:val="none"/>
              </w:rPr>
              <w:t>分，本项满分</w:t>
            </w:r>
            <w:r>
              <w:rPr>
                <w:rFonts w:hint="default" w:ascii="宋体" w:hAnsi="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b/>
                <w:sz w:val="21"/>
                <w:szCs w:val="21"/>
                <w:highlight w:val="none"/>
              </w:rPr>
              <w:t>【注：投标文件中要附业绩一览表，并列明采购单位信息及单位地址、联系人、电话等，同时提供采购合同或中标（成交）通知书复印件，未按要求提供材料的不予计分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如中标（成交）通知书不能清晰反映所承接项目的标的信息，还需提供有效的合同证明材料或履约验收证明材料。</w:t>
            </w:r>
            <w:r>
              <w:rPr>
                <w:rFonts w:hint="eastAsia" w:ascii="宋体" w:hAnsi="宋体" w:eastAsia="宋体" w:cs="宋体"/>
                <w:b/>
                <w:sz w:val="21"/>
                <w:szCs w:val="21"/>
                <w:highlight w:val="none"/>
              </w:rPr>
              <w:t>】</w:t>
            </w:r>
          </w:p>
        </w:tc>
      </w:tr>
      <w:tr w14:paraId="668F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6888F0D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14:paraId="3EFE7BC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政策功能分（满分2分）</w:t>
            </w:r>
          </w:p>
        </w:tc>
        <w:tc>
          <w:tcPr>
            <w:tcW w:w="1105" w:type="dxa"/>
            <w:tcBorders>
              <w:top w:val="single" w:color="auto" w:sz="4" w:space="0"/>
              <w:left w:val="single" w:color="auto" w:sz="4" w:space="0"/>
              <w:bottom w:val="single" w:color="auto" w:sz="4" w:space="0"/>
              <w:right w:val="single" w:color="auto" w:sz="4" w:space="0"/>
            </w:tcBorders>
            <w:vAlign w:val="center"/>
          </w:tcPr>
          <w:p w14:paraId="5297A0F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节能、环保分</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满分2分</w:t>
            </w:r>
            <w:r>
              <w:rPr>
                <w:rFonts w:hint="eastAsia" w:ascii="宋体" w:hAnsi="宋体" w:eastAsia="宋体" w:cs="宋体"/>
                <w:bCs/>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tcPr>
          <w:p w14:paraId="3AFD276F">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（1）节能产品分：投标产品列入品目清单范围内优先采购的，且提供国家确定的认证机构出具的、处于有效期之内的节能产品认证证书复印件（加盖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），每有一项得0.5分，最多得1分。采购内容中的强制产品不加分。</w:t>
            </w:r>
          </w:p>
          <w:p w14:paraId="526B6B75">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（2）环保标志产品分：投标产品列入品目清单范围内优先采购的，且提供国家确定的认证机构出具的、处于有效期之内的环境标志产品认证证书复印件（加盖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w:t>
            </w:r>
          </w:p>
        </w:tc>
      </w:tr>
      <w:tr w14:paraId="1A2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092C00A3">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总得分=1+2+3+4。</w:t>
            </w:r>
          </w:p>
        </w:tc>
      </w:tr>
    </w:tbl>
    <w:p w14:paraId="7EB3124C">
      <w:pPr>
        <w:pStyle w:val="26"/>
        <w:spacing w:line="360" w:lineRule="auto"/>
        <w:ind w:firstLine="420"/>
        <w:rPr>
          <w:rFonts w:hint="eastAsia" w:hAnsi="宋体"/>
          <w:bCs/>
          <w:color w:val="000000"/>
          <w:sz w:val="21"/>
          <w:highlight w:val="none"/>
        </w:rPr>
      </w:pPr>
      <w:r>
        <w:rPr>
          <w:rFonts w:hint="eastAsia" w:hAnsi="宋体"/>
          <w:bCs/>
          <w:color w:val="000000"/>
          <w:sz w:val="21"/>
          <w:highlight w:val="none"/>
        </w:rPr>
        <w:t>注：计分方法按四舍五入取至百分位</w:t>
      </w:r>
    </w:p>
    <w:p w14:paraId="23149A7F">
      <w:pPr>
        <w:bidi w:val="0"/>
        <w:rPr>
          <w:highlight w:val="none"/>
        </w:rPr>
      </w:pPr>
    </w:p>
    <w:p w14:paraId="5C2B65B2">
      <w:pPr>
        <w:bidi w:val="0"/>
        <w:rPr>
          <w:highlight w:val="none"/>
        </w:rPr>
      </w:pPr>
    </w:p>
    <w:p w14:paraId="5264C98C">
      <w:pPr>
        <w:bidi w:val="0"/>
        <w:rPr>
          <w:highlight w:val="none"/>
        </w:rPr>
      </w:pPr>
    </w:p>
    <w:p w14:paraId="77A4FF33">
      <w:pPr>
        <w:bidi w:val="0"/>
        <w:rPr>
          <w:highlight w:val="none"/>
        </w:rPr>
      </w:pPr>
    </w:p>
    <w:p w14:paraId="39092DA7">
      <w:pPr>
        <w:bidi w:val="0"/>
        <w:rPr>
          <w:highlight w:val="none"/>
        </w:rPr>
      </w:pPr>
    </w:p>
    <w:p w14:paraId="1DE7D346">
      <w:pPr>
        <w:bidi w:val="0"/>
        <w:rPr>
          <w:highlight w:val="none"/>
        </w:rPr>
      </w:pPr>
    </w:p>
    <w:p w14:paraId="014F94CC">
      <w:pPr>
        <w:bidi w:val="0"/>
        <w:rPr>
          <w:highlight w:val="none"/>
        </w:rPr>
      </w:pPr>
    </w:p>
    <w:p w14:paraId="2392470B">
      <w:pPr>
        <w:bidi w:val="0"/>
        <w:rPr>
          <w:highlight w:val="none"/>
        </w:rPr>
      </w:pPr>
    </w:p>
    <w:p w14:paraId="6DE7098F">
      <w:pPr>
        <w:bidi w:val="0"/>
        <w:rPr>
          <w:highlight w:val="none"/>
        </w:rPr>
      </w:pPr>
    </w:p>
    <w:p w14:paraId="46656C48">
      <w:pPr>
        <w:bidi w:val="0"/>
        <w:rPr>
          <w:highlight w:val="none"/>
        </w:rPr>
      </w:pPr>
    </w:p>
    <w:p w14:paraId="1FAEB00F">
      <w:pPr>
        <w:bidi w:val="0"/>
        <w:rPr>
          <w:highlight w:val="none"/>
        </w:rPr>
      </w:pPr>
    </w:p>
    <w:p w14:paraId="0B4775E2">
      <w:pPr>
        <w:bidi w:val="0"/>
        <w:rPr>
          <w:highlight w:val="none"/>
        </w:rPr>
      </w:pPr>
    </w:p>
    <w:p w14:paraId="25A5796E">
      <w:pPr>
        <w:bidi w:val="0"/>
        <w:rPr>
          <w:highlight w:val="none"/>
        </w:rPr>
      </w:pPr>
    </w:p>
    <w:p w14:paraId="15C26693">
      <w:pPr>
        <w:bidi w:val="0"/>
        <w:rPr>
          <w:highlight w:val="none"/>
        </w:rPr>
      </w:pPr>
    </w:p>
    <w:p w14:paraId="6F86BDDC">
      <w:pPr>
        <w:bidi w:val="0"/>
        <w:rPr>
          <w:highlight w:val="none"/>
        </w:rPr>
      </w:pPr>
    </w:p>
    <w:p w14:paraId="3331CBEE">
      <w:pPr>
        <w:bidi w:val="0"/>
        <w:rPr>
          <w:highlight w:val="none"/>
        </w:rPr>
      </w:pPr>
    </w:p>
    <w:p w14:paraId="57879E8A">
      <w:pPr>
        <w:bidi w:val="0"/>
        <w:rPr>
          <w:highlight w:val="none"/>
        </w:rPr>
      </w:pPr>
    </w:p>
    <w:p w14:paraId="7E7A88A8">
      <w:pPr>
        <w:bidi w:val="0"/>
        <w:rPr>
          <w:highlight w:val="none"/>
        </w:rPr>
      </w:pPr>
    </w:p>
    <w:p w14:paraId="7BE15F2F">
      <w:pPr>
        <w:bidi w:val="0"/>
        <w:rPr>
          <w:highlight w:val="none"/>
        </w:rPr>
      </w:pPr>
    </w:p>
    <w:p w14:paraId="60A2427E">
      <w:pPr>
        <w:bidi w:val="0"/>
        <w:rPr>
          <w:highlight w:val="none"/>
        </w:rPr>
      </w:pPr>
    </w:p>
    <w:p w14:paraId="5172CCF0">
      <w:pPr>
        <w:bidi w:val="0"/>
        <w:rPr>
          <w:highlight w:val="none"/>
        </w:rPr>
      </w:pPr>
    </w:p>
    <w:p w14:paraId="45EC1267">
      <w:pPr>
        <w:bidi w:val="0"/>
        <w:rPr>
          <w:highlight w:val="none"/>
        </w:rPr>
      </w:pPr>
    </w:p>
    <w:p w14:paraId="3DEF9883">
      <w:pPr>
        <w:bidi w:val="0"/>
        <w:rPr>
          <w:highlight w:val="none"/>
        </w:rPr>
      </w:pPr>
    </w:p>
    <w:p w14:paraId="39D141DC">
      <w:pPr>
        <w:bidi w:val="0"/>
        <w:rPr>
          <w:highlight w:val="none"/>
        </w:rPr>
      </w:pPr>
    </w:p>
    <w:p w14:paraId="3305AF6D">
      <w:pPr>
        <w:bidi w:val="0"/>
        <w:rPr>
          <w:highlight w:val="none"/>
        </w:rPr>
      </w:pPr>
    </w:p>
    <w:p w14:paraId="13A912CC">
      <w:pPr>
        <w:bidi w:val="0"/>
        <w:rPr>
          <w:highlight w:val="none"/>
        </w:rPr>
      </w:pPr>
    </w:p>
    <w:p w14:paraId="419816DE">
      <w:pPr>
        <w:bidi w:val="0"/>
        <w:rPr>
          <w:highlight w:val="none"/>
        </w:rPr>
      </w:pPr>
    </w:p>
    <w:p w14:paraId="058FF5E6">
      <w:pPr>
        <w:bidi w:val="0"/>
        <w:rPr>
          <w:highlight w:val="none"/>
        </w:rPr>
      </w:pPr>
    </w:p>
    <w:p w14:paraId="2C7433A4">
      <w:pPr>
        <w:bidi w:val="0"/>
        <w:rPr>
          <w:highlight w:val="none"/>
        </w:rPr>
      </w:pPr>
    </w:p>
    <w:p w14:paraId="5D36D26C">
      <w:pPr>
        <w:bidi w:val="0"/>
        <w:rPr>
          <w:highlight w:val="none"/>
        </w:rPr>
      </w:pPr>
    </w:p>
    <w:p w14:paraId="202EF6FE">
      <w:pPr>
        <w:bidi w:val="0"/>
        <w:rPr>
          <w:highlight w:val="none"/>
        </w:rPr>
      </w:pPr>
    </w:p>
    <w:p w14:paraId="610F907F">
      <w:pPr>
        <w:bidi w:val="0"/>
        <w:rPr>
          <w:highlight w:val="none"/>
        </w:rPr>
      </w:pPr>
    </w:p>
    <w:p w14:paraId="1252E701">
      <w:pPr>
        <w:bidi w:val="0"/>
        <w:rPr>
          <w:highlight w:val="none"/>
        </w:rPr>
      </w:pPr>
    </w:p>
    <w:p w14:paraId="7780CA88">
      <w:pPr>
        <w:bidi w:val="0"/>
        <w:rPr>
          <w:highlight w:val="none"/>
        </w:rPr>
      </w:pPr>
    </w:p>
    <w:p w14:paraId="02DD333B">
      <w:pPr>
        <w:bidi w:val="0"/>
        <w:rPr>
          <w:highlight w:val="none"/>
        </w:rPr>
      </w:pPr>
    </w:p>
    <w:p w14:paraId="2B6B1716">
      <w:pPr>
        <w:bidi w:val="0"/>
        <w:rPr>
          <w:highlight w:val="none"/>
        </w:rPr>
      </w:pPr>
    </w:p>
    <w:p w14:paraId="10359057">
      <w:pPr>
        <w:bidi w:val="0"/>
        <w:rPr>
          <w:highlight w:val="none"/>
        </w:rPr>
      </w:pPr>
    </w:p>
    <w:p w14:paraId="1AB0CE57">
      <w:pPr>
        <w:bidi w:val="0"/>
        <w:rPr>
          <w:highlight w:val="none"/>
        </w:rPr>
      </w:pPr>
    </w:p>
    <w:p w14:paraId="5A1A674C">
      <w:pPr>
        <w:bidi w:val="0"/>
        <w:rPr>
          <w:highlight w:val="none"/>
        </w:rPr>
      </w:pPr>
    </w:p>
    <w:p w14:paraId="5DDE673C">
      <w:pPr>
        <w:bidi w:val="0"/>
        <w:rPr>
          <w:highlight w:val="none"/>
        </w:rPr>
      </w:pPr>
    </w:p>
    <w:p w14:paraId="238788AA">
      <w:pPr>
        <w:bidi w:val="0"/>
        <w:rPr>
          <w:highlight w:val="none"/>
        </w:rPr>
      </w:pPr>
    </w:p>
    <w:p w14:paraId="733AF600">
      <w:pPr>
        <w:bidi w:val="0"/>
        <w:rPr>
          <w:highlight w:val="none"/>
        </w:rPr>
      </w:pPr>
    </w:p>
    <w:p w14:paraId="383D6822">
      <w:pPr>
        <w:bidi w:val="0"/>
        <w:rPr>
          <w:highlight w:val="none"/>
        </w:rPr>
      </w:pPr>
    </w:p>
    <w:p w14:paraId="55363D71">
      <w:pPr>
        <w:bidi w:val="0"/>
        <w:rPr>
          <w:highlight w:val="none"/>
        </w:rPr>
      </w:pPr>
    </w:p>
    <w:p w14:paraId="4403FBFD">
      <w:pPr>
        <w:tabs>
          <w:tab w:val="left" w:pos="1856"/>
        </w:tabs>
        <w:bidi w:val="0"/>
        <w:jc w:val="left"/>
        <w:rPr>
          <w:rFonts w:hint="eastAsia"/>
          <w:highlight w:val="none"/>
          <w:lang w:eastAsia="zh-CN"/>
        </w:rPr>
      </w:pPr>
      <w:r>
        <w:rPr>
          <w:rFonts w:hint="eastAsia"/>
          <w:highlight w:val="none"/>
          <w:lang w:eastAsia="zh-CN"/>
        </w:rPr>
        <w:tab/>
      </w:r>
    </w:p>
    <w:p w14:paraId="6973301B">
      <w:pPr>
        <w:tabs>
          <w:tab w:val="left" w:pos="1856"/>
        </w:tabs>
        <w:bidi w:val="0"/>
        <w:jc w:val="left"/>
        <w:rPr>
          <w:rFonts w:hint="eastAsia"/>
          <w:highlight w:val="none"/>
          <w:lang w:eastAsia="zh-CN"/>
        </w:rPr>
      </w:pPr>
    </w:p>
    <w:p w14:paraId="460F60E3">
      <w:pPr>
        <w:tabs>
          <w:tab w:val="left" w:pos="1856"/>
        </w:tabs>
        <w:bidi w:val="0"/>
        <w:jc w:val="left"/>
        <w:rPr>
          <w:rFonts w:hint="eastAsia"/>
          <w:highlight w:val="none"/>
          <w:lang w:eastAsia="zh-CN"/>
        </w:rPr>
      </w:pPr>
    </w:p>
    <w:p w14:paraId="1440A9E0">
      <w:pPr>
        <w:tabs>
          <w:tab w:val="left" w:pos="1856"/>
        </w:tabs>
        <w:bidi w:val="0"/>
        <w:jc w:val="left"/>
        <w:rPr>
          <w:rFonts w:hint="eastAsia"/>
          <w:highlight w:val="none"/>
          <w:lang w:eastAsia="zh-CN"/>
        </w:rPr>
      </w:pPr>
    </w:p>
    <w:tbl>
      <w:tblPr>
        <w:tblStyle w:val="4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14:paraId="7175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151079D6">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适用于</w:t>
            </w:r>
            <w:r>
              <w:rPr>
                <w:rFonts w:hint="eastAsia" w:ascii="宋体" w:hAnsi="宋体" w:eastAsia="宋体" w:cs="宋体"/>
                <w:b/>
                <w:bCs/>
                <w:color w:val="000000"/>
                <w:kern w:val="0"/>
                <w:sz w:val="21"/>
                <w:szCs w:val="21"/>
                <w:highlight w:val="none"/>
                <w:lang w:val="en-US" w:eastAsia="zh-CN"/>
              </w:rPr>
              <w:t>B分标</w:t>
            </w:r>
          </w:p>
        </w:tc>
      </w:tr>
      <w:tr w14:paraId="006B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26F69B7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5E7277E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14:paraId="61AE466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26F8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125DD69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36AAD8C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价格分</w:t>
            </w:r>
          </w:p>
          <w:p w14:paraId="6A07DEE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（30满分分）</w:t>
            </w:r>
          </w:p>
        </w:tc>
        <w:tc>
          <w:tcPr>
            <w:tcW w:w="1105" w:type="dxa"/>
            <w:tcBorders>
              <w:top w:val="single" w:color="auto" w:sz="4" w:space="0"/>
              <w:left w:val="single" w:color="auto" w:sz="4" w:space="0"/>
              <w:bottom w:val="single" w:color="auto" w:sz="4" w:space="0"/>
              <w:right w:val="single" w:color="auto" w:sz="4" w:space="0"/>
            </w:tcBorders>
            <w:vAlign w:val="center"/>
          </w:tcPr>
          <w:p w14:paraId="5C98964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14:paraId="5E01C9AB">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（1）评标报价为投标人的投标报价进行政策性扣除后的价格，评标报价只是作为评标时使用。最终中标人的中标金额等于投标报价。</w:t>
            </w:r>
          </w:p>
          <w:p w14:paraId="5BD8FC77">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（2）政策性扣除计算方法。</w:t>
            </w:r>
          </w:p>
          <w:p w14:paraId="457C64A6">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w:t>
            </w:r>
            <w:r>
              <w:rPr>
                <w:rFonts w:hint="eastAsia" w:ascii="宋体" w:hAnsi="宋体" w:eastAsia="宋体" w:cs="宋体"/>
                <w:bCs/>
                <w:sz w:val="21"/>
                <w:szCs w:val="21"/>
                <w:highlight w:val="none"/>
                <w:lang w:eastAsia="zh-CN"/>
              </w:rPr>
              <w:t>桂财采〔2024〕55号</w:t>
            </w:r>
            <w:r>
              <w:rPr>
                <w:rFonts w:hint="eastAsia" w:ascii="宋体" w:hAnsi="宋体" w:eastAsia="宋体" w:cs="宋体"/>
                <w:bCs/>
                <w:sz w:val="21"/>
                <w:szCs w:val="21"/>
                <w:highlight w:val="none"/>
              </w:rPr>
              <w:t>）的规定</w:t>
            </w:r>
            <w:r>
              <w:rPr>
                <w:rFonts w:hint="eastAsia" w:ascii="宋体" w:hAnsi="宋体" w:eastAsia="宋体" w:cs="宋体"/>
                <w:bCs/>
                <w:color w:val="000000"/>
                <w:sz w:val="21"/>
                <w:szCs w:val="21"/>
                <w:highlight w:val="none"/>
              </w:rPr>
              <w:t>，投标人在其投标文件中提供《中小企业声明函》，且其投标全部货物由小微企业制造的，对其投标报价给予</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%的扣除，扣除后的价格为评标报价，即评标报价=投标报价×（1-</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%的扣除，用扣除后的价格参加评审，扣除后的价格为评标报价，即评标报价=投标报价×（1-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%）。除上述情况外，评标报价=投标报价。</w:t>
            </w:r>
          </w:p>
          <w:p w14:paraId="65D32631">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6524F35">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C4AF5AB">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（5）满足招标文件要求且评标报价最低的评标报价为评标基准价，其价格分为满分。</w:t>
            </w:r>
          </w:p>
          <w:p w14:paraId="3709C85F">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（6）价格分计算公式：价格分=(评标基准价／评标报价)×30分 </w:t>
            </w:r>
            <w:r>
              <w:rPr>
                <w:rFonts w:hint="eastAsia" w:ascii="宋体" w:hAnsi="宋体" w:eastAsia="宋体" w:cs="宋体"/>
                <w:color w:val="000000"/>
                <w:sz w:val="21"/>
                <w:szCs w:val="21"/>
                <w:highlight w:val="none"/>
              </w:rPr>
              <w:t xml:space="preserve">  </w:t>
            </w:r>
          </w:p>
          <w:p w14:paraId="0D87406C">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767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179FD9A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851" w:type="dxa"/>
            <w:vMerge w:val="restart"/>
            <w:tcBorders>
              <w:top w:val="single" w:color="auto" w:sz="4" w:space="0"/>
              <w:left w:val="single" w:color="auto" w:sz="4" w:space="0"/>
              <w:right w:val="single" w:color="auto" w:sz="4" w:space="0"/>
            </w:tcBorders>
            <w:vAlign w:val="center"/>
          </w:tcPr>
          <w:p w14:paraId="04E6838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pacing w:val="-18"/>
                <w:sz w:val="21"/>
                <w:szCs w:val="21"/>
                <w:highlight w:val="none"/>
              </w:rPr>
            </w:pPr>
            <w:r>
              <w:rPr>
                <w:rFonts w:hint="eastAsia" w:ascii="宋体" w:hAnsi="宋体" w:eastAsia="宋体" w:cs="宋体"/>
                <w:b/>
                <w:bCs/>
                <w:sz w:val="21"/>
                <w:szCs w:val="21"/>
                <w:highlight w:val="none"/>
              </w:rPr>
              <w:t>技术分（满分</w:t>
            </w:r>
            <w:r>
              <w:rPr>
                <w:rFonts w:hint="default" w:ascii="宋体" w:hAnsi="宋体" w:cs="宋体"/>
                <w:b/>
                <w:bCs/>
                <w:sz w:val="21"/>
                <w:szCs w:val="21"/>
                <w:highlight w:val="none"/>
                <w:lang w:val="en-US" w:eastAsia="zh-CN"/>
              </w:rPr>
              <w:t>58</w:t>
            </w:r>
            <w:r>
              <w:rPr>
                <w:rFonts w:hint="eastAsia" w:ascii="宋体" w:hAnsi="宋体" w:eastAsia="宋体" w:cs="宋体"/>
                <w:b/>
                <w:bCs/>
                <w:sz w:val="21"/>
                <w:szCs w:val="21"/>
                <w:highlight w:val="none"/>
              </w:rPr>
              <w:t>分）</w:t>
            </w:r>
          </w:p>
        </w:tc>
        <w:tc>
          <w:tcPr>
            <w:tcW w:w="1105" w:type="dxa"/>
            <w:vMerge w:val="restart"/>
            <w:tcBorders>
              <w:top w:val="single" w:color="auto" w:sz="4" w:space="0"/>
              <w:left w:val="single" w:color="auto" w:sz="4" w:space="0"/>
              <w:right w:val="single" w:color="auto" w:sz="4" w:space="0"/>
            </w:tcBorders>
            <w:vAlign w:val="center"/>
          </w:tcPr>
          <w:p w14:paraId="17EA2B2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技术性能分</w:t>
            </w:r>
            <w:r>
              <w:rPr>
                <w:rFonts w:hint="eastAsia" w:ascii="宋体" w:hAnsi="宋体" w:eastAsia="宋体" w:cs="宋体"/>
                <w:bCs/>
                <w:sz w:val="21"/>
                <w:szCs w:val="21"/>
                <w:highlight w:val="none"/>
              </w:rPr>
              <w:t>（满分</w:t>
            </w:r>
            <w:r>
              <w:rPr>
                <w:rFonts w:hint="default" w:ascii="宋体" w:hAnsi="宋体" w:cs="宋体"/>
                <w:bCs/>
                <w:sz w:val="21"/>
                <w:szCs w:val="21"/>
                <w:highlight w:val="none"/>
                <w:lang w:val="en-US" w:eastAsia="zh-CN"/>
              </w:rPr>
              <w:t>19</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032E8D73">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投标产品技术完全满足招标文件“技术要求”且无任何负偏离的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eastAsia="zh-CN"/>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6DF8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15" w:type="dxa"/>
            <w:vMerge w:val="continue"/>
            <w:tcBorders>
              <w:left w:val="single" w:color="auto" w:sz="4" w:space="0"/>
              <w:right w:val="single" w:color="auto" w:sz="4" w:space="0"/>
            </w:tcBorders>
            <w:vAlign w:val="center"/>
          </w:tcPr>
          <w:p w14:paraId="073EFE4E">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51EE15D9">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pacing w:val="-18"/>
                <w:sz w:val="21"/>
                <w:szCs w:val="21"/>
                <w:highlight w:val="none"/>
              </w:rPr>
            </w:pPr>
          </w:p>
        </w:tc>
        <w:tc>
          <w:tcPr>
            <w:tcW w:w="1105" w:type="dxa"/>
            <w:vMerge w:val="continue"/>
            <w:tcBorders>
              <w:left w:val="single" w:color="auto" w:sz="4" w:space="0"/>
              <w:bottom w:val="single" w:color="auto" w:sz="4" w:space="0"/>
              <w:right w:val="single" w:color="auto" w:sz="4" w:space="0"/>
            </w:tcBorders>
            <w:vAlign w:val="center"/>
          </w:tcPr>
          <w:p w14:paraId="79F079C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p>
        </w:tc>
        <w:tc>
          <w:tcPr>
            <w:tcW w:w="6523" w:type="dxa"/>
            <w:tcBorders>
              <w:top w:val="single" w:color="auto" w:sz="4" w:space="0"/>
              <w:left w:val="single" w:color="auto" w:sz="4" w:space="0"/>
              <w:bottom w:val="single" w:color="auto" w:sz="4" w:space="0"/>
              <w:right w:val="single" w:color="auto" w:sz="4" w:space="0"/>
            </w:tcBorders>
            <w:vAlign w:val="center"/>
          </w:tcPr>
          <w:p w14:paraId="7C8D4CCF">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rPr>
              <w:t>在满足基本分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val="en-US"/>
              </w:rPr>
              <w:t>基础上，标注“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en-US"/>
              </w:rPr>
              <w:t>”的技术参数能提供相关证明材料，每1项加</w:t>
            </w:r>
            <w:r>
              <w:rPr>
                <w:rFonts w:hint="default" w:hAnsi="宋体" w:cs="宋体"/>
                <w:bCs/>
                <w:sz w:val="21"/>
                <w:szCs w:val="21"/>
                <w:highlight w:val="none"/>
                <w:lang w:val="en-US" w:eastAsia="zh-CN"/>
              </w:rPr>
              <w:t>1</w:t>
            </w:r>
            <w:r>
              <w:rPr>
                <w:rFonts w:hint="eastAsia" w:ascii="宋体" w:hAnsi="宋体" w:eastAsia="宋体" w:cs="宋体"/>
                <w:bCs/>
                <w:sz w:val="21"/>
                <w:szCs w:val="21"/>
                <w:highlight w:val="none"/>
                <w:lang w:val="en-US"/>
              </w:rPr>
              <w:t>分，满分</w:t>
            </w:r>
            <w:r>
              <w:rPr>
                <w:rFonts w:hint="default" w:hAnsi="宋体" w:cs="宋体"/>
                <w:bCs/>
                <w:sz w:val="21"/>
                <w:szCs w:val="21"/>
                <w:highlight w:val="none"/>
                <w:lang w:val="en-US" w:eastAsia="zh-CN"/>
              </w:rPr>
              <w:t>7</w:t>
            </w:r>
            <w:r>
              <w:rPr>
                <w:rFonts w:hint="eastAsia" w:ascii="宋体" w:hAnsi="宋体" w:eastAsia="宋体" w:cs="宋体"/>
                <w:bCs/>
                <w:sz w:val="21"/>
                <w:szCs w:val="21"/>
                <w:highlight w:val="none"/>
                <w:lang w:val="en-US"/>
              </w:rPr>
              <w:t>分。</w:t>
            </w:r>
          </w:p>
          <w:p w14:paraId="58BB9414">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rPr>
              <w:t>注：证明材料可以是：</w:t>
            </w:r>
            <w:r>
              <w:rPr>
                <w:rFonts w:hint="eastAsia" w:ascii="宋体" w:hAnsi="宋体" w:eastAsia="宋体" w:cs="宋体"/>
                <w:bCs/>
                <w:sz w:val="21"/>
                <w:szCs w:val="21"/>
                <w:highlight w:val="none"/>
                <w:lang w:val="en-US" w:eastAsia="zh-CN"/>
              </w:rPr>
              <w:t>功能</w:t>
            </w:r>
            <w:r>
              <w:rPr>
                <w:rFonts w:hint="eastAsia" w:ascii="宋体" w:hAnsi="宋体" w:eastAsia="宋体" w:cs="宋体"/>
                <w:bCs/>
                <w:sz w:val="21"/>
                <w:szCs w:val="21"/>
                <w:highlight w:val="none"/>
                <w:lang w:val="en-US"/>
              </w:rPr>
              <w:t>截图证明材料复印件或第三方检测报告复印件或产品生产厂家出具的技术参数说明证明复印件，评审时被</w:t>
            </w:r>
            <w:r>
              <w:rPr>
                <w:rFonts w:hint="eastAsia" w:ascii="宋体" w:hAnsi="宋体" w:eastAsia="宋体" w:cs="宋体"/>
                <w:bCs/>
                <w:sz w:val="21"/>
                <w:szCs w:val="21"/>
                <w:highlight w:val="none"/>
                <w:lang w:val="en-US" w:eastAsia="zh-CN"/>
              </w:rPr>
              <w:t>评标委员会</w:t>
            </w:r>
            <w:r>
              <w:rPr>
                <w:rFonts w:hint="eastAsia" w:ascii="宋体" w:hAnsi="宋体" w:eastAsia="宋体" w:cs="宋体"/>
                <w:bCs/>
                <w:sz w:val="21"/>
                <w:szCs w:val="21"/>
                <w:highlight w:val="none"/>
                <w:lang w:val="en-US"/>
              </w:rPr>
              <w:t>接受的给予计分。</w:t>
            </w:r>
          </w:p>
        </w:tc>
      </w:tr>
      <w:tr w14:paraId="3CEA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14:paraId="1946D2F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06CF9E4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818964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项目实施方案（满分</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378BF80E">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评标委员会根据投标人</w:t>
            </w:r>
            <w:r>
              <w:rPr>
                <w:rFonts w:hint="eastAsia" w:ascii="宋体" w:hAnsi="宋体" w:eastAsia="宋体" w:cs="宋体"/>
                <w:b w:val="0"/>
                <w:bCs/>
                <w:color w:val="auto"/>
                <w:sz w:val="21"/>
                <w:szCs w:val="21"/>
                <w:highlight w:val="none"/>
              </w:rPr>
              <w:t>提供的项目实施方案进行独立评审打分。</w:t>
            </w:r>
          </w:p>
          <w:p w14:paraId="2C8E1740">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一档（0分）：未提供项目实施方案或未达到二档要求。</w:t>
            </w:r>
          </w:p>
          <w:p w14:paraId="72280C27">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二档（满分</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分）：对项目理解不</w:t>
            </w:r>
            <w:r>
              <w:rPr>
                <w:rFonts w:hint="eastAsia" w:ascii="宋体" w:hAnsi="宋体" w:eastAsia="宋体" w:cs="宋体"/>
                <w:b w:val="0"/>
                <w:bCs/>
                <w:color w:val="auto"/>
                <w:sz w:val="21"/>
                <w:szCs w:val="21"/>
                <w:highlight w:val="none"/>
                <w:lang w:eastAsia="zh-CN"/>
              </w:rPr>
              <w:t>透彻</w:t>
            </w:r>
            <w:r>
              <w:rPr>
                <w:rFonts w:hint="eastAsia" w:ascii="宋体" w:hAnsi="宋体" w:eastAsia="宋体" w:cs="宋体"/>
                <w:b w:val="0"/>
                <w:bCs/>
                <w:color w:val="auto"/>
                <w:sz w:val="21"/>
                <w:szCs w:val="21"/>
                <w:highlight w:val="none"/>
              </w:rPr>
              <w:t>，措施不具体；项目方案中提出的方案基本合理但不</w:t>
            </w:r>
            <w:r>
              <w:rPr>
                <w:rFonts w:hint="eastAsia" w:ascii="宋体" w:hAnsi="宋体" w:eastAsia="宋体" w:cs="宋体"/>
                <w:b w:val="0"/>
                <w:bCs/>
                <w:color w:val="auto"/>
                <w:sz w:val="21"/>
                <w:szCs w:val="21"/>
                <w:highlight w:val="none"/>
                <w:lang w:eastAsia="zh-CN"/>
              </w:rPr>
              <w:t>详细。</w:t>
            </w:r>
            <w:r>
              <w:rPr>
                <w:rFonts w:hint="eastAsia" w:ascii="宋体" w:hAnsi="宋体" w:eastAsia="宋体" w:cs="宋体"/>
                <w:b w:val="0"/>
                <w:bCs/>
                <w:color w:val="auto"/>
                <w:sz w:val="21"/>
                <w:szCs w:val="21"/>
                <w:highlight w:val="none"/>
              </w:rPr>
              <w:t>总体方案评述</w:t>
            </w:r>
            <w:r>
              <w:rPr>
                <w:rFonts w:hint="eastAsia" w:ascii="宋体" w:hAnsi="宋体" w:eastAsia="宋体" w:cs="宋体"/>
                <w:b w:val="0"/>
                <w:bCs/>
                <w:color w:val="auto"/>
                <w:sz w:val="21"/>
                <w:szCs w:val="21"/>
                <w:highlight w:val="none"/>
                <w:lang w:eastAsia="zh-CN"/>
              </w:rPr>
              <w:t>完整，但</w:t>
            </w:r>
            <w:r>
              <w:rPr>
                <w:rFonts w:hint="eastAsia" w:ascii="宋体" w:hAnsi="宋体" w:eastAsia="宋体" w:cs="宋体"/>
                <w:b w:val="0"/>
                <w:bCs/>
                <w:color w:val="auto"/>
                <w:sz w:val="21"/>
                <w:szCs w:val="21"/>
                <w:highlight w:val="none"/>
              </w:rPr>
              <w:t>不全面。</w:t>
            </w:r>
            <w:r>
              <w:rPr>
                <w:rFonts w:hint="eastAsia" w:ascii="宋体" w:hAnsi="宋体" w:eastAsia="宋体" w:cs="宋体"/>
                <w:b w:val="0"/>
                <w:bCs/>
                <w:color w:val="auto"/>
                <w:sz w:val="21"/>
                <w:szCs w:val="21"/>
                <w:highlight w:val="none"/>
                <w:lang w:val="en-US" w:eastAsia="zh-CN"/>
              </w:rPr>
              <w:t xml:space="preserve"> </w:t>
            </w:r>
          </w:p>
          <w:p w14:paraId="1CF7B082">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三档（满分</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分）：在满足二档的前提下，对项目认识较全面，思路较清晰，有相对应的措施方案；能</w:t>
            </w:r>
            <w:r>
              <w:rPr>
                <w:rFonts w:hint="eastAsia" w:ascii="宋体" w:hAnsi="宋体" w:eastAsia="宋体" w:cs="宋体"/>
                <w:b w:val="0"/>
                <w:bCs/>
                <w:color w:val="auto"/>
                <w:sz w:val="21"/>
                <w:szCs w:val="21"/>
                <w:highlight w:val="none"/>
                <w:lang w:eastAsia="zh-CN"/>
              </w:rPr>
              <w:t>简单</w:t>
            </w:r>
            <w:r>
              <w:rPr>
                <w:rFonts w:hint="eastAsia" w:ascii="宋体" w:hAnsi="宋体" w:eastAsia="宋体" w:cs="宋体"/>
                <w:b w:val="0"/>
                <w:bCs/>
                <w:color w:val="auto"/>
                <w:sz w:val="21"/>
                <w:szCs w:val="21"/>
                <w:highlight w:val="none"/>
              </w:rPr>
              <w:t>描述本项目</w:t>
            </w:r>
            <w:r>
              <w:rPr>
                <w:rFonts w:hint="eastAsia" w:ascii="宋体" w:hAnsi="宋体" w:eastAsia="宋体" w:cs="宋体"/>
                <w:b w:val="0"/>
                <w:bCs/>
                <w:color w:val="auto"/>
                <w:sz w:val="21"/>
                <w:szCs w:val="21"/>
                <w:highlight w:val="none"/>
                <w:lang w:eastAsia="zh-CN"/>
              </w:rPr>
              <w:t>实施</w:t>
            </w:r>
            <w:r>
              <w:rPr>
                <w:rFonts w:hint="eastAsia" w:ascii="宋体" w:hAnsi="宋体" w:eastAsia="宋体" w:cs="宋体"/>
                <w:b w:val="0"/>
                <w:bCs/>
                <w:color w:val="auto"/>
                <w:sz w:val="21"/>
                <w:szCs w:val="21"/>
                <w:highlight w:val="none"/>
              </w:rPr>
              <w:t>的主要内容</w:t>
            </w:r>
            <w:r>
              <w:rPr>
                <w:rFonts w:hint="eastAsia" w:ascii="宋体" w:hAnsi="宋体" w:eastAsia="宋体" w:cs="宋体"/>
                <w:b w:val="0"/>
                <w:bCs/>
                <w:color w:val="auto"/>
                <w:sz w:val="21"/>
                <w:szCs w:val="21"/>
                <w:highlight w:val="none"/>
                <w:lang w:eastAsia="zh-CN"/>
              </w:rPr>
              <w:t>，采用的标准，系统的搭设、课程的设置；</w:t>
            </w:r>
            <w:r>
              <w:rPr>
                <w:rFonts w:hint="eastAsia" w:ascii="宋体" w:hAnsi="宋体" w:eastAsia="宋体" w:cs="宋体"/>
                <w:b w:val="0"/>
                <w:bCs/>
                <w:color w:val="auto"/>
                <w:sz w:val="21"/>
                <w:szCs w:val="21"/>
                <w:highlight w:val="none"/>
              </w:rPr>
              <w:t>项目方案中提出的方案基本合理但可行性不强；工作内容和实施办法不够详细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总体方案评述</w:t>
            </w:r>
            <w:r>
              <w:rPr>
                <w:rFonts w:hint="eastAsia" w:ascii="宋体" w:hAnsi="宋体" w:eastAsia="宋体" w:cs="宋体"/>
                <w:b w:val="0"/>
                <w:bCs/>
                <w:color w:val="auto"/>
                <w:sz w:val="21"/>
                <w:szCs w:val="21"/>
                <w:highlight w:val="none"/>
                <w:lang w:eastAsia="zh-CN"/>
              </w:rPr>
              <w:t>较</w:t>
            </w:r>
            <w:r>
              <w:rPr>
                <w:rFonts w:hint="eastAsia" w:ascii="宋体" w:hAnsi="宋体" w:eastAsia="宋体" w:cs="宋体"/>
                <w:b w:val="0"/>
                <w:bCs/>
                <w:color w:val="auto"/>
                <w:sz w:val="21"/>
                <w:szCs w:val="21"/>
                <w:highlight w:val="none"/>
              </w:rPr>
              <w:t>完整、全面。</w:t>
            </w:r>
            <w:r>
              <w:rPr>
                <w:rFonts w:hint="eastAsia" w:ascii="宋体" w:hAnsi="宋体" w:eastAsia="宋体" w:cs="宋体"/>
                <w:b w:val="0"/>
                <w:bCs/>
                <w:color w:val="auto"/>
                <w:sz w:val="21"/>
                <w:szCs w:val="21"/>
                <w:highlight w:val="none"/>
                <w:lang w:val="en-US" w:eastAsia="zh-CN"/>
              </w:rPr>
              <w:t xml:space="preserve"> </w:t>
            </w:r>
          </w:p>
          <w:p w14:paraId="32993085">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四档（满分</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分）：在满足三档的前提下，对项目认识充分，方案表达清晰、完整，依据项目具体情况采取有效的措施，符合规范要求；实施方案较详细、可行，提供全面的档案管理制度、项目人员管理制度；能详细描述本项目</w:t>
            </w:r>
            <w:r>
              <w:rPr>
                <w:rFonts w:hint="eastAsia" w:ascii="宋体" w:hAnsi="宋体" w:eastAsia="宋体" w:cs="宋体"/>
                <w:b w:val="0"/>
                <w:bCs/>
                <w:color w:val="auto"/>
                <w:sz w:val="21"/>
                <w:szCs w:val="21"/>
                <w:highlight w:val="none"/>
                <w:lang w:eastAsia="zh-CN"/>
              </w:rPr>
              <w:t>实施</w:t>
            </w:r>
            <w:r>
              <w:rPr>
                <w:rFonts w:hint="eastAsia" w:ascii="宋体" w:hAnsi="宋体" w:eastAsia="宋体" w:cs="宋体"/>
                <w:b w:val="0"/>
                <w:bCs/>
                <w:color w:val="auto"/>
                <w:sz w:val="21"/>
                <w:szCs w:val="21"/>
                <w:highlight w:val="none"/>
              </w:rPr>
              <w:t>的主要内容</w:t>
            </w:r>
            <w:r>
              <w:rPr>
                <w:rFonts w:hint="eastAsia" w:ascii="宋体" w:hAnsi="宋体" w:eastAsia="宋体" w:cs="宋体"/>
                <w:b w:val="0"/>
                <w:bCs/>
                <w:color w:val="auto"/>
                <w:sz w:val="21"/>
                <w:szCs w:val="21"/>
                <w:highlight w:val="none"/>
                <w:lang w:eastAsia="zh-CN"/>
              </w:rPr>
              <w:t>，采用的标准，系统的搭设、课程的设置、课程的交互、测试优化等方面；</w:t>
            </w:r>
            <w:r>
              <w:rPr>
                <w:rFonts w:hint="eastAsia" w:ascii="宋体" w:hAnsi="宋体" w:eastAsia="宋体" w:cs="宋体"/>
                <w:b w:val="0"/>
                <w:bCs/>
                <w:color w:val="auto"/>
                <w:sz w:val="21"/>
                <w:szCs w:val="21"/>
                <w:highlight w:val="none"/>
              </w:rPr>
              <w:t>总体思路、理念和方案表述清晰</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方案总体评述</w:t>
            </w:r>
            <w:r>
              <w:rPr>
                <w:rFonts w:hint="eastAsia" w:ascii="宋体" w:hAnsi="宋体" w:eastAsia="宋体" w:cs="宋体"/>
                <w:b w:val="0"/>
                <w:bCs/>
                <w:color w:val="auto"/>
                <w:sz w:val="21"/>
                <w:szCs w:val="21"/>
                <w:highlight w:val="none"/>
                <w:lang w:eastAsia="zh-CN"/>
              </w:rPr>
              <w:t>较</w:t>
            </w:r>
            <w:r>
              <w:rPr>
                <w:rFonts w:hint="eastAsia" w:ascii="宋体" w:hAnsi="宋体" w:eastAsia="宋体" w:cs="宋体"/>
                <w:b w:val="0"/>
                <w:bCs/>
                <w:color w:val="auto"/>
                <w:sz w:val="21"/>
                <w:szCs w:val="21"/>
                <w:highlight w:val="none"/>
              </w:rPr>
              <w:t>完整、全面</w:t>
            </w:r>
            <w:r>
              <w:rPr>
                <w:rFonts w:hint="eastAsia" w:ascii="宋体" w:hAnsi="宋体" w:eastAsia="宋体" w:cs="宋体"/>
                <w:b w:val="0"/>
                <w:bCs/>
                <w:color w:val="auto"/>
                <w:sz w:val="21"/>
                <w:szCs w:val="21"/>
                <w:highlight w:val="none"/>
                <w:lang w:eastAsia="zh-CN"/>
              </w:rPr>
              <w:t>、有一定的科学性</w:t>
            </w:r>
            <w:r>
              <w:rPr>
                <w:rFonts w:hint="eastAsia" w:ascii="宋体" w:hAnsi="宋体" w:eastAsia="宋体" w:cs="宋体"/>
                <w:b w:val="0"/>
                <w:bCs/>
                <w:color w:val="auto"/>
                <w:sz w:val="21"/>
                <w:szCs w:val="21"/>
                <w:highlight w:val="none"/>
              </w:rPr>
              <w:t>。</w:t>
            </w:r>
          </w:p>
          <w:p w14:paraId="4859906C">
            <w:pPr>
              <w:pStyle w:val="26"/>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000000"/>
                <w:sz w:val="21"/>
                <w:szCs w:val="21"/>
                <w:highlight w:val="none"/>
              </w:rPr>
            </w:pPr>
            <w:r>
              <w:rPr>
                <w:rFonts w:hint="eastAsia" w:ascii="宋体" w:hAnsi="宋体" w:eastAsia="宋体" w:cs="宋体"/>
                <w:b w:val="0"/>
                <w:bCs/>
                <w:color w:val="auto"/>
                <w:sz w:val="21"/>
                <w:szCs w:val="21"/>
                <w:highlight w:val="none"/>
              </w:rPr>
              <w:t>五档（满分</w:t>
            </w:r>
            <w:r>
              <w:rPr>
                <w:rFonts w:hint="eastAsia"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分）：在满足四档的前提下，对项目的特点、关键技术问题的认识准确透彻，总体思路、理念和方案表述清晰、</w:t>
            </w:r>
            <w:r>
              <w:rPr>
                <w:rFonts w:hint="eastAsia" w:ascii="宋体" w:hAnsi="宋体" w:eastAsia="宋体" w:cs="宋体"/>
                <w:b w:val="0"/>
                <w:bCs/>
                <w:color w:val="auto"/>
                <w:sz w:val="21"/>
                <w:szCs w:val="21"/>
                <w:highlight w:val="none"/>
                <w:lang w:eastAsia="zh-CN"/>
              </w:rPr>
              <w:t>严谨</w:t>
            </w:r>
            <w:r>
              <w:rPr>
                <w:rFonts w:hint="eastAsia" w:ascii="宋体" w:hAnsi="宋体" w:eastAsia="宋体" w:cs="宋体"/>
                <w:b w:val="0"/>
                <w:bCs/>
                <w:color w:val="auto"/>
                <w:sz w:val="21"/>
                <w:szCs w:val="21"/>
                <w:highlight w:val="none"/>
              </w:rPr>
              <w:t>、完整且依据项目具体情况采取有针对性的措施，符合规范要求；对采购人需求了解透彻，准确理解采购人待解决的</w:t>
            </w:r>
            <w:r>
              <w:rPr>
                <w:rFonts w:hint="eastAsia" w:ascii="宋体" w:hAnsi="宋体" w:eastAsia="宋体" w:cs="宋体"/>
                <w:b w:val="0"/>
                <w:bCs/>
                <w:color w:val="auto"/>
                <w:sz w:val="21"/>
                <w:szCs w:val="21"/>
                <w:highlight w:val="none"/>
                <w:lang w:eastAsia="zh-CN"/>
              </w:rPr>
              <w:t>重点</w:t>
            </w:r>
            <w:r>
              <w:rPr>
                <w:rFonts w:hint="eastAsia" w:ascii="宋体" w:hAnsi="宋体" w:eastAsia="宋体" w:cs="宋体"/>
                <w:b w:val="0"/>
                <w:bCs/>
                <w:color w:val="auto"/>
                <w:sz w:val="21"/>
                <w:szCs w:val="21"/>
                <w:highlight w:val="none"/>
              </w:rPr>
              <w:t>、难点；组织安排合理详细；</w:t>
            </w:r>
            <w:r>
              <w:rPr>
                <w:rFonts w:hint="eastAsia" w:ascii="宋体" w:hAnsi="宋体" w:eastAsia="宋体" w:cs="宋体"/>
                <w:b w:val="0"/>
                <w:bCs/>
                <w:color w:val="auto"/>
                <w:sz w:val="21"/>
                <w:szCs w:val="21"/>
                <w:highlight w:val="none"/>
                <w:lang w:eastAsia="zh-CN"/>
              </w:rPr>
              <w:t>能结合项目实际详细、全面描述本项目实施的</w:t>
            </w:r>
            <w:r>
              <w:rPr>
                <w:rFonts w:hint="eastAsia" w:ascii="宋体" w:hAnsi="宋体" w:eastAsia="宋体" w:cs="宋体"/>
                <w:b w:val="0"/>
                <w:bCs/>
                <w:color w:val="auto"/>
                <w:sz w:val="21"/>
                <w:szCs w:val="21"/>
                <w:highlight w:val="none"/>
              </w:rPr>
              <w:t>主要内容</w:t>
            </w:r>
            <w:r>
              <w:rPr>
                <w:rFonts w:hint="eastAsia" w:ascii="宋体" w:hAnsi="宋体" w:eastAsia="宋体" w:cs="宋体"/>
                <w:b w:val="0"/>
                <w:bCs/>
                <w:color w:val="auto"/>
                <w:sz w:val="21"/>
                <w:szCs w:val="21"/>
                <w:highlight w:val="none"/>
                <w:lang w:eastAsia="zh-CN"/>
              </w:rPr>
              <w:t>，采用的标准，系统的搭设、课程的设置、课程的交互、测试优化、系统功能完整性方面；</w:t>
            </w:r>
            <w:r>
              <w:rPr>
                <w:rFonts w:hint="eastAsia" w:ascii="宋体" w:hAnsi="宋体" w:eastAsia="宋体" w:cs="宋体"/>
                <w:b w:val="0"/>
                <w:bCs/>
                <w:color w:val="auto"/>
                <w:sz w:val="21"/>
                <w:szCs w:val="21"/>
                <w:highlight w:val="none"/>
              </w:rPr>
              <w:t>提供全面</w:t>
            </w:r>
            <w:r>
              <w:rPr>
                <w:rFonts w:hint="eastAsia" w:ascii="宋体" w:hAnsi="宋体" w:eastAsia="宋体" w:cs="宋体"/>
                <w:b w:val="0"/>
                <w:bCs/>
                <w:color w:val="auto"/>
                <w:sz w:val="21"/>
                <w:szCs w:val="21"/>
                <w:highlight w:val="none"/>
                <w:lang w:eastAsia="zh-CN"/>
              </w:rPr>
              <w:t>、可行</w:t>
            </w:r>
            <w:r>
              <w:rPr>
                <w:rFonts w:hint="eastAsia" w:ascii="宋体" w:hAnsi="宋体" w:eastAsia="宋体" w:cs="宋体"/>
                <w:b w:val="0"/>
                <w:bCs/>
                <w:color w:val="auto"/>
                <w:sz w:val="21"/>
                <w:szCs w:val="21"/>
                <w:highlight w:val="none"/>
              </w:rPr>
              <w:t>的档案管理制度、人员管理制度，且针对本项目的实施提供合理化建议</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总体方案评述全面、完整、</w:t>
            </w:r>
            <w:r>
              <w:rPr>
                <w:rFonts w:hint="eastAsia" w:ascii="宋体" w:hAnsi="宋体" w:eastAsia="宋体" w:cs="宋体"/>
                <w:b w:val="0"/>
                <w:bCs/>
                <w:color w:val="auto"/>
                <w:sz w:val="21"/>
                <w:szCs w:val="21"/>
                <w:highlight w:val="none"/>
                <w:lang w:eastAsia="zh-CN"/>
              </w:rPr>
              <w:t>有科学性、</w:t>
            </w:r>
            <w:r>
              <w:rPr>
                <w:rFonts w:hint="eastAsia" w:ascii="宋体" w:hAnsi="宋体" w:eastAsia="宋体" w:cs="宋体"/>
                <w:b w:val="0"/>
                <w:bCs/>
                <w:color w:val="auto"/>
                <w:sz w:val="21"/>
                <w:szCs w:val="21"/>
                <w:highlight w:val="none"/>
              </w:rPr>
              <w:t xml:space="preserve">针对性。 </w:t>
            </w:r>
            <w:r>
              <w:rPr>
                <w:rFonts w:hint="eastAsia" w:ascii="宋体" w:hAnsi="宋体" w:eastAsia="宋体" w:cs="宋体"/>
                <w:sz w:val="21"/>
                <w:szCs w:val="21"/>
                <w:highlight w:val="none"/>
              </w:rPr>
              <w:t xml:space="preserve"> </w:t>
            </w:r>
          </w:p>
        </w:tc>
      </w:tr>
      <w:tr w14:paraId="027A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2487E166">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09B9ABB4">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FE66A26">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项目质量进度、控制方案分（满分</w:t>
            </w:r>
            <w:r>
              <w:rPr>
                <w:rFonts w:hint="default"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vAlign w:val="center"/>
          </w:tcPr>
          <w:p w14:paraId="49E08548">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提供的项目进度、质量控制方案独立评审打分。</w:t>
            </w:r>
          </w:p>
          <w:p w14:paraId="0001EB4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一档（0分）：未提供项目质量进度、控制方案或未达到二档的要求。</w:t>
            </w:r>
          </w:p>
          <w:p w14:paraId="175FF902">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二档（满分</w:t>
            </w:r>
            <w:r>
              <w:rPr>
                <w:rFonts w:hint="default"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分）：提供保证项目的具体措施。各项计划图表编制不完善，安排不够紧凑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总体方案评述</w:t>
            </w:r>
            <w:r>
              <w:rPr>
                <w:rFonts w:hint="eastAsia" w:ascii="宋体" w:hAnsi="宋体" w:eastAsia="宋体" w:cs="宋体"/>
                <w:kern w:val="0"/>
                <w:sz w:val="21"/>
                <w:szCs w:val="21"/>
                <w:highlight w:val="none"/>
                <w:lang w:eastAsia="zh-CN"/>
              </w:rPr>
              <w:t>完整，但</w:t>
            </w:r>
            <w:r>
              <w:rPr>
                <w:rFonts w:hint="eastAsia" w:ascii="宋体" w:hAnsi="宋体" w:eastAsia="宋体" w:cs="宋体"/>
                <w:kern w:val="0"/>
                <w:sz w:val="21"/>
                <w:szCs w:val="21"/>
                <w:highlight w:val="none"/>
              </w:rPr>
              <w:t>不全面。</w:t>
            </w:r>
            <w:r>
              <w:rPr>
                <w:rFonts w:hint="eastAsia" w:ascii="宋体" w:hAnsi="宋体" w:eastAsia="宋体" w:cs="宋体"/>
                <w:kern w:val="0"/>
                <w:sz w:val="21"/>
                <w:szCs w:val="21"/>
                <w:highlight w:val="none"/>
                <w:lang w:val="en-US" w:eastAsia="zh-CN"/>
              </w:rPr>
              <w:t xml:space="preserve"> </w:t>
            </w:r>
          </w:p>
          <w:p w14:paraId="388EE555">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default"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分）：在满足二档的前提下，提供有保证项目的具体措施，措施基本得当。各项计划图表编制基本齐全；有提供优化技术管理方案，安排基本合理，基本满足本项目采购需求。总体方案评述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val="en-US" w:eastAsia="zh-CN"/>
              </w:rPr>
              <w:t xml:space="preserve"> </w:t>
            </w:r>
          </w:p>
          <w:p w14:paraId="43433308">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分）：在满足三档的前提下，提供有保证项目的具体措施且措施得当。各项计划图表编制完善，安排较合理；</w:t>
            </w:r>
            <w:r>
              <w:rPr>
                <w:rFonts w:hint="eastAsia" w:ascii="宋体" w:hAnsi="宋体" w:eastAsia="宋体" w:cs="宋体"/>
                <w:kern w:val="0"/>
                <w:sz w:val="21"/>
                <w:szCs w:val="21"/>
                <w:highlight w:val="none"/>
                <w:lang w:eastAsia="zh-CN"/>
              </w:rPr>
              <w:t>能</w:t>
            </w:r>
            <w:r>
              <w:rPr>
                <w:rFonts w:hint="eastAsia" w:ascii="宋体" w:hAnsi="宋体" w:eastAsia="宋体" w:cs="宋体"/>
                <w:kern w:val="0"/>
                <w:sz w:val="21"/>
                <w:szCs w:val="21"/>
                <w:highlight w:val="none"/>
              </w:rPr>
              <w:t>提供</w:t>
            </w:r>
            <w:r>
              <w:rPr>
                <w:rFonts w:hint="eastAsia" w:ascii="宋体" w:hAnsi="宋体" w:eastAsia="宋体" w:cs="宋体"/>
                <w:kern w:val="0"/>
                <w:sz w:val="21"/>
                <w:szCs w:val="21"/>
                <w:highlight w:val="none"/>
                <w:lang w:eastAsia="zh-CN"/>
              </w:rPr>
              <w:t>较全面、详细的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w:t>
            </w:r>
            <w:r>
              <w:rPr>
                <w:rFonts w:hint="eastAsia" w:ascii="宋体" w:hAnsi="宋体" w:eastAsia="宋体" w:cs="宋体"/>
                <w:kern w:val="0"/>
                <w:sz w:val="21"/>
                <w:szCs w:val="21"/>
                <w:highlight w:val="none"/>
                <w:lang w:eastAsia="zh-CN"/>
              </w:rPr>
              <w:t>；提供了较清晰、明确的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能较好满足项目需求。方案总体评述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eastAsia="zh-CN"/>
              </w:rPr>
              <w:t>、有一定的科学性</w:t>
            </w:r>
            <w:r>
              <w:rPr>
                <w:rFonts w:hint="eastAsia" w:ascii="宋体" w:hAnsi="宋体" w:eastAsia="宋体" w:cs="宋体"/>
                <w:kern w:val="0"/>
                <w:sz w:val="21"/>
                <w:szCs w:val="21"/>
                <w:highlight w:val="none"/>
              </w:rPr>
              <w:t>。</w:t>
            </w:r>
          </w:p>
          <w:p w14:paraId="6D033A23">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五档（满分</w:t>
            </w:r>
            <w:r>
              <w:rPr>
                <w:rFonts w:hint="default"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分）：在满足四档的前提下，提供的方案整体描述全面、具体、可行；质量管控方式多样；有详细的工作计划编排及保证措施，控制重点分析合理；提供</w:t>
            </w:r>
            <w:r>
              <w:rPr>
                <w:rFonts w:hint="eastAsia" w:ascii="宋体" w:hAnsi="宋体" w:eastAsia="宋体" w:cs="宋体"/>
                <w:kern w:val="0"/>
                <w:sz w:val="21"/>
                <w:szCs w:val="21"/>
                <w:highlight w:val="none"/>
                <w:lang w:eastAsia="zh-CN"/>
              </w:rPr>
              <w:t>全面、详细、合理的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风险控制解决方案；针对本项目进度控制重点提出了具体、可行的措施，能有效保证项目实施或缩短项目周期；</w:t>
            </w:r>
            <w:r>
              <w:rPr>
                <w:rFonts w:hint="eastAsia" w:ascii="宋体" w:hAnsi="宋体" w:eastAsia="宋体" w:cs="宋体"/>
                <w:kern w:val="0"/>
                <w:sz w:val="21"/>
                <w:szCs w:val="21"/>
                <w:highlight w:val="none"/>
                <w:lang w:eastAsia="zh-CN"/>
              </w:rPr>
              <w:t>提供了全面、可行的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方案及</w:t>
            </w:r>
            <w:r>
              <w:rPr>
                <w:rFonts w:hint="eastAsia" w:ascii="宋体" w:hAnsi="宋体" w:eastAsia="宋体" w:cs="宋体"/>
                <w:kern w:val="0"/>
                <w:sz w:val="21"/>
                <w:szCs w:val="21"/>
                <w:highlight w:val="none"/>
              </w:rPr>
              <w:t>应急预案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完全满足项目需求。总体方案评述全面、完整、</w:t>
            </w:r>
            <w:r>
              <w:rPr>
                <w:rFonts w:hint="eastAsia" w:ascii="宋体" w:hAnsi="宋体" w:eastAsia="宋体" w:cs="宋体"/>
                <w:kern w:val="0"/>
                <w:sz w:val="21"/>
                <w:szCs w:val="21"/>
                <w:highlight w:val="none"/>
                <w:lang w:eastAsia="zh-CN"/>
              </w:rPr>
              <w:t>有科学性、</w:t>
            </w:r>
            <w:r>
              <w:rPr>
                <w:rFonts w:hint="eastAsia" w:ascii="宋体" w:hAnsi="宋体" w:eastAsia="宋体" w:cs="宋体"/>
                <w:kern w:val="0"/>
                <w:sz w:val="21"/>
                <w:szCs w:val="21"/>
                <w:highlight w:val="none"/>
              </w:rPr>
              <w:t>针对性。</w:t>
            </w:r>
          </w:p>
        </w:tc>
      </w:tr>
      <w:tr w14:paraId="203D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15" w:type="dxa"/>
            <w:vMerge w:val="continue"/>
            <w:tcBorders>
              <w:left w:val="single" w:color="auto" w:sz="4" w:space="0"/>
              <w:right w:val="single" w:color="auto" w:sz="4" w:space="0"/>
            </w:tcBorders>
            <w:vAlign w:val="center"/>
          </w:tcPr>
          <w:p w14:paraId="753F118D">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31B8EEC8">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D6BF4F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售后服务方案（满分</w:t>
            </w:r>
            <w:r>
              <w:rPr>
                <w:rFonts w:hint="default" w:ascii="宋体" w:hAnsi="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right w:val="single" w:color="auto" w:sz="4" w:space="0"/>
            </w:tcBorders>
            <w:vAlign w:val="top"/>
          </w:tcPr>
          <w:p w14:paraId="18BEA651">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进行独立评审打分。</w:t>
            </w:r>
          </w:p>
          <w:p w14:paraId="16C9500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一档（0分）：未提供</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或未达到</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档的要求。</w:t>
            </w:r>
          </w:p>
          <w:p w14:paraId="7A8582B2">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二档（满分</w:t>
            </w:r>
            <w:r>
              <w:rPr>
                <w:rFonts w:hint="default" w:ascii="宋体" w:hAnsi="宋体" w:cs="宋体"/>
                <w:sz w:val="21"/>
                <w:szCs w:val="21"/>
                <w:highlight w:val="none"/>
                <w:lang w:val="en-US" w:eastAsia="zh-CN"/>
              </w:rPr>
              <w:t>3</w:t>
            </w:r>
            <w:r>
              <w:rPr>
                <w:rFonts w:hint="eastAsia" w:ascii="宋体" w:hAnsi="宋体" w:eastAsia="宋体" w:cs="宋体"/>
                <w:sz w:val="21"/>
                <w:szCs w:val="21"/>
                <w:highlight w:val="none"/>
              </w:rPr>
              <w:t>分）：基本满足采购文件要求；简单提供可行的后续服务承诺；对前期工作方案及承诺响应内容描简单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w:t>
            </w:r>
            <w:r>
              <w:rPr>
                <w:rFonts w:hint="eastAsia" w:ascii="宋体" w:hAnsi="宋体" w:eastAsia="宋体" w:cs="宋体"/>
                <w:sz w:val="21"/>
                <w:szCs w:val="21"/>
                <w:highlight w:val="none"/>
                <w:lang w:eastAsia="zh-CN"/>
              </w:rPr>
              <w:t>完整，但</w:t>
            </w:r>
            <w:r>
              <w:rPr>
                <w:rFonts w:hint="eastAsia" w:ascii="宋体" w:hAnsi="宋体" w:eastAsia="宋体" w:cs="宋体"/>
                <w:sz w:val="21"/>
                <w:szCs w:val="21"/>
                <w:highlight w:val="none"/>
              </w:rPr>
              <w:t>不全面。</w:t>
            </w:r>
            <w:r>
              <w:rPr>
                <w:rFonts w:hint="eastAsia" w:ascii="宋体" w:hAnsi="宋体" w:eastAsia="宋体" w:cs="宋体"/>
                <w:sz w:val="21"/>
                <w:szCs w:val="21"/>
                <w:highlight w:val="none"/>
                <w:lang w:val="en-US" w:eastAsia="zh-CN"/>
              </w:rPr>
              <w:t xml:space="preserve"> </w:t>
            </w:r>
          </w:p>
          <w:p w14:paraId="6240E733">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三档（满分</w:t>
            </w:r>
            <w:r>
              <w:rPr>
                <w:rFonts w:hint="default" w:ascii="宋体" w:hAnsi="宋体" w:cs="宋体"/>
                <w:sz w:val="21"/>
                <w:szCs w:val="21"/>
                <w:highlight w:val="none"/>
                <w:lang w:val="en-US" w:eastAsia="zh-CN"/>
              </w:rPr>
              <w:t>7</w:t>
            </w:r>
            <w:r>
              <w:rPr>
                <w:rFonts w:hint="eastAsia" w:ascii="宋体" w:hAnsi="宋体" w:eastAsia="宋体" w:cs="宋体"/>
                <w:sz w:val="21"/>
                <w:szCs w:val="21"/>
                <w:highlight w:val="none"/>
              </w:rPr>
              <w:t>分）：在满足二档的前提下；提供比较详细可行的后续服务承诺；对前期工作方案及承诺响应较好；有简单的后续记录档案制度；有比较完整具体实施事项分析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方案总体评述</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完整、全面</w:t>
            </w:r>
            <w:r>
              <w:rPr>
                <w:rFonts w:hint="eastAsia" w:ascii="宋体" w:hAnsi="宋体" w:eastAsia="宋体" w:cs="宋体"/>
                <w:sz w:val="21"/>
                <w:szCs w:val="21"/>
                <w:highlight w:val="none"/>
                <w:lang w:eastAsia="zh-CN"/>
              </w:rPr>
              <w:t>、有一定的科学性</w:t>
            </w:r>
            <w:r>
              <w:rPr>
                <w:rFonts w:hint="eastAsia" w:ascii="宋体" w:hAnsi="宋体" w:eastAsia="宋体" w:cs="宋体"/>
                <w:sz w:val="21"/>
                <w:szCs w:val="21"/>
                <w:highlight w:val="none"/>
              </w:rPr>
              <w:t>。</w:t>
            </w:r>
          </w:p>
          <w:p w14:paraId="532CE164">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四档（满分</w:t>
            </w:r>
            <w:r>
              <w:rPr>
                <w:rFonts w:hint="default" w:ascii="宋体" w:hAnsi="宋体" w:cs="宋体"/>
                <w:sz w:val="21"/>
                <w:szCs w:val="21"/>
                <w:highlight w:val="none"/>
                <w:lang w:val="en-US" w:eastAsia="zh-CN"/>
              </w:rPr>
              <w:t>10</w:t>
            </w:r>
            <w:r>
              <w:rPr>
                <w:rFonts w:hint="eastAsia" w:ascii="宋体" w:hAnsi="宋体" w:eastAsia="宋体" w:cs="宋体"/>
                <w:sz w:val="21"/>
                <w:szCs w:val="21"/>
                <w:highlight w:val="none"/>
              </w:rPr>
              <w:t>分）：在满足三档的前提下，提供比较详细可行的后续服务承诺；对前期工作方案及承诺响应较好；有完整的后续记录档案制度；对内容、流程详尽有操作性；跟踪指导服务及时，后续跟踪服务内容全面多样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总体方案评述全面、完整、</w:t>
            </w:r>
            <w:r>
              <w:rPr>
                <w:rFonts w:hint="eastAsia" w:ascii="宋体" w:hAnsi="宋体" w:eastAsia="宋体" w:cs="宋体"/>
                <w:sz w:val="21"/>
                <w:szCs w:val="21"/>
                <w:highlight w:val="none"/>
                <w:lang w:eastAsia="zh-CN"/>
              </w:rPr>
              <w:t>有科学性、</w:t>
            </w:r>
            <w:r>
              <w:rPr>
                <w:rFonts w:hint="eastAsia" w:ascii="宋体" w:hAnsi="宋体" w:eastAsia="宋体" w:cs="宋体"/>
                <w:sz w:val="21"/>
                <w:szCs w:val="21"/>
                <w:highlight w:val="none"/>
              </w:rPr>
              <w:t xml:space="preserve">针对性。 </w:t>
            </w:r>
          </w:p>
        </w:tc>
      </w:tr>
      <w:tr w14:paraId="04DF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15" w:type="dxa"/>
            <w:vMerge w:val="continue"/>
            <w:tcBorders>
              <w:left w:val="single" w:color="auto" w:sz="4" w:space="0"/>
              <w:right w:val="single" w:color="auto" w:sz="4" w:space="0"/>
            </w:tcBorders>
            <w:vAlign w:val="center"/>
          </w:tcPr>
          <w:p w14:paraId="76C7AB9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73FE06A3">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ACDF46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lang w:val="en-US" w:eastAsia="zh-CN"/>
              </w:rPr>
              <w:t>演示分</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6523" w:type="dxa"/>
            <w:tcBorders>
              <w:top w:val="single" w:color="auto" w:sz="4" w:space="0"/>
              <w:left w:val="single" w:color="auto" w:sz="4" w:space="0"/>
              <w:right w:val="single" w:color="auto" w:sz="4" w:space="0"/>
            </w:tcBorders>
            <w:vAlign w:val="top"/>
          </w:tcPr>
          <w:p w14:paraId="098B9E1D">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供应商需在广西政府采购云平台上对《具体说明、功能及技术参数要求》中标注“◆”功能进行详细讲解和阐述，未进行演示的不得分，计0分</w:t>
            </w:r>
            <w:r>
              <w:rPr>
                <w:rFonts w:hint="eastAsia" w:ascii="宋体" w:hAnsi="宋体" w:eastAsia="宋体" w:cs="宋体"/>
                <w:sz w:val="21"/>
                <w:szCs w:val="21"/>
                <w:highlight w:val="none"/>
                <w:lang w:eastAsia="zh-CN"/>
              </w:rPr>
              <w:t>，本项满分</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14:paraId="69E448A5">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通过PPT或者截图形式进行产品演示。每成功演示《具体说明、功能及技术参数要求》中标注“◆”的功能并经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w:t>
            </w:r>
          </w:p>
          <w:p w14:paraId="0587E416">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通过以视频播放形式进行产品演示。每成功演示《具体说明、功能及技术参数要求》中标注“◆”的功能并经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660A84A3">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通过软件实测进行演示。每成功演示《具体说明、功能及技术参数要求》中标注“◆”的功能并经</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C0639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可自由选择演示的表现形式，如采用PPT与软件实测混合演示模式的，加分按演示形式所属档次分别赋分。</w:t>
            </w:r>
          </w:p>
        </w:tc>
      </w:tr>
      <w:tr w14:paraId="44E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left w:val="single" w:color="auto" w:sz="4" w:space="0"/>
              <w:right w:val="single" w:color="auto" w:sz="4" w:space="0"/>
            </w:tcBorders>
            <w:vAlign w:val="center"/>
          </w:tcPr>
          <w:p w14:paraId="67B273F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851" w:type="dxa"/>
            <w:tcBorders>
              <w:left w:val="single" w:color="auto" w:sz="4" w:space="0"/>
              <w:right w:val="single" w:color="auto" w:sz="4" w:space="0"/>
            </w:tcBorders>
            <w:vAlign w:val="center"/>
          </w:tcPr>
          <w:p w14:paraId="358479D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商务分（满分</w:t>
            </w:r>
            <w:r>
              <w:rPr>
                <w:rFonts w:hint="default" w:ascii="宋体" w:hAnsi="宋体" w:cs="宋体"/>
                <w:b/>
                <w:bCs/>
                <w:sz w:val="21"/>
                <w:szCs w:val="21"/>
                <w:highlight w:val="none"/>
                <w:lang w:val="en-US" w:eastAsia="zh-CN"/>
              </w:rPr>
              <w:t>10</w:t>
            </w:r>
            <w:r>
              <w:rPr>
                <w:rFonts w:hint="eastAsia" w:ascii="宋体" w:hAnsi="宋体" w:eastAsia="宋体" w:cs="宋体"/>
                <w:b/>
                <w:bCs/>
                <w:sz w:val="21"/>
                <w:szCs w:val="21"/>
                <w:highlight w:val="none"/>
              </w:rPr>
              <w:t>分）</w:t>
            </w:r>
          </w:p>
        </w:tc>
        <w:tc>
          <w:tcPr>
            <w:tcW w:w="110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73DADD0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业绩分（满分</w:t>
            </w:r>
            <w:r>
              <w:rPr>
                <w:rFonts w:hint="default" w:ascii="宋体" w:hAnsi="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tcPr>
          <w:p w14:paraId="11311218">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年1月1日以来承接过类似项目的（类似项目指</w:t>
            </w:r>
            <w:r>
              <w:rPr>
                <w:rFonts w:hint="eastAsia" w:ascii="宋体" w:hAnsi="宋体" w:eastAsia="宋体" w:cs="宋体"/>
                <w:szCs w:val="21"/>
                <w:highlight w:val="none"/>
              </w:rPr>
              <w:t>教学管理平台</w:t>
            </w:r>
            <w:r>
              <w:rPr>
                <w:rFonts w:hint="eastAsia" w:ascii="宋体" w:hAnsi="宋体" w:eastAsia="宋体" w:cs="宋体"/>
                <w:szCs w:val="21"/>
                <w:highlight w:val="none"/>
                <w:lang w:val="en-US" w:eastAsia="zh-CN"/>
              </w:rPr>
              <w:t>或</w:t>
            </w:r>
            <w:r>
              <w:rPr>
                <w:rFonts w:hint="eastAsia" w:ascii="宋体" w:hAnsi="宋体" w:eastAsia="宋体" w:cs="宋体"/>
                <w:sz w:val="21"/>
                <w:szCs w:val="21"/>
                <w:highlight w:val="none"/>
                <w:lang w:val="en-US" w:eastAsia="zh-CN"/>
              </w:rPr>
              <w:t>课程资源制作</w:t>
            </w:r>
            <w:r>
              <w:rPr>
                <w:rFonts w:hint="eastAsia" w:ascii="宋体" w:hAnsi="宋体" w:eastAsia="宋体" w:cs="宋体"/>
                <w:sz w:val="21"/>
                <w:szCs w:val="21"/>
                <w:highlight w:val="none"/>
              </w:rPr>
              <w:t>等），每提供一份项目合同业绩的得</w:t>
            </w:r>
            <w:r>
              <w:rPr>
                <w:rFonts w:hint="default" w:ascii="宋体" w:hAnsi="宋体" w:cs="宋体"/>
                <w:sz w:val="21"/>
                <w:szCs w:val="21"/>
                <w:highlight w:val="none"/>
                <w:lang w:val="en-US" w:eastAsia="zh-CN"/>
              </w:rPr>
              <w:t>2</w:t>
            </w:r>
            <w:r>
              <w:rPr>
                <w:rFonts w:hint="eastAsia" w:ascii="宋体" w:hAnsi="宋体" w:eastAsia="宋体" w:cs="宋体"/>
                <w:sz w:val="21"/>
                <w:szCs w:val="21"/>
                <w:highlight w:val="none"/>
              </w:rPr>
              <w:t>分，本项满分</w:t>
            </w:r>
            <w:r>
              <w:rPr>
                <w:rFonts w:hint="default"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
                <w:sz w:val="21"/>
                <w:szCs w:val="21"/>
                <w:highlight w:val="none"/>
              </w:rPr>
              <w:t>【注：投标文件中要附业绩一览表，并列明采购单位信息及单位地址、联系人、电话等，同时提供采购合同或中标（成交）通知书复印件，未按要求提供材料的不予计分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如中标（成交）通知书不能清晰反映所承接项目的标的信息，还需提供有效的合同证明材料或履约验收证明材料。</w:t>
            </w:r>
            <w:r>
              <w:rPr>
                <w:rFonts w:hint="eastAsia" w:ascii="宋体" w:hAnsi="宋体" w:eastAsia="宋体" w:cs="宋体"/>
                <w:b/>
                <w:sz w:val="21"/>
                <w:szCs w:val="21"/>
                <w:highlight w:val="none"/>
              </w:rPr>
              <w:t>】</w:t>
            </w:r>
          </w:p>
        </w:tc>
      </w:tr>
      <w:tr w14:paraId="44F9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6CDF047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14:paraId="18F45A7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政策功能分（满分2分）</w:t>
            </w:r>
          </w:p>
        </w:tc>
        <w:tc>
          <w:tcPr>
            <w:tcW w:w="1105" w:type="dxa"/>
            <w:tcBorders>
              <w:top w:val="single" w:color="auto" w:sz="4" w:space="0"/>
              <w:left w:val="single" w:color="auto" w:sz="4" w:space="0"/>
              <w:bottom w:val="single" w:color="auto" w:sz="4" w:space="0"/>
              <w:right w:val="single" w:color="auto" w:sz="4" w:space="0"/>
            </w:tcBorders>
            <w:vAlign w:val="center"/>
          </w:tcPr>
          <w:p w14:paraId="1C7D330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节能、环保分</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满分2分</w:t>
            </w:r>
            <w:r>
              <w:rPr>
                <w:rFonts w:hint="eastAsia" w:ascii="宋体" w:hAnsi="宋体" w:eastAsia="宋体" w:cs="宋体"/>
                <w:bCs/>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tcPr>
          <w:p w14:paraId="2E3DE2DD">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（1）节能产品分：投标产品列入品目清单范围内优先采购的，且提供国家确定的认证机构出具的、处于有效期之内的节能产品认证证书复印件（加盖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），每有一项得0.5分，最多得1分。采购内容中的强制产品不加分。</w:t>
            </w:r>
          </w:p>
          <w:p w14:paraId="0E4766B7">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（2）环保标志产品分：投标产品列入品目清单范围内优先采购的，且提供国家确定的认证机构出具的、处于有效期之内的环境标志产品认证证书复印件（加盖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w:t>
            </w:r>
          </w:p>
        </w:tc>
      </w:tr>
      <w:tr w14:paraId="1AB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39D7A0A9">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总得分=1+2+3+4。</w:t>
            </w:r>
          </w:p>
        </w:tc>
      </w:tr>
    </w:tbl>
    <w:p w14:paraId="3BFDCDB4">
      <w:pPr>
        <w:pStyle w:val="26"/>
        <w:spacing w:line="360" w:lineRule="auto"/>
        <w:ind w:firstLine="420"/>
        <w:rPr>
          <w:rFonts w:hAnsi="宋体"/>
          <w:bCs/>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bCs/>
          <w:color w:val="000000"/>
          <w:sz w:val="21"/>
          <w:highlight w:val="none"/>
        </w:rPr>
        <w:t>注：计分方法按四舍五入取至百分位</w:t>
      </w:r>
    </w:p>
    <w:tbl>
      <w:tblPr>
        <w:tblStyle w:val="4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14:paraId="307F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00C0E1A6">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适用于</w:t>
            </w:r>
            <w:r>
              <w:rPr>
                <w:rFonts w:hint="eastAsia" w:ascii="宋体" w:hAnsi="宋体" w:eastAsia="宋体" w:cs="宋体"/>
                <w:b/>
                <w:bCs/>
                <w:color w:val="000000"/>
                <w:kern w:val="0"/>
                <w:sz w:val="21"/>
                <w:szCs w:val="21"/>
                <w:highlight w:val="none"/>
                <w:lang w:val="en-US" w:eastAsia="zh-CN"/>
              </w:rPr>
              <w:t>C分标</w:t>
            </w:r>
          </w:p>
        </w:tc>
      </w:tr>
      <w:tr w14:paraId="7CE6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775CC03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40592B8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14:paraId="7A9B946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0A56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55B089B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16FE747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价格分</w:t>
            </w:r>
          </w:p>
          <w:p w14:paraId="4C3CFE16">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（30满分分）</w:t>
            </w:r>
          </w:p>
        </w:tc>
        <w:tc>
          <w:tcPr>
            <w:tcW w:w="1105" w:type="dxa"/>
            <w:tcBorders>
              <w:top w:val="single" w:color="auto" w:sz="4" w:space="0"/>
              <w:left w:val="single" w:color="auto" w:sz="4" w:space="0"/>
              <w:bottom w:val="single" w:color="auto" w:sz="4" w:space="0"/>
              <w:right w:val="single" w:color="auto" w:sz="4" w:space="0"/>
            </w:tcBorders>
            <w:vAlign w:val="center"/>
          </w:tcPr>
          <w:p w14:paraId="473122D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14:paraId="159C3F15">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（1）评标报价为投标人的投标报价进行政策性扣除后的价格，评标报价只是作为评标时使用。最终中标人的中标金额等于投标报价。</w:t>
            </w:r>
          </w:p>
          <w:p w14:paraId="63AD7674">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（2）政策性扣除计算方法。</w:t>
            </w:r>
          </w:p>
          <w:p w14:paraId="6D1398BD">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w:t>
            </w:r>
            <w:r>
              <w:rPr>
                <w:rFonts w:hint="eastAsia" w:ascii="宋体" w:hAnsi="宋体" w:eastAsia="宋体" w:cs="宋体"/>
                <w:bCs/>
                <w:sz w:val="21"/>
                <w:szCs w:val="21"/>
                <w:highlight w:val="none"/>
                <w:lang w:eastAsia="zh-CN"/>
              </w:rPr>
              <w:t>桂财采〔2024〕55号</w:t>
            </w:r>
            <w:r>
              <w:rPr>
                <w:rFonts w:hint="eastAsia" w:ascii="宋体" w:hAnsi="宋体" w:eastAsia="宋体" w:cs="宋体"/>
                <w:bCs/>
                <w:sz w:val="21"/>
                <w:szCs w:val="21"/>
                <w:highlight w:val="none"/>
              </w:rPr>
              <w:t>）的规定</w:t>
            </w:r>
            <w:r>
              <w:rPr>
                <w:rFonts w:hint="eastAsia" w:ascii="宋体" w:hAnsi="宋体" w:eastAsia="宋体" w:cs="宋体"/>
                <w:bCs/>
                <w:color w:val="000000"/>
                <w:sz w:val="21"/>
                <w:szCs w:val="21"/>
                <w:highlight w:val="none"/>
              </w:rPr>
              <w:t>，投标人在其投标文件中提供《中小企业声明函》，且其投标全部货物由小微企业制造的，对其投标报价给予</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%的扣除，扣除后的价格为评标报价，即评标报价=投标报价×（1-</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%的扣除，用扣除后的价格参加评审，扣除后的价格为评标报价，即评标报价=投标报价×（1-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%）。除上述情况外，评标报价=投标报价。</w:t>
            </w:r>
          </w:p>
          <w:p w14:paraId="6D95E56C">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D4FC60F">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B57C89">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（5）满足招标文件要求且评标报价最低的评标报价为评标基准价，其价格分为满分。</w:t>
            </w:r>
          </w:p>
          <w:p w14:paraId="3A7AC1F7">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（6）价格分计算公式：价格分=(评标基准价／评标报价)×30分 </w:t>
            </w:r>
            <w:r>
              <w:rPr>
                <w:rFonts w:hint="eastAsia" w:ascii="宋体" w:hAnsi="宋体" w:eastAsia="宋体" w:cs="宋体"/>
                <w:color w:val="000000"/>
                <w:sz w:val="21"/>
                <w:szCs w:val="21"/>
                <w:highlight w:val="none"/>
              </w:rPr>
              <w:t xml:space="preserve">  </w:t>
            </w:r>
          </w:p>
          <w:p w14:paraId="442741CD">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A00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75B3DD6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851" w:type="dxa"/>
            <w:vMerge w:val="restart"/>
            <w:tcBorders>
              <w:top w:val="single" w:color="auto" w:sz="4" w:space="0"/>
              <w:left w:val="single" w:color="auto" w:sz="4" w:space="0"/>
              <w:right w:val="single" w:color="auto" w:sz="4" w:space="0"/>
            </w:tcBorders>
            <w:vAlign w:val="center"/>
          </w:tcPr>
          <w:p w14:paraId="2389B34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pacing w:val="-18"/>
                <w:sz w:val="21"/>
                <w:szCs w:val="21"/>
                <w:highlight w:val="none"/>
              </w:rPr>
            </w:pPr>
            <w:r>
              <w:rPr>
                <w:rFonts w:hint="eastAsia" w:ascii="宋体" w:hAnsi="宋体" w:eastAsia="宋体" w:cs="宋体"/>
                <w:b/>
                <w:bCs/>
                <w:sz w:val="21"/>
                <w:szCs w:val="21"/>
                <w:highlight w:val="none"/>
              </w:rPr>
              <w:t>技术分（满分</w:t>
            </w:r>
            <w:r>
              <w:rPr>
                <w:rFonts w:hint="default" w:ascii="宋体" w:hAnsi="宋体" w:cs="宋体"/>
                <w:b/>
                <w:bCs/>
                <w:sz w:val="21"/>
                <w:szCs w:val="21"/>
                <w:highlight w:val="none"/>
                <w:lang w:val="en-US" w:eastAsia="zh-CN"/>
              </w:rPr>
              <w:t>58</w:t>
            </w:r>
            <w:r>
              <w:rPr>
                <w:rFonts w:hint="eastAsia" w:ascii="宋体" w:hAnsi="宋体" w:eastAsia="宋体" w:cs="宋体"/>
                <w:b/>
                <w:bCs/>
                <w:sz w:val="21"/>
                <w:szCs w:val="21"/>
                <w:highlight w:val="none"/>
              </w:rPr>
              <w:t>分）</w:t>
            </w:r>
          </w:p>
        </w:tc>
        <w:tc>
          <w:tcPr>
            <w:tcW w:w="1105" w:type="dxa"/>
            <w:vMerge w:val="restart"/>
            <w:tcBorders>
              <w:top w:val="single" w:color="auto" w:sz="4" w:space="0"/>
              <w:left w:val="single" w:color="auto" w:sz="4" w:space="0"/>
              <w:right w:val="single" w:color="auto" w:sz="4" w:space="0"/>
            </w:tcBorders>
            <w:vAlign w:val="center"/>
          </w:tcPr>
          <w:p w14:paraId="44F1224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技术性能分</w:t>
            </w:r>
            <w:r>
              <w:rPr>
                <w:rFonts w:hint="eastAsia" w:ascii="宋体" w:hAnsi="宋体" w:eastAsia="宋体" w:cs="宋体"/>
                <w:bCs/>
                <w:sz w:val="21"/>
                <w:szCs w:val="21"/>
                <w:highlight w:val="none"/>
              </w:rPr>
              <w:t>（满分</w:t>
            </w:r>
            <w:r>
              <w:rPr>
                <w:rFonts w:hint="default" w:ascii="宋体" w:hAnsi="宋体" w:cs="宋体"/>
                <w:bCs/>
                <w:sz w:val="21"/>
                <w:szCs w:val="21"/>
                <w:highlight w:val="none"/>
                <w:lang w:val="en-US" w:eastAsia="zh-CN"/>
              </w:rPr>
              <w:t>18</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257A6687">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投标产品技术完全满足招标文件“技术要求”且无任何负偏离的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eastAsia="zh-CN"/>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61AE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15" w:type="dxa"/>
            <w:vMerge w:val="continue"/>
            <w:tcBorders>
              <w:left w:val="single" w:color="auto" w:sz="4" w:space="0"/>
              <w:right w:val="single" w:color="auto" w:sz="4" w:space="0"/>
            </w:tcBorders>
            <w:vAlign w:val="center"/>
          </w:tcPr>
          <w:p w14:paraId="0F7DEAD2">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224FEF35">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pacing w:val="-18"/>
                <w:sz w:val="21"/>
                <w:szCs w:val="21"/>
                <w:highlight w:val="none"/>
              </w:rPr>
            </w:pPr>
          </w:p>
        </w:tc>
        <w:tc>
          <w:tcPr>
            <w:tcW w:w="1105" w:type="dxa"/>
            <w:vMerge w:val="continue"/>
            <w:tcBorders>
              <w:left w:val="single" w:color="auto" w:sz="4" w:space="0"/>
              <w:bottom w:val="single" w:color="auto" w:sz="4" w:space="0"/>
              <w:right w:val="single" w:color="auto" w:sz="4" w:space="0"/>
            </w:tcBorders>
            <w:vAlign w:val="center"/>
          </w:tcPr>
          <w:p w14:paraId="5C34B552">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p>
        </w:tc>
        <w:tc>
          <w:tcPr>
            <w:tcW w:w="6523" w:type="dxa"/>
            <w:tcBorders>
              <w:top w:val="single" w:color="auto" w:sz="4" w:space="0"/>
              <w:left w:val="single" w:color="auto" w:sz="4" w:space="0"/>
              <w:bottom w:val="single" w:color="auto" w:sz="4" w:space="0"/>
              <w:right w:val="single" w:color="auto" w:sz="4" w:space="0"/>
            </w:tcBorders>
            <w:vAlign w:val="center"/>
          </w:tcPr>
          <w:p w14:paraId="559F52A4">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rPr>
              <w:t>在满足基本分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val="en-US"/>
              </w:rPr>
              <w:t>基础上，标注“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en-US"/>
              </w:rPr>
              <w:t>”的技术参数能提供相关证明材料，每1项加</w:t>
            </w:r>
            <w:r>
              <w:rPr>
                <w:rFonts w:hint="default" w:hAnsi="宋体" w:cs="宋体"/>
                <w:bCs/>
                <w:sz w:val="21"/>
                <w:szCs w:val="21"/>
                <w:highlight w:val="none"/>
                <w:lang w:val="en-US" w:eastAsia="zh-CN"/>
              </w:rPr>
              <w:t>1</w:t>
            </w:r>
            <w:r>
              <w:rPr>
                <w:rFonts w:hint="eastAsia" w:ascii="宋体" w:hAnsi="宋体" w:eastAsia="宋体" w:cs="宋体"/>
                <w:bCs/>
                <w:sz w:val="21"/>
                <w:szCs w:val="21"/>
                <w:highlight w:val="none"/>
                <w:lang w:val="en-US"/>
              </w:rPr>
              <w:t>分，满分</w:t>
            </w:r>
            <w:r>
              <w:rPr>
                <w:rFonts w:hint="default" w:hAnsi="宋体" w:cs="宋体"/>
                <w:bCs/>
                <w:sz w:val="21"/>
                <w:szCs w:val="21"/>
                <w:highlight w:val="none"/>
                <w:lang w:val="en-US" w:eastAsia="zh-CN"/>
              </w:rPr>
              <w:t>6</w:t>
            </w:r>
            <w:r>
              <w:rPr>
                <w:rFonts w:hint="eastAsia" w:ascii="宋体" w:hAnsi="宋体" w:eastAsia="宋体" w:cs="宋体"/>
                <w:bCs/>
                <w:sz w:val="21"/>
                <w:szCs w:val="21"/>
                <w:highlight w:val="none"/>
                <w:lang w:val="en-US"/>
              </w:rPr>
              <w:t>分。</w:t>
            </w:r>
          </w:p>
          <w:p w14:paraId="3EDC95DF">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rPr>
              <w:t>注：证明材料可以是：</w:t>
            </w:r>
            <w:r>
              <w:rPr>
                <w:rFonts w:hint="eastAsia" w:ascii="宋体" w:hAnsi="宋体" w:eastAsia="宋体" w:cs="宋体"/>
                <w:bCs/>
                <w:sz w:val="21"/>
                <w:szCs w:val="21"/>
                <w:highlight w:val="none"/>
                <w:lang w:val="en-US" w:eastAsia="zh-CN"/>
              </w:rPr>
              <w:t>功能</w:t>
            </w:r>
            <w:r>
              <w:rPr>
                <w:rFonts w:hint="eastAsia" w:ascii="宋体" w:hAnsi="宋体" w:eastAsia="宋体" w:cs="宋体"/>
                <w:bCs/>
                <w:sz w:val="21"/>
                <w:szCs w:val="21"/>
                <w:highlight w:val="none"/>
                <w:lang w:val="en-US"/>
              </w:rPr>
              <w:t>截图证明材料复印件或第三方检测报告复印件或产品生产厂家出具的技术参数说明证明复印件，评审时被</w:t>
            </w:r>
            <w:r>
              <w:rPr>
                <w:rFonts w:hint="eastAsia" w:ascii="宋体" w:hAnsi="宋体" w:eastAsia="宋体" w:cs="宋体"/>
                <w:bCs/>
                <w:sz w:val="21"/>
                <w:szCs w:val="21"/>
                <w:highlight w:val="none"/>
                <w:lang w:val="en-US" w:eastAsia="zh-CN"/>
              </w:rPr>
              <w:t>评标委员会</w:t>
            </w:r>
            <w:r>
              <w:rPr>
                <w:rFonts w:hint="eastAsia" w:ascii="宋体" w:hAnsi="宋体" w:eastAsia="宋体" w:cs="宋体"/>
                <w:bCs/>
                <w:sz w:val="21"/>
                <w:szCs w:val="21"/>
                <w:highlight w:val="none"/>
                <w:lang w:val="en-US"/>
              </w:rPr>
              <w:t>接受的给予计分。</w:t>
            </w:r>
          </w:p>
        </w:tc>
      </w:tr>
      <w:tr w14:paraId="0341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14:paraId="1D8796E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00FB1D5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79B7F9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项目实施方案（满分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0708501F">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评标委员会根据供应商提供的</w:t>
            </w:r>
            <w:r>
              <w:rPr>
                <w:rFonts w:hint="eastAsia" w:ascii="宋体" w:hAnsi="宋体" w:eastAsia="宋体" w:cs="宋体"/>
                <w:sz w:val="21"/>
                <w:szCs w:val="21"/>
                <w:highlight w:val="none"/>
              </w:rPr>
              <w:t>项目实施方案</w:t>
            </w:r>
            <w:r>
              <w:rPr>
                <w:rFonts w:hint="eastAsia" w:ascii="宋体" w:hAnsi="宋体" w:eastAsia="宋体" w:cs="宋体"/>
                <w:kern w:val="0"/>
                <w:sz w:val="21"/>
                <w:szCs w:val="21"/>
                <w:highlight w:val="none"/>
              </w:rPr>
              <w:t>进行独立评审打分。</w:t>
            </w:r>
          </w:p>
          <w:p w14:paraId="7A277E06">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一档（0分）：未提供项目实施方案或未达到二档要求。</w:t>
            </w:r>
          </w:p>
          <w:p w14:paraId="6378720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二档（满分</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分）：对项目理解不全面，措施不具体；项目方案中提出的方案基本合理但不透彻；总体方案评述不全面。</w:t>
            </w:r>
          </w:p>
          <w:p w14:paraId="0CF2817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分）：在满足二档的前提下，对项目认识较全面，思路较清晰，有相对应的措施方案；项目方案中提出的方案基本合理但可行性不强；工作内容和实施办法不够详细，总体方案评述全面。</w:t>
            </w:r>
          </w:p>
          <w:p w14:paraId="33F12C6B">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分）：在满足三档的前提下，对项目认识充分，方案表达清晰、完整，措施具体且依据项目具体情况采取有效的措施，符合规范要求；</w:t>
            </w:r>
            <w:r>
              <w:rPr>
                <w:rFonts w:hint="eastAsia" w:ascii="宋体" w:hAnsi="宋体" w:eastAsia="宋体" w:cs="宋体"/>
                <w:sz w:val="21"/>
                <w:szCs w:val="21"/>
                <w:highlight w:val="none"/>
              </w:rPr>
              <w:t>实施方案较详细、可行，提供全面的档案管理制度、项目人员管理制度</w:t>
            </w:r>
            <w:r>
              <w:rPr>
                <w:rFonts w:hint="eastAsia" w:ascii="宋体" w:hAnsi="宋体" w:eastAsia="宋体" w:cs="宋体"/>
                <w:kern w:val="0"/>
                <w:sz w:val="21"/>
                <w:szCs w:val="21"/>
                <w:highlight w:val="none"/>
              </w:rPr>
              <w:t>；总体思路、理念和方案表述清晰，方案总体评述完整、全面。</w:t>
            </w:r>
          </w:p>
          <w:p w14:paraId="092284EB">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五档（满分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 xml:space="preserve">分）：在满足四档的前提下，对项目的特点、关键技术问题的认识准确透彻，总体思路、理念和方案表述清晰、严瑾、完整且依据项目具体情况采取有针对性的措施，符合规范要求；对采购人需求了解透彻，准确理解采购人待解决的痛点、难点；组织安排合理详细；提供较全面的档案管理制度、项目人员管理制度、保密制度、货物管理制度，且针对本项目的实施提供能提供合理化建议，符合采购人预定的需求；总体方案评述较全面、完整、且有针对性。 </w:t>
            </w:r>
          </w:p>
        </w:tc>
      </w:tr>
      <w:tr w14:paraId="56F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2ADF62A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7F2A4205">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8515FD">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项目质量进度、控制方案分（满分</w:t>
            </w:r>
            <w:r>
              <w:rPr>
                <w:rFonts w:hint="default" w:ascii="宋体" w:hAnsi="宋体" w:cs="宋体"/>
                <w:color w:val="000000"/>
                <w:sz w:val="21"/>
                <w:szCs w:val="21"/>
                <w:highlight w:val="none"/>
                <w:lang w:val="en-US" w:eastAsia="zh-CN"/>
              </w:rPr>
              <w:t>14</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vAlign w:val="center"/>
          </w:tcPr>
          <w:p w14:paraId="7AD5075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提供的项目进度、质量控制方案独立评审打分。</w:t>
            </w:r>
          </w:p>
          <w:p w14:paraId="7BB7681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一档（0分）：未提供项目质量进度、控制方案或未达到二档的要求。</w:t>
            </w:r>
          </w:p>
          <w:p w14:paraId="2F43A39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二档（满分</w:t>
            </w:r>
            <w:r>
              <w:rPr>
                <w:rFonts w:hint="default"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分）：提供保证项目的具体措施。各项计划图表编制不完善，安排不够紧凑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总体方案评述</w:t>
            </w:r>
            <w:r>
              <w:rPr>
                <w:rFonts w:hint="eastAsia" w:ascii="宋体" w:hAnsi="宋体" w:eastAsia="宋体" w:cs="宋体"/>
                <w:kern w:val="0"/>
                <w:sz w:val="21"/>
                <w:szCs w:val="21"/>
                <w:highlight w:val="none"/>
                <w:lang w:eastAsia="zh-CN"/>
              </w:rPr>
              <w:t>完整，但</w:t>
            </w:r>
            <w:r>
              <w:rPr>
                <w:rFonts w:hint="eastAsia" w:ascii="宋体" w:hAnsi="宋体" w:eastAsia="宋体" w:cs="宋体"/>
                <w:kern w:val="0"/>
                <w:sz w:val="21"/>
                <w:szCs w:val="21"/>
                <w:highlight w:val="none"/>
              </w:rPr>
              <w:t>不全面。</w:t>
            </w:r>
            <w:r>
              <w:rPr>
                <w:rFonts w:hint="eastAsia" w:ascii="宋体" w:hAnsi="宋体" w:eastAsia="宋体" w:cs="宋体"/>
                <w:kern w:val="0"/>
                <w:sz w:val="21"/>
                <w:szCs w:val="21"/>
                <w:highlight w:val="none"/>
                <w:lang w:val="en-US" w:eastAsia="zh-CN"/>
              </w:rPr>
              <w:t xml:space="preserve"> </w:t>
            </w:r>
          </w:p>
          <w:p w14:paraId="5C1FDC36">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default"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分）：在满足二档的前提下，提供有保证项目的具体措施，措施基本得当。各项计划图表编制基本齐全；有提供优化技术管理方案，安排基本合理，基本满足本项目采购需求。总体方案评述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val="en-US" w:eastAsia="zh-CN"/>
              </w:rPr>
              <w:t xml:space="preserve"> </w:t>
            </w:r>
          </w:p>
          <w:p w14:paraId="59EBAA1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default"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分）：在满足三档的前提下，提供有保证项目的具体措施且措施得当。各项计划图表编制完善，安排较合理；</w:t>
            </w:r>
            <w:r>
              <w:rPr>
                <w:rFonts w:hint="eastAsia" w:ascii="宋体" w:hAnsi="宋体" w:eastAsia="宋体" w:cs="宋体"/>
                <w:kern w:val="0"/>
                <w:sz w:val="21"/>
                <w:szCs w:val="21"/>
                <w:highlight w:val="none"/>
                <w:lang w:eastAsia="zh-CN"/>
              </w:rPr>
              <w:t>能</w:t>
            </w:r>
            <w:r>
              <w:rPr>
                <w:rFonts w:hint="eastAsia" w:ascii="宋体" w:hAnsi="宋体" w:eastAsia="宋体" w:cs="宋体"/>
                <w:kern w:val="0"/>
                <w:sz w:val="21"/>
                <w:szCs w:val="21"/>
                <w:highlight w:val="none"/>
              </w:rPr>
              <w:t>提供</w:t>
            </w:r>
            <w:r>
              <w:rPr>
                <w:rFonts w:hint="eastAsia" w:ascii="宋体" w:hAnsi="宋体" w:eastAsia="宋体" w:cs="宋体"/>
                <w:kern w:val="0"/>
                <w:sz w:val="21"/>
                <w:szCs w:val="21"/>
                <w:highlight w:val="none"/>
                <w:lang w:eastAsia="zh-CN"/>
              </w:rPr>
              <w:t>较全面、详细的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w:t>
            </w:r>
            <w:r>
              <w:rPr>
                <w:rFonts w:hint="eastAsia" w:ascii="宋体" w:hAnsi="宋体" w:eastAsia="宋体" w:cs="宋体"/>
                <w:kern w:val="0"/>
                <w:sz w:val="21"/>
                <w:szCs w:val="21"/>
                <w:highlight w:val="none"/>
                <w:lang w:eastAsia="zh-CN"/>
              </w:rPr>
              <w:t>；提供了较清晰、明确的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能较好满足项目需求。方案总体评述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eastAsia="zh-CN"/>
              </w:rPr>
              <w:t>、有一定的科学性</w:t>
            </w:r>
            <w:r>
              <w:rPr>
                <w:rFonts w:hint="eastAsia" w:ascii="宋体" w:hAnsi="宋体" w:eastAsia="宋体" w:cs="宋体"/>
                <w:kern w:val="0"/>
                <w:sz w:val="21"/>
                <w:szCs w:val="21"/>
                <w:highlight w:val="none"/>
              </w:rPr>
              <w:t>。</w:t>
            </w:r>
          </w:p>
          <w:p w14:paraId="0C6F7686">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五档（满分</w:t>
            </w:r>
            <w:r>
              <w:rPr>
                <w:rFonts w:hint="default" w:ascii="宋体" w:hAnsi="宋体" w:cs="宋体"/>
                <w:kern w:val="0"/>
                <w:sz w:val="21"/>
                <w:szCs w:val="21"/>
                <w:highlight w:val="none"/>
                <w:lang w:val="en-US" w:eastAsia="zh-CN"/>
              </w:rPr>
              <w:t>14</w:t>
            </w:r>
            <w:r>
              <w:rPr>
                <w:rFonts w:hint="eastAsia" w:ascii="宋体" w:hAnsi="宋体" w:eastAsia="宋体" w:cs="宋体"/>
                <w:kern w:val="0"/>
                <w:sz w:val="21"/>
                <w:szCs w:val="21"/>
                <w:highlight w:val="none"/>
              </w:rPr>
              <w:t>分）：在满足四档的前提下，提供的方案整体描述全面、具体、可行；质量管控方式多样；有详细的工作计划编排及保证措施，控制重点分析合理；提供</w:t>
            </w:r>
            <w:r>
              <w:rPr>
                <w:rFonts w:hint="eastAsia" w:ascii="宋体" w:hAnsi="宋体" w:eastAsia="宋体" w:cs="宋体"/>
                <w:kern w:val="0"/>
                <w:sz w:val="21"/>
                <w:szCs w:val="21"/>
                <w:highlight w:val="none"/>
                <w:lang w:eastAsia="zh-CN"/>
              </w:rPr>
              <w:t>全面、详细、合理的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风险控制解决方案；针对本项目进度控制重点提出了具体、可行的措施，能有效保证项目实施或缩短项目周期；</w:t>
            </w:r>
            <w:r>
              <w:rPr>
                <w:rFonts w:hint="eastAsia" w:ascii="宋体" w:hAnsi="宋体" w:eastAsia="宋体" w:cs="宋体"/>
                <w:kern w:val="0"/>
                <w:sz w:val="21"/>
                <w:szCs w:val="21"/>
                <w:highlight w:val="none"/>
                <w:lang w:eastAsia="zh-CN"/>
              </w:rPr>
              <w:t>提供了全面、可行的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方案及</w:t>
            </w:r>
            <w:r>
              <w:rPr>
                <w:rFonts w:hint="eastAsia" w:ascii="宋体" w:hAnsi="宋体" w:eastAsia="宋体" w:cs="宋体"/>
                <w:kern w:val="0"/>
                <w:sz w:val="21"/>
                <w:szCs w:val="21"/>
                <w:highlight w:val="none"/>
              </w:rPr>
              <w:t>应急预案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完全满足项目需求。总体方案评述全面、完整、</w:t>
            </w:r>
            <w:r>
              <w:rPr>
                <w:rFonts w:hint="eastAsia" w:ascii="宋体" w:hAnsi="宋体" w:eastAsia="宋体" w:cs="宋体"/>
                <w:kern w:val="0"/>
                <w:sz w:val="21"/>
                <w:szCs w:val="21"/>
                <w:highlight w:val="none"/>
                <w:lang w:eastAsia="zh-CN"/>
              </w:rPr>
              <w:t>有科学性、</w:t>
            </w:r>
            <w:r>
              <w:rPr>
                <w:rFonts w:hint="eastAsia" w:ascii="宋体" w:hAnsi="宋体" w:eastAsia="宋体" w:cs="宋体"/>
                <w:kern w:val="0"/>
                <w:sz w:val="21"/>
                <w:szCs w:val="21"/>
                <w:highlight w:val="none"/>
              </w:rPr>
              <w:t>针对性。</w:t>
            </w:r>
          </w:p>
        </w:tc>
      </w:tr>
      <w:tr w14:paraId="589D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15" w:type="dxa"/>
            <w:vMerge w:val="continue"/>
            <w:tcBorders>
              <w:left w:val="single" w:color="auto" w:sz="4" w:space="0"/>
              <w:right w:val="single" w:color="auto" w:sz="4" w:space="0"/>
            </w:tcBorders>
            <w:vAlign w:val="center"/>
          </w:tcPr>
          <w:p w14:paraId="59898AC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6BA5FD1A">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E4C50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售后服务方案（满分</w:t>
            </w:r>
            <w:r>
              <w:rPr>
                <w:rFonts w:hint="default" w:ascii="宋体" w:hAnsi="宋体" w:cs="宋体"/>
                <w:bCs/>
                <w:sz w:val="21"/>
                <w:szCs w:val="21"/>
                <w:highlight w:val="none"/>
                <w:lang w:val="en-US" w:eastAsia="zh-CN"/>
              </w:rPr>
              <w:t>14</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right w:val="single" w:color="auto" w:sz="4" w:space="0"/>
            </w:tcBorders>
            <w:vAlign w:val="top"/>
          </w:tcPr>
          <w:p w14:paraId="7ECF81BF">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进行独立评审打分。</w:t>
            </w:r>
          </w:p>
          <w:p w14:paraId="38A40260">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一档（0分）：未提供</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或未达到</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档的要求。</w:t>
            </w:r>
          </w:p>
          <w:p w14:paraId="1E920AA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二档（满分</w:t>
            </w:r>
            <w:r>
              <w:rPr>
                <w:rFonts w:hint="default" w:ascii="宋体" w:hAnsi="宋体" w:cs="宋体"/>
                <w:sz w:val="21"/>
                <w:szCs w:val="21"/>
                <w:highlight w:val="none"/>
                <w:lang w:val="en-US" w:eastAsia="zh-CN"/>
              </w:rPr>
              <w:t>5</w:t>
            </w:r>
            <w:r>
              <w:rPr>
                <w:rFonts w:hint="eastAsia" w:ascii="宋体" w:hAnsi="宋体" w:eastAsia="宋体" w:cs="宋体"/>
                <w:sz w:val="21"/>
                <w:szCs w:val="21"/>
                <w:highlight w:val="none"/>
              </w:rPr>
              <w:t>分）：基本满足采购文件要求；简单提供可行的后续服务承诺；对前期工作方案及承诺响应内容描简单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w:t>
            </w:r>
            <w:r>
              <w:rPr>
                <w:rFonts w:hint="eastAsia" w:ascii="宋体" w:hAnsi="宋体" w:eastAsia="宋体" w:cs="宋体"/>
                <w:sz w:val="21"/>
                <w:szCs w:val="21"/>
                <w:highlight w:val="none"/>
                <w:lang w:eastAsia="zh-CN"/>
              </w:rPr>
              <w:t>完整，但</w:t>
            </w:r>
            <w:r>
              <w:rPr>
                <w:rFonts w:hint="eastAsia" w:ascii="宋体" w:hAnsi="宋体" w:eastAsia="宋体" w:cs="宋体"/>
                <w:sz w:val="21"/>
                <w:szCs w:val="21"/>
                <w:highlight w:val="none"/>
              </w:rPr>
              <w:t>不全面。</w:t>
            </w:r>
            <w:r>
              <w:rPr>
                <w:rFonts w:hint="eastAsia" w:ascii="宋体" w:hAnsi="宋体" w:eastAsia="宋体" w:cs="宋体"/>
                <w:sz w:val="21"/>
                <w:szCs w:val="21"/>
                <w:highlight w:val="none"/>
                <w:lang w:val="en-US" w:eastAsia="zh-CN"/>
              </w:rPr>
              <w:t xml:space="preserve"> </w:t>
            </w:r>
          </w:p>
          <w:p w14:paraId="3ADDCA56">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三档（满分</w:t>
            </w:r>
            <w:r>
              <w:rPr>
                <w:rFonts w:hint="default" w:ascii="宋体" w:hAnsi="宋体" w:cs="宋体"/>
                <w:sz w:val="21"/>
                <w:szCs w:val="21"/>
                <w:highlight w:val="none"/>
                <w:lang w:val="en-US" w:eastAsia="zh-CN"/>
              </w:rPr>
              <w:t>10</w:t>
            </w:r>
            <w:r>
              <w:rPr>
                <w:rFonts w:hint="eastAsia" w:ascii="宋体" w:hAnsi="宋体" w:eastAsia="宋体" w:cs="宋体"/>
                <w:sz w:val="21"/>
                <w:szCs w:val="21"/>
                <w:highlight w:val="none"/>
              </w:rPr>
              <w:t>分）：在满足二档的前提下；提供比较详细可行的后续服务承诺；对前期工作方案及承诺响应较好；有简单的后续记录档案制度；有比较完整具体实施事项分析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方案总体评述</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完整、全面</w:t>
            </w:r>
            <w:r>
              <w:rPr>
                <w:rFonts w:hint="eastAsia" w:ascii="宋体" w:hAnsi="宋体" w:eastAsia="宋体" w:cs="宋体"/>
                <w:sz w:val="21"/>
                <w:szCs w:val="21"/>
                <w:highlight w:val="none"/>
                <w:lang w:eastAsia="zh-CN"/>
              </w:rPr>
              <w:t>、有一定的科学性</w:t>
            </w:r>
            <w:r>
              <w:rPr>
                <w:rFonts w:hint="eastAsia" w:ascii="宋体" w:hAnsi="宋体" w:eastAsia="宋体" w:cs="宋体"/>
                <w:sz w:val="21"/>
                <w:szCs w:val="21"/>
                <w:highlight w:val="none"/>
              </w:rPr>
              <w:t>。</w:t>
            </w:r>
          </w:p>
          <w:p w14:paraId="5C059052">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四档（满分</w:t>
            </w:r>
            <w:r>
              <w:rPr>
                <w:rFonts w:hint="default" w:ascii="宋体" w:hAnsi="宋体" w:cs="宋体"/>
                <w:sz w:val="21"/>
                <w:szCs w:val="21"/>
                <w:highlight w:val="none"/>
                <w:lang w:val="en-US" w:eastAsia="zh-CN"/>
              </w:rPr>
              <w:t>14</w:t>
            </w:r>
            <w:r>
              <w:rPr>
                <w:rFonts w:hint="eastAsia" w:ascii="宋体" w:hAnsi="宋体" w:eastAsia="宋体" w:cs="宋体"/>
                <w:sz w:val="21"/>
                <w:szCs w:val="21"/>
                <w:highlight w:val="none"/>
              </w:rPr>
              <w:t>分）：在满足三档的前提下，提供比较详细可行的后续服务承诺；对前期工作方案及承诺响应较好；有完整的后续记录档案制度；对内容、流程详尽有操作性；跟踪指导服务及时，后续跟踪服务内容全面多样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总体方案评述全面、完整、</w:t>
            </w:r>
            <w:r>
              <w:rPr>
                <w:rFonts w:hint="eastAsia" w:ascii="宋体" w:hAnsi="宋体" w:eastAsia="宋体" w:cs="宋体"/>
                <w:sz w:val="21"/>
                <w:szCs w:val="21"/>
                <w:highlight w:val="none"/>
                <w:lang w:eastAsia="zh-CN"/>
              </w:rPr>
              <w:t>有科学性、</w:t>
            </w:r>
            <w:r>
              <w:rPr>
                <w:rFonts w:hint="eastAsia" w:ascii="宋体" w:hAnsi="宋体" w:eastAsia="宋体" w:cs="宋体"/>
                <w:sz w:val="21"/>
                <w:szCs w:val="21"/>
                <w:highlight w:val="none"/>
              </w:rPr>
              <w:t xml:space="preserve">针对性。 </w:t>
            </w:r>
          </w:p>
        </w:tc>
      </w:tr>
      <w:tr w14:paraId="56E1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left w:val="single" w:color="auto" w:sz="4" w:space="0"/>
              <w:right w:val="single" w:color="auto" w:sz="4" w:space="0"/>
            </w:tcBorders>
            <w:vAlign w:val="center"/>
          </w:tcPr>
          <w:p w14:paraId="1227B7B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851" w:type="dxa"/>
            <w:tcBorders>
              <w:left w:val="single" w:color="auto" w:sz="4" w:space="0"/>
              <w:right w:val="single" w:color="auto" w:sz="4" w:space="0"/>
            </w:tcBorders>
            <w:vAlign w:val="center"/>
          </w:tcPr>
          <w:p w14:paraId="4F56768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商务分（满分</w:t>
            </w:r>
            <w:r>
              <w:rPr>
                <w:rFonts w:hint="default" w:ascii="宋体" w:hAnsi="宋体" w:cs="宋体"/>
                <w:b/>
                <w:bCs/>
                <w:sz w:val="21"/>
                <w:szCs w:val="21"/>
                <w:highlight w:val="none"/>
                <w:lang w:val="en-US" w:eastAsia="zh-CN"/>
              </w:rPr>
              <w:t>10</w:t>
            </w:r>
            <w:r>
              <w:rPr>
                <w:rFonts w:hint="eastAsia" w:ascii="宋体" w:hAnsi="宋体" w:eastAsia="宋体" w:cs="宋体"/>
                <w:b/>
                <w:bCs/>
                <w:sz w:val="21"/>
                <w:szCs w:val="21"/>
                <w:highlight w:val="none"/>
              </w:rPr>
              <w:t>分）</w:t>
            </w:r>
          </w:p>
        </w:tc>
        <w:tc>
          <w:tcPr>
            <w:tcW w:w="110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E702BD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业绩分（满分</w:t>
            </w:r>
            <w:r>
              <w:rPr>
                <w:rFonts w:hint="default" w:ascii="宋体" w:hAnsi="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tcPr>
          <w:p w14:paraId="0730169A">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年1月1日以来承接过类似项目的（类似项目指</w:t>
            </w:r>
            <w:r>
              <w:rPr>
                <w:rFonts w:hint="eastAsia" w:ascii="宋体" w:hAnsi="宋体" w:eastAsia="宋体" w:cs="宋体"/>
                <w:sz w:val="21"/>
                <w:szCs w:val="21"/>
                <w:highlight w:val="none"/>
                <w:lang w:val="en-US" w:eastAsia="zh-CN"/>
              </w:rPr>
              <w:t>多媒体</w:t>
            </w:r>
            <w:r>
              <w:rPr>
                <w:rFonts w:hint="eastAsia" w:ascii="宋体" w:hAnsi="宋体" w:eastAsia="宋体" w:cs="宋体"/>
                <w:sz w:val="21"/>
                <w:szCs w:val="21"/>
                <w:highlight w:val="none"/>
              </w:rPr>
              <w:t>平台</w:t>
            </w:r>
            <w:r>
              <w:rPr>
                <w:rFonts w:hint="eastAsia" w:ascii="宋体" w:hAnsi="宋体" w:eastAsia="宋体" w:cs="宋体"/>
                <w:sz w:val="21"/>
                <w:szCs w:val="21"/>
                <w:highlight w:val="none"/>
                <w:lang w:val="en-US" w:eastAsia="zh-CN"/>
              </w:rPr>
              <w:t>设备安装或软件服务</w:t>
            </w:r>
            <w:r>
              <w:rPr>
                <w:rFonts w:hint="eastAsia" w:ascii="宋体" w:hAnsi="宋体" w:eastAsia="宋体" w:cs="宋体"/>
                <w:sz w:val="21"/>
                <w:szCs w:val="21"/>
                <w:highlight w:val="none"/>
              </w:rPr>
              <w:t>等），每提供一份项目合同业绩的得</w:t>
            </w:r>
            <w:r>
              <w:rPr>
                <w:rFonts w:hint="default" w:ascii="宋体" w:hAnsi="宋体" w:cs="宋体"/>
                <w:sz w:val="21"/>
                <w:szCs w:val="21"/>
                <w:highlight w:val="none"/>
                <w:lang w:val="en-US" w:eastAsia="zh-CN"/>
              </w:rPr>
              <w:t>2</w:t>
            </w:r>
            <w:r>
              <w:rPr>
                <w:rFonts w:hint="eastAsia" w:ascii="宋体" w:hAnsi="宋体" w:eastAsia="宋体" w:cs="宋体"/>
                <w:sz w:val="21"/>
                <w:szCs w:val="21"/>
                <w:highlight w:val="none"/>
              </w:rPr>
              <w:t>分，本项满分</w:t>
            </w:r>
            <w:r>
              <w:rPr>
                <w:rFonts w:hint="default"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
                <w:sz w:val="21"/>
                <w:szCs w:val="21"/>
                <w:highlight w:val="none"/>
              </w:rPr>
              <w:t>【注：投标文件中要附业绩一览表，并列明采购单位信息及单位地址、联系人、电话等，同时提供采购合同或中标（成交）通知书复印件，未按要求提供材料的不予计分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如中标（成交）通知书不能清晰反映所承接项目的标的信息，还需提供有效的合同证明材料或履约验收证明材料。</w:t>
            </w:r>
            <w:r>
              <w:rPr>
                <w:rFonts w:hint="eastAsia" w:ascii="宋体" w:hAnsi="宋体" w:eastAsia="宋体" w:cs="宋体"/>
                <w:b/>
                <w:sz w:val="21"/>
                <w:szCs w:val="21"/>
                <w:highlight w:val="none"/>
              </w:rPr>
              <w:t>】</w:t>
            </w:r>
          </w:p>
        </w:tc>
      </w:tr>
      <w:tr w14:paraId="04D4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2711B81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14:paraId="0BAC066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政策功能分（满分2分）</w:t>
            </w:r>
          </w:p>
        </w:tc>
        <w:tc>
          <w:tcPr>
            <w:tcW w:w="1105" w:type="dxa"/>
            <w:tcBorders>
              <w:top w:val="single" w:color="auto" w:sz="4" w:space="0"/>
              <w:left w:val="single" w:color="auto" w:sz="4" w:space="0"/>
              <w:bottom w:val="single" w:color="auto" w:sz="4" w:space="0"/>
              <w:right w:val="single" w:color="auto" w:sz="4" w:space="0"/>
            </w:tcBorders>
            <w:vAlign w:val="center"/>
          </w:tcPr>
          <w:p w14:paraId="102A0B5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节能、环保分</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满分2分</w:t>
            </w:r>
            <w:r>
              <w:rPr>
                <w:rFonts w:hint="eastAsia" w:ascii="宋体" w:hAnsi="宋体" w:eastAsia="宋体" w:cs="宋体"/>
                <w:bCs/>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tcPr>
          <w:p w14:paraId="3863D520">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（1）节能产品分：投标产品列入品目清单范围内优先采购的，且提供国家确定的认证机构出具的、处于有效期之内的节能产品认证证书复印件（加盖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），每有一项得0.5分，最多得1分。采购内容中的强制产品不加分。</w:t>
            </w:r>
          </w:p>
          <w:p w14:paraId="5FE597CD">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（2）环保标志产品分：投标产品列入品目清单范围内优先采购的，且提供国家确定的认证机构出具的、处于有效期之内的环境标志产品认证证书复印件（加盖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w:t>
            </w:r>
          </w:p>
        </w:tc>
      </w:tr>
      <w:tr w14:paraId="3E9C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69EF52D1">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总得分=1+2+3+4。</w:t>
            </w:r>
          </w:p>
        </w:tc>
      </w:tr>
    </w:tbl>
    <w:p w14:paraId="75E7AE4C">
      <w:pPr>
        <w:pStyle w:val="26"/>
        <w:spacing w:line="360" w:lineRule="auto"/>
        <w:rPr>
          <w:rFonts w:hAnsi="宋体"/>
          <w:bCs/>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bCs/>
          <w:color w:val="000000"/>
          <w:sz w:val="21"/>
          <w:highlight w:val="none"/>
        </w:rPr>
        <w:t>注：计分方法按四舍五入取至百分位</w:t>
      </w:r>
    </w:p>
    <w:tbl>
      <w:tblPr>
        <w:tblStyle w:val="4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14:paraId="1FE5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1C2BDE91">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适用于</w:t>
            </w:r>
            <w:r>
              <w:rPr>
                <w:rFonts w:hint="eastAsia" w:ascii="宋体" w:hAnsi="宋体" w:eastAsia="宋体" w:cs="宋体"/>
                <w:b/>
                <w:bCs/>
                <w:color w:val="000000"/>
                <w:kern w:val="0"/>
                <w:sz w:val="21"/>
                <w:szCs w:val="21"/>
                <w:highlight w:val="none"/>
                <w:lang w:val="en-US" w:eastAsia="zh-CN"/>
              </w:rPr>
              <w:t>D分标</w:t>
            </w:r>
          </w:p>
        </w:tc>
      </w:tr>
      <w:tr w14:paraId="2A3E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5E7D020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2DF14FF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14:paraId="7D756DE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20C2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5A16C14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66741B8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价格分</w:t>
            </w:r>
          </w:p>
          <w:p w14:paraId="1C5CDE0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（30满分分）</w:t>
            </w:r>
          </w:p>
        </w:tc>
        <w:tc>
          <w:tcPr>
            <w:tcW w:w="1105" w:type="dxa"/>
            <w:tcBorders>
              <w:top w:val="single" w:color="auto" w:sz="4" w:space="0"/>
              <w:left w:val="single" w:color="auto" w:sz="4" w:space="0"/>
              <w:bottom w:val="single" w:color="auto" w:sz="4" w:space="0"/>
              <w:right w:val="single" w:color="auto" w:sz="4" w:space="0"/>
            </w:tcBorders>
            <w:vAlign w:val="center"/>
          </w:tcPr>
          <w:p w14:paraId="4686F67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14:paraId="6F1A9A81">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（1）评标报价为投标人的投标报价进行政策性扣除后的价格，评标报价只是作为评标时使用。最终中标人的中标金额等于投标报价。</w:t>
            </w:r>
          </w:p>
          <w:p w14:paraId="08F894B2">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（2）政策性扣除计算方法。</w:t>
            </w:r>
          </w:p>
          <w:p w14:paraId="3A04B07E">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w:t>
            </w:r>
            <w:r>
              <w:rPr>
                <w:rFonts w:hint="eastAsia" w:ascii="宋体" w:hAnsi="宋体" w:eastAsia="宋体" w:cs="宋体"/>
                <w:bCs/>
                <w:sz w:val="21"/>
                <w:szCs w:val="21"/>
                <w:highlight w:val="none"/>
                <w:lang w:eastAsia="zh-CN"/>
              </w:rPr>
              <w:t>桂财采〔2024〕55号</w:t>
            </w:r>
            <w:r>
              <w:rPr>
                <w:rFonts w:hint="eastAsia" w:ascii="宋体" w:hAnsi="宋体" w:eastAsia="宋体" w:cs="宋体"/>
                <w:bCs/>
                <w:sz w:val="21"/>
                <w:szCs w:val="21"/>
                <w:highlight w:val="none"/>
              </w:rPr>
              <w:t>）的规定</w:t>
            </w:r>
            <w:r>
              <w:rPr>
                <w:rFonts w:hint="eastAsia" w:ascii="宋体" w:hAnsi="宋体" w:eastAsia="宋体" w:cs="宋体"/>
                <w:bCs/>
                <w:color w:val="000000"/>
                <w:sz w:val="21"/>
                <w:szCs w:val="21"/>
                <w:highlight w:val="none"/>
              </w:rPr>
              <w:t>，投标人在其投标文件中提供《中小企业声明函》，且其投标全部货物由小微企业制造的，对其投标报价给予</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%的扣除，扣除后的价格为评标报价，即评标报价=投标报价×（1-</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%的扣除，用扣除后的价格参加评审，扣除后的价格为评标报价，即评标报价=投标报价×（1-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%）。除上述情况外，评标报价=投标报价。</w:t>
            </w:r>
          </w:p>
          <w:p w14:paraId="72C42A84">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1C211DE">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4F12725">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（5）满足招标文件要求且评标报价最低的评标报价为评标基准价，其价格分为满分。</w:t>
            </w:r>
          </w:p>
          <w:p w14:paraId="1FBB6589">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（6）价格分计算公式：价格分=(评标基准价／评标报价)×30分 </w:t>
            </w:r>
            <w:r>
              <w:rPr>
                <w:rFonts w:hint="eastAsia" w:ascii="宋体" w:hAnsi="宋体" w:eastAsia="宋体" w:cs="宋体"/>
                <w:color w:val="000000"/>
                <w:sz w:val="21"/>
                <w:szCs w:val="21"/>
                <w:highlight w:val="none"/>
              </w:rPr>
              <w:t xml:space="preserve">  </w:t>
            </w:r>
          </w:p>
          <w:p w14:paraId="73256B93">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4C8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04AF1BD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851" w:type="dxa"/>
            <w:vMerge w:val="restart"/>
            <w:tcBorders>
              <w:top w:val="single" w:color="auto" w:sz="4" w:space="0"/>
              <w:left w:val="single" w:color="auto" w:sz="4" w:space="0"/>
              <w:right w:val="single" w:color="auto" w:sz="4" w:space="0"/>
            </w:tcBorders>
            <w:vAlign w:val="center"/>
          </w:tcPr>
          <w:p w14:paraId="403E7F1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pacing w:val="-18"/>
                <w:sz w:val="21"/>
                <w:szCs w:val="21"/>
                <w:highlight w:val="none"/>
              </w:rPr>
            </w:pPr>
            <w:r>
              <w:rPr>
                <w:rFonts w:hint="eastAsia" w:ascii="宋体" w:hAnsi="宋体" w:eastAsia="宋体" w:cs="宋体"/>
                <w:b/>
                <w:bCs/>
                <w:sz w:val="21"/>
                <w:szCs w:val="21"/>
                <w:highlight w:val="none"/>
              </w:rPr>
              <w:t>技术分（满分</w:t>
            </w:r>
            <w:r>
              <w:rPr>
                <w:rFonts w:hint="default" w:ascii="宋体" w:hAnsi="宋体" w:cs="宋体"/>
                <w:b/>
                <w:bCs/>
                <w:sz w:val="21"/>
                <w:szCs w:val="21"/>
                <w:highlight w:val="none"/>
                <w:lang w:val="en-US" w:eastAsia="zh-CN"/>
              </w:rPr>
              <w:t>58</w:t>
            </w:r>
            <w:r>
              <w:rPr>
                <w:rFonts w:hint="eastAsia" w:ascii="宋体" w:hAnsi="宋体" w:eastAsia="宋体" w:cs="宋体"/>
                <w:b/>
                <w:bCs/>
                <w:sz w:val="21"/>
                <w:szCs w:val="21"/>
                <w:highlight w:val="none"/>
              </w:rPr>
              <w:t>分）</w:t>
            </w:r>
          </w:p>
        </w:tc>
        <w:tc>
          <w:tcPr>
            <w:tcW w:w="1105" w:type="dxa"/>
            <w:vMerge w:val="restart"/>
            <w:tcBorders>
              <w:top w:val="single" w:color="auto" w:sz="4" w:space="0"/>
              <w:left w:val="single" w:color="auto" w:sz="4" w:space="0"/>
              <w:right w:val="single" w:color="auto" w:sz="4" w:space="0"/>
            </w:tcBorders>
            <w:vAlign w:val="center"/>
          </w:tcPr>
          <w:p w14:paraId="09C3795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技术性能分</w:t>
            </w:r>
            <w:r>
              <w:rPr>
                <w:rFonts w:hint="eastAsia" w:ascii="宋体" w:hAnsi="宋体" w:eastAsia="宋体" w:cs="宋体"/>
                <w:bCs/>
                <w:sz w:val="21"/>
                <w:szCs w:val="21"/>
                <w:highlight w:val="none"/>
              </w:rPr>
              <w:t>（满分</w:t>
            </w:r>
            <w:r>
              <w:rPr>
                <w:rFonts w:hint="default" w:ascii="宋体" w:hAnsi="宋体" w:cs="宋体"/>
                <w:bCs/>
                <w:sz w:val="21"/>
                <w:szCs w:val="21"/>
                <w:highlight w:val="none"/>
                <w:lang w:val="en-US" w:eastAsia="zh-CN"/>
              </w:rPr>
              <w:t>19</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5EBA5112">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投标产品技术完全满足招标文件“技术要求”且无任何负偏离的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eastAsia="zh-CN"/>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2860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15" w:type="dxa"/>
            <w:vMerge w:val="continue"/>
            <w:tcBorders>
              <w:left w:val="single" w:color="auto" w:sz="4" w:space="0"/>
              <w:right w:val="single" w:color="auto" w:sz="4" w:space="0"/>
            </w:tcBorders>
            <w:vAlign w:val="center"/>
          </w:tcPr>
          <w:p w14:paraId="3059832D">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48F237F6">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pacing w:val="-18"/>
                <w:sz w:val="21"/>
                <w:szCs w:val="21"/>
                <w:highlight w:val="none"/>
              </w:rPr>
            </w:pPr>
          </w:p>
        </w:tc>
        <w:tc>
          <w:tcPr>
            <w:tcW w:w="1105" w:type="dxa"/>
            <w:vMerge w:val="continue"/>
            <w:tcBorders>
              <w:left w:val="single" w:color="auto" w:sz="4" w:space="0"/>
              <w:bottom w:val="single" w:color="auto" w:sz="4" w:space="0"/>
              <w:right w:val="single" w:color="auto" w:sz="4" w:space="0"/>
            </w:tcBorders>
            <w:vAlign w:val="center"/>
          </w:tcPr>
          <w:p w14:paraId="3EBB4150">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p>
        </w:tc>
        <w:tc>
          <w:tcPr>
            <w:tcW w:w="6523" w:type="dxa"/>
            <w:tcBorders>
              <w:top w:val="single" w:color="auto" w:sz="4" w:space="0"/>
              <w:left w:val="single" w:color="auto" w:sz="4" w:space="0"/>
              <w:bottom w:val="single" w:color="auto" w:sz="4" w:space="0"/>
              <w:right w:val="single" w:color="auto" w:sz="4" w:space="0"/>
            </w:tcBorders>
            <w:vAlign w:val="center"/>
          </w:tcPr>
          <w:p w14:paraId="519C6CAF">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rPr>
              <w:t>在满足基本分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val="en-US"/>
              </w:rPr>
              <w:t>基础上，标注“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en-US"/>
              </w:rPr>
              <w:t>”的技术参数能提供相关证明材料，每1项加</w:t>
            </w:r>
            <w:r>
              <w:rPr>
                <w:rFonts w:hint="default" w:hAnsi="宋体" w:cs="宋体"/>
                <w:bCs/>
                <w:sz w:val="21"/>
                <w:szCs w:val="21"/>
                <w:highlight w:val="none"/>
                <w:lang w:val="en-US" w:eastAsia="zh-CN"/>
              </w:rPr>
              <w:t>1</w:t>
            </w:r>
            <w:r>
              <w:rPr>
                <w:rFonts w:hint="eastAsia" w:ascii="宋体" w:hAnsi="宋体" w:eastAsia="宋体" w:cs="宋体"/>
                <w:bCs/>
                <w:sz w:val="21"/>
                <w:szCs w:val="21"/>
                <w:highlight w:val="none"/>
                <w:lang w:val="en-US"/>
              </w:rPr>
              <w:t>分，满分</w:t>
            </w:r>
            <w:r>
              <w:rPr>
                <w:rFonts w:hint="default" w:hAnsi="宋体" w:cs="宋体"/>
                <w:bCs/>
                <w:sz w:val="21"/>
                <w:szCs w:val="21"/>
                <w:highlight w:val="none"/>
                <w:lang w:val="en-US" w:eastAsia="zh-CN"/>
              </w:rPr>
              <w:t>7</w:t>
            </w:r>
            <w:r>
              <w:rPr>
                <w:rFonts w:hint="eastAsia" w:ascii="宋体" w:hAnsi="宋体" w:eastAsia="宋体" w:cs="宋体"/>
                <w:bCs/>
                <w:sz w:val="21"/>
                <w:szCs w:val="21"/>
                <w:highlight w:val="none"/>
                <w:lang w:val="en-US"/>
              </w:rPr>
              <w:t>分。</w:t>
            </w:r>
          </w:p>
          <w:p w14:paraId="39C0AC35">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rPr>
              <w:t>注：证明材料可以是：</w:t>
            </w:r>
            <w:r>
              <w:rPr>
                <w:rFonts w:hint="eastAsia" w:ascii="宋体" w:hAnsi="宋体" w:eastAsia="宋体" w:cs="宋体"/>
                <w:bCs/>
                <w:sz w:val="21"/>
                <w:szCs w:val="21"/>
                <w:highlight w:val="none"/>
                <w:lang w:val="en-US" w:eastAsia="zh-CN"/>
              </w:rPr>
              <w:t>功能</w:t>
            </w:r>
            <w:r>
              <w:rPr>
                <w:rFonts w:hint="eastAsia" w:ascii="宋体" w:hAnsi="宋体" w:eastAsia="宋体" w:cs="宋体"/>
                <w:bCs/>
                <w:sz w:val="21"/>
                <w:szCs w:val="21"/>
                <w:highlight w:val="none"/>
                <w:lang w:val="en-US"/>
              </w:rPr>
              <w:t>截图证明材料复印件或第三方检测报告复印件或产品生产厂家出具的技术参数说明证明复印件，评审时被</w:t>
            </w:r>
            <w:r>
              <w:rPr>
                <w:rFonts w:hint="eastAsia" w:ascii="宋体" w:hAnsi="宋体" w:eastAsia="宋体" w:cs="宋体"/>
                <w:bCs/>
                <w:sz w:val="21"/>
                <w:szCs w:val="21"/>
                <w:highlight w:val="none"/>
                <w:lang w:val="en-US" w:eastAsia="zh-CN"/>
              </w:rPr>
              <w:t>评标委员会</w:t>
            </w:r>
            <w:r>
              <w:rPr>
                <w:rFonts w:hint="eastAsia" w:ascii="宋体" w:hAnsi="宋体" w:eastAsia="宋体" w:cs="宋体"/>
                <w:bCs/>
                <w:sz w:val="21"/>
                <w:szCs w:val="21"/>
                <w:highlight w:val="none"/>
                <w:lang w:val="en-US"/>
              </w:rPr>
              <w:t>接受的给予计分。</w:t>
            </w:r>
          </w:p>
        </w:tc>
      </w:tr>
      <w:tr w14:paraId="7E0D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14:paraId="6CFA8E82">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27A8E82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A819C2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项目实施方案（满分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7B805D45">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评标委员会根据投标人</w:t>
            </w:r>
            <w:r>
              <w:rPr>
                <w:rFonts w:hint="eastAsia" w:ascii="宋体" w:hAnsi="宋体" w:eastAsia="宋体" w:cs="宋体"/>
                <w:b w:val="0"/>
                <w:bCs/>
                <w:color w:val="auto"/>
                <w:sz w:val="21"/>
                <w:szCs w:val="21"/>
                <w:highlight w:val="none"/>
              </w:rPr>
              <w:t>提供的项目实施方案进行独立评审打分。</w:t>
            </w:r>
          </w:p>
          <w:p w14:paraId="6D83E6F5">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一档（0分）：未提供项目实施方案或未达到二档要求。</w:t>
            </w:r>
          </w:p>
          <w:p w14:paraId="64EC8831">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二档（满分</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分）：对项目理解不</w:t>
            </w:r>
            <w:r>
              <w:rPr>
                <w:rFonts w:hint="eastAsia" w:ascii="宋体" w:hAnsi="宋体" w:eastAsia="宋体" w:cs="宋体"/>
                <w:b w:val="0"/>
                <w:bCs/>
                <w:color w:val="auto"/>
                <w:sz w:val="21"/>
                <w:szCs w:val="21"/>
                <w:highlight w:val="none"/>
                <w:lang w:eastAsia="zh-CN"/>
              </w:rPr>
              <w:t>透彻</w:t>
            </w:r>
            <w:r>
              <w:rPr>
                <w:rFonts w:hint="eastAsia" w:ascii="宋体" w:hAnsi="宋体" w:eastAsia="宋体" w:cs="宋体"/>
                <w:b w:val="0"/>
                <w:bCs/>
                <w:color w:val="auto"/>
                <w:sz w:val="21"/>
                <w:szCs w:val="21"/>
                <w:highlight w:val="none"/>
              </w:rPr>
              <w:t>，措施不具体；项目方案中提出的方案基本合理但不</w:t>
            </w:r>
            <w:r>
              <w:rPr>
                <w:rFonts w:hint="eastAsia" w:ascii="宋体" w:hAnsi="宋体" w:eastAsia="宋体" w:cs="宋体"/>
                <w:b w:val="0"/>
                <w:bCs/>
                <w:color w:val="auto"/>
                <w:sz w:val="21"/>
                <w:szCs w:val="21"/>
                <w:highlight w:val="none"/>
                <w:lang w:eastAsia="zh-CN"/>
              </w:rPr>
              <w:t>详细。</w:t>
            </w:r>
            <w:r>
              <w:rPr>
                <w:rFonts w:hint="eastAsia" w:ascii="宋体" w:hAnsi="宋体" w:eastAsia="宋体" w:cs="宋体"/>
                <w:b w:val="0"/>
                <w:bCs/>
                <w:color w:val="auto"/>
                <w:sz w:val="21"/>
                <w:szCs w:val="21"/>
                <w:highlight w:val="none"/>
              </w:rPr>
              <w:t>总体方案评述</w:t>
            </w:r>
            <w:r>
              <w:rPr>
                <w:rFonts w:hint="eastAsia" w:ascii="宋体" w:hAnsi="宋体" w:eastAsia="宋体" w:cs="宋体"/>
                <w:b w:val="0"/>
                <w:bCs/>
                <w:color w:val="auto"/>
                <w:sz w:val="21"/>
                <w:szCs w:val="21"/>
                <w:highlight w:val="none"/>
                <w:lang w:eastAsia="zh-CN"/>
              </w:rPr>
              <w:t>完整，但</w:t>
            </w:r>
            <w:r>
              <w:rPr>
                <w:rFonts w:hint="eastAsia" w:ascii="宋体" w:hAnsi="宋体" w:eastAsia="宋体" w:cs="宋体"/>
                <w:b w:val="0"/>
                <w:bCs/>
                <w:color w:val="auto"/>
                <w:sz w:val="21"/>
                <w:szCs w:val="21"/>
                <w:highlight w:val="none"/>
              </w:rPr>
              <w:t>不全面。</w:t>
            </w:r>
            <w:r>
              <w:rPr>
                <w:rFonts w:hint="eastAsia" w:ascii="宋体" w:hAnsi="宋体" w:eastAsia="宋体" w:cs="宋体"/>
                <w:b w:val="0"/>
                <w:bCs/>
                <w:color w:val="auto"/>
                <w:sz w:val="21"/>
                <w:szCs w:val="21"/>
                <w:highlight w:val="none"/>
                <w:lang w:val="en-US" w:eastAsia="zh-CN"/>
              </w:rPr>
              <w:t xml:space="preserve"> </w:t>
            </w:r>
          </w:p>
          <w:p w14:paraId="39CA8891">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三档（满分</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分）：在满足二档的前提下，对项目认识较全面，思路较清晰，有相对应的措施方案；能</w:t>
            </w:r>
            <w:r>
              <w:rPr>
                <w:rFonts w:hint="eastAsia" w:ascii="宋体" w:hAnsi="宋体" w:eastAsia="宋体" w:cs="宋体"/>
                <w:b w:val="0"/>
                <w:bCs/>
                <w:color w:val="auto"/>
                <w:sz w:val="21"/>
                <w:szCs w:val="21"/>
                <w:highlight w:val="none"/>
                <w:lang w:eastAsia="zh-CN"/>
              </w:rPr>
              <w:t>简单</w:t>
            </w:r>
            <w:r>
              <w:rPr>
                <w:rFonts w:hint="eastAsia" w:ascii="宋体" w:hAnsi="宋体" w:eastAsia="宋体" w:cs="宋体"/>
                <w:b w:val="0"/>
                <w:bCs/>
                <w:color w:val="auto"/>
                <w:sz w:val="21"/>
                <w:szCs w:val="21"/>
                <w:highlight w:val="none"/>
              </w:rPr>
              <w:t>描述本项目</w:t>
            </w:r>
            <w:r>
              <w:rPr>
                <w:rFonts w:hint="eastAsia" w:ascii="宋体" w:hAnsi="宋体" w:eastAsia="宋体" w:cs="宋体"/>
                <w:b w:val="0"/>
                <w:bCs/>
                <w:color w:val="auto"/>
                <w:sz w:val="21"/>
                <w:szCs w:val="21"/>
                <w:highlight w:val="none"/>
                <w:lang w:eastAsia="zh-CN"/>
              </w:rPr>
              <w:t>实施</w:t>
            </w:r>
            <w:r>
              <w:rPr>
                <w:rFonts w:hint="eastAsia" w:ascii="宋体" w:hAnsi="宋体" w:eastAsia="宋体" w:cs="宋体"/>
                <w:b w:val="0"/>
                <w:bCs/>
                <w:color w:val="auto"/>
                <w:sz w:val="21"/>
                <w:szCs w:val="21"/>
                <w:highlight w:val="none"/>
              </w:rPr>
              <w:t>的主要内容</w:t>
            </w:r>
            <w:r>
              <w:rPr>
                <w:rFonts w:hint="eastAsia" w:ascii="宋体" w:hAnsi="宋体" w:eastAsia="宋体" w:cs="宋体"/>
                <w:b w:val="0"/>
                <w:bCs/>
                <w:color w:val="auto"/>
                <w:sz w:val="21"/>
                <w:szCs w:val="21"/>
                <w:highlight w:val="none"/>
                <w:lang w:eastAsia="zh-CN"/>
              </w:rPr>
              <w:t>，采用的标准，系统的搭设、课程的设置；</w:t>
            </w:r>
            <w:r>
              <w:rPr>
                <w:rFonts w:hint="eastAsia" w:ascii="宋体" w:hAnsi="宋体" w:eastAsia="宋体" w:cs="宋体"/>
                <w:b w:val="0"/>
                <w:bCs/>
                <w:color w:val="auto"/>
                <w:sz w:val="21"/>
                <w:szCs w:val="21"/>
                <w:highlight w:val="none"/>
              </w:rPr>
              <w:t>项目方案中提出的方案基本合理但可行性不强；工作内容和实施办法不够详细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总体方案评述</w:t>
            </w:r>
            <w:r>
              <w:rPr>
                <w:rFonts w:hint="eastAsia" w:ascii="宋体" w:hAnsi="宋体" w:eastAsia="宋体" w:cs="宋体"/>
                <w:b w:val="0"/>
                <w:bCs/>
                <w:color w:val="auto"/>
                <w:sz w:val="21"/>
                <w:szCs w:val="21"/>
                <w:highlight w:val="none"/>
                <w:lang w:eastAsia="zh-CN"/>
              </w:rPr>
              <w:t>较</w:t>
            </w:r>
            <w:r>
              <w:rPr>
                <w:rFonts w:hint="eastAsia" w:ascii="宋体" w:hAnsi="宋体" w:eastAsia="宋体" w:cs="宋体"/>
                <w:b w:val="0"/>
                <w:bCs/>
                <w:color w:val="auto"/>
                <w:sz w:val="21"/>
                <w:szCs w:val="21"/>
                <w:highlight w:val="none"/>
              </w:rPr>
              <w:t>完整、全面。</w:t>
            </w:r>
            <w:r>
              <w:rPr>
                <w:rFonts w:hint="eastAsia" w:ascii="宋体" w:hAnsi="宋体" w:eastAsia="宋体" w:cs="宋体"/>
                <w:b w:val="0"/>
                <w:bCs/>
                <w:color w:val="auto"/>
                <w:sz w:val="21"/>
                <w:szCs w:val="21"/>
                <w:highlight w:val="none"/>
                <w:lang w:val="en-US" w:eastAsia="zh-CN"/>
              </w:rPr>
              <w:t xml:space="preserve"> </w:t>
            </w:r>
          </w:p>
          <w:p w14:paraId="72A1375D">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四档（满分</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分）：在满足三档的前提下，对项目认识充分，方案表达清晰、完整，依据项目具体情况采取有效的措施，符合规范要求；实施方案较详细、可行，提供全面的档案管理制度、项目人员管理制度；能详细描述本项目</w:t>
            </w:r>
            <w:r>
              <w:rPr>
                <w:rFonts w:hint="eastAsia" w:ascii="宋体" w:hAnsi="宋体" w:eastAsia="宋体" w:cs="宋体"/>
                <w:b w:val="0"/>
                <w:bCs/>
                <w:color w:val="auto"/>
                <w:sz w:val="21"/>
                <w:szCs w:val="21"/>
                <w:highlight w:val="none"/>
                <w:lang w:eastAsia="zh-CN"/>
              </w:rPr>
              <w:t>实施</w:t>
            </w:r>
            <w:r>
              <w:rPr>
                <w:rFonts w:hint="eastAsia" w:ascii="宋体" w:hAnsi="宋体" w:eastAsia="宋体" w:cs="宋体"/>
                <w:b w:val="0"/>
                <w:bCs/>
                <w:color w:val="auto"/>
                <w:sz w:val="21"/>
                <w:szCs w:val="21"/>
                <w:highlight w:val="none"/>
              </w:rPr>
              <w:t>的主要内容</w:t>
            </w:r>
            <w:r>
              <w:rPr>
                <w:rFonts w:hint="eastAsia" w:ascii="宋体" w:hAnsi="宋体" w:eastAsia="宋体" w:cs="宋体"/>
                <w:b w:val="0"/>
                <w:bCs/>
                <w:color w:val="auto"/>
                <w:sz w:val="21"/>
                <w:szCs w:val="21"/>
                <w:highlight w:val="none"/>
                <w:lang w:eastAsia="zh-CN"/>
              </w:rPr>
              <w:t>，采用的标准，系统的搭设、课程的设置、课程的交互、测试优化等方面；</w:t>
            </w:r>
            <w:r>
              <w:rPr>
                <w:rFonts w:hint="eastAsia" w:ascii="宋体" w:hAnsi="宋体" w:eastAsia="宋体" w:cs="宋体"/>
                <w:b w:val="0"/>
                <w:bCs/>
                <w:color w:val="auto"/>
                <w:sz w:val="21"/>
                <w:szCs w:val="21"/>
                <w:highlight w:val="none"/>
              </w:rPr>
              <w:t>总体思路、理念和方案表述清晰</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方案总体评述</w:t>
            </w:r>
            <w:r>
              <w:rPr>
                <w:rFonts w:hint="eastAsia" w:ascii="宋体" w:hAnsi="宋体" w:eastAsia="宋体" w:cs="宋体"/>
                <w:b w:val="0"/>
                <w:bCs/>
                <w:color w:val="auto"/>
                <w:sz w:val="21"/>
                <w:szCs w:val="21"/>
                <w:highlight w:val="none"/>
                <w:lang w:eastAsia="zh-CN"/>
              </w:rPr>
              <w:t>较</w:t>
            </w:r>
            <w:r>
              <w:rPr>
                <w:rFonts w:hint="eastAsia" w:ascii="宋体" w:hAnsi="宋体" w:eastAsia="宋体" w:cs="宋体"/>
                <w:b w:val="0"/>
                <w:bCs/>
                <w:color w:val="auto"/>
                <w:sz w:val="21"/>
                <w:szCs w:val="21"/>
                <w:highlight w:val="none"/>
              </w:rPr>
              <w:t>完整、全面</w:t>
            </w:r>
            <w:r>
              <w:rPr>
                <w:rFonts w:hint="eastAsia" w:ascii="宋体" w:hAnsi="宋体" w:eastAsia="宋体" w:cs="宋体"/>
                <w:b w:val="0"/>
                <w:bCs/>
                <w:color w:val="auto"/>
                <w:sz w:val="21"/>
                <w:szCs w:val="21"/>
                <w:highlight w:val="none"/>
                <w:lang w:eastAsia="zh-CN"/>
              </w:rPr>
              <w:t>、有一定的科学性</w:t>
            </w:r>
            <w:r>
              <w:rPr>
                <w:rFonts w:hint="eastAsia" w:ascii="宋体" w:hAnsi="宋体" w:eastAsia="宋体" w:cs="宋体"/>
                <w:b w:val="0"/>
                <w:bCs/>
                <w:color w:val="auto"/>
                <w:sz w:val="21"/>
                <w:szCs w:val="21"/>
                <w:highlight w:val="none"/>
              </w:rPr>
              <w:t>。</w:t>
            </w:r>
          </w:p>
          <w:p w14:paraId="3D9A18A5">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color w:val="auto"/>
                <w:sz w:val="21"/>
                <w:szCs w:val="21"/>
                <w:highlight w:val="none"/>
              </w:rPr>
              <w:t>五档（满分</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分）：在满足四档的前提下，对项目的特点、关键技术问题的认识准确透彻，总体思路、理念和方案表述清晰、</w:t>
            </w:r>
            <w:r>
              <w:rPr>
                <w:rFonts w:hint="eastAsia" w:ascii="宋体" w:hAnsi="宋体" w:eastAsia="宋体" w:cs="宋体"/>
                <w:b w:val="0"/>
                <w:bCs/>
                <w:color w:val="auto"/>
                <w:sz w:val="21"/>
                <w:szCs w:val="21"/>
                <w:highlight w:val="none"/>
                <w:lang w:eastAsia="zh-CN"/>
              </w:rPr>
              <w:t>严谨</w:t>
            </w:r>
            <w:r>
              <w:rPr>
                <w:rFonts w:hint="eastAsia" w:ascii="宋体" w:hAnsi="宋体" w:eastAsia="宋体" w:cs="宋体"/>
                <w:b w:val="0"/>
                <w:bCs/>
                <w:color w:val="auto"/>
                <w:sz w:val="21"/>
                <w:szCs w:val="21"/>
                <w:highlight w:val="none"/>
              </w:rPr>
              <w:t>、完整且依据项目具体情况采取有针对性的措施，符合规范要求；对采购人需求了解透彻，准确理解采购人待解决的</w:t>
            </w:r>
            <w:r>
              <w:rPr>
                <w:rFonts w:hint="eastAsia" w:ascii="宋体" w:hAnsi="宋体" w:eastAsia="宋体" w:cs="宋体"/>
                <w:b w:val="0"/>
                <w:bCs/>
                <w:color w:val="auto"/>
                <w:sz w:val="21"/>
                <w:szCs w:val="21"/>
                <w:highlight w:val="none"/>
                <w:lang w:eastAsia="zh-CN"/>
              </w:rPr>
              <w:t>重点</w:t>
            </w:r>
            <w:r>
              <w:rPr>
                <w:rFonts w:hint="eastAsia" w:ascii="宋体" w:hAnsi="宋体" w:eastAsia="宋体" w:cs="宋体"/>
                <w:b w:val="0"/>
                <w:bCs/>
                <w:color w:val="auto"/>
                <w:sz w:val="21"/>
                <w:szCs w:val="21"/>
                <w:highlight w:val="none"/>
              </w:rPr>
              <w:t>、难点；组织安排合理详细；</w:t>
            </w:r>
            <w:r>
              <w:rPr>
                <w:rFonts w:hint="eastAsia" w:ascii="宋体" w:hAnsi="宋体" w:eastAsia="宋体" w:cs="宋体"/>
                <w:b w:val="0"/>
                <w:bCs/>
                <w:color w:val="auto"/>
                <w:sz w:val="21"/>
                <w:szCs w:val="21"/>
                <w:highlight w:val="none"/>
                <w:lang w:eastAsia="zh-CN"/>
              </w:rPr>
              <w:t>能结合项目实际详细、全面描述本项目实施的</w:t>
            </w:r>
            <w:r>
              <w:rPr>
                <w:rFonts w:hint="eastAsia" w:ascii="宋体" w:hAnsi="宋体" w:eastAsia="宋体" w:cs="宋体"/>
                <w:b w:val="0"/>
                <w:bCs/>
                <w:color w:val="auto"/>
                <w:sz w:val="21"/>
                <w:szCs w:val="21"/>
                <w:highlight w:val="none"/>
              </w:rPr>
              <w:t>主要内容</w:t>
            </w:r>
            <w:r>
              <w:rPr>
                <w:rFonts w:hint="eastAsia" w:ascii="宋体" w:hAnsi="宋体" w:eastAsia="宋体" w:cs="宋体"/>
                <w:b w:val="0"/>
                <w:bCs/>
                <w:color w:val="auto"/>
                <w:sz w:val="21"/>
                <w:szCs w:val="21"/>
                <w:highlight w:val="none"/>
                <w:lang w:eastAsia="zh-CN"/>
              </w:rPr>
              <w:t>，采用的标准，系统的搭设、课程的设置、课程的交互、测试优化、系统功能完整性方面；</w:t>
            </w:r>
            <w:r>
              <w:rPr>
                <w:rFonts w:hint="eastAsia" w:ascii="宋体" w:hAnsi="宋体" w:eastAsia="宋体" w:cs="宋体"/>
                <w:b w:val="0"/>
                <w:bCs/>
                <w:color w:val="auto"/>
                <w:sz w:val="21"/>
                <w:szCs w:val="21"/>
                <w:highlight w:val="none"/>
              </w:rPr>
              <w:t>提供全面</w:t>
            </w:r>
            <w:r>
              <w:rPr>
                <w:rFonts w:hint="eastAsia" w:ascii="宋体" w:hAnsi="宋体" w:eastAsia="宋体" w:cs="宋体"/>
                <w:b w:val="0"/>
                <w:bCs/>
                <w:color w:val="auto"/>
                <w:sz w:val="21"/>
                <w:szCs w:val="21"/>
                <w:highlight w:val="none"/>
                <w:lang w:eastAsia="zh-CN"/>
              </w:rPr>
              <w:t>、可行</w:t>
            </w:r>
            <w:r>
              <w:rPr>
                <w:rFonts w:hint="eastAsia" w:ascii="宋体" w:hAnsi="宋体" w:eastAsia="宋体" w:cs="宋体"/>
                <w:b w:val="0"/>
                <w:bCs/>
                <w:color w:val="auto"/>
                <w:sz w:val="21"/>
                <w:szCs w:val="21"/>
                <w:highlight w:val="none"/>
              </w:rPr>
              <w:t>的档案管理制度、人员管理制度，且针对本项目的实施提供合理化建议</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总体方案评述全面、完整、</w:t>
            </w:r>
            <w:r>
              <w:rPr>
                <w:rFonts w:hint="eastAsia" w:ascii="宋体" w:hAnsi="宋体" w:eastAsia="宋体" w:cs="宋体"/>
                <w:b w:val="0"/>
                <w:bCs/>
                <w:color w:val="auto"/>
                <w:sz w:val="21"/>
                <w:szCs w:val="21"/>
                <w:highlight w:val="none"/>
                <w:lang w:eastAsia="zh-CN"/>
              </w:rPr>
              <w:t>有科学性、</w:t>
            </w:r>
            <w:r>
              <w:rPr>
                <w:rFonts w:hint="eastAsia" w:ascii="宋体" w:hAnsi="宋体" w:eastAsia="宋体" w:cs="宋体"/>
                <w:b w:val="0"/>
                <w:bCs/>
                <w:color w:val="auto"/>
                <w:sz w:val="21"/>
                <w:szCs w:val="21"/>
                <w:highlight w:val="none"/>
              </w:rPr>
              <w:t xml:space="preserve">针对性。 </w:t>
            </w:r>
            <w:r>
              <w:rPr>
                <w:rFonts w:hint="eastAsia" w:ascii="宋体" w:hAnsi="宋体" w:eastAsia="宋体" w:cs="宋体"/>
                <w:sz w:val="21"/>
                <w:szCs w:val="21"/>
                <w:highlight w:val="none"/>
              </w:rPr>
              <w:t xml:space="preserve">  </w:t>
            </w:r>
          </w:p>
        </w:tc>
      </w:tr>
      <w:tr w14:paraId="414C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0DCB7C56">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396F746D">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24E654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项目质量进度、控制方案分（满分</w:t>
            </w:r>
            <w:r>
              <w:rPr>
                <w:rFonts w:hint="default"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vAlign w:val="center"/>
          </w:tcPr>
          <w:p w14:paraId="0C86C82B">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提供的项目进度、质量控制方案独立评审打分。</w:t>
            </w:r>
          </w:p>
          <w:p w14:paraId="0AEB4391">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一档（0分）：未提供项目质量进度、控制方案或未达到二档的要求。</w:t>
            </w:r>
          </w:p>
          <w:p w14:paraId="224D291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二档（满分</w:t>
            </w:r>
            <w:r>
              <w:rPr>
                <w:rFonts w:hint="default"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分）：提供保证项目的具体措施。各项计划图表编制不完善，安排不够紧凑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总体方案评述</w:t>
            </w:r>
            <w:r>
              <w:rPr>
                <w:rFonts w:hint="eastAsia" w:ascii="宋体" w:hAnsi="宋体" w:eastAsia="宋体" w:cs="宋体"/>
                <w:kern w:val="0"/>
                <w:sz w:val="21"/>
                <w:szCs w:val="21"/>
                <w:highlight w:val="none"/>
                <w:lang w:eastAsia="zh-CN"/>
              </w:rPr>
              <w:t>完整，但</w:t>
            </w:r>
            <w:r>
              <w:rPr>
                <w:rFonts w:hint="eastAsia" w:ascii="宋体" w:hAnsi="宋体" w:eastAsia="宋体" w:cs="宋体"/>
                <w:kern w:val="0"/>
                <w:sz w:val="21"/>
                <w:szCs w:val="21"/>
                <w:highlight w:val="none"/>
              </w:rPr>
              <w:t>不全面。</w:t>
            </w:r>
            <w:r>
              <w:rPr>
                <w:rFonts w:hint="eastAsia" w:ascii="宋体" w:hAnsi="宋体" w:eastAsia="宋体" w:cs="宋体"/>
                <w:kern w:val="0"/>
                <w:sz w:val="21"/>
                <w:szCs w:val="21"/>
                <w:highlight w:val="none"/>
                <w:lang w:val="en-US" w:eastAsia="zh-CN"/>
              </w:rPr>
              <w:t xml:space="preserve"> </w:t>
            </w:r>
          </w:p>
          <w:p w14:paraId="23DF8674">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default"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分）：在满足二档的前提下，提供有保证项目的具体措施，措施基本得当。各项计划图表编制基本齐全；有提供优化技术管理方案，安排基本合理，基本满足本项目采购需求。总体方案评述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val="en-US" w:eastAsia="zh-CN"/>
              </w:rPr>
              <w:t xml:space="preserve"> </w:t>
            </w:r>
          </w:p>
          <w:p w14:paraId="368C61C7">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default"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分）：在满足三档的前提下，提供有保证项目的具体措施且措施得当。各项计划图表编制完善，安排较合理；</w:t>
            </w:r>
            <w:r>
              <w:rPr>
                <w:rFonts w:hint="eastAsia" w:ascii="宋体" w:hAnsi="宋体" w:eastAsia="宋体" w:cs="宋体"/>
                <w:kern w:val="0"/>
                <w:sz w:val="21"/>
                <w:szCs w:val="21"/>
                <w:highlight w:val="none"/>
                <w:lang w:eastAsia="zh-CN"/>
              </w:rPr>
              <w:t>能</w:t>
            </w:r>
            <w:r>
              <w:rPr>
                <w:rFonts w:hint="eastAsia" w:ascii="宋体" w:hAnsi="宋体" w:eastAsia="宋体" w:cs="宋体"/>
                <w:kern w:val="0"/>
                <w:sz w:val="21"/>
                <w:szCs w:val="21"/>
                <w:highlight w:val="none"/>
              </w:rPr>
              <w:t>提供</w:t>
            </w:r>
            <w:r>
              <w:rPr>
                <w:rFonts w:hint="eastAsia" w:ascii="宋体" w:hAnsi="宋体" w:eastAsia="宋体" w:cs="宋体"/>
                <w:kern w:val="0"/>
                <w:sz w:val="21"/>
                <w:szCs w:val="21"/>
                <w:highlight w:val="none"/>
                <w:lang w:eastAsia="zh-CN"/>
              </w:rPr>
              <w:t>较全面、详细的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w:t>
            </w:r>
            <w:r>
              <w:rPr>
                <w:rFonts w:hint="eastAsia" w:ascii="宋体" w:hAnsi="宋体" w:eastAsia="宋体" w:cs="宋体"/>
                <w:kern w:val="0"/>
                <w:sz w:val="21"/>
                <w:szCs w:val="21"/>
                <w:highlight w:val="none"/>
                <w:lang w:eastAsia="zh-CN"/>
              </w:rPr>
              <w:t>；提供了较清晰、明确的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能较好满足项目需求。方案总体评述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eastAsia="zh-CN"/>
              </w:rPr>
              <w:t>、有一定的科学性</w:t>
            </w:r>
            <w:r>
              <w:rPr>
                <w:rFonts w:hint="eastAsia" w:ascii="宋体" w:hAnsi="宋体" w:eastAsia="宋体" w:cs="宋体"/>
                <w:kern w:val="0"/>
                <w:sz w:val="21"/>
                <w:szCs w:val="21"/>
                <w:highlight w:val="none"/>
              </w:rPr>
              <w:t>。</w:t>
            </w:r>
          </w:p>
          <w:p w14:paraId="432A8A95">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五档（满分</w:t>
            </w:r>
            <w:r>
              <w:rPr>
                <w:rFonts w:hint="default"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分）：在满足四档的前提下，提供的方案整体描述全面、具体、可行；质量管控方式多样；有详细的工作计划编排及保证措施，控制重点分析合理；提供</w:t>
            </w:r>
            <w:r>
              <w:rPr>
                <w:rFonts w:hint="eastAsia" w:ascii="宋体" w:hAnsi="宋体" w:eastAsia="宋体" w:cs="宋体"/>
                <w:kern w:val="0"/>
                <w:sz w:val="21"/>
                <w:szCs w:val="21"/>
                <w:highlight w:val="none"/>
                <w:lang w:eastAsia="zh-CN"/>
              </w:rPr>
              <w:t>全面、详细、合理的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风险控制解决方案；针对本项目进度控制重点提出了具体、可行的措施，能有效保证项目实施或缩短项目周期；</w:t>
            </w:r>
            <w:r>
              <w:rPr>
                <w:rFonts w:hint="eastAsia" w:ascii="宋体" w:hAnsi="宋体" w:eastAsia="宋体" w:cs="宋体"/>
                <w:kern w:val="0"/>
                <w:sz w:val="21"/>
                <w:szCs w:val="21"/>
                <w:highlight w:val="none"/>
                <w:lang w:eastAsia="zh-CN"/>
              </w:rPr>
              <w:t>提供了全面、可行的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方案及</w:t>
            </w:r>
            <w:r>
              <w:rPr>
                <w:rFonts w:hint="eastAsia" w:ascii="宋体" w:hAnsi="宋体" w:eastAsia="宋体" w:cs="宋体"/>
                <w:kern w:val="0"/>
                <w:sz w:val="21"/>
                <w:szCs w:val="21"/>
                <w:highlight w:val="none"/>
              </w:rPr>
              <w:t>应急预案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完全满足项目需求。总体方案评述全面、完整、</w:t>
            </w:r>
            <w:r>
              <w:rPr>
                <w:rFonts w:hint="eastAsia" w:ascii="宋体" w:hAnsi="宋体" w:eastAsia="宋体" w:cs="宋体"/>
                <w:kern w:val="0"/>
                <w:sz w:val="21"/>
                <w:szCs w:val="21"/>
                <w:highlight w:val="none"/>
                <w:lang w:eastAsia="zh-CN"/>
              </w:rPr>
              <w:t>有科学性、</w:t>
            </w:r>
            <w:r>
              <w:rPr>
                <w:rFonts w:hint="eastAsia" w:ascii="宋体" w:hAnsi="宋体" w:eastAsia="宋体" w:cs="宋体"/>
                <w:kern w:val="0"/>
                <w:sz w:val="21"/>
                <w:szCs w:val="21"/>
                <w:highlight w:val="none"/>
              </w:rPr>
              <w:t>针对性。</w:t>
            </w:r>
          </w:p>
        </w:tc>
      </w:tr>
      <w:tr w14:paraId="7695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15" w:type="dxa"/>
            <w:vMerge w:val="continue"/>
            <w:tcBorders>
              <w:left w:val="single" w:color="auto" w:sz="4" w:space="0"/>
              <w:right w:val="single" w:color="auto" w:sz="4" w:space="0"/>
            </w:tcBorders>
            <w:vAlign w:val="center"/>
          </w:tcPr>
          <w:p w14:paraId="107CD40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01EEE79E">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4AF22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售后服务方案（满分</w:t>
            </w:r>
            <w:r>
              <w:rPr>
                <w:rFonts w:hint="default" w:ascii="宋体" w:hAnsi="宋体" w:cs="宋体"/>
                <w:bCs/>
                <w:sz w:val="21"/>
                <w:szCs w:val="21"/>
                <w:highlight w:val="none"/>
                <w:lang w:val="en-US" w:eastAsia="zh-CN"/>
              </w:rPr>
              <w:t>15</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right w:val="single" w:color="auto" w:sz="4" w:space="0"/>
            </w:tcBorders>
            <w:vAlign w:val="top"/>
          </w:tcPr>
          <w:p w14:paraId="2837DC7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进行独立评审打分。</w:t>
            </w:r>
          </w:p>
          <w:p w14:paraId="6BD7B42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一档（0分）：未提供</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或未达到</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档的要求。</w:t>
            </w:r>
          </w:p>
          <w:p w14:paraId="63A9E4D5">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二档（满分</w:t>
            </w:r>
            <w:r>
              <w:rPr>
                <w:rFonts w:hint="default" w:ascii="宋体" w:hAnsi="宋体" w:cs="宋体"/>
                <w:sz w:val="21"/>
                <w:szCs w:val="21"/>
                <w:highlight w:val="none"/>
                <w:lang w:val="en-US" w:eastAsia="zh-CN"/>
              </w:rPr>
              <w:t>5</w:t>
            </w:r>
            <w:r>
              <w:rPr>
                <w:rFonts w:hint="eastAsia" w:ascii="宋体" w:hAnsi="宋体" w:eastAsia="宋体" w:cs="宋体"/>
                <w:sz w:val="21"/>
                <w:szCs w:val="21"/>
                <w:highlight w:val="none"/>
              </w:rPr>
              <w:t>分）：基本满足采购文件要求；简单提供可行的后续服务承诺；对前期工作方案及承诺响应内容描简单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w:t>
            </w:r>
            <w:r>
              <w:rPr>
                <w:rFonts w:hint="eastAsia" w:ascii="宋体" w:hAnsi="宋体" w:eastAsia="宋体" w:cs="宋体"/>
                <w:sz w:val="21"/>
                <w:szCs w:val="21"/>
                <w:highlight w:val="none"/>
                <w:lang w:eastAsia="zh-CN"/>
              </w:rPr>
              <w:t>完整，但</w:t>
            </w:r>
            <w:r>
              <w:rPr>
                <w:rFonts w:hint="eastAsia" w:ascii="宋体" w:hAnsi="宋体" w:eastAsia="宋体" w:cs="宋体"/>
                <w:sz w:val="21"/>
                <w:szCs w:val="21"/>
                <w:highlight w:val="none"/>
              </w:rPr>
              <w:t>不全面。</w:t>
            </w:r>
            <w:r>
              <w:rPr>
                <w:rFonts w:hint="eastAsia" w:ascii="宋体" w:hAnsi="宋体" w:eastAsia="宋体" w:cs="宋体"/>
                <w:sz w:val="21"/>
                <w:szCs w:val="21"/>
                <w:highlight w:val="none"/>
                <w:lang w:val="en-US" w:eastAsia="zh-CN"/>
              </w:rPr>
              <w:t xml:space="preserve"> </w:t>
            </w:r>
          </w:p>
          <w:p w14:paraId="12F79CC4">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三档（满分</w:t>
            </w:r>
            <w:r>
              <w:rPr>
                <w:rFonts w:hint="default" w:ascii="宋体" w:hAnsi="宋体" w:cs="宋体"/>
                <w:sz w:val="21"/>
                <w:szCs w:val="21"/>
                <w:highlight w:val="none"/>
                <w:lang w:val="en-US" w:eastAsia="zh-CN"/>
              </w:rPr>
              <w:t>10</w:t>
            </w:r>
            <w:r>
              <w:rPr>
                <w:rFonts w:hint="eastAsia" w:ascii="宋体" w:hAnsi="宋体" w:eastAsia="宋体" w:cs="宋体"/>
                <w:sz w:val="21"/>
                <w:szCs w:val="21"/>
                <w:highlight w:val="none"/>
              </w:rPr>
              <w:t>分）：在满足二档的前提下；提供比较详细可行的后续服务承诺；对前期工作方案及承诺响应较好；有简单的后续记录档案制度；有比较完整具体实施事项分析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方案总体评述</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完整、全面</w:t>
            </w:r>
            <w:r>
              <w:rPr>
                <w:rFonts w:hint="eastAsia" w:ascii="宋体" w:hAnsi="宋体" w:eastAsia="宋体" w:cs="宋体"/>
                <w:sz w:val="21"/>
                <w:szCs w:val="21"/>
                <w:highlight w:val="none"/>
                <w:lang w:eastAsia="zh-CN"/>
              </w:rPr>
              <w:t>、有一定的科学性</w:t>
            </w:r>
            <w:r>
              <w:rPr>
                <w:rFonts w:hint="eastAsia" w:ascii="宋体" w:hAnsi="宋体" w:eastAsia="宋体" w:cs="宋体"/>
                <w:sz w:val="21"/>
                <w:szCs w:val="21"/>
                <w:highlight w:val="none"/>
              </w:rPr>
              <w:t>。</w:t>
            </w:r>
          </w:p>
          <w:p w14:paraId="4AB78106">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四档（满分</w:t>
            </w:r>
            <w:r>
              <w:rPr>
                <w:rFonts w:hint="default" w:ascii="宋体" w:hAnsi="宋体" w:cs="宋体"/>
                <w:sz w:val="21"/>
                <w:szCs w:val="21"/>
                <w:highlight w:val="none"/>
                <w:lang w:val="en-US" w:eastAsia="zh-CN"/>
              </w:rPr>
              <w:t>15</w:t>
            </w:r>
            <w:r>
              <w:rPr>
                <w:rFonts w:hint="eastAsia" w:ascii="宋体" w:hAnsi="宋体" w:eastAsia="宋体" w:cs="宋体"/>
                <w:sz w:val="21"/>
                <w:szCs w:val="21"/>
                <w:highlight w:val="none"/>
              </w:rPr>
              <w:t>分）：在满足三档的前提下，提供比较详细可行的后续服务承诺；对前期工作方案及承诺响应较好；有完整的后续记录档案制度；对内容、流程详尽有操作性；跟踪指导服务及时，后续跟踪服务内容全面多样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总体方案评述全面、完整、</w:t>
            </w:r>
            <w:r>
              <w:rPr>
                <w:rFonts w:hint="eastAsia" w:ascii="宋体" w:hAnsi="宋体" w:eastAsia="宋体" w:cs="宋体"/>
                <w:sz w:val="21"/>
                <w:szCs w:val="21"/>
                <w:highlight w:val="none"/>
                <w:lang w:eastAsia="zh-CN"/>
              </w:rPr>
              <w:t>有科学性、</w:t>
            </w:r>
            <w:r>
              <w:rPr>
                <w:rFonts w:hint="eastAsia" w:ascii="宋体" w:hAnsi="宋体" w:eastAsia="宋体" w:cs="宋体"/>
                <w:sz w:val="21"/>
                <w:szCs w:val="21"/>
                <w:highlight w:val="none"/>
              </w:rPr>
              <w:t xml:space="preserve">针对性。 </w:t>
            </w:r>
          </w:p>
        </w:tc>
      </w:tr>
      <w:tr w14:paraId="5D8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left w:val="single" w:color="auto" w:sz="4" w:space="0"/>
              <w:right w:val="single" w:color="auto" w:sz="4" w:space="0"/>
            </w:tcBorders>
            <w:vAlign w:val="center"/>
          </w:tcPr>
          <w:p w14:paraId="66ED61B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851" w:type="dxa"/>
            <w:tcBorders>
              <w:left w:val="single" w:color="auto" w:sz="4" w:space="0"/>
              <w:right w:val="single" w:color="auto" w:sz="4" w:space="0"/>
            </w:tcBorders>
            <w:vAlign w:val="center"/>
          </w:tcPr>
          <w:p w14:paraId="2A39F68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商务分（满分</w:t>
            </w:r>
            <w:r>
              <w:rPr>
                <w:rFonts w:hint="default" w:ascii="宋体" w:hAnsi="宋体" w:cs="宋体"/>
                <w:b/>
                <w:bCs/>
                <w:sz w:val="21"/>
                <w:szCs w:val="21"/>
                <w:highlight w:val="none"/>
                <w:lang w:val="en-US"/>
              </w:rPr>
              <w:t>10</w:t>
            </w:r>
            <w:r>
              <w:rPr>
                <w:rFonts w:hint="eastAsia" w:ascii="宋体" w:hAnsi="宋体" w:eastAsia="宋体" w:cs="宋体"/>
                <w:b/>
                <w:bCs/>
                <w:sz w:val="21"/>
                <w:szCs w:val="21"/>
                <w:highlight w:val="none"/>
              </w:rPr>
              <w:t>分）</w:t>
            </w:r>
          </w:p>
        </w:tc>
        <w:tc>
          <w:tcPr>
            <w:tcW w:w="110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005482F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业绩分（满分</w:t>
            </w:r>
            <w:r>
              <w:rPr>
                <w:rFonts w:hint="default" w:ascii="宋体" w:hAnsi="宋体" w:cs="宋体"/>
                <w:bCs/>
                <w:sz w:val="21"/>
                <w:szCs w:val="21"/>
                <w:highlight w:val="none"/>
                <w:lang w:val="en-US"/>
              </w:rPr>
              <w:t>10</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tcPr>
          <w:p w14:paraId="34969A9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年1月1日以来承接过类似项目的（类似项目指5G站点工程仿真系统</w:t>
            </w:r>
            <w:r>
              <w:rPr>
                <w:rFonts w:hint="eastAsia" w:ascii="宋体" w:hAnsi="宋体" w:eastAsia="宋体" w:cs="宋体"/>
                <w:sz w:val="21"/>
                <w:szCs w:val="21"/>
                <w:highlight w:val="none"/>
                <w:lang w:val="en-US" w:eastAsia="zh-CN"/>
              </w:rPr>
              <w:t>或其他仿真系统</w:t>
            </w:r>
            <w:r>
              <w:rPr>
                <w:rFonts w:hint="eastAsia" w:ascii="宋体" w:hAnsi="宋体" w:eastAsia="宋体" w:cs="宋体"/>
                <w:sz w:val="21"/>
                <w:szCs w:val="21"/>
                <w:highlight w:val="none"/>
              </w:rPr>
              <w:t>等），每提供一份项目合同业绩的得</w:t>
            </w:r>
            <w:r>
              <w:rPr>
                <w:rFonts w:hint="default" w:ascii="宋体" w:hAnsi="宋体" w:cs="宋体"/>
                <w:sz w:val="21"/>
                <w:szCs w:val="21"/>
                <w:highlight w:val="none"/>
                <w:lang w:val="en-US" w:eastAsia="zh-CN"/>
              </w:rPr>
              <w:t>2</w:t>
            </w:r>
            <w:r>
              <w:rPr>
                <w:rFonts w:hint="eastAsia" w:ascii="宋体" w:hAnsi="宋体" w:eastAsia="宋体" w:cs="宋体"/>
                <w:sz w:val="21"/>
                <w:szCs w:val="21"/>
                <w:highlight w:val="none"/>
              </w:rPr>
              <w:t>分，本项满分</w:t>
            </w:r>
            <w:r>
              <w:rPr>
                <w:rFonts w:hint="default" w:ascii="宋体" w:hAnsi="宋体" w:cs="宋体"/>
                <w:sz w:val="21"/>
                <w:szCs w:val="21"/>
                <w:highlight w:val="none"/>
                <w:lang w:val="en-US"/>
              </w:rPr>
              <w:t>10</w:t>
            </w:r>
            <w:r>
              <w:rPr>
                <w:rFonts w:hint="eastAsia" w:ascii="宋体" w:hAnsi="宋体" w:eastAsia="宋体" w:cs="宋体"/>
                <w:sz w:val="21"/>
                <w:szCs w:val="21"/>
                <w:highlight w:val="none"/>
              </w:rPr>
              <w:t>分。</w:t>
            </w:r>
            <w:r>
              <w:rPr>
                <w:rFonts w:hint="eastAsia" w:ascii="宋体" w:hAnsi="宋体" w:eastAsia="宋体" w:cs="宋体"/>
                <w:b/>
                <w:sz w:val="21"/>
                <w:szCs w:val="21"/>
                <w:highlight w:val="none"/>
              </w:rPr>
              <w:t>【注：投标文件中要附业绩一览表，并列明采购单位信息及单位地址、联系人、电话等，同时提供采购合同或中标（成交）通知书复印件，未按要求提供材料的不予计分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如中标（成交）通知书不能清晰反映所承接项目的标的信息，还需提供有效的合同证明材料或履约验收证明材料。</w:t>
            </w:r>
            <w:r>
              <w:rPr>
                <w:rFonts w:hint="eastAsia" w:ascii="宋体" w:hAnsi="宋体" w:eastAsia="宋体" w:cs="宋体"/>
                <w:b/>
                <w:sz w:val="21"/>
                <w:szCs w:val="21"/>
                <w:highlight w:val="none"/>
              </w:rPr>
              <w:t>】</w:t>
            </w:r>
          </w:p>
        </w:tc>
      </w:tr>
      <w:tr w14:paraId="4E75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3CA3B83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14:paraId="547AAD3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政策功能分（满分2分）</w:t>
            </w:r>
          </w:p>
        </w:tc>
        <w:tc>
          <w:tcPr>
            <w:tcW w:w="1105" w:type="dxa"/>
            <w:tcBorders>
              <w:top w:val="single" w:color="auto" w:sz="4" w:space="0"/>
              <w:left w:val="single" w:color="auto" w:sz="4" w:space="0"/>
              <w:bottom w:val="single" w:color="auto" w:sz="4" w:space="0"/>
              <w:right w:val="single" w:color="auto" w:sz="4" w:space="0"/>
            </w:tcBorders>
            <w:vAlign w:val="center"/>
          </w:tcPr>
          <w:p w14:paraId="6975E8E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节能、环保分</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满分2分</w:t>
            </w:r>
            <w:r>
              <w:rPr>
                <w:rFonts w:hint="eastAsia" w:ascii="宋体" w:hAnsi="宋体" w:eastAsia="宋体" w:cs="宋体"/>
                <w:bCs/>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tcPr>
          <w:p w14:paraId="794ACDCC">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（1）节能产品分：投标产品列入品目清单范围内优先采购的，且提供国家确定的认证机构出具的、处于有效期之内的节能产品认证证书复印件（加盖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），每有一项得0.5分，最多得1分。采购内容中的强制产品不加分。</w:t>
            </w:r>
          </w:p>
          <w:p w14:paraId="002A6234">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（2）环保标志产品分：投标产品列入品目清单范围内优先采购的，且提供国家确定的认证机构出具的、处于有效期之内的环境标志产品认证证书复印件（加盖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w:t>
            </w:r>
          </w:p>
        </w:tc>
      </w:tr>
      <w:tr w14:paraId="31F7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046D5FD2">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总得分=1+2+3+4。</w:t>
            </w:r>
          </w:p>
        </w:tc>
      </w:tr>
    </w:tbl>
    <w:p w14:paraId="5C02E9FA">
      <w:pPr>
        <w:pStyle w:val="26"/>
        <w:spacing w:line="360" w:lineRule="auto"/>
        <w:rPr>
          <w:rFonts w:hAnsi="宋体"/>
          <w:bCs/>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bCs/>
          <w:color w:val="000000"/>
          <w:sz w:val="21"/>
          <w:highlight w:val="none"/>
        </w:rPr>
        <w:t>注：计分方法按四舍五入取至百分位</w:t>
      </w:r>
    </w:p>
    <w:tbl>
      <w:tblPr>
        <w:tblStyle w:val="4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105"/>
        <w:gridCol w:w="6523"/>
      </w:tblGrid>
      <w:tr w14:paraId="1E86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08C2D370">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适用于</w:t>
            </w:r>
            <w:r>
              <w:rPr>
                <w:rFonts w:hint="eastAsia" w:ascii="宋体" w:hAnsi="宋体" w:eastAsia="宋体" w:cs="宋体"/>
                <w:b/>
                <w:bCs/>
                <w:color w:val="000000"/>
                <w:kern w:val="0"/>
                <w:sz w:val="21"/>
                <w:szCs w:val="21"/>
                <w:highlight w:val="none"/>
                <w:lang w:val="en-US" w:eastAsia="zh-CN"/>
              </w:rPr>
              <w:t>E分标</w:t>
            </w:r>
          </w:p>
        </w:tc>
      </w:tr>
      <w:tr w14:paraId="2407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3B0C601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105" w:type="dxa"/>
            <w:tcBorders>
              <w:top w:val="single" w:color="auto" w:sz="4" w:space="0"/>
              <w:left w:val="single" w:color="auto" w:sz="4" w:space="0"/>
              <w:bottom w:val="single" w:color="auto" w:sz="4" w:space="0"/>
              <w:right w:val="single" w:color="auto" w:sz="4" w:space="0"/>
            </w:tcBorders>
            <w:vAlign w:val="center"/>
          </w:tcPr>
          <w:p w14:paraId="6DD0B7F6">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tc>
        <w:tc>
          <w:tcPr>
            <w:tcW w:w="6523" w:type="dxa"/>
            <w:tcBorders>
              <w:top w:val="single" w:color="auto" w:sz="4" w:space="0"/>
              <w:left w:val="single" w:color="auto" w:sz="4" w:space="0"/>
              <w:bottom w:val="single" w:color="auto" w:sz="4" w:space="0"/>
              <w:right w:val="single" w:color="auto" w:sz="4" w:space="0"/>
            </w:tcBorders>
            <w:vAlign w:val="center"/>
          </w:tcPr>
          <w:p w14:paraId="5A57B8E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2ACF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6CA6C1D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16D7B63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价格分</w:t>
            </w:r>
          </w:p>
          <w:p w14:paraId="2C9C5D6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（30满分分）</w:t>
            </w:r>
          </w:p>
        </w:tc>
        <w:tc>
          <w:tcPr>
            <w:tcW w:w="1105" w:type="dxa"/>
            <w:tcBorders>
              <w:top w:val="single" w:color="auto" w:sz="4" w:space="0"/>
              <w:left w:val="single" w:color="auto" w:sz="4" w:space="0"/>
              <w:bottom w:val="single" w:color="auto" w:sz="4" w:space="0"/>
              <w:right w:val="single" w:color="auto" w:sz="4" w:space="0"/>
            </w:tcBorders>
            <w:vAlign w:val="center"/>
          </w:tcPr>
          <w:p w14:paraId="51B56AD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投标报价（满分30分）</w:t>
            </w:r>
          </w:p>
        </w:tc>
        <w:tc>
          <w:tcPr>
            <w:tcW w:w="6523" w:type="dxa"/>
            <w:tcBorders>
              <w:top w:val="single" w:color="auto" w:sz="4" w:space="0"/>
              <w:left w:val="single" w:color="auto" w:sz="4" w:space="0"/>
              <w:bottom w:val="single" w:color="auto" w:sz="4" w:space="0"/>
              <w:right w:val="single" w:color="auto" w:sz="4" w:space="0"/>
            </w:tcBorders>
            <w:vAlign w:val="center"/>
          </w:tcPr>
          <w:p w14:paraId="6176CCB5">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（1）评标报价为投标人的投标报价进行政策性扣除后的价格，评标报价只是作为评标时使用。最终中标人的中标金额等于投标报价。</w:t>
            </w:r>
          </w:p>
          <w:p w14:paraId="51CF9AFA">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（2）政策性扣除计算方法。</w:t>
            </w:r>
          </w:p>
          <w:p w14:paraId="24F9C341">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根据《政府采购促进中小企业发展管理办法》（财库〔2020〕46号）及《广西壮族自治区财政厅关于持续优化政府采购营商环境推动高质量发展的通知》（</w:t>
            </w:r>
            <w:r>
              <w:rPr>
                <w:rFonts w:hint="eastAsia" w:ascii="宋体" w:hAnsi="宋体" w:eastAsia="宋体" w:cs="宋体"/>
                <w:bCs/>
                <w:sz w:val="21"/>
                <w:szCs w:val="21"/>
                <w:highlight w:val="none"/>
                <w:lang w:eastAsia="zh-CN"/>
              </w:rPr>
              <w:t>桂财采〔2024〕55号</w:t>
            </w:r>
            <w:r>
              <w:rPr>
                <w:rFonts w:hint="eastAsia" w:ascii="宋体" w:hAnsi="宋体" w:eastAsia="宋体" w:cs="宋体"/>
                <w:bCs/>
                <w:sz w:val="21"/>
                <w:szCs w:val="21"/>
                <w:highlight w:val="none"/>
              </w:rPr>
              <w:t>）的规定</w:t>
            </w:r>
            <w:r>
              <w:rPr>
                <w:rFonts w:hint="eastAsia" w:ascii="宋体" w:hAnsi="宋体" w:eastAsia="宋体" w:cs="宋体"/>
                <w:bCs/>
                <w:color w:val="000000"/>
                <w:sz w:val="21"/>
                <w:szCs w:val="21"/>
                <w:highlight w:val="none"/>
              </w:rPr>
              <w:t>，投标人在其投标文件中提供《中小企业声明函》，且其投标全部货物由小微企业制造的，对其投标报价给予</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%的扣除，扣除后的价格为评标报价，即评标报价=投标报价×（1-</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%的扣除，用扣除后的价格参加评审，扣除后的价格为评标报价，即评标报价=投标报价×（1-</w:t>
            </w: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%）。除上述情况外，评标报价=投标报价。</w:t>
            </w:r>
          </w:p>
          <w:p w14:paraId="606441D4">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B46C8D1">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C205196">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（5）满足招标文件要求且评标报价最低的评标报价为评标基准价，其价格分为满分。</w:t>
            </w:r>
          </w:p>
          <w:p w14:paraId="6F2824B4">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（6）价格分计算公式：价格分=(评标基准价／评标报价)×30分 </w:t>
            </w:r>
            <w:r>
              <w:rPr>
                <w:rFonts w:hint="eastAsia" w:ascii="宋体" w:hAnsi="宋体" w:eastAsia="宋体" w:cs="宋体"/>
                <w:color w:val="000000"/>
                <w:sz w:val="21"/>
                <w:szCs w:val="21"/>
                <w:highlight w:val="none"/>
              </w:rPr>
              <w:t xml:space="preserve">  </w:t>
            </w:r>
          </w:p>
          <w:p w14:paraId="1D688743">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E81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091900F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851" w:type="dxa"/>
            <w:vMerge w:val="restart"/>
            <w:tcBorders>
              <w:top w:val="single" w:color="auto" w:sz="4" w:space="0"/>
              <w:left w:val="single" w:color="auto" w:sz="4" w:space="0"/>
              <w:right w:val="single" w:color="auto" w:sz="4" w:space="0"/>
            </w:tcBorders>
            <w:vAlign w:val="center"/>
          </w:tcPr>
          <w:p w14:paraId="4C24A584">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pacing w:val="-18"/>
                <w:sz w:val="21"/>
                <w:szCs w:val="21"/>
                <w:highlight w:val="none"/>
              </w:rPr>
            </w:pPr>
            <w:r>
              <w:rPr>
                <w:rFonts w:hint="eastAsia" w:ascii="宋体" w:hAnsi="宋体" w:eastAsia="宋体" w:cs="宋体"/>
                <w:b/>
                <w:bCs/>
                <w:sz w:val="21"/>
                <w:szCs w:val="21"/>
                <w:highlight w:val="none"/>
              </w:rPr>
              <w:t>技术分（满分</w:t>
            </w:r>
            <w:r>
              <w:rPr>
                <w:rFonts w:hint="eastAsia" w:ascii="宋体" w:hAnsi="宋体" w:cs="宋体"/>
                <w:b/>
                <w:bCs/>
                <w:sz w:val="21"/>
                <w:szCs w:val="21"/>
                <w:highlight w:val="none"/>
                <w:lang w:val="en-US" w:eastAsia="zh-CN"/>
              </w:rPr>
              <w:t>59</w:t>
            </w:r>
            <w:r>
              <w:rPr>
                <w:rFonts w:hint="eastAsia" w:ascii="宋体" w:hAnsi="宋体" w:eastAsia="宋体" w:cs="宋体"/>
                <w:b/>
                <w:bCs/>
                <w:sz w:val="21"/>
                <w:szCs w:val="21"/>
                <w:highlight w:val="none"/>
              </w:rPr>
              <w:t>分）</w:t>
            </w:r>
          </w:p>
        </w:tc>
        <w:tc>
          <w:tcPr>
            <w:tcW w:w="1105" w:type="dxa"/>
            <w:vMerge w:val="restart"/>
            <w:tcBorders>
              <w:top w:val="single" w:color="auto" w:sz="4" w:space="0"/>
              <w:left w:val="single" w:color="auto" w:sz="4" w:space="0"/>
              <w:right w:val="single" w:color="auto" w:sz="4" w:space="0"/>
            </w:tcBorders>
            <w:vAlign w:val="center"/>
          </w:tcPr>
          <w:p w14:paraId="32028F5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技术性能分</w:t>
            </w:r>
            <w:r>
              <w:rPr>
                <w:rFonts w:hint="eastAsia" w:ascii="宋体" w:hAnsi="宋体" w:eastAsia="宋体" w:cs="宋体"/>
                <w:bCs/>
                <w:sz w:val="21"/>
                <w:szCs w:val="21"/>
                <w:highlight w:val="none"/>
              </w:rPr>
              <w:t>（满分</w:t>
            </w:r>
            <w:r>
              <w:rPr>
                <w:rFonts w:hint="eastAsia" w:ascii="宋体" w:hAnsi="宋体" w:cs="宋体"/>
                <w:bCs/>
                <w:sz w:val="21"/>
                <w:szCs w:val="21"/>
                <w:highlight w:val="none"/>
                <w:lang w:val="en-US" w:eastAsia="zh-CN"/>
              </w:rPr>
              <w:t>23</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27264D1C">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投标产品技术完全满足招标文件“技术要求”且无任何负偏离的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eastAsia="zh-CN"/>
              </w:rPr>
              <w:t>基本分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2AA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15" w:type="dxa"/>
            <w:vMerge w:val="continue"/>
            <w:tcBorders>
              <w:left w:val="single" w:color="auto" w:sz="4" w:space="0"/>
              <w:right w:val="single" w:color="auto" w:sz="4" w:space="0"/>
            </w:tcBorders>
            <w:vAlign w:val="center"/>
          </w:tcPr>
          <w:p w14:paraId="386085F6">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6339861A">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pacing w:val="-18"/>
                <w:sz w:val="21"/>
                <w:szCs w:val="21"/>
                <w:highlight w:val="none"/>
              </w:rPr>
            </w:pPr>
          </w:p>
        </w:tc>
        <w:tc>
          <w:tcPr>
            <w:tcW w:w="1105" w:type="dxa"/>
            <w:vMerge w:val="continue"/>
            <w:tcBorders>
              <w:left w:val="single" w:color="auto" w:sz="4" w:space="0"/>
              <w:bottom w:val="single" w:color="auto" w:sz="4" w:space="0"/>
              <w:right w:val="single" w:color="auto" w:sz="4" w:space="0"/>
            </w:tcBorders>
            <w:vAlign w:val="center"/>
          </w:tcPr>
          <w:p w14:paraId="6CD0904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sz w:val="21"/>
                <w:szCs w:val="21"/>
                <w:highlight w:val="none"/>
              </w:rPr>
            </w:pPr>
          </w:p>
        </w:tc>
        <w:tc>
          <w:tcPr>
            <w:tcW w:w="6523" w:type="dxa"/>
            <w:tcBorders>
              <w:top w:val="single" w:color="auto" w:sz="4" w:space="0"/>
              <w:left w:val="single" w:color="auto" w:sz="4" w:space="0"/>
              <w:bottom w:val="single" w:color="auto" w:sz="4" w:space="0"/>
              <w:right w:val="single" w:color="auto" w:sz="4" w:space="0"/>
            </w:tcBorders>
            <w:vAlign w:val="center"/>
          </w:tcPr>
          <w:p w14:paraId="71F5DF9B">
            <w:pPr>
              <w:pStyle w:val="2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rPr>
              <w:t>在满足基本分</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val="en-US"/>
              </w:rPr>
              <w:t>基础上，标注“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en-US"/>
              </w:rPr>
              <w:t>”的技术参数能提供相关证明材料，每1项加</w:t>
            </w:r>
            <w:r>
              <w:rPr>
                <w:rFonts w:hint="eastAsia" w:hAnsi="宋体" w:cs="宋体"/>
                <w:bCs/>
                <w:sz w:val="21"/>
                <w:szCs w:val="21"/>
                <w:highlight w:val="none"/>
                <w:lang w:val="en-US" w:eastAsia="zh-CN"/>
              </w:rPr>
              <w:t>1</w:t>
            </w:r>
            <w:r>
              <w:rPr>
                <w:rFonts w:hint="eastAsia" w:ascii="宋体" w:hAnsi="宋体" w:eastAsia="宋体" w:cs="宋体"/>
                <w:bCs/>
                <w:sz w:val="21"/>
                <w:szCs w:val="21"/>
                <w:highlight w:val="none"/>
                <w:lang w:val="en-US"/>
              </w:rPr>
              <w:t>分，满分</w:t>
            </w:r>
            <w:r>
              <w:rPr>
                <w:rFonts w:hint="eastAsia" w:hAnsi="宋体" w:cs="宋体"/>
                <w:bCs/>
                <w:sz w:val="21"/>
                <w:szCs w:val="21"/>
                <w:highlight w:val="none"/>
                <w:lang w:val="en-US" w:eastAsia="zh-CN"/>
              </w:rPr>
              <w:t>11</w:t>
            </w:r>
            <w:r>
              <w:rPr>
                <w:rFonts w:hint="eastAsia" w:ascii="宋体" w:hAnsi="宋体" w:eastAsia="宋体" w:cs="宋体"/>
                <w:bCs/>
                <w:sz w:val="21"/>
                <w:szCs w:val="21"/>
                <w:highlight w:val="none"/>
                <w:lang w:val="en-US"/>
              </w:rPr>
              <w:t>分。</w:t>
            </w:r>
          </w:p>
          <w:p w14:paraId="47CA7F2E">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rPr>
              <w:t>注：证明材料可以是：</w:t>
            </w:r>
            <w:r>
              <w:rPr>
                <w:rFonts w:hint="eastAsia" w:ascii="宋体" w:hAnsi="宋体" w:eastAsia="宋体" w:cs="宋体"/>
                <w:bCs/>
                <w:sz w:val="21"/>
                <w:szCs w:val="21"/>
                <w:highlight w:val="none"/>
                <w:lang w:val="en-US" w:eastAsia="zh-CN"/>
              </w:rPr>
              <w:t>功能</w:t>
            </w:r>
            <w:r>
              <w:rPr>
                <w:rFonts w:hint="eastAsia" w:ascii="宋体" w:hAnsi="宋体" w:eastAsia="宋体" w:cs="宋体"/>
                <w:bCs/>
                <w:sz w:val="21"/>
                <w:szCs w:val="21"/>
                <w:highlight w:val="none"/>
                <w:lang w:val="en-US"/>
              </w:rPr>
              <w:t>截图证明材料复印件或第三方检测报告复印件或产品生产厂家出具的技术参数说明证明复印件，评审时被</w:t>
            </w:r>
            <w:r>
              <w:rPr>
                <w:rFonts w:hint="eastAsia" w:ascii="宋体" w:hAnsi="宋体" w:eastAsia="宋体" w:cs="宋体"/>
                <w:bCs/>
                <w:sz w:val="21"/>
                <w:szCs w:val="21"/>
                <w:highlight w:val="none"/>
                <w:lang w:val="en-US" w:eastAsia="zh-CN"/>
              </w:rPr>
              <w:t>评标委员会</w:t>
            </w:r>
            <w:r>
              <w:rPr>
                <w:rFonts w:hint="eastAsia" w:ascii="宋体" w:hAnsi="宋体" w:eastAsia="宋体" w:cs="宋体"/>
                <w:bCs/>
                <w:sz w:val="21"/>
                <w:szCs w:val="21"/>
                <w:highlight w:val="none"/>
                <w:lang w:val="en-US"/>
              </w:rPr>
              <w:t>接受的给予计分。</w:t>
            </w:r>
          </w:p>
        </w:tc>
      </w:tr>
      <w:tr w14:paraId="0B84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5" w:type="dxa"/>
            <w:vMerge w:val="continue"/>
            <w:tcBorders>
              <w:left w:val="single" w:color="auto" w:sz="4" w:space="0"/>
              <w:right w:val="single" w:color="auto" w:sz="4" w:space="0"/>
            </w:tcBorders>
            <w:vAlign w:val="center"/>
          </w:tcPr>
          <w:p w14:paraId="7941F76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49ED396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4B9CF03">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项目实施方案（满分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center"/>
          </w:tcPr>
          <w:p w14:paraId="3A4F9A89">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评标委员会根据供应商提供的</w:t>
            </w:r>
            <w:r>
              <w:rPr>
                <w:rFonts w:hint="eastAsia" w:ascii="宋体" w:hAnsi="宋体" w:eastAsia="宋体" w:cs="宋体"/>
                <w:sz w:val="21"/>
                <w:szCs w:val="21"/>
                <w:highlight w:val="none"/>
              </w:rPr>
              <w:t>项目实施方案</w:t>
            </w:r>
            <w:r>
              <w:rPr>
                <w:rFonts w:hint="eastAsia" w:ascii="宋体" w:hAnsi="宋体" w:eastAsia="宋体" w:cs="宋体"/>
                <w:kern w:val="0"/>
                <w:sz w:val="21"/>
                <w:szCs w:val="21"/>
                <w:highlight w:val="none"/>
              </w:rPr>
              <w:t>进行独立评审打分。</w:t>
            </w:r>
          </w:p>
          <w:p w14:paraId="3B7206D8">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一档（0分）：未提供项目实施方案或未达到二档要求。</w:t>
            </w:r>
          </w:p>
          <w:p w14:paraId="42C8AA97">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二档（满分</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分）：对项目理解不全面，措施不具体；项目方案中提出的方案基本合理但不透彻；总体方案评述不全面。</w:t>
            </w:r>
          </w:p>
          <w:p w14:paraId="0A2B9800">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分）：在满足二档的前提下，对项目认识较全面，思路较清晰，有相对应的措施方案；项目方案中提出的方案基本合理但可行性不强；工作内容和实施办法不够详细，总体方案评述全面。</w:t>
            </w:r>
          </w:p>
          <w:p w14:paraId="1196ED62">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分）：在满足三档的前提下，对项目认识充分，方案表达清晰、完整，措施具体且依据项目具体情况采取有效的措施，符合规范要求；</w:t>
            </w:r>
            <w:r>
              <w:rPr>
                <w:rFonts w:hint="eastAsia" w:ascii="宋体" w:hAnsi="宋体" w:eastAsia="宋体" w:cs="宋体"/>
                <w:sz w:val="21"/>
                <w:szCs w:val="21"/>
                <w:highlight w:val="none"/>
              </w:rPr>
              <w:t>实施方案较详细、可行，提供全面的档案管理制度、项目人员管理制度</w:t>
            </w:r>
            <w:r>
              <w:rPr>
                <w:rFonts w:hint="eastAsia" w:ascii="宋体" w:hAnsi="宋体" w:eastAsia="宋体" w:cs="宋体"/>
                <w:kern w:val="0"/>
                <w:sz w:val="21"/>
                <w:szCs w:val="21"/>
                <w:highlight w:val="none"/>
              </w:rPr>
              <w:t>；总体思路、理念和方案表述清晰，方案总体评述完整、全面。</w:t>
            </w:r>
          </w:p>
          <w:p w14:paraId="0D54AAA6">
            <w:pPr>
              <w:pStyle w:val="26"/>
              <w:keepNext w:val="0"/>
              <w:keepLines w:val="0"/>
              <w:pageBreakBefore w:val="0"/>
              <w:kinsoku/>
              <w:wordWrap/>
              <w:overflowPunct/>
              <w:topLinePunct w:val="0"/>
              <w:autoSpaceDE/>
              <w:autoSpaceDN/>
              <w:bidi w:val="0"/>
              <w:spacing w:line="360" w:lineRule="auto"/>
              <w:ind w:firstLine="630" w:firstLineChars="3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五档（满分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 xml:space="preserve">分）：在满足四档的前提下，对项目的特点、关键技术问题的认识准确透彻，总体思路、理念和方案表述清晰、严瑾、完整且依据项目具体情况采取有针对性的措施，符合规范要求；对采购人需求了解透彻，准确理解采购人待解决的痛点、难点；组织安排合理详细；提供较全面的档案管理制度、项目人员管理制度、保密制度、货物管理制度，且针对本项目的实施提供能提供合理化建议，符合采购人预定的需求；总体方案评述较全面、完整、且有针对性。 </w:t>
            </w:r>
          </w:p>
        </w:tc>
      </w:tr>
      <w:tr w14:paraId="3BC6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28C7626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3FDE5E36">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53D55A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项目质量进度、控制方案分（满分</w:t>
            </w:r>
            <w:r>
              <w:rPr>
                <w:rFonts w:hint="eastAsia" w:ascii="宋体" w:hAnsi="宋体" w:eastAsia="宋体" w:cs="宋体"/>
                <w:color w:val="000000"/>
                <w:sz w:val="21"/>
                <w:szCs w:val="21"/>
                <w:highlight w:val="none"/>
                <w:lang w:val="en-US" w:eastAsia="zh-CN"/>
              </w:rPr>
              <w:t>8分</w:t>
            </w:r>
            <w:r>
              <w:rPr>
                <w:rFonts w:hint="eastAsia" w:ascii="宋体" w:hAnsi="宋体" w:eastAsia="宋体" w:cs="宋体"/>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vAlign w:val="center"/>
          </w:tcPr>
          <w:p w14:paraId="704EA165">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提供的项目进度、质量控制方案独立评审打分。</w:t>
            </w:r>
          </w:p>
          <w:p w14:paraId="4E524770">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一档（0分）：未提供项目质量进度、控制方案或未达到二档的要求。</w:t>
            </w:r>
          </w:p>
          <w:p w14:paraId="7FCDCD7A">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二档（满分</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分）：提供保证项目的具体措施。各项计划图表编制不完善，安排不够紧凑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总体方案评述</w:t>
            </w:r>
            <w:r>
              <w:rPr>
                <w:rFonts w:hint="eastAsia" w:ascii="宋体" w:hAnsi="宋体" w:eastAsia="宋体" w:cs="宋体"/>
                <w:kern w:val="0"/>
                <w:sz w:val="21"/>
                <w:szCs w:val="21"/>
                <w:highlight w:val="none"/>
                <w:lang w:eastAsia="zh-CN"/>
              </w:rPr>
              <w:t>完整，但</w:t>
            </w:r>
            <w:r>
              <w:rPr>
                <w:rFonts w:hint="eastAsia" w:ascii="宋体" w:hAnsi="宋体" w:eastAsia="宋体" w:cs="宋体"/>
                <w:kern w:val="0"/>
                <w:sz w:val="21"/>
                <w:szCs w:val="21"/>
                <w:highlight w:val="none"/>
              </w:rPr>
              <w:t>不全面。</w:t>
            </w:r>
            <w:r>
              <w:rPr>
                <w:rFonts w:hint="eastAsia" w:ascii="宋体" w:hAnsi="宋体" w:eastAsia="宋体" w:cs="宋体"/>
                <w:kern w:val="0"/>
                <w:sz w:val="21"/>
                <w:szCs w:val="21"/>
                <w:highlight w:val="none"/>
                <w:lang w:val="en-US" w:eastAsia="zh-CN"/>
              </w:rPr>
              <w:t xml:space="preserve"> </w:t>
            </w:r>
          </w:p>
          <w:p w14:paraId="63C82B0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三档（满分</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分）：在满足二档的前提下，提供有保证项目的具体措施，措施基本得当。各项计划图表编制基本齐全；有提供优化技术管理方案，安排基本合理，基本满足本项目采购需求。总体方案评述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val="en-US" w:eastAsia="zh-CN"/>
              </w:rPr>
              <w:t xml:space="preserve"> </w:t>
            </w:r>
          </w:p>
          <w:p w14:paraId="03831193">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四档（满分</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分）：在满足三档的前提下，提供有保证项目的具体措施且措施得当。各项计划图表编制完善，安排较合理；</w:t>
            </w:r>
            <w:r>
              <w:rPr>
                <w:rFonts w:hint="eastAsia" w:ascii="宋体" w:hAnsi="宋体" w:eastAsia="宋体" w:cs="宋体"/>
                <w:kern w:val="0"/>
                <w:sz w:val="21"/>
                <w:szCs w:val="21"/>
                <w:highlight w:val="none"/>
                <w:lang w:eastAsia="zh-CN"/>
              </w:rPr>
              <w:t>能</w:t>
            </w:r>
            <w:r>
              <w:rPr>
                <w:rFonts w:hint="eastAsia" w:ascii="宋体" w:hAnsi="宋体" w:eastAsia="宋体" w:cs="宋体"/>
                <w:kern w:val="0"/>
                <w:sz w:val="21"/>
                <w:szCs w:val="21"/>
                <w:highlight w:val="none"/>
              </w:rPr>
              <w:t>提供</w:t>
            </w:r>
            <w:r>
              <w:rPr>
                <w:rFonts w:hint="eastAsia" w:ascii="宋体" w:hAnsi="宋体" w:eastAsia="宋体" w:cs="宋体"/>
                <w:kern w:val="0"/>
                <w:sz w:val="21"/>
                <w:szCs w:val="21"/>
                <w:highlight w:val="none"/>
                <w:lang w:eastAsia="zh-CN"/>
              </w:rPr>
              <w:t>较全面、详细的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w:t>
            </w:r>
            <w:r>
              <w:rPr>
                <w:rFonts w:hint="eastAsia" w:ascii="宋体" w:hAnsi="宋体" w:eastAsia="宋体" w:cs="宋体"/>
                <w:kern w:val="0"/>
                <w:sz w:val="21"/>
                <w:szCs w:val="21"/>
                <w:highlight w:val="none"/>
                <w:lang w:eastAsia="zh-CN"/>
              </w:rPr>
              <w:t>；提供了较清晰、明确的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能较好满足项目需求。方案总体评述</w:t>
            </w:r>
            <w:r>
              <w:rPr>
                <w:rFonts w:hint="eastAsia" w:ascii="宋体" w:hAnsi="宋体" w:eastAsia="宋体" w:cs="宋体"/>
                <w:kern w:val="0"/>
                <w:sz w:val="21"/>
                <w:szCs w:val="21"/>
                <w:highlight w:val="none"/>
                <w:lang w:eastAsia="zh-CN"/>
              </w:rPr>
              <w:t>较</w:t>
            </w:r>
            <w:r>
              <w:rPr>
                <w:rFonts w:hint="eastAsia" w:ascii="宋体" w:hAnsi="宋体" w:eastAsia="宋体" w:cs="宋体"/>
                <w:kern w:val="0"/>
                <w:sz w:val="21"/>
                <w:szCs w:val="21"/>
                <w:highlight w:val="none"/>
              </w:rPr>
              <w:t>完整、全面</w:t>
            </w:r>
            <w:r>
              <w:rPr>
                <w:rFonts w:hint="eastAsia" w:ascii="宋体" w:hAnsi="宋体" w:eastAsia="宋体" w:cs="宋体"/>
                <w:kern w:val="0"/>
                <w:sz w:val="21"/>
                <w:szCs w:val="21"/>
                <w:highlight w:val="none"/>
                <w:lang w:eastAsia="zh-CN"/>
              </w:rPr>
              <w:t>、有一定的科学性</w:t>
            </w:r>
            <w:r>
              <w:rPr>
                <w:rFonts w:hint="eastAsia" w:ascii="宋体" w:hAnsi="宋体" w:eastAsia="宋体" w:cs="宋体"/>
                <w:kern w:val="0"/>
                <w:sz w:val="21"/>
                <w:szCs w:val="21"/>
                <w:highlight w:val="none"/>
              </w:rPr>
              <w:t>。</w:t>
            </w:r>
          </w:p>
          <w:p w14:paraId="6C5B111B">
            <w:pPr>
              <w:pStyle w:val="19"/>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五档（满分</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分）：在满足四档的前提下，提供的方案整体描述全面、具体、可行；质量管控方式多样；有详细的工作计划编排及保证措施，控制重点分析合理；提供</w:t>
            </w:r>
            <w:r>
              <w:rPr>
                <w:rFonts w:hint="eastAsia" w:ascii="宋体" w:hAnsi="宋体" w:eastAsia="宋体" w:cs="宋体"/>
                <w:kern w:val="0"/>
                <w:sz w:val="21"/>
                <w:szCs w:val="21"/>
                <w:highlight w:val="none"/>
                <w:lang w:eastAsia="zh-CN"/>
              </w:rPr>
              <w:t>全面、详细、合理的</w:t>
            </w:r>
            <w:r>
              <w:rPr>
                <w:rFonts w:hint="eastAsia" w:ascii="宋体" w:hAnsi="宋体" w:eastAsia="宋体" w:cs="宋体"/>
                <w:kern w:val="0"/>
                <w:sz w:val="21"/>
                <w:szCs w:val="21"/>
                <w:highlight w:val="none"/>
              </w:rPr>
              <w:t>优化技术管理方案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风险控制解决方案；针对本项目进度控制重点提出了具体、可行的措施，能有效保证项目实施或缩短项目周期；</w:t>
            </w:r>
            <w:r>
              <w:rPr>
                <w:rFonts w:hint="eastAsia" w:ascii="宋体" w:hAnsi="宋体" w:eastAsia="宋体" w:cs="宋体"/>
                <w:kern w:val="0"/>
                <w:sz w:val="21"/>
                <w:szCs w:val="21"/>
                <w:highlight w:val="none"/>
                <w:lang w:eastAsia="zh-CN"/>
              </w:rPr>
              <w:t>提供了全面、可行的</w:t>
            </w:r>
            <w:r>
              <w:rPr>
                <w:rFonts w:hint="eastAsia" w:ascii="宋体" w:hAnsi="宋体" w:eastAsia="宋体" w:cs="宋体"/>
                <w:kern w:val="0"/>
                <w:sz w:val="21"/>
                <w:szCs w:val="21"/>
                <w:highlight w:val="none"/>
              </w:rPr>
              <w:t>纠错流程</w:t>
            </w:r>
            <w:r>
              <w:rPr>
                <w:rFonts w:hint="eastAsia" w:ascii="宋体" w:hAnsi="宋体" w:eastAsia="宋体" w:cs="宋体"/>
                <w:kern w:val="0"/>
                <w:sz w:val="21"/>
                <w:szCs w:val="21"/>
                <w:highlight w:val="none"/>
                <w:lang w:eastAsia="zh-CN"/>
              </w:rPr>
              <w:t>方案及</w:t>
            </w:r>
            <w:r>
              <w:rPr>
                <w:rFonts w:hint="eastAsia" w:ascii="宋体" w:hAnsi="宋体" w:eastAsia="宋体" w:cs="宋体"/>
                <w:kern w:val="0"/>
                <w:sz w:val="21"/>
                <w:szCs w:val="21"/>
                <w:highlight w:val="none"/>
              </w:rPr>
              <w:t>应急预案</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完全满足项目需求。总体方案评述全面、完整、</w:t>
            </w:r>
            <w:r>
              <w:rPr>
                <w:rFonts w:hint="eastAsia" w:ascii="宋体" w:hAnsi="宋体" w:eastAsia="宋体" w:cs="宋体"/>
                <w:kern w:val="0"/>
                <w:sz w:val="21"/>
                <w:szCs w:val="21"/>
                <w:highlight w:val="none"/>
                <w:lang w:eastAsia="zh-CN"/>
              </w:rPr>
              <w:t>有科学性、</w:t>
            </w:r>
            <w:r>
              <w:rPr>
                <w:rFonts w:hint="eastAsia" w:ascii="宋体" w:hAnsi="宋体" w:eastAsia="宋体" w:cs="宋体"/>
                <w:kern w:val="0"/>
                <w:sz w:val="21"/>
                <w:szCs w:val="21"/>
                <w:highlight w:val="none"/>
              </w:rPr>
              <w:t>针对性。</w:t>
            </w:r>
          </w:p>
        </w:tc>
      </w:tr>
      <w:tr w14:paraId="6768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021A8F1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right w:val="single" w:color="auto" w:sz="4" w:space="0"/>
            </w:tcBorders>
            <w:vAlign w:val="center"/>
          </w:tcPr>
          <w:p w14:paraId="6CBDB1AB">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77FA3A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售后服务方案（满分</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top"/>
          </w:tcPr>
          <w:p w14:paraId="7B91CA86">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进行独立评审打分。</w:t>
            </w:r>
          </w:p>
          <w:p w14:paraId="7CCCAFE9">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一档（0分）：未提供</w:t>
            </w:r>
            <w:r>
              <w:rPr>
                <w:rFonts w:hint="eastAsia" w:ascii="宋体" w:hAnsi="宋体" w:eastAsia="宋体" w:cs="宋体"/>
                <w:sz w:val="21"/>
                <w:szCs w:val="21"/>
                <w:highlight w:val="none"/>
                <w:lang w:eastAsia="zh-CN"/>
              </w:rPr>
              <w:t>售后服务方案</w:t>
            </w:r>
            <w:r>
              <w:rPr>
                <w:rFonts w:hint="eastAsia" w:ascii="宋体" w:hAnsi="宋体" w:eastAsia="宋体" w:cs="宋体"/>
                <w:sz w:val="21"/>
                <w:szCs w:val="21"/>
                <w:highlight w:val="none"/>
              </w:rPr>
              <w:t>或未达到</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档的要求。</w:t>
            </w:r>
          </w:p>
          <w:p w14:paraId="357A6AFB">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二档（满分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分）：基本满足采购文件要求；简单提供可行的后续服务承诺；对前期工作方案及承诺响应内容描简单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w:t>
            </w:r>
            <w:r>
              <w:rPr>
                <w:rFonts w:hint="eastAsia" w:ascii="宋体" w:hAnsi="宋体" w:eastAsia="宋体" w:cs="宋体"/>
                <w:sz w:val="21"/>
                <w:szCs w:val="21"/>
                <w:highlight w:val="none"/>
                <w:lang w:eastAsia="zh-CN"/>
              </w:rPr>
              <w:t>完整，但</w:t>
            </w:r>
            <w:r>
              <w:rPr>
                <w:rFonts w:hint="eastAsia" w:ascii="宋体" w:hAnsi="宋体" w:eastAsia="宋体" w:cs="宋体"/>
                <w:sz w:val="21"/>
                <w:szCs w:val="21"/>
                <w:highlight w:val="none"/>
              </w:rPr>
              <w:t>不全面。</w:t>
            </w:r>
            <w:r>
              <w:rPr>
                <w:rFonts w:hint="eastAsia" w:ascii="宋体" w:hAnsi="宋体" w:eastAsia="宋体" w:cs="宋体"/>
                <w:sz w:val="21"/>
                <w:szCs w:val="21"/>
                <w:highlight w:val="none"/>
                <w:lang w:val="en-US" w:eastAsia="zh-CN"/>
              </w:rPr>
              <w:t xml:space="preserve"> </w:t>
            </w:r>
          </w:p>
          <w:p w14:paraId="3B83B910">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三档（满分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分）：在满足二档的前提下；提供比较详细可行的后续服务承诺；对前期工作方案及承诺响应较好；有简单的后续记录档案制度；有比较完整具体实施事项分析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方案总体评述</w:t>
            </w:r>
            <w:r>
              <w:rPr>
                <w:rFonts w:hint="eastAsia" w:ascii="宋体" w:hAnsi="宋体" w:eastAsia="宋体" w:cs="宋体"/>
                <w:sz w:val="21"/>
                <w:szCs w:val="21"/>
                <w:highlight w:val="none"/>
                <w:lang w:eastAsia="zh-CN"/>
              </w:rPr>
              <w:t>较</w:t>
            </w:r>
            <w:r>
              <w:rPr>
                <w:rFonts w:hint="eastAsia" w:ascii="宋体" w:hAnsi="宋体" w:eastAsia="宋体" w:cs="宋体"/>
                <w:sz w:val="21"/>
                <w:szCs w:val="21"/>
                <w:highlight w:val="none"/>
              </w:rPr>
              <w:t>完整、全面</w:t>
            </w:r>
            <w:r>
              <w:rPr>
                <w:rFonts w:hint="eastAsia" w:ascii="宋体" w:hAnsi="宋体" w:eastAsia="宋体" w:cs="宋体"/>
                <w:sz w:val="21"/>
                <w:szCs w:val="21"/>
                <w:highlight w:val="none"/>
                <w:lang w:eastAsia="zh-CN"/>
              </w:rPr>
              <w:t>、有一定的科学性</w:t>
            </w:r>
            <w:r>
              <w:rPr>
                <w:rFonts w:hint="eastAsia" w:ascii="宋体" w:hAnsi="宋体" w:eastAsia="宋体" w:cs="宋体"/>
                <w:sz w:val="21"/>
                <w:szCs w:val="21"/>
                <w:highlight w:val="none"/>
              </w:rPr>
              <w:t>。</w:t>
            </w:r>
          </w:p>
          <w:p w14:paraId="5E0A489D">
            <w:pPr>
              <w:keepNext w:val="0"/>
              <w:keepLines w:val="0"/>
              <w:pageBreakBefore w:val="0"/>
              <w:kinsoku/>
              <w:wordWrap/>
              <w:overflowPunct/>
              <w:topLinePunct w:val="0"/>
              <w:autoSpaceDE/>
              <w:autoSpaceDN/>
              <w:bidi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四档（满分</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分）：在满足三档的前提下，提供比较详细可行的后续服务承诺；对前期工作方案及承诺响应较好；有完整的后续记录档案制度；对内容、流程详尽有操作性；跟踪指导服务及时，后续跟踪服务内容全面多样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总体方案评述全面、完整、</w:t>
            </w:r>
            <w:r>
              <w:rPr>
                <w:rFonts w:hint="eastAsia" w:ascii="宋体" w:hAnsi="宋体" w:eastAsia="宋体" w:cs="宋体"/>
                <w:sz w:val="21"/>
                <w:szCs w:val="21"/>
                <w:highlight w:val="none"/>
                <w:lang w:eastAsia="zh-CN"/>
              </w:rPr>
              <w:t>有科学性、</w:t>
            </w:r>
            <w:r>
              <w:rPr>
                <w:rFonts w:hint="eastAsia" w:ascii="宋体" w:hAnsi="宋体" w:eastAsia="宋体" w:cs="宋体"/>
                <w:sz w:val="21"/>
                <w:szCs w:val="21"/>
                <w:highlight w:val="none"/>
              </w:rPr>
              <w:t xml:space="preserve">针对性。 </w:t>
            </w:r>
          </w:p>
        </w:tc>
      </w:tr>
      <w:tr w14:paraId="470D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bottom w:val="single" w:color="auto" w:sz="4" w:space="0"/>
              <w:right w:val="single" w:color="auto" w:sz="4" w:space="0"/>
            </w:tcBorders>
            <w:vAlign w:val="center"/>
          </w:tcPr>
          <w:p w14:paraId="2AD883D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p>
        </w:tc>
        <w:tc>
          <w:tcPr>
            <w:tcW w:w="851" w:type="dxa"/>
            <w:vMerge w:val="continue"/>
            <w:tcBorders>
              <w:left w:val="single" w:color="auto" w:sz="4" w:space="0"/>
              <w:bottom w:val="single" w:color="auto" w:sz="4" w:space="0"/>
              <w:right w:val="single" w:color="auto" w:sz="4" w:space="0"/>
            </w:tcBorders>
            <w:vAlign w:val="center"/>
          </w:tcPr>
          <w:p w14:paraId="68B662E9">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b/>
                <w:bCs/>
                <w:color w:val="00000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C83DCA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演示分</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vAlign w:val="top"/>
          </w:tcPr>
          <w:p w14:paraId="491EAEA0">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供应商需在广西政府采购云平台上对《具体说明、功能及技术参数要求》中标注“◆”功能进行详细讲解和阐述，未进行演示的不得分，计0分</w:t>
            </w:r>
            <w:r>
              <w:rPr>
                <w:rFonts w:hint="eastAsia" w:ascii="宋体" w:hAnsi="宋体" w:eastAsia="宋体" w:cs="宋体"/>
                <w:sz w:val="21"/>
                <w:szCs w:val="21"/>
                <w:highlight w:val="none"/>
                <w:lang w:eastAsia="zh-CN"/>
              </w:rPr>
              <w:t>，本项满分</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14:paraId="1EC5D146">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通过PPT或者截图形式进行产品演示。每成功演示《具体说明、功能及技术参数要求》中标注“◆”的功能并经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w:t>
            </w:r>
          </w:p>
          <w:p w14:paraId="4541A49C">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通过以视频播放形式进行产品演示。每成功演示《具体说明、功能及技术参数要求》中标注“◆”的功能并经</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1C261DA6">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通过软件实测进行演示。每成功演示《具体说明、功能及技术参数要求》中标注“◆”的功能并经</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认可的，每项加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F2A46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可自由选择演示的表现形式，如采用PPT与软件实测混合演示模式的，加分按演示形式所属档次分别赋分。</w:t>
            </w:r>
          </w:p>
        </w:tc>
      </w:tr>
      <w:tr w14:paraId="5B73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Borders>
              <w:left w:val="single" w:color="auto" w:sz="4" w:space="0"/>
              <w:right w:val="single" w:color="auto" w:sz="4" w:space="0"/>
            </w:tcBorders>
            <w:vAlign w:val="center"/>
          </w:tcPr>
          <w:p w14:paraId="5AA4338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851" w:type="dxa"/>
            <w:tcBorders>
              <w:left w:val="single" w:color="auto" w:sz="4" w:space="0"/>
              <w:right w:val="single" w:color="auto" w:sz="4" w:space="0"/>
            </w:tcBorders>
            <w:vAlign w:val="center"/>
          </w:tcPr>
          <w:p w14:paraId="05F5078A">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商务分（满分</w:t>
            </w: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rPr>
              <w:t>分）</w:t>
            </w:r>
          </w:p>
        </w:tc>
        <w:tc>
          <w:tcPr>
            <w:tcW w:w="1105"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53965A2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业绩分（满分</w:t>
            </w:r>
            <w:r>
              <w:rPr>
                <w:rFonts w:hint="eastAsia" w:ascii="宋体" w:hAnsi="宋体" w:cs="宋体"/>
                <w:bCs/>
                <w:sz w:val="21"/>
                <w:szCs w:val="21"/>
                <w:highlight w:val="none"/>
                <w:lang w:val="en-US" w:eastAsia="zh-CN"/>
              </w:rPr>
              <w:t>9</w:t>
            </w:r>
            <w:r>
              <w:rPr>
                <w:rFonts w:hint="eastAsia" w:ascii="宋体" w:hAnsi="宋体" w:eastAsia="宋体" w:cs="宋体"/>
                <w:bCs/>
                <w:sz w:val="21"/>
                <w:szCs w:val="21"/>
                <w:highlight w:val="none"/>
              </w:rPr>
              <w:t>分）</w:t>
            </w:r>
          </w:p>
        </w:tc>
        <w:tc>
          <w:tcPr>
            <w:tcW w:w="6523" w:type="dxa"/>
            <w:tcBorders>
              <w:top w:val="single" w:color="auto" w:sz="4" w:space="0"/>
              <w:left w:val="single" w:color="auto" w:sz="4" w:space="0"/>
              <w:bottom w:val="single" w:color="auto" w:sz="4" w:space="0"/>
              <w:right w:val="single" w:color="auto" w:sz="4" w:space="0"/>
            </w:tcBorders>
          </w:tcPr>
          <w:p w14:paraId="58873E9F">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年1月1日以来承接过类似项目的（类似项目指</w:t>
            </w:r>
            <w:r>
              <w:rPr>
                <w:rFonts w:hint="eastAsia" w:ascii="宋体" w:hAnsi="宋体" w:cs="宋体"/>
                <w:sz w:val="21"/>
                <w:szCs w:val="21"/>
                <w:highlight w:val="none"/>
                <w:lang w:eastAsia="zh-CN"/>
              </w:rPr>
              <w:t>教学</w:t>
            </w:r>
            <w:r>
              <w:rPr>
                <w:rFonts w:hint="eastAsia" w:ascii="宋体" w:hAnsi="宋体" w:cs="宋体"/>
                <w:sz w:val="21"/>
                <w:szCs w:val="21"/>
                <w:highlight w:val="none"/>
                <w:lang w:val="en-US" w:eastAsia="zh-CN"/>
              </w:rPr>
              <w:t>/实训</w:t>
            </w:r>
            <w:r>
              <w:rPr>
                <w:rFonts w:hint="eastAsia" w:ascii="宋体" w:hAnsi="宋体" w:cs="宋体"/>
                <w:sz w:val="21"/>
                <w:szCs w:val="21"/>
                <w:highlight w:val="none"/>
                <w:lang w:eastAsia="zh-CN"/>
              </w:rPr>
              <w:t>平台建设</w:t>
            </w:r>
            <w:r>
              <w:rPr>
                <w:rFonts w:hint="eastAsia" w:ascii="宋体" w:hAnsi="宋体" w:eastAsia="宋体" w:cs="宋体"/>
                <w:sz w:val="21"/>
                <w:szCs w:val="21"/>
                <w:highlight w:val="none"/>
              </w:rPr>
              <w:t>等），每提供一份项目合同业绩的得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分，本项满分</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
                <w:sz w:val="21"/>
                <w:szCs w:val="21"/>
                <w:highlight w:val="none"/>
              </w:rPr>
              <w:t>【注：投标文件中要附业绩一览表，并列明采购单位信息及单位地址、联系人、电话等，同时提供采购合同或中标（成交）通知书复印件，未按要求提供材料的不予计分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如中标（成交）通知书不能清晰反映所承接项目的标的信息，还需提供有效的合同证明材料或履约验收证明材料。</w:t>
            </w:r>
            <w:r>
              <w:rPr>
                <w:rFonts w:hint="eastAsia" w:ascii="宋体" w:hAnsi="宋体" w:eastAsia="宋体" w:cs="宋体"/>
                <w:b/>
                <w:sz w:val="21"/>
                <w:szCs w:val="21"/>
                <w:highlight w:val="none"/>
              </w:rPr>
              <w:t>】</w:t>
            </w:r>
          </w:p>
        </w:tc>
      </w:tr>
      <w:tr w14:paraId="7400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380BE67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14:paraId="6B444C4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政策功能分（满分2分）</w:t>
            </w:r>
          </w:p>
        </w:tc>
        <w:tc>
          <w:tcPr>
            <w:tcW w:w="1105" w:type="dxa"/>
            <w:tcBorders>
              <w:top w:val="single" w:color="auto" w:sz="4" w:space="0"/>
              <w:left w:val="single" w:color="auto" w:sz="4" w:space="0"/>
              <w:bottom w:val="single" w:color="auto" w:sz="4" w:space="0"/>
              <w:right w:val="single" w:color="auto" w:sz="4" w:space="0"/>
            </w:tcBorders>
            <w:vAlign w:val="center"/>
          </w:tcPr>
          <w:p w14:paraId="17001BA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节能、环保分</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满分2分</w:t>
            </w:r>
            <w:r>
              <w:rPr>
                <w:rFonts w:hint="eastAsia" w:ascii="宋体" w:hAnsi="宋体" w:eastAsia="宋体" w:cs="宋体"/>
                <w:bCs/>
                <w:color w:val="000000"/>
                <w:sz w:val="21"/>
                <w:szCs w:val="21"/>
                <w:highlight w:val="none"/>
              </w:rPr>
              <w:t>）</w:t>
            </w:r>
          </w:p>
        </w:tc>
        <w:tc>
          <w:tcPr>
            <w:tcW w:w="6523" w:type="dxa"/>
            <w:tcBorders>
              <w:top w:val="single" w:color="auto" w:sz="4" w:space="0"/>
              <w:left w:val="single" w:color="auto" w:sz="4" w:space="0"/>
              <w:bottom w:val="single" w:color="auto" w:sz="4" w:space="0"/>
              <w:right w:val="single" w:color="auto" w:sz="4" w:space="0"/>
            </w:tcBorders>
          </w:tcPr>
          <w:p w14:paraId="324AE172">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（1）节能产品分：投标产品列入品目清单范围内优先采购的，且提供国家确定的认证机构出具的、处于有效期之内的节能产品认证证书复印件（加盖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），每有一项得0.5分，最多得1分。采购内容中的强制产品不加分。</w:t>
            </w:r>
          </w:p>
          <w:p w14:paraId="10C79FC5">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（2）环保标志产品分：投标产品列入品目清单范围内优先采购的，且提供国家确定的认证机构出具的、处于有效期之内的环境标志产品认证证书复印件（加盖</w:t>
            </w:r>
            <w:r>
              <w:rPr>
                <w:rFonts w:hint="eastAsia" w:ascii="宋体" w:hAnsi="宋体" w:eastAsia="宋体" w:cs="宋体"/>
                <w:color w:val="000000"/>
                <w:sz w:val="21"/>
                <w:szCs w:val="21"/>
                <w:highlight w:val="none"/>
                <w:lang w:eastAsia="zh-CN"/>
              </w:rPr>
              <w:t>投标人公章</w:t>
            </w:r>
            <w:r>
              <w:rPr>
                <w:rFonts w:hint="eastAsia" w:ascii="宋体" w:hAnsi="宋体" w:eastAsia="宋体" w:cs="宋体"/>
                <w:color w:val="000000"/>
                <w:sz w:val="21"/>
                <w:szCs w:val="21"/>
                <w:highlight w:val="none"/>
              </w:rPr>
              <w:t>），每有一项得0.5分，最多得1分。</w:t>
            </w:r>
          </w:p>
        </w:tc>
      </w:tr>
      <w:tr w14:paraId="51A0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vAlign w:val="center"/>
          </w:tcPr>
          <w:p w14:paraId="55F8FB40">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总得分=1+2+3+4。</w:t>
            </w:r>
          </w:p>
        </w:tc>
      </w:tr>
    </w:tbl>
    <w:p w14:paraId="1A205165">
      <w:pPr>
        <w:pStyle w:val="26"/>
        <w:spacing w:line="360" w:lineRule="auto"/>
        <w:rPr>
          <w:rFonts w:hAnsi="宋体"/>
          <w:bCs/>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bCs/>
          <w:color w:val="000000"/>
          <w:sz w:val="21"/>
          <w:highlight w:val="none"/>
        </w:rPr>
        <w:t>注：计分方法按四舍五入取至百分位</w:t>
      </w:r>
    </w:p>
    <w:p w14:paraId="68CB6E58">
      <w:pPr>
        <w:pStyle w:val="4"/>
        <w:keepNext w:val="0"/>
        <w:keepLines w:val="0"/>
        <w:jc w:val="center"/>
        <w:rPr>
          <w:color w:val="000000"/>
          <w:sz w:val="30"/>
          <w:szCs w:val="30"/>
          <w:highlight w:val="none"/>
        </w:rPr>
      </w:pPr>
      <w:r>
        <w:rPr>
          <w:rFonts w:hint="eastAsia"/>
          <w:color w:val="000000"/>
          <w:sz w:val="30"/>
          <w:szCs w:val="30"/>
          <w:highlight w:val="none"/>
        </w:rPr>
        <w:t>四、中标候选人推荐</w:t>
      </w:r>
    </w:p>
    <w:p w14:paraId="3BDDAFFA">
      <w:pPr>
        <w:pStyle w:val="26"/>
        <w:spacing w:line="360" w:lineRule="auto"/>
        <w:contextualSpacing/>
        <w:rPr>
          <w:rFonts w:hAnsi="宋体"/>
          <w:b/>
          <w:bCs/>
          <w:color w:val="000000"/>
          <w:sz w:val="24"/>
          <w:szCs w:val="24"/>
          <w:highlight w:val="none"/>
        </w:rPr>
      </w:pPr>
      <w:r>
        <w:rPr>
          <w:rFonts w:hint="eastAsia" w:hAnsi="宋体"/>
          <w:b/>
          <w:bCs/>
          <w:color w:val="000000"/>
          <w:sz w:val="24"/>
          <w:szCs w:val="24"/>
          <w:highlight w:val="none"/>
        </w:rPr>
        <w:t>综合评分法</w:t>
      </w:r>
    </w:p>
    <w:p w14:paraId="3B3A4E76">
      <w:pPr>
        <w:pStyle w:val="26"/>
        <w:spacing w:line="360" w:lineRule="auto"/>
        <w:ind w:firstLine="420" w:firstLineChars="200"/>
        <w:contextualSpacing/>
        <w:rPr>
          <w:rFonts w:hAnsi="宋体"/>
          <w:color w:val="000000"/>
          <w:sz w:val="21"/>
          <w:highlight w:val="none"/>
        </w:rPr>
      </w:pPr>
      <w:r>
        <w:rPr>
          <w:rFonts w:hint="eastAsia" w:hAnsi="宋体"/>
          <w:color w:val="000000"/>
          <w:sz w:val="21"/>
          <w:highlight w:val="none"/>
        </w:rPr>
        <w:t>1</w:t>
      </w:r>
      <w:r>
        <w:rPr>
          <w:rFonts w:hAnsi="宋体"/>
          <w:color w:val="000000"/>
          <w:sz w:val="21"/>
          <w:highlight w:val="none"/>
        </w:rPr>
        <w:t>.</w:t>
      </w:r>
      <w:r>
        <w:rPr>
          <w:rFonts w:hint="eastAsia" w:hAnsi="宋体"/>
          <w:color w:val="000000"/>
          <w:sz w:val="21"/>
          <w:highlight w:val="none"/>
        </w:rPr>
        <w:t>评标委员会根据原始评标记录和评标结果编写评标报告，并通过电子交易平台向采购人、采购代理机构提交。</w:t>
      </w:r>
    </w:p>
    <w:p w14:paraId="076D5AC3">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b/>
          <w:bCs/>
          <w:color w:val="000000"/>
          <w:sz w:val="21"/>
          <w:szCs w:val="21"/>
          <w:highlight w:val="none"/>
        </w:rPr>
        <w:t>本项目分为</w:t>
      </w:r>
      <w:r>
        <w:rPr>
          <w:rFonts w:hint="eastAsia" w:ascii="宋体" w:hAnsi="宋体" w:cs="宋体"/>
          <w:b/>
          <w:bCs/>
          <w:color w:val="000000"/>
          <w:sz w:val="21"/>
          <w:szCs w:val="21"/>
          <w:highlight w:val="none"/>
          <w:lang w:val="en-US" w:eastAsia="zh-CN"/>
        </w:rPr>
        <w:t>5</w:t>
      </w:r>
      <w:r>
        <w:rPr>
          <w:rFonts w:hint="eastAsia" w:ascii="宋体" w:hAnsi="宋体" w:cs="宋体"/>
          <w:b/>
          <w:bCs/>
          <w:color w:val="000000"/>
          <w:sz w:val="21"/>
          <w:szCs w:val="21"/>
          <w:highlight w:val="none"/>
        </w:rPr>
        <w:t>个分标，投标人可就一个或多个分标进行投标，最多只能中1个分标。评标委员会将按A→B→C→</w:t>
      </w:r>
      <w:r>
        <w:rPr>
          <w:rFonts w:hint="eastAsia" w:ascii="宋体" w:hAnsi="宋体" w:cs="宋体"/>
          <w:b/>
          <w:bCs/>
          <w:color w:val="000000"/>
          <w:sz w:val="21"/>
          <w:szCs w:val="21"/>
          <w:highlight w:val="none"/>
          <w:lang w:val="en-US" w:eastAsia="zh-CN"/>
        </w:rPr>
        <w:t>D</w:t>
      </w: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lang w:val="en-US" w:eastAsia="zh-CN"/>
        </w:rPr>
        <w:t>E</w:t>
      </w:r>
      <w:r>
        <w:rPr>
          <w:rFonts w:hint="eastAsia" w:ascii="宋体" w:hAnsi="宋体" w:cs="宋体"/>
          <w:b/>
          <w:bCs/>
          <w:color w:val="000000"/>
          <w:sz w:val="21"/>
          <w:szCs w:val="21"/>
          <w:highlight w:val="none"/>
        </w:rPr>
        <w:t>分标的顺序进行评审并推荐中标候选人，如某投标人成为A分标的第一中标候选人，则该投标人在进入B分标的评审时（允许该投标人进入B分标的评审），如果综合得分排名第一，不推荐成为第一中标候选人，由得分次高的投标人作为第一中标候选人。</w:t>
      </w:r>
    </w:p>
    <w:p w14:paraId="38F00885">
      <w:pPr>
        <w:pStyle w:val="26"/>
        <w:spacing w:line="360" w:lineRule="auto"/>
        <w:ind w:firstLine="420" w:firstLineChars="200"/>
        <w:contextualSpacing/>
        <w:rPr>
          <w:rFonts w:hAnsi="宋体"/>
          <w:color w:val="000000"/>
          <w:sz w:val="21"/>
          <w:highlight w:val="none"/>
        </w:rPr>
      </w:pPr>
      <w:r>
        <w:rPr>
          <w:rFonts w:hint="eastAsia" w:hAnsi="宋体"/>
          <w:color w:val="000000"/>
          <w:sz w:val="21"/>
          <w:highlight w:val="none"/>
        </w:rPr>
        <w:t>3</w:t>
      </w:r>
      <w:r>
        <w:rPr>
          <w:rFonts w:hAnsi="宋体"/>
          <w:color w:val="000000"/>
          <w:sz w:val="21"/>
          <w:highlight w:val="none"/>
        </w:rPr>
        <w:t>.</w:t>
      </w:r>
      <w:r>
        <w:rPr>
          <w:rFonts w:hint="eastAsia" w:hAnsi="宋体"/>
          <w:color w:val="000000"/>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14:paraId="46A59AB4">
      <w:pPr>
        <w:pStyle w:val="26"/>
        <w:spacing w:line="360" w:lineRule="auto"/>
        <w:ind w:firstLine="420" w:firstLineChars="200"/>
        <w:contextualSpacing/>
        <w:rPr>
          <w:rFonts w:hAnsi="宋体"/>
          <w:color w:val="000000"/>
          <w:sz w:val="21"/>
          <w:highlight w:val="none"/>
        </w:rPr>
      </w:pPr>
    </w:p>
    <w:p w14:paraId="2BC2D8F2">
      <w:pPr>
        <w:spacing w:before="120" w:beforeLines="50" w:after="120" w:afterLines="50" w:line="400" w:lineRule="exact"/>
        <w:rPr>
          <w:rFonts w:ascii="宋体" w:hAnsi="宋体"/>
          <w:b/>
          <w:color w:val="000000"/>
          <w:sz w:val="24"/>
          <w:highlight w:val="none"/>
        </w:rPr>
      </w:pPr>
    </w:p>
    <w:p w14:paraId="6C556ABC">
      <w:pPr>
        <w:spacing w:before="120" w:beforeLines="50" w:after="120" w:afterLines="50" w:line="400" w:lineRule="exact"/>
        <w:rPr>
          <w:rFonts w:ascii="宋体" w:hAnsi="宋体"/>
          <w:b/>
          <w:color w:val="000000"/>
          <w:sz w:val="24"/>
          <w:highlight w:val="none"/>
        </w:rPr>
      </w:pPr>
    </w:p>
    <w:p w14:paraId="2F1C3A10">
      <w:pPr>
        <w:spacing w:before="120" w:beforeLines="50" w:after="120" w:afterLines="50" w:line="400" w:lineRule="exact"/>
        <w:rPr>
          <w:rFonts w:ascii="宋体" w:hAnsi="宋体"/>
          <w:b/>
          <w:color w:val="000000"/>
          <w:sz w:val="24"/>
          <w:highlight w:val="none"/>
        </w:rPr>
      </w:pPr>
    </w:p>
    <w:p w14:paraId="2500B8B9">
      <w:pPr>
        <w:spacing w:before="120" w:beforeLines="50" w:after="120" w:afterLines="50" w:line="400" w:lineRule="exact"/>
        <w:rPr>
          <w:rFonts w:ascii="宋体" w:hAnsi="宋体"/>
          <w:b/>
          <w:color w:val="000000"/>
          <w:sz w:val="24"/>
          <w:highlight w:val="none"/>
        </w:rPr>
      </w:pPr>
    </w:p>
    <w:p w14:paraId="20991585">
      <w:pPr>
        <w:spacing w:before="120" w:beforeLines="50" w:after="120" w:afterLines="50" w:line="400" w:lineRule="exact"/>
        <w:rPr>
          <w:rFonts w:ascii="宋体" w:hAnsi="宋体"/>
          <w:b/>
          <w:color w:val="000000"/>
          <w:sz w:val="24"/>
          <w:highlight w:val="none"/>
        </w:rPr>
      </w:pPr>
    </w:p>
    <w:p w14:paraId="22939515">
      <w:pPr>
        <w:spacing w:before="120" w:beforeLines="50" w:after="120" w:afterLines="50" w:line="400" w:lineRule="exact"/>
        <w:rPr>
          <w:rFonts w:ascii="宋体" w:hAnsi="宋体"/>
          <w:b/>
          <w:color w:val="000000"/>
          <w:sz w:val="24"/>
          <w:highlight w:val="none"/>
        </w:rPr>
      </w:pPr>
    </w:p>
    <w:p w14:paraId="2FAF9BF0">
      <w:pPr>
        <w:spacing w:before="120" w:beforeLines="50" w:after="120" w:afterLines="50" w:line="400" w:lineRule="exact"/>
        <w:rPr>
          <w:rFonts w:ascii="宋体" w:hAnsi="宋体"/>
          <w:b/>
          <w:color w:val="000000"/>
          <w:sz w:val="24"/>
          <w:highlight w:val="none"/>
        </w:rPr>
      </w:pPr>
    </w:p>
    <w:p w14:paraId="523EBC79">
      <w:pPr>
        <w:pStyle w:val="3"/>
        <w:keepNext w:val="0"/>
        <w:keepLines w:val="0"/>
        <w:jc w:val="center"/>
        <w:rPr>
          <w:color w:val="000000"/>
          <w:highlight w:val="none"/>
        </w:rPr>
      </w:pPr>
      <w:r>
        <w:rPr>
          <w:color w:val="000000"/>
          <w:highlight w:val="none"/>
        </w:rPr>
        <w:br w:type="page"/>
      </w:r>
    </w:p>
    <w:p w14:paraId="640D5A2B">
      <w:pPr>
        <w:rPr>
          <w:color w:val="000000"/>
          <w:highlight w:val="none"/>
        </w:rPr>
      </w:pPr>
    </w:p>
    <w:p w14:paraId="7FD1423D">
      <w:pPr>
        <w:rPr>
          <w:color w:val="000000"/>
          <w:highlight w:val="none"/>
        </w:rPr>
      </w:pPr>
    </w:p>
    <w:p w14:paraId="474A4CFE">
      <w:pPr>
        <w:rPr>
          <w:color w:val="000000"/>
          <w:highlight w:val="none"/>
        </w:rPr>
      </w:pPr>
    </w:p>
    <w:p w14:paraId="56C0483D">
      <w:pPr>
        <w:rPr>
          <w:color w:val="000000"/>
          <w:highlight w:val="none"/>
        </w:rPr>
      </w:pPr>
    </w:p>
    <w:p w14:paraId="610D6A2E">
      <w:pPr>
        <w:rPr>
          <w:color w:val="000000"/>
          <w:highlight w:val="none"/>
        </w:rPr>
      </w:pPr>
    </w:p>
    <w:p w14:paraId="14C07923">
      <w:pPr>
        <w:pStyle w:val="3"/>
        <w:keepNext w:val="0"/>
        <w:keepLines w:val="0"/>
        <w:jc w:val="center"/>
        <w:rPr>
          <w:color w:val="000000"/>
          <w:highlight w:val="none"/>
        </w:rPr>
      </w:pPr>
    </w:p>
    <w:p w14:paraId="43C80FB2">
      <w:pPr>
        <w:pStyle w:val="3"/>
        <w:keepNext w:val="0"/>
        <w:keepLines w:val="0"/>
        <w:jc w:val="center"/>
        <w:rPr>
          <w:color w:val="000000"/>
          <w:highlight w:val="none"/>
        </w:rPr>
      </w:pPr>
    </w:p>
    <w:p w14:paraId="53755F66">
      <w:pPr>
        <w:pStyle w:val="3"/>
        <w:keepNext w:val="0"/>
        <w:keepLines w:val="0"/>
        <w:jc w:val="center"/>
        <w:rPr>
          <w:color w:val="000000"/>
          <w:highlight w:val="none"/>
        </w:rPr>
      </w:pPr>
    </w:p>
    <w:p w14:paraId="56AB1A29">
      <w:pPr>
        <w:pStyle w:val="3"/>
        <w:keepNext w:val="0"/>
        <w:keepLines w:val="0"/>
        <w:jc w:val="center"/>
        <w:rPr>
          <w:color w:val="000000"/>
          <w:highlight w:val="none"/>
        </w:rPr>
      </w:pPr>
    </w:p>
    <w:p w14:paraId="610F6AC9">
      <w:pPr>
        <w:pStyle w:val="2"/>
        <w:jc w:val="center"/>
        <w:rPr>
          <w:color w:val="000000"/>
          <w:highlight w:val="none"/>
        </w:rPr>
      </w:pPr>
      <w:bookmarkStart w:id="146" w:name="_Toc74320804"/>
      <w:r>
        <w:rPr>
          <w:rFonts w:hint="eastAsia"/>
          <w:color w:val="000000"/>
          <w:highlight w:val="none"/>
        </w:rPr>
        <w:t>第五章  拟签订的合同文本</w:t>
      </w:r>
      <w:bookmarkEnd w:id="146"/>
    </w:p>
    <w:p w14:paraId="0859CDCD">
      <w:pPr>
        <w:snapToGrid w:val="0"/>
        <w:jc w:val="center"/>
        <w:rPr>
          <w:rFonts w:ascii="宋体" w:hAnsi="宋体"/>
          <w:bCs/>
          <w:color w:val="000000"/>
          <w:sz w:val="32"/>
          <w:szCs w:val="32"/>
          <w:highlight w:val="none"/>
        </w:rPr>
      </w:pPr>
    </w:p>
    <w:p w14:paraId="49097129">
      <w:pPr>
        <w:snapToGrid w:val="0"/>
        <w:jc w:val="center"/>
        <w:rPr>
          <w:rFonts w:ascii="宋体" w:hAnsi="宋体"/>
          <w:bCs/>
          <w:color w:val="000000"/>
          <w:sz w:val="32"/>
          <w:szCs w:val="32"/>
          <w:highlight w:val="none"/>
        </w:rPr>
      </w:pPr>
    </w:p>
    <w:p w14:paraId="52158A1C">
      <w:pPr>
        <w:snapToGrid w:val="0"/>
        <w:jc w:val="center"/>
        <w:rPr>
          <w:rFonts w:ascii="宋体" w:hAnsi="宋体"/>
          <w:bCs/>
          <w:color w:val="000000"/>
          <w:sz w:val="32"/>
          <w:szCs w:val="32"/>
          <w:highlight w:val="none"/>
        </w:rPr>
      </w:pPr>
    </w:p>
    <w:p w14:paraId="233C539D">
      <w:pPr>
        <w:snapToGrid w:val="0"/>
        <w:jc w:val="center"/>
        <w:rPr>
          <w:rFonts w:ascii="宋体" w:hAnsi="宋体"/>
          <w:bCs/>
          <w:color w:val="000000"/>
          <w:sz w:val="32"/>
          <w:szCs w:val="32"/>
          <w:highlight w:val="none"/>
        </w:rPr>
      </w:pPr>
    </w:p>
    <w:p w14:paraId="00CB7875">
      <w:pPr>
        <w:snapToGrid w:val="0"/>
        <w:jc w:val="center"/>
        <w:rPr>
          <w:rFonts w:ascii="宋体" w:hAnsi="宋体"/>
          <w:bCs/>
          <w:color w:val="000000"/>
          <w:sz w:val="32"/>
          <w:szCs w:val="32"/>
          <w:highlight w:val="none"/>
        </w:rPr>
      </w:pPr>
    </w:p>
    <w:p w14:paraId="587AC546">
      <w:pPr>
        <w:snapToGrid w:val="0"/>
        <w:jc w:val="center"/>
        <w:rPr>
          <w:rFonts w:ascii="宋体" w:hAnsi="宋体"/>
          <w:bCs/>
          <w:color w:val="000000"/>
          <w:sz w:val="32"/>
          <w:szCs w:val="32"/>
          <w:highlight w:val="none"/>
        </w:rPr>
      </w:pPr>
    </w:p>
    <w:p w14:paraId="3E785E26">
      <w:pPr>
        <w:snapToGrid w:val="0"/>
        <w:jc w:val="center"/>
        <w:rPr>
          <w:rFonts w:ascii="宋体" w:hAnsi="宋体"/>
          <w:bCs/>
          <w:color w:val="000000"/>
          <w:sz w:val="32"/>
          <w:szCs w:val="32"/>
          <w:highlight w:val="none"/>
        </w:rPr>
      </w:pPr>
    </w:p>
    <w:p w14:paraId="41D31BE0">
      <w:pPr>
        <w:snapToGrid w:val="0"/>
        <w:jc w:val="center"/>
        <w:rPr>
          <w:rFonts w:ascii="宋体" w:hAnsi="宋体"/>
          <w:bCs/>
          <w:color w:val="000000"/>
          <w:sz w:val="32"/>
          <w:szCs w:val="32"/>
          <w:highlight w:val="none"/>
        </w:rPr>
      </w:pPr>
    </w:p>
    <w:p w14:paraId="23594AB5">
      <w:pPr>
        <w:snapToGrid w:val="0"/>
        <w:jc w:val="center"/>
        <w:rPr>
          <w:rFonts w:ascii="宋体" w:hAnsi="宋体"/>
          <w:bCs/>
          <w:color w:val="000000"/>
          <w:sz w:val="32"/>
          <w:szCs w:val="32"/>
          <w:highlight w:val="none"/>
        </w:rPr>
      </w:pPr>
    </w:p>
    <w:p w14:paraId="78A903BD">
      <w:pPr>
        <w:snapToGrid w:val="0"/>
        <w:jc w:val="center"/>
        <w:rPr>
          <w:rFonts w:ascii="宋体" w:hAnsi="宋体"/>
          <w:bCs/>
          <w:color w:val="000000"/>
          <w:sz w:val="32"/>
          <w:szCs w:val="32"/>
          <w:highlight w:val="none"/>
        </w:rPr>
      </w:pPr>
    </w:p>
    <w:p w14:paraId="0AEDAD65">
      <w:pPr>
        <w:snapToGrid w:val="0"/>
        <w:jc w:val="center"/>
        <w:rPr>
          <w:rFonts w:ascii="宋体" w:hAnsi="宋体"/>
          <w:bCs/>
          <w:color w:val="000000"/>
          <w:sz w:val="32"/>
          <w:szCs w:val="32"/>
          <w:highlight w:val="none"/>
        </w:rPr>
      </w:pPr>
    </w:p>
    <w:p w14:paraId="2705C983">
      <w:pPr>
        <w:snapToGrid w:val="0"/>
        <w:jc w:val="center"/>
        <w:rPr>
          <w:rFonts w:ascii="宋体" w:hAnsi="宋体"/>
          <w:bCs/>
          <w:color w:val="000000"/>
          <w:sz w:val="32"/>
          <w:szCs w:val="32"/>
          <w:highlight w:val="none"/>
        </w:rPr>
      </w:pPr>
    </w:p>
    <w:p w14:paraId="74B84F45">
      <w:pPr>
        <w:snapToGrid w:val="0"/>
        <w:jc w:val="center"/>
        <w:rPr>
          <w:rFonts w:ascii="宋体" w:hAnsi="宋体"/>
          <w:b/>
          <w:bCs/>
          <w:color w:val="000000"/>
          <w:sz w:val="32"/>
          <w:szCs w:val="32"/>
          <w:highlight w:val="none"/>
        </w:rPr>
      </w:pPr>
      <w:r>
        <w:rPr>
          <w:rFonts w:ascii="宋体" w:hAnsi="宋体"/>
          <w:bCs/>
          <w:color w:val="000000"/>
          <w:sz w:val="32"/>
          <w:szCs w:val="32"/>
          <w:highlight w:val="none"/>
        </w:rPr>
        <w:br w:type="page"/>
      </w:r>
      <w:bookmarkStart w:id="147" w:name="_Hlk55381736"/>
      <w:r>
        <w:rPr>
          <w:rFonts w:hint="eastAsia" w:ascii="宋体" w:hAnsi="宋体"/>
          <w:b/>
          <w:color w:val="000000"/>
          <w:sz w:val="32"/>
          <w:szCs w:val="32"/>
          <w:highlight w:val="none"/>
        </w:rPr>
        <w:t xml:space="preserve"> </w:t>
      </w:r>
      <w:r>
        <w:rPr>
          <w:rFonts w:hint="eastAsia" w:ascii="宋体" w:hAnsi="宋体"/>
          <w:b/>
          <w:bCs/>
          <w:color w:val="000000"/>
          <w:sz w:val="32"/>
          <w:szCs w:val="32"/>
          <w:highlight w:val="none"/>
        </w:rPr>
        <w:t>《广西壮族自治区政府采购合同》</w:t>
      </w:r>
    </w:p>
    <w:p w14:paraId="6BE02758">
      <w:pPr>
        <w:snapToGrid w:val="0"/>
        <w:spacing w:line="400" w:lineRule="exact"/>
        <w:jc w:val="center"/>
        <w:rPr>
          <w:rFonts w:ascii="宋体" w:hAnsi="宋体"/>
          <w:b/>
          <w:color w:val="000000"/>
          <w:sz w:val="32"/>
          <w:szCs w:val="32"/>
          <w:highlight w:val="none"/>
        </w:rPr>
      </w:pPr>
      <w:r>
        <w:rPr>
          <w:rFonts w:hint="eastAsia" w:ascii="宋体" w:hAnsi="宋体"/>
          <w:b/>
          <w:color w:val="000000"/>
          <w:sz w:val="32"/>
          <w:szCs w:val="32"/>
          <w:highlight w:val="none"/>
        </w:rPr>
        <w:t>文本</w:t>
      </w:r>
    </w:p>
    <w:p w14:paraId="1B04C4FB">
      <w:pPr>
        <w:pStyle w:val="19"/>
        <w:rPr>
          <w:color w:val="000000"/>
          <w:highlight w:val="none"/>
        </w:rPr>
      </w:pPr>
    </w:p>
    <w:p w14:paraId="711EAB64">
      <w:pPr>
        <w:snapToGrid w:val="0"/>
        <w:spacing w:line="400" w:lineRule="exact"/>
        <w:ind w:right="480" w:firstLine="5250" w:firstLineChars="2500"/>
        <w:rPr>
          <w:rFonts w:ascii="宋体" w:hAnsi="宋体"/>
          <w:bCs/>
          <w:color w:val="000000"/>
          <w:szCs w:val="21"/>
          <w:highlight w:val="none"/>
        </w:rPr>
      </w:pPr>
    </w:p>
    <w:p w14:paraId="56163859">
      <w:pPr>
        <w:snapToGrid w:val="0"/>
        <w:spacing w:line="400" w:lineRule="exact"/>
        <w:ind w:right="480" w:firstLine="5250" w:firstLineChars="2500"/>
        <w:rPr>
          <w:rFonts w:ascii="宋体" w:hAnsi="宋体"/>
          <w:bCs/>
          <w:color w:val="000000"/>
          <w:szCs w:val="21"/>
          <w:highlight w:val="none"/>
          <w:u w:val="single"/>
        </w:rPr>
      </w:pPr>
      <w:r>
        <w:rPr>
          <w:rFonts w:hint="eastAsia" w:ascii="宋体" w:hAnsi="宋体"/>
          <w:bCs/>
          <w:color w:val="000000"/>
          <w:szCs w:val="21"/>
          <w:highlight w:val="none"/>
        </w:rPr>
        <w:t>合同编号：</w:t>
      </w:r>
    </w:p>
    <w:p w14:paraId="1F5EB8C5">
      <w:pPr>
        <w:snapToGrid w:val="0"/>
        <w:spacing w:line="360" w:lineRule="exact"/>
        <w:rPr>
          <w:rFonts w:ascii="宋体" w:hAnsi="宋体"/>
          <w:color w:val="000000"/>
          <w:szCs w:val="21"/>
          <w:highlight w:val="none"/>
        </w:rPr>
      </w:pPr>
    </w:p>
    <w:p w14:paraId="64BDC249">
      <w:pPr>
        <w:snapToGrid w:val="0"/>
        <w:spacing w:line="480" w:lineRule="exact"/>
        <w:rPr>
          <w:rFonts w:hint="default" w:ascii="宋体" w:hAnsi="宋体" w:eastAsia="宋体" w:cs="宋体"/>
          <w:color w:val="000000"/>
          <w:szCs w:val="21"/>
          <w:highlight w:val="none"/>
          <w:u w:val="single"/>
          <w:lang w:val="en-US" w:eastAsia="zh-CN"/>
        </w:rPr>
      </w:pPr>
      <w:r>
        <w:rPr>
          <w:rFonts w:hint="eastAsia" w:ascii="宋体" w:hAnsi="宋体" w:cs="宋体"/>
          <w:color w:val="000000"/>
          <w:szCs w:val="21"/>
          <w:highlight w:val="none"/>
          <w:lang w:eastAsia="zh-CN"/>
        </w:rPr>
        <w:t>采购计划编号：</w:t>
      </w:r>
      <w:r>
        <w:rPr>
          <w:rFonts w:hint="eastAsia" w:ascii="宋体" w:hAnsi="宋体" w:cs="宋体"/>
          <w:color w:val="000000"/>
          <w:szCs w:val="21"/>
          <w:highlight w:val="none"/>
          <w:u w:val="single"/>
          <w:lang w:val="en-US" w:eastAsia="zh-CN"/>
        </w:rPr>
        <w:t xml:space="preserve">                               </w:t>
      </w:r>
    </w:p>
    <w:p w14:paraId="6928E256">
      <w:pPr>
        <w:snapToGrid w:val="0"/>
        <w:spacing w:line="480" w:lineRule="exact"/>
        <w:rPr>
          <w:rFonts w:ascii="宋体" w:hAnsi="宋体" w:cs="宋体"/>
          <w:color w:val="000000"/>
          <w:szCs w:val="21"/>
          <w:highlight w:val="none"/>
          <w:u w:val="single"/>
        </w:rPr>
      </w:pPr>
      <w:r>
        <w:rPr>
          <w:rFonts w:hint="eastAsia" w:ascii="宋体" w:hAnsi="宋体" w:cs="宋体"/>
          <w:color w:val="000000"/>
          <w:szCs w:val="21"/>
          <w:highlight w:val="none"/>
        </w:rPr>
        <w:t>采购单位（甲方）</w:t>
      </w:r>
      <w:r>
        <w:rPr>
          <w:rFonts w:hint="eastAsia" w:ascii="宋体" w:hAnsi="宋体" w:cs="宋体"/>
          <w:color w:val="000000"/>
          <w:szCs w:val="21"/>
          <w:highlight w:val="none"/>
          <w:u w:val="single"/>
        </w:rPr>
        <w:t xml:space="preserve">广西制造工程职业技术学院     </w:t>
      </w:r>
      <w:r>
        <w:rPr>
          <w:rFonts w:hint="eastAsia" w:ascii="宋体" w:hAnsi="宋体" w:cs="宋体"/>
          <w:color w:val="000000"/>
          <w:szCs w:val="21"/>
          <w:highlight w:val="none"/>
        </w:rPr>
        <w:t xml:space="preserve">  </w:t>
      </w:r>
    </w:p>
    <w:p w14:paraId="35E678CF">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供 应 商（乙方）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4E2721A3">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项  目  名 称</w:t>
      </w:r>
      <w:r>
        <w:rPr>
          <w:rFonts w:hint="eastAsia" w:ascii="宋体" w:hAnsi="宋体" w:cs="宋体"/>
          <w:color w:val="000000"/>
          <w:szCs w:val="21"/>
          <w:highlight w:val="none"/>
          <w:u w:val="single"/>
        </w:rPr>
        <w:t xml:space="preserve">                                </w:t>
      </w:r>
    </w:p>
    <w:p w14:paraId="30EE9A4F">
      <w:pPr>
        <w:snapToGrid w:val="0"/>
        <w:spacing w:line="480" w:lineRule="exact"/>
        <w:rPr>
          <w:rFonts w:ascii="宋体" w:hAnsi="宋体" w:cs="宋体"/>
          <w:color w:val="000000"/>
          <w:szCs w:val="21"/>
          <w:highlight w:val="none"/>
          <w:u w:val="single"/>
        </w:rPr>
      </w:pPr>
      <w:r>
        <w:rPr>
          <w:rFonts w:hint="eastAsia" w:ascii="宋体" w:hAnsi="宋体" w:cs="宋体"/>
          <w:color w:val="000000"/>
          <w:spacing w:val="-20"/>
          <w:szCs w:val="21"/>
          <w:highlight w:val="none"/>
        </w:rPr>
        <w:t xml:space="preserve">项    </w:t>
      </w:r>
      <w:r>
        <w:rPr>
          <w:rFonts w:hint="eastAsia" w:ascii="宋体" w:hAnsi="宋体" w:cs="宋体"/>
          <w:color w:val="000000"/>
          <w:szCs w:val="21"/>
          <w:highlight w:val="none"/>
        </w:rPr>
        <w:t>目</w:t>
      </w:r>
      <w:r>
        <w:rPr>
          <w:rFonts w:hint="eastAsia" w:ascii="宋体" w:hAnsi="宋体" w:cs="宋体"/>
          <w:color w:val="000000"/>
          <w:spacing w:val="-20"/>
          <w:szCs w:val="21"/>
          <w:highlight w:val="none"/>
        </w:rPr>
        <w:t xml:space="preserve">   编  号</w:t>
      </w:r>
      <w:r>
        <w:rPr>
          <w:rFonts w:hint="eastAsia" w:ascii="宋体" w:hAnsi="宋体" w:cs="宋体"/>
          <w:color w:val="000000"/>
          <w:szCs w:val="21"/>
          <w:highlight w:val="none"/>
          <w:u w:val="single"/>
        </w:rPr>
        <w:t xml:space="preserve">                                </w:t>
      </w:r>
    </w:p>
    <w:p w14:paraId="14B4E252">
      <w:pPr>
        <w:snapToGrid w:val="0"/>
        <w:spacing w:line="480" w:lineRule="exact"/>
        <w:rPr>
          <w:rFonts w:ascii="宋体" w:hAnsi="宋体" w:cs="宋体"/>
          <w:color w:val="000000"/>
          <w:szCs w:val="21"/>
          <w:highlight w:val="none"/>
          <w:u w:val="single"/>
        </w:rPr>
      </w:pPr>
      <w:r>
        <w:rPr>
          <w:rFonts w:hint="eastAsia" w:ascii="宋体" w:hAnsi="宋体" w:cs="宋体"/>
          <w:color w:val="000000"/>
          <w:szCs w:val="21"/>
          <w:highlight w:val="none"/>
        </w:rPr>
        <w:t>签  订  地 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签 订 时 间</w:t>
      </w:r>
      <w:r>
        <w:rPr>
          <w:rFonts w:hint="eastAsia" w:ascii="宋体" w:hAnsi="宋体" w:cs="宋体"/>
          <w:color w:val="000000"/>
          <w:szCs w:val="21"/>
          <w:highlight w:val="none"/>
          <w:u w:val="single"/>
        </w:rPr>
        <w:t xml:space="preserve">                    </w:t>
      </w:r>
    </w:p>
    <w:p w14:paraId="6F8D6A04">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合同类型：</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合同</w:t>
      </w:r>
    </w:p>
    <w:p w14:paraId="2FE3D840">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本合同为中小企业预留合同：</w:t>
      </w:r>
      <w:r>
        <w:rPr>
          <w:rFonts w:hint="eastAsia" w:ascii="宋体" w:hAnsi="宋体" w:cs="宋体"/>
          <w:color w:val="000000"/>
          <w:szCs w:val="21"/>
          <w:highlight w:val="none"/>
          <w:u w:val="single"/>
        </w:rPr>
        <w:t>（是/否）</w:t>
      </w:r>
      <w:r>
        <w:rPr>
          <w:rFonts w:hint="eastAsia" w:ascii="宋体" w:hAnsi="宋体" w:cs="宋体"/>
          <w:color w:val="000000"/>
          <w:szCs w:val="21"/>
          <w:highlight w:val="none"/>
        </w:rPr>
        <w:t>。</w:t>
      </w:r>
    </w:p>
    <w:p w14:paraId="72B197E0">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根据《中华人民共和国政府采购法》《中华人民共和国民法典》等法律、法规规定，按照采购文件规定条款和中标人承诺，甲乙双方签订本合同。</w:t>
      </w:r>
    </w:p>
    <w:p w14:paraId="598F3146">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第一条 合同标的</w:t>
      </w:r>
    </w:p>
    <w:p w14:paraId="31FCAFCE">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供货一览表</w:t>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14:paraId="550A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675" w:type="dxa"/>
            <w:vAlign w:val="center"/>
          </w:tcPr>
          <w:p w14:paraId="6CBF97A8">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104" w:type="dxa"/>
            <w:vAlign w:val="center"/>
          </w:tcPr>
          <w:p w14:paraId="20CEB50E">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标的名称</w:t>
            </w:r>
          </w:p>
        </w:tc>
        <w:tc>
          <w:tcPr>
            <w:tcW w:w="1104" w:type="dxa"/>
            <w:vAlign w:val="center"/>
          </w:tcPr>
          <w:p w14:paraId="0F3CAC14">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商标品牌</w:t>
            </w:r>
          </w:p>
        </w:tc>
        <w:tc>
          <w:tcPr>
            <w:tcW w:w="1390" w:type="dxa"/>
            <w:vAlign w:val="center"/>
          </w:tcPr>
          <w:p w14:paraId="2907EA66">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规格型号</w:t>
            </w:r>
          </w:p>
        </w:tc>
        <w:tc>
          <w:tcPr>
            <w:tcW w:w="1088" w:type="dxa"/>
            <w:vAlign w:val="center"/>
          </w:tcPr>
          <w:p w14:paraId="6DDE6E32">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生产厂家</w:t>
            </w:r>
          </w:p>
        </w:tc>
        <w:tc>
          <w:tcPr>
            <w:tcW w:w="1069" w:type="dxa"/>
            <w:vAlign w:val="center"/>
          </w:tcPr>
          <w:p w14:paraId="0CF6C55A">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数量</w:t>
            </w:r>
          </w:p>
          <w:p w14:paraId="578D6613">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1087" w:type="dxa"/>
            <w:vAlign w:val="center"/>
          </w:tcPr>
          <w:p w14:paraId="71E4B7CE">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203" w:type="dxa"/>
            <w:vAlign w:val="center"/>
          </w:tcPr>
          <w:p w14:paraId="547049C8">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金额(元)</w:t>
            </w:r>
          </w:p>
        </w:tc>
      </w:tr>
      <w:tr w14:paraId="7383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35DEE3FB">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104" w:type="dxa"/>
            <w:vAlign w:val="center"/>
          </w:tcPr>
          <w:p w14:paraId="1C2FBA6D">
            <w:pPr>
              <w:spacing w:line="480" w:lineRule="exact"/>
              <w:jc w:val="center"/>
              <w:rPr>
                <w:rFonts w:ascii="宋体" w:hAnsi="宋体" w:cs="宋体"/>
                <w:color w:val="000000"/>
                <w:szCs w:val="21"/>
                <w:highlight w:val="none"/>
              </w:rPr>
            </w:pPr>
          </w:p>
        </w:tc>
        <w:tc>
          <w:tcPr>
            <w:tcW w:w="1104" w:type="dxa"/>
            <w:vAlign w:val="center"/>
          </w:tcPr>
          <w:p w14:paraId="4EBDEF7C">
            <w:pPr>
              <w:spacing w:line="480" w:lineRule="exact"/>
              <w:rPr>
                <w:rFonts w:ascii="宋体" w:hAnsi="宋体" w:cs="宋体"/>
                <w:color w:val="000000"/>
                <w:szCs w:val="21"/>
                <w:highlight w:val="none"/>
              </w:rPr>
            </w:pPr>
          </w:p>
        </w:tc>
        <w:tc>
          <w:tcPr>
            <w:tcW w:w="1390" w:type="dxa"/>
            <w:vAlign w:val="center"/>
          </w:tcPr>
          <w:p w14:paraId="2B6C5952">
            <w:pPr>
              <w:spacing w:line="480" w:lineRule="exact"/>
              <w:jc w:val="center"/>
              <w:rPr>
                <w:rFonts w:ascii="宋体" w:hAnsi="宋体" w:cs="宋体"/>
                <w:color w:val="000000"/>
                <w:szCs w:val="21"/>
                <w:highlight w:val="none"/>
              </w:rPr>
            </w:pPr>
          </w:p>
        </w:tc>
        <w:tc>
          <w:tcPr>
            <w:tcW w:w="1088" w:type="dxa"/>
            <w:vAlign w:val="center"/>
          </w:tcPr>
          <w:p w14:paraId="24F06396">
            <w:pPr>
              <w:spacing w:line="480" w:lineRule="exact"/>
              <w:jc w:val="center"/>
              <w:rPr>
                <w:rFonts w:ascii="宋体" w:hAnsi="宋体" w:cs="宋体"/>
                <w:color w:val="000000"/>
                <w:szCs w:val="21"/>
                <w:highlight w:val="none"/>
              </w:rPr>
            </w:pPr>
          </w:p>
        </w:tc>
        <w:tc>
          <w:tcPr>
            <w:tcW w:w="1069" w:type="dxa"/>
            <w:vAlign w:val="center"/>
          </w:tcPr>
          <w:p w14:paraId="088C4E43">
            <w:pPr>
              <w:spacing w:line="480" w:lineRule="exact"/>
              <w:jc w:val="center"/>
              <w:rPr>
                <w:rFonts w:ascii="宋体" w:hAnsi="宋体" w:cs="宋体"/>
                <w:color w:val="000000"/>
                <w:szCs w:val="21"/>
                <w:highlight w:val="none"/>
              </w:rPr>
            </w:pPr>
          </w:p>
        </w:tc>
        <w:tc>
          <w:tcPr>
            <w:tcW w:w="1087" w:type="dxa"/>
            <w:vAlign w:val="center"/>
          </w:tcPr>
          <w:p w14:paraId="0E7DA6B7">
            <w:pPr>
              <w:spacing w:line="480" w:lineRule="exact"/>
              <w:jc w:val="center"/>
              <w:rPr>
                <w:rFonts w:ascii="宋体" w:hAnsi="宋体" w:cs="宋体"/>
                <w:color w:val="000000"/>
                <w:szCs w:val="21"/>
                <w:highlight w:val="none"/>
              </w:rPr>
            </w:pPr>
          </w:p>
        </w:tc>
        <w:tc>
          <w:tcPr>
            <w:tcW w:w="1203" w:type="dxa"/>
            <w:vAlign w:val="center"/>
          </w:tcPr>
          <w:p w14:paraId="0C05FE89">
            <w:pPr>
              <w:spacing w:line="480" w:lineRule="exact"/>
              <w:jc w:val="center"/>
              <w:rPr>
                <w:rFonts w:ascii="宋体" w:hAnsi="宋体" w:cs="宋体"/>
                <w:color w:val="000000"/>
                <w:szCs w:val="21"/>
                <w:highlight w:val="none"/>
              </w:rPr>
            </w:pPr>
          </w:p>
        </w:tc>
      </w:tr>
      <w:tr w14:paraId="6284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1E24553D">
            <w:pPr>
              <w:spacing w:line="480" w:lineRule="exac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104" w:type="dxa"/>
            <w:vAlign w:val="center"/>
          </w:tcPr>
          <w:p w14:paraId="2335E3F9">
            <w:pPr>
              <w:spacing w:line="480" w:lineRule="exact"/>
              <w:jc w:val="center"/>
              <w:rPr>
                <w:rFonts w:ascii="宋体" w:hAnsi="宋体" w:cs="宋体"/>
                <w:color w:val="000000"/>
                <w:szCs w:val="21"/>
                <w:highlight w:val="none"/>
              </w:rPr>
            </w:pPr>
          </w:p>
        </w:tc>
        <w:tc>
          <w:tcPr>
            <w:tcW w:w="1104" w:type="dxa"/>
            <w:vAlign w:val="center"/>
          </w:tcPr>
          <w:p w14:paraId="09F9BBD0">
            <w:pPr>
              <w:spacing w:line="480" w:lineRule="exact"/>
              <w:rPr>
                <w:rFonts w:ascii="宋体" w:hAnsi="宋体" w:cs="宋体"/>
                <w:color w:val="000000"/>
                <w:szCs w:val="21"/>
                <w:highlight w:val="none"/>
              </w:rPr>
            </w:pPr>
          </w:p>
        </w:tc>
        <w:tc>
          <w:tcPr>
            <w:tcW w:w="1390" w:type="dxa"/>
            <w:vAlign w:val="center"/>
          </w:tcPr>
          <w:p w14:paraId="64092718">
            <w:pPr>
              <w:spacing w:line="480" w:lineRule="exact"/>
              <w:jc w:val="center"/>
              <w:rPr>
                <w:rFonts w:ascii="宋体" w:hAnsi="宋体" w:cs="宋体"/>
                <w:color w:val="000000"/>
                <w:szCs w:val="21"/>
                <w:highlight w:val="none"/>
              </w:rPr>
            </w:pPr>
          </w:p>
        </w:tc>
        <w:tc>
          <w:tcPr>
            <w:tcW w:w="1088" w:type="dxa"/>
            <w:vAlign w:val="center"/>
          </w:tcPr>
          <w:p w14:paraId="32D65AA9">
            <w:pPr>
              <w:spacing w:line="480" w:lineRule="exact"/>
              <w:jc w:val="center"/>
              <w:rPr>
                <w:rFonts w:ascii="宋体" w:hAnsi="宋体" w:cs="宋体"/>
                <w:color w:val="000000"/>
                <w:szCs w:val="21"/>
                <w:highlight w:val="none"/>
              </w:rPr>
            </w:pPr>
          </w:p>
        </w:tc>
        <w:tc>
          <w:tcPr>
            <w:tcW w:w="1069" w:type="dxa"/>
            <w:vAlign w:val="center"/>
          </w:tcPr>
          <w:p w14:paraId="3FA6E93C">
            <w:pPr>
              <w:spacing w:line="480" w:lineRule="exact"/>
              <w:jc w:val="center"/>
              <w:rPr>
                <w:rFonts w:ascii="宋体" w:hAnsi="宋体" w:cs="宋体"/>
                <w:color w:val="000000"/>
                <w:szCs w:val="21"/>
                <w:highlight w:val="none"/>
              </w:rPr>
            </w:pPr>
          </w:p>
        </w:tc>
        <w:tc>
          <w:tcPr>
            <w:tcW w:w="1087" w:type="dxa"/>
            <w:vAlign w:val="center"/>
          </w:tcPr>
          <w:p w14:paraId="4A6C46C9">
            <w:pPr>
              <w:spacing w:line="480" w:lineRule="exact"/>
              <w:jc w:val="center"/>
              <w:rPr>
                <w:rFonts w:ascii="宋体" w:hAnsi="宋体" w:cs="宋体"/>
                <w:color w:val="000000"/>
                <w:szCs w:val="21"/>
                <w:highlight w:val="none"/>
              </w:rPr>
            </w:pPr>
          </w:p>
        </w:tc>
        <w:tc>
          <w:tcPr>
            <w:tcW w:w="1203" w:type="dxa"/>
            <w:vAlign w:val="center"/>
          </w:tcPr>
          <w:p w14:paraId="7736C587">
            <w:pPr>
              <w:spacing w:line="480" w:lineRule="exact"/>
              <w:jc w:val="center"/>
              <w:rPr>
                <w:rFonts w:ascii="宋体" w:hAnsi="宋体" w:cs="宋体"/>
                <w:color w:val="000000"/>
                <w:szCs w:val="21"/>
                <w:highlight w:val="none"/>
              </w:rPr>
            </w:pPr>
          </w:p>
        </w:tc>
      </w:tr>
      <w:tr w14:paraId="0FB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20" w:type="dxa"/>
            <w:gridSpan w:val="8"/>
            <w:vAlign w:val="center"/>
          </w:tcPr>
          <w:p w14:paraId="22E3FC7D">
            <w:pPr>
              <w:spacing w:line="480" w:lineRule="exact"/>
              <w:rPr>
                <w:rFonts w:ascii="宋体" w:hAnsi="宋体" w:cs="宋体"/>
                <w:color w:val="000000"/>
                <w:szCs w:val="21"/>
                <w:highlight w:val="none"/>
              </w:rPr>
            </w:pPr>
            <w:r>
              <w:rPr>
                <w:rFonts w:hint="eastAsia" w:ascii="宋体" w:hAnsi="宋体" w:cs="宋体"/>
                <w:color w:val="000000"/>
                <w:szCs w:val="21"/>
                <w:highlight w:val="none"/>
              </w:rPr>
              <w:t xml:space="preserve">人民币合计金额(大写)                    (小写)               </w:t>
            </w:r>
          </w:p>
        </w:tc>
      </w:tr>
    </w:tbl>
    <w:p w14:paraId="585ED863">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合同合计金额包括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szCs w:val="21"/>
          <w:highlight w:val="none"/>
        </w:rPr>
        <w:t>调试，及投入使用后质量保修期内的维护、保养、人员培训、售后服务</w:t>
      </w:r>
      <w:r>
        <w:rPr>
          <w:rFonts w:hint="eastAsia" w:ascii="宋体" w:hAnsi="宋体" w:cs="宋体"/>
          <w:color w:val="000000"/>
          <w:szCs w:val="21"/>
          <w:highlight w:val="none"/>
        </w:rPr>
        <w:t>及其他所有成本费用，以及合同明示或暗示的所有责任、义务和一般风险等一切费用。</w:t>
      </w:r>
    </w:p>
    <w:p w14:paraId="0C0F8A37">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第二条 质量保证</w:t>
      </w:r>
    </w:p>
    <w:p w14:paraId="4465FFDB">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乙方所提供的货物型号、技术规格、技术参数等应符合</w:t>
      </w:r>
      <w:r>
        <w:rPr>
          <w:rFonts w:hint="eastAsia" w:ascii="宋体" w:hAnsi="宋体" w:cs="宋体"/>
          <w:color w:val="000000"/>
          <w:szCs w:val="21"/>
          <w:highlight w:val="none"/>
          <w:lang w:eastAsia="zh-Hans"/>
        </w:rPr>
        <w:t>国家标准、行业标准、地方标准等标准、规范（上述标准、规范有出入的，以较严格为准）</w:t>
      </w:r>
      <w:r>
        <w:rPr>
          <w:rFonts w:hint="eastAsia" w:ascii="宋体" w:hAnsi="宋体" w:cs="宋体"/>
          <w:color w:val="000000"/>
          <w:szCs w:val="21"/>
          <w:highlight w:val="none"/>
        </w:rPr>
        <w:t>，并与公告规定、采购文件及投标文件承诺的质量相一致，以确保使用过程的安全有效</w:t>
      </w:r>
      <w:r>
        <w:rPr>
          <w:rFonts w:hint="eastAsia" w:ascii="宋体" w:hAnsi="宋体" w:cs="宋体"/>
          <w:color w:val="000000"/>
          <w:szCs w:val="21"/>
          <w:highlight w:val="none"/>
          <w:lang w:eastAsia="zh-Hans"/>
        </w:rPr>
        <w:t>，如采购文件中明确对货物提出更高的技术要求的，乙方还应当确保符合采购文件提出的技术要求</w:t>
      </w:r>
      <w:r>
        <w:rPr>
          <w:rFonts w:hint="eastAsia" w:ascii="宋体" w:hAnsi="宋体" w:cs="宋体"/>
          <w:color w:val="000000"/>
          <w:szCs w:val="21"/>
          <w:highlight w:val="none"/>
        </w:rPr>
        <w:t>。</w:t>
      </w:r>
    </w:p>
    <w:p w14:paraId="194C7B09">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乙方所提供的货物必须是全新、未使用的原装产品，且在正常安装、使用和保养条件下，其使用寿命期内各项指标均达到公告规定、采购文件或投标文件承诺的质量要求。</w:t>
      </w:r>
    </w:p>
    <w:p w14:paraId="1E79E7B1">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第三条 权利保证</w:t>
      </w:r>
    </w:p>
    <w:p w14:paraId="1D59B5CB">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乙方应保证所提供货物在使用时不会侵犯任何第三方的专利权、商标权、工业设计权或其他权利。</w:t>
      </w:r>
    </w:p>
    <w:p w14:paraId="23A03C1A">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乙方应按公告规定、采购文件或投标文件承诺的时间向甲方提供使用货物的有关技术资料。</w:t>
      </w:r>
    </w:p>
    <w:p w14:paraId="75E81452">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045518">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乙方保证将要交付的货物的所有权完全属于乙方，且无任何抵押、质押、查封等产权瑕疵。</w:t>
      </w:r>
    </w:p>
    <w:p w14:paraId="55773565">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第四条 包装和运输</w:t>
      </w:r>
    </w:p>
    <w:p w14:paraId="015B1333">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乙方提供的货物均应按照公告规定、采购文件或投标文件承诺的包装材料、包装标准、包装方式进行包装，每一包装单元内应附详细的装箱单和质量合格证。</w:t>
      </w:r>
    </w:p>
    <w:p w14:paraId="745F7618">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货物的运输方式：</w:t>
      </w:r>
      <w:r>
        <w:rPr>
          <w:rFonts w:hint="eastAsia" w:ascii="宋体" w:hAnsi="宋体" w:cs="宋体"/>
          <w:color w:val="000000"/>
          <w:szCs w:val="21"/>
          <w:highlight w:val="none"/>
          <w:u w:val="single"/>
        </w:rPr>
        <w:t xml:space="preserve">  </w:t>
      </w:r>
      <w:r>
        <w:rPr>
          <w:rFonts w:hint="eastAsia" w:ascii="宋体" w:hAnsi="宋体" w:cs="宋体"/>
          <w:color w:val="000000"/>
          <w:kern w:val="1"/>
          <w:szCs w:val="21"/>
          <w:highlight w:val="none"/>
          <w:u w:val="single"/>
          <w:lang w:eastAsia="ar-SA"/>
        </w:rPr>
        <w:t>不限</w:t>
      </w:r>
      <w:r>
        <w:rPr>
          <w:rFonts w:hint="eastAsia" w:ascii="宋体" w:hAnsi="宋体" w:cs="宋体"/>
          <w:color w:val="000000"/>
          <w:szCs w:val="21"/>
          <w:highlight w:val="none"/>
          <w:u w:val="single"/>
        </w:rPr>
        <w:t xml:space="preserve">            </w:t>
      </w:r>
    </w:p>
    <w:p w14:paraId="080EB8B4">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乙方负责货物运输及相关费用，货物运输合理损耗及计算方法：</w:t>
      </w:r>
      <w:r>
        <w:rPr>
          <w:rFonts w:hint="eastAsia" w:ascii="宋体" w:hAnsi="宋体" w:cs="宋体"/>
          <w:color w:val="000000"/>
          <w:szCs w:val="21"/>
          <w:highlight w:val="none"/>
          <w:u w:val="single"/>
        </w:rPr>
        <w:t>货物运输保险费已包含在合同总价中，乙方须确保货物安全无损地运抵安装地点</w:t>
      </w:r>
      <w:r>
        <w:rPr>
          <w:rFonts w:hint="eastAsia" w:ascii="宋体" w:hAnsi="宋体" w:cs="宋体"/>
          <w:color w:val="000000"/>
          <w:szCs w:val="21"/>
          <w:highlight w:val="none"/>
        </w:rPr>
        <w:t>。</w:t>
      </w:r>
    </w:p>
    <w:p w14:paraId="099EBF12">
      <w:pPr>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第五条 交付和验收</w:t>
      </w:r>
    </w:p>
    <w:p w14:paraId="13177EDA">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交货时间：</w:t>
      </w:r>
      <w:r>
        <w:rPr>
          <w:rFonts w:hint="eastAsia" w:ascii="宋体" w:hAnsi="宋体" w:cs="宋体"/>
          <w:color w:val="000000"/>
          <w:szCs w:val="21"/>
          <w:highlight w:val="none"/>
          <w:u w:val="single"/>
        </w:rPr>
        <w:t xml:space="preserve"> 按乙方投标文件中所承诺的时间 </w:t>
      </w:r>
      <w:r>
        <w:rPr>
          <w:rFonts w:hint="eastAsia" w:ascii="宋体" w:hAnsi="宋体" w:cs="宋体"/>
          <w:color w:val="000000"/>
          <w:szCs w:val="21"/>
          <w:highlight w:val="none"/>
        </w:rPr>
        <w:t>；交货地点：</w:t>
      </w:r>
      <w:r>
        <w:rPr>
          <w:rFonts w:hint="eastAsia" w:ascii="宋体" w:hAnsi="宋体" w:cs="宋体"/>
          <w:color w:val="000000"/>
          <w:szCs w:val="21"/>
          <w:highlight w:val="none"/>
          <w:u w:val="single"/>
        </w:rPr>
        <w:t>广西南宁市（甲方指定地点）</w:t>
      </w:r>
      <w:r>
        <w:rPr>
          <w:rFonts w:hint="eastAsia" w:ascii="宋体" w:hAnsi="宋体" w:cs="宋体"/>
          <w:color w:val="000000"/>
          <w:szCs w:val="21"/>
          <w:highlight w:val="none"/>
        </w:rPr>
        <w:t>。</w:t>
      </w:r>
    </w:p>
    <w:p w14:paraId="16D2B194">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乙方提供不符合公告规定的、</w:t>
      </w:r>
      <w:r>
        <w:rPr>
          <w:rFonts w:hint="eastAsia" w:ascii="宋体" w:hAnsi="宋体" w:cs="宋体"/>
          <w:color w:val="000000"/>
          <w:szCs w:val="21"/>
          <w:highlight w:val="none"/>
          <w:lang w:eastAsia="zh-CN"/>
        </w:rPr>
        <w:t>招标</w:t>
      </w:r>
      <w:r>
        <w:rPr>
          <w:rFonts w:hint="eastAsia" w:ascii="宋体" w:hAnsi="宋体" w:cs="宋体"/>
          <w:color w:val="000000"/>
          <w:szCs w:val="21"/>
          <w:highlight w:val="none"/>
        </w:rPr>
        <w:t>文件、投标文件承诺的或本合同规定的货物，甲方有权拒绝接受。</w:t>
      </w:r>
    </w:p>
    <w:p w14:paraId="02C766B4">
      <w:pPr>
        <w:spacing w:line="48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3.乙方应将所提供货物的装箱清单、用户手册、原厂保修卡、随机资料、工具和备品、备件等交付给甲方，如有缺失应在甲方要求的合理时间内及时补齐，否则视为逾期交货。</w:t>
      </w:r>
    </w:p>
    <w:p w14:paraId="0D38A900">
      <w:pPr>
        <w:spacing w:line="48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4.甲方应当在到货并安装、调试完后</w:t>
      </w:r>
      <w:bookmarkStart w:id="148" w:name="OLE_LINK11"/>
      <w:bookmarkStart w:id="149" w:name="OLE_LINK12"/>
      <w:r>
        <w:rPr>
          <w:rFonts w:hint="eastAsia" w:ascii="宋体" w:hAnsi="宋体" w:cs="宋体"/>
          <w:color w:val="000000"/>
          <w:szCs w:val="21"/>
          <w:highlight w:val="none"/>
        </w:rPr>
        <w:t>一个月内进行验收</w:t>
      </w:r>
      <w:bookmarkEnd w:id="148"/>
      <w:bookmarkEnd w:id="149"/>
      <w:r>
        <w:rPr>
          <w:rFonts w:hint="eastAsia" w:ascii="宋体" w:hAnsi="宋体" w:cs="宋体"/>
          <w:color w:val="000000"/>
          <w:szCs w:val="21"/>
          <w:highlight w:val="none"/>
        </w:rPr>
        <w:t>。验收合格后由甲乙双方签署货物验收单并加盖采购单位公章，甲乙双方各执一份。</w:t>
      </w:r>
      <w:r>
        <w:rPr>
          <w:rFonts w:hint="eastAsia" w:ascii="宋体" w:hAnsi="宋体" w:cs="宋体"/>
          <w:color w:val="000000"/>
          <w:szCs w:val="21"/>
          <w:highlight w:val="none"/>
          <w:lang w:val="en-US" w:eastAsia="zh-CN"/>
        </w:rPr>
        <w:t>甲方签署货物验收单并不免除乙方对货物的质量保证责任，甲方在使用货物过程中，货物存在产品质量问题的，乙方承担因此产生的所有责任。</w:t>
      </w:r>
    </w:p>
    <w:p w14:paraId="04CA9419">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5.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2C19F41C">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6.甲方对验收有异议的，在验收后五个工作日内以书面形式向乙方提出，乙方应自收到甲方书面异议后五日内及时予以解决。</w:t>
      </w:r>
    </w:p>
    <w:p w14:paraId="23E0A277">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第六条 安装和培训</w:t>
      </w:r>
    </w:p>
    <w:p w14:paraId="52D3C94F">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甲方应提供必要安装条件（如场地、电源、水源等）。乙方应在到货之日起</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个工作日内对货物进行安装、调试。</w:t>
      </w:r>
    </w:p>
    <w:p w14:paraId="51385D36">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乙方负责甲方有关人员的培训</w:t>
      </w:r>
      <w:r>
        <w:rPr>
          <w:rFonts w:hint="eastAsia" w:ascii="宋体" w:hAnsi="宋体" w:cs="宋体"/>
          <w:color w:val="000000"/>
          <w:szCs w:val="21"/>
          <w:highlight w:val="none"/>
          <w:lang w:eastAsia="zh-Hans"/>
        </w:rPr>
        <w:t>，具体培训时间、地点由甲方予以确定</w:t>
      </w:r>
      <w:r>
        <w:rPr>
          <w:rFonts w:hint="eastAsia" w:ascii="宋体" w:hAnsi="宋体" w:cs="宋体"/>
          <w:color w:val="000000"/>
          <w:szCs w:val="21"/>
          <w:highlight w:val="none"/>
        </w:rPr>
        <w:t>。</w:t>
      </w:r>
    </w:p>
    <w:p w14:paraId="786F30CA">
      <w:pPr>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第七条 售后服务、质保期</w:t>
      </w:r>
    </w:p>
    <w:p w14:paraId="6455281C">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kern w:val="1"/>
          <w:szCs w:val="21"/>
          <w:highlight w:val="none"/>
        </w:rPr>
        <w:t xml:space="preserve"> </w:t>
      </w:r>
      <w:r>
        <w:rPr>
          <w:rFonts w:hint="eastAsia" w:ascii="宋体" w:hAnsi="宋体" w:cs="宋体"/>
          <w:color w:val="000000"/>
          <w:szCs w:val="21"/>
          <w:highlight w:val="none"/>
        </w:rPr>
        <w:t>乙方应按照国家有关法律法规和“三包”规定以及公告、采购文件投标文件和本合同所附的《服务承诺》，为甲方提供售后服务。</w:t>
      </w:r>
    </w:p>
    <w:p w14:paraId="3D67808A">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货物保修期：</w:t>
      </w:r>
      <w:r>
        <w:rPr>
          <w:rFonts w:hint="eastAsia" w:ascii="宋体" w:hAnsi="宋体" w:cs="宋体"/>
          <w:color w:val="000000"/>
          <w:szCs w:val="21"/>
          <w:highlight w:val="none"/>
          <w:u w:val="single"/>
        </w:rPr>
        <w:t xml:space="preserve"> 按乙方承诺，但是不得低于国家相关标准。</w:t>
      </w:r>
    </w:p>
    <w:p w14:paraId="1BF18116">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1"/>
          <w:szCs w:val="21"/>
          <w:highlight w:val="none"/>
          <w:lang w:eastAsia="ar-SA"/>
        </w:rPr>
        <w:t>.</w:t>
      </w:r>
      <w:r>
        <w:rPr>
          <w:rFonts w:hint="eastAsia" w:ascii="宋体" w:hAnsi="宋体" w:cs="宋体"/>
          <w:color w:val="000000"/>
          <w:szCs w:val="21"/>
          <w:highlight w:val="none"/>
        </w:rPr>
        <w:t>乙方提供的服务承诺和售后服务及质保期责任等其它具体约定事项（见合同附件)。</w:t>
      </w:r>
    </w:p>
    <w:p w14:paraId="6E756D32">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第八条 付款方式</w:t>
      </w:r>
    </w:p>
    <w:p w14:paraId="1B0A5802">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1.当采购数量与实际使用数量不一致时，乙方应根据实际使用量供货，合同的最终结算金额按实际使用量乘以中标单价进行计算，但不得超出合同价的10%。</w:t>
      </w:r>
    </w:p>
    <w:p w14:paraId="53F82399">
      <w:pPr>
        <w:snapToGrid w:val="0"/>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cs="宋体"/>
          <w:color w:val="000000"/>
          <w:szCs w:val="21"/>
          <w:highlight w:val="none"/>
        </w:rPr>
        <w:t>2.付款方式：</w:t>
      </w:r>
      <w:r>
        <w:rPr>
          <w:rFonts w:hint="eastAsia" w:ascii="宋体" w:hAnsi="宋体" w:cs="宋体"/>
          <w:color w:val="000000"/>
          <w:szCs w:val="21"/>
          <w:highlight w:val="none"/>
          <w:u w:val="single"/>
          <w:lang w:val="en-US" w:eastAsia="zh-CN"/>
        </w:rPr>
        <w:t xml:space="preserve">                   </w:t>
      </w:r>
    </w:p>
    <w:p w14:paraId="52BA47F5">
      <w:pPr>
        <w:spacing w:line="480" w:lineRule="exact"/>
        <w:ind w:firstLine="422" w:firstLineChars="200"/>
        <w:rPr>
          <w:rFonts w:hint="eastAsia" w:ascii="宋体" w:hAnsi="宋体" w:cs="宋体"/>
          <w:b/>
          <w:bCs/>
          <w:color w:val="000000"/>
          <w:szCs w:val="21"/>
          <w:highlight w:val="none"/>
        </w:rPr>
      </w:pPr>
    </w:p>
    <w:p w14:paraId="363E610C">
      <w:pPr>
        <w:spacing w:line="480" w:lineRule="exact"/>
        <w:ind w:firstLine="422" w:firstLineChars="200"/>
        <w:rPr>
          <w:rFonts w:hint="eastAsia" w:ascii="宋体" w:hAnsi="宋体" w:eastAsia="宋体" w:cs="宋体"/>
          <w:b/>
          <w:bCs/>
          <w:color w:val="000000"/>
          <w:sz w:val="21"/>
          <w:szCs w:val="21"/>
          <w:highlight w:val="none"/>
          <w:u w:val="single"/>
        </w:rPr>
      </w:pPr>
      <w:r>
        <w:rPr>
          <w:rFonts w:hint="eastAsia" w:ascii="宋体" w:hAnsi="宋体" w:eastAsia="宋体" w:cs="宋体"/>
          <w:b/>
          <w:bCs/>
          <w:color w:val="000000"/>
          <w:sz w:val="21"/>
          <w:szCs w:val="21"/>
          <w:highlight w:val="none"/>
        </w:rPr>
        <w:t>第九条 履约保证金</w:t>
      </w:r>
      <w:r>
        <w:rPr>
          <w:rFonts w:hint="eastAsia" w:ascii="宋体" w:hAnsi="宋体" w:eastAsia="宋体" w:cs="宋体"/>
          <w:b/>
          <w:bCs/>
          <w:color w:val="000000"/>
          <w:sz w:val="21"/>
          <w:szCs w:val="21"/>
          <w:highlight w:val="none"/>
          <w:u w:val="single"/>
        </w:rPr>
        <w:t xml:space="preserve"> </w:t>
      </w:r>
    </w:p>
    <w:p w14:paraId="208DE262">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1.履约保证金金额：中标金额的</w:t>
      </w:r>
      <w:r>
        <w:rPr>
          <w:rFonts w:hint="eastAsia" w:ascii="宋体" w:hAnsi="宋体" w:eastAsia="宋体" w:cs="宋体"/>
          <w:color w:val="000000"/>
          <w:szCs w:val="21"/>
          <w:highlight w:val="none"/>
          <w:u w:val="single"/>
          <w:lang w:val="en-US" w:eastAsia="zh-CN"/>
        </w:rPr>
        <w:t>_5_</w:t>
      </w:r>
      <w:r>
        <w:rPr>
          <w:rFonts w:hint="eastAsia" w:ascii="宋体" w:hAnsi="宋体" w:eastAsia="宋体" w:cs="宋体"/>
          <w:color w:val="000000"/>
          <w:szCs w:val="21"/>
          <w:highlight w:val="none"/>
          <w:lang w:val="en-US" w:eastAsia="zh-CN"/>
        </w:rPr>
        <w:t>%。（若乙方被评标委员会认定为中小企业的，履约保证金数额将按中标金额的2%收取）</w:t>
      </w:r>
    </w:p>
    <w:p w14:paraId="39A1380C">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2.履约保证金递交方式：转账或电汇等形式（支持支票、汇票、本票、保函等形式）</w:t>
      </w:r>
    </w:p>
    <w:p w14:paraId="0D95D9AB">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3.履约保证金递交时间：签订合同后5个工作日内由乙方转入甲方指定保证金账户。</w:t>
      </w:r>
    </w:p>
    <w:p w14:paraId="4A8C3321">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4.履约保证金期限：验收合格之日起一年</w:t>
      </w:r>
    </w:p>
    <w:p w14:paraId="4E3D695F">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履约保证金退还：履约保证期满后乙方无违约行为，甲方提供《政府采购项目履约保证金退付意见书》及《政府采购项目合同验收报告》，向甲方提出书面申请退还，甲方在收到申请后5个工作日内按照履约保证金缴纳的具体方式，配合乙方办理无息退还事宜。</w:t>
      </w:r>
    </w:p>
    <w:p w14:paraId="5728A991">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保证金指定账户：</w:t>
      </w:r>
    </w:p>
    <w:p w14:paraId="471A5740">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开户名：广西制造工程职业技术学院</w:t>
      </w:r>
    </w:p>
    <w:p w14:paraId="487A1971">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开户行：农行南宁东盟经济园区支行</w:t>
      </w:r>
    </w:p>
    <w:p w14:paraId="5F387D83">
      <w:pPr>
        <w:snapToGrid w:val="0"/>
        <w:spacing w:line="48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账  号：20036501040014065</w:t>
      </w:r>
    </w:p>
    <w:p w14:paraId="7C3CCD97">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第十条 税费</w:t>
      </w:r>
    </w:p>
    <w:p w14:paraId="3CFA1FB3">
      <w:pPr>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本合同执行中相关的一切税费均由乙方负担。</w:t>
      </w:r>
    </w:p>
    <w:p w14:paraId="12B21C8B">
      <w:pPr>
        <w:spacing w:line="48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第十一条 质量保证及售后服务</w:t>
      </w:r>
    </w:p>
    <w:p w14:paraId="0CDD4C5B">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 乙方应按采购文件规定的货物性能、技术要求、质量标准向甲方提供未经使用的全新产品。乙方提供货物的质量保证期按交货验收合格之日起计</w:t>
      </w:r>
      <w:r>
        <w:rPr>
          <w:rFonts w:hint="eastAsia" w:ascii="宋体" w:hAnsi="宋体" w:cs="宋体"/>
          <w:color w:val="000000"/>
          <w:kern w:val="1"/>
          <w:szCs w:val="21"/>
          <w:highlight w:val="none"/>
          <w:lang w:val="en-US" w:eastAsia="zh-CN"/>
        </w:rPr>
        <w:t>,货物保修期为</w:t>
      </w:r>
      <w:r>
        <w:rPr>
          <w:rFonts w:hint="eastAsia" w:ascii="宋体" w:hAnsi="宋体" w:cs="宋体"/>
          <w:color w:val="000000"/>
          <w:kern w:val="1"/>
          <w:szCs w:val="21"/>
          <w:highlight w:val="none"/>
          <w:u w:val="single"/>
          <w:lang w:val="en-US" w:eastAsia="zh-CN"/>
        </w:rPr>
        <w:t xml:space="preserve">     </w:t>
      </w:r>
      <w:r>
        <w:rPr>
          <w:rFonts w:hint="eastAsia" w:ascii="宋体" w:hAnsi="宋体" w:cs="宋体"/>
          <w:color w:val="000000"/>
          <w:kern w:val="1"/>
          <w:szCs w:val="21"/>
          <w:highlight w:val="none"/>
          <w:lang w:val="en-US" w:eastAsia="zh-CN"/>
        </w:rPr>
        <w:t>年</w:t>
      </w:r>
      <w:r>
        <w:rPr>
          <w:rFonts w:hint="eastAsia" w:ascii="宋体" w:hAnsi="宋体" w:cs="宋体"/>
          <w:color w:val="000000"/>
          <w:kern w:val="1"/>
          <w:szCs w:val="21"/>
          <w:highlight w:val="none"/>
          <w:lang w:eastAsia="ar-SA"/>
        </w:rPr>
        <w:t>。在保证期内因货物本身的质量问题发生故障，乙方应负责</w:t>
      </w:r>
      <w:r>
        <w:rPr>
          <w:rFonts w:hint="eastAsia" w:ascii="宋体" w:hAnsi="宋体" w:cs="宋体"/>
          <w:color w:val="000000"/>
          <w:kern w:val="1"/>
          <w:szCs w:val="21"/>
          <w:highlight w:val="none"/>
          <w:lang w:eastAsia="zh-CN"/>
        </w:rPr>
        <w:t>无条件</w:t>
      </w:r>
      <w:r>
        <w:rPr>
          <w:rFonts w:hint="eastAsia" w:ascii="宋体" w:hAnsi="宋体" w:cs="宋体"/>
          <w:color w:val="000000"/>
          <w:kern w:val="1"/>
          <w:szCs w:val="21"/>
          <w:highlight w:val="none"/>
          <w:lang w:eastAsia="ar-SA"/>
        </w:rPr>
        <w:t>修理和更换零部件。对达不到技术要求者，根据实际情况，经双方协商，可按以下办法处理：</w:t>
      </w:r>
    </w:p>
    <w:p w14:paraId="4662848A">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（1）更换：产品出现质量问题、经乙方</w:t>
      </w:r>
      <w:r>
        <w:rPr>
          <w:rFonts w:hint="eastAsia" w:ascii="宋体" w:hAnsi="宋体" w:cs="宋体"/>
          <w:color w:val="000000"/>
          <w:kern w:val="1"/>
          <w:szCs w:val="21"/>
          <w:highlight w:val="none"/>
          <w:u w:val="single"/>
          <w:lang w:eastAsia="ar-SA"/>
        </w:rPr>
        <w:t>1</w:t>
      </w:r>
      <w:r>
        <w:rPr>
          <w:rFonts w:hint="eastAsia" w:ascii="宋体" w:hAnsi="宋体" w:cs="宋体"/>
          <w:color w:val="000000"/>
          <w:kern w:val="1"/>
          <w:szCs w:val="21"/>
          <w:highlight w:val="none"/>
          <w:lang w:eastAsia="ar-SA"/>
        </w:rPr>
        <w:t>次维修仍不能达到合同约定的质量标准的，甲方有权更换，并由乙方承担所发生的全部费用。</w:t>
      </w:r>
    </w:p>
    <w:p w14:paraId="0380B1B0">
      <w:pPr>
        <w:suppressAutoHyphens/>
        <w:snapToGrid w:val="0"/>
        <w:spacing w:line="480" w:lineRule="exact"/>
        <w:ind w:firstLine="420" w:firstLineChars="200"/>
        <w:rPr>
          <w:rFonts w:hint="eastAsia" w:ascii="宋体" w:hAnsi="宋体" w:cs="宋体"/>
          <w:color w:val="000000"/>
          <w:kern w:val="1"/>
          <w:szCs w:val="21"/>
          <w:highlight w:val="none"/>
          <w:lang w:val="en-US" w:eastAsia="ar-SA"/>
        </w:rPr>
      </w:pPr>
      <w:r>
        <w:rPr>
          <w:rFonts w:hint="eastAsia" w:ascii="宋体" w:hAnsi="宋体" w:cs="宋体"/>
          <w:color w:val="000000"/>
          <w:kern w:val="1"/>
          <w:szCs w:val="21"/>
          <w:highlight w:val="none"/>
          <w:lang w:val="en-US" w:eastAsia="ar-SA"/>
        </w:rPr>
        <w:t>（2）贬值处理：</w:t>
      </w:r>
      <w:r>
        <w:rPr>
          <w:rFonts w:hint="eastAsia" w:ascii="宋体" w:hAnsi="宋体" w:cs="宋体"/>
          <w:color w:val="000000"/>
          <w:kern w:val="1"/>
          <w:szCs w:val="21"/>
          <w:highlight w:val="none"/>
          <w:lang w:val="en-US" w:eastAsia="zh-Hans"/>
        </w:rPr>
        <w:t>因乙方</w:t>
      </w:r>
      <w:r>
        <w:rPr>
          <w:rFonts w:hint="eastAsia" w:ascii="宋体" w:hAnsi="宋体" w:cs="宋体"/>
          <w:color w:val="000000"/>
          <w:kern w:val="1"/>
          <w:szCs w:val="21"/>
          <w:highlight w:val="none"/>
          <w:lang w:val="en-US" w:eastAsia="ar-SA"/>
        </w:rPr>
        <w:t>产品出现质量问题</w:t>
      </w:r>
      <w:r>
        <w:rPr>
          <w:rFonts w:hint="eastAsia" w:ascii="宋体" w:hAnsi="宋体" w:cs="宋体"/>
          <w:color w:val="000000"/>
          <w:kern w:val="1"/>
          <w:szCs w:val="21"/>
          <w:highlight w:val="none"/>
          <w:lang w:val="en-US" w:eastAsia="zh-Hans"/>
        </w:rPr>
        <w:t>造成退换货产生的贬值由乙方自行承担</w:t>
      </w:r>
      <w:r>
        <w:rPr>
          <w:rFonts w:hint="eastAsia" w:ascii="宋体" w:hAnsi="宋体" w:cs="宋体"/>
          <w:color w:val="000000"/>
          <w:kern w:val="1"/>
          <w:szCs w:val="21"/>
          <w:highlight w:val="none"/>
          <w:lang w:val="en-US" w:eastAsia="ar-SA"/>
        </w:rPr>
        <w:t>。</w:t>
      </w:r>
    </w:p>
    <w:p w14:paraId="797FDF4A">
      <w:pPr>
        <w:suppressAutoHyphens/>
        <w:snapToGrid w:val="0"/>
        <w:spacing w:line="480" w:lineRule="exact"/>
        <w:ind w:firstLine="420" w:firstLineChars="200"/>
        <w:rPr>
          <w:rFonts w:hint="eastAsia" w:ascii="宋体" w:hAnsi="宋体" w:cs="宋体"/>
          <w:color w:val="000000"/>
          <w:kern w:val="1"/>
          <w:szCs w:val="21"/>
          <w:highlight w:val="none"/>
          <w:lang w:val="en-US" w:eastAsia="ar-SA"/>
        </w:rPr>
      </w:pPr>
      <w:r>
        <w:rPr>
          <w:rFonts w:hint="eastAsia" w:ascii="宋体" w:hAnsi="宋体" w:cs="宋体"/>
          <w:color w:val="000000"/>
          <w:kern w:val="1"/>
          <w:szCs w:val="21"/>
          <w:highlight w:val="none"/>
          <w:lang w:val="en-US"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w:t>
      </w:r>
      <w:r>
        <w:rPr>
          <w:rFonts w:hint="eastAsia" w:ascii="宋体" w:hAnsi="宋体" w:cs="宋体"/>
          <w:color w:val="000000"/>
          <w:kern w:val="1"/>
          <w:szCs w:val="21"/>
          <w:highlight w:val="none"/>
          <w:lang w:val="en-US" w:eastAsia="zh-CN"/>
        </w:rPr>
        <w:t>甲方将上报政府采购监督管理部门，同时追究乙方的违约责任。如乙方的违约行为符合《政府采购法》第五十条第2款约定的情形，</w:t>
      </w:r>
      <w:r>
        <w:rPr>
          <w:rFonts w:hint="eastAsia" w:ascii="宋体" w:hAnsi="宋体" w:cs="宋体"/>
          <w:color w:val="000000"/>
          <w:kern w:val="1"/>
          <w:szCs w:val="21"/>
          <w:highlight w:val="none"/>
          <w:lang w:val="en-US" w:eastAsia="ar-SA"/>
        </w:rPr>
        <w:t>甲方有权终止合同，由此造成的损失由乙方负责。</w:t>
      </w:r>
    </w:p>
    <w:p w14:paraId="677A8715">
      <w:pPr>
        <w:snapToGrid w:val="0"/>
        <w:spacing w:line="480" w:lineRule="exact"/>
        <w:ind w:firstLine="420" w:firstLineChars="200"/>
        <w:rPr>
          <w:rFonts w:ascii="宋体" w:hAnsi="宋体" w:cs="宋体"/>
          <w:color w:val="000000"/>
          <w:szCs w:val="21"/>
          <w:highlight w:val="none"/>
          <w:u w:val="single"/>
        </w:rPr>
      </w:pPr>
      <w:r>
        <w:rPr>
          <w:rFonts w:hint="eastAsia" w:ascii="宋体" w:hAnsi="宋体" w:cs="宋体"/>
          <w:color w:val="000000"/>
          <w:szCs w:val="21"/>
          <w:highlight w:val="none"/>
        </w:rPr>
        <w:t>2. 如在使用过程中出现故障，乙方应在接到甲方通知后</w:t>
      </w:r>
      <w:r>
        <w:rPr>
          <w:rFonts w:hint="eastAsia" w:ascii="宋体" w:hAnsi="宋体" w:cs="宋体"/>
          <w:color w:val="000000"/>
          <w:szCs w:val="21"/>
          <w:highlight w:val="none"/>
          <w:u w:val="single"/>
        </w:rPr>
        <w:t xml:space="preserve">    小时内响应，   小时内解决故障，否则须在           内提供与原设备技术参数要求相同或高于原设备技术参数要求的备用产品，以保证甲方的正常工作。</w:t>
      </w:r>
    </w:p>
    <w:p w14:paraId="005D0D15">
      <w:pPr>
        <w:suppressAutoHyphens/>
        <w:snapToGrid w:val="0"/>
        <w:spacing w:line="480" w:lineRule="exact"/>
        <w:ind w:firstLine="420" w:firstLineChars="200"/>
        <w:rPr>
          <w:rFonts w:hint="eastAsia" w:ascii="宋体" w:hAnsi="宋体" w:cs="宋体"/>
          <w:color w:val="000000"/>
          <w:kern w:val="1"/>
          <w:szCs w:val="21"/>
          <w:highlight w:val="none"/>
          <w:lang w:val="en-US" w:eastAsia="ar-SA"/>
        </w:rPr>
      </w:pPr>
      <w:r>
        <w:rPr>
          <w:rFonts w:hint="eastAsia" w:ascii="宋体" w:hAnsi="宋体" w:cs="宋体"/>
          <w:color w:val="000000"/>
          <w:szCs w:val="21"/>
          <w:highlight w:val="none"/>
        </w:rPr>
        <w:t>3. 在质</w:t>
      </w:r>
      <w:r>
        <w:rPr>
          <w:rFonts w:hint="eastAsia" w:ascii="宋体" w:hAnsi="宋体" w:cs="宋体"/>
          <w:color w:val="000000"/>
          <w:kern w:val="1"/>
          <w:szCs w:val="21"/>
          <w:highlight w:val="none"/>
          <w:lang w:val="en-US" w:eastAsia="ar-SA"/>
        </w:rPr>
        <w:t>保期内，乙方应对货物出现的质量及安全问题负责处理解决并承担一切费用。如有产品质量争议，则按照国家相关法律法规及行业标准</w:t>
      </w:r>
      <w:r>
        <w:rPr>
          <w:rFonts w:hint="eastAsia" w:ascii="宋体" w:hAnsi="宋体" w:cs="宋体"/>
          <w:color w:val="000000"/>
          <w:kern w:val="1"/>
          <w:szCs w:val="21"/>
          <w:highlight w:val="none"/>
          <w:lang w:val="en-US" w:eastAsia="zh-Hans"/>
        </w:rPr>
        <w:t>、地方标准等标准、规范解决（上述标准、规范有出入的，以较严格为准）</w:t>
      </w:r>
      <w:r>
        <w:rPr>
          <w:rFonts w:hint="eastAsia" w:ascii="宋体" w:hAnsi="宋体" w:cs="宋体"/>
          <w:color w:val="000000"/>
          <w:kern w:val="1"/>
          <w:szCs w:val="21"/>
          <w:highlight w:val="none"/>
          <w:lang w:val="en-US" w:eastAsia="ar-SA"/>
        </w:rPr>
        <w:t>，</w:t>
      </w:r>
      <w:r>
        <w:rPr>
          <w:rFonts w:hint="eastAsia" w:ascii="宋体" w:hAnsi="宋体" w:cs="宋体"/>
          <w:color w:val="000000"/>
          <w:kern w:val="1"/>
          <w:szCs w:val="21"/>
          <w:highlight w:val="none"/>
          <w:lang w:val="en-US" w:eastAsia="zh-Hans"/>
        </w:rPr>
        <w:t>如采购文件中明确对货物提出更高的技术要求的，乙方还应当确保符合采购文件提出的技术要求</w:t>
      </w:r>
      <w:r>
        <w:rPr>
          <w:rFonts w:hint="eastAsia" w:ascii="宋体" w:hAnsi="宋体" w:cs="宋体"/>
          <w:color w:val="000000"/>
          <w:kern w:val="1"/>
          <w:szCs w:val="21"/>
          <w:highlight w:val="none"/>
          <w:lang w:val="en-US" w:eastAsia="ar-SA"/>
        </w:rPr>
        <w:t>。</w:t>
      </w:r>
    </w:p>
    <w:p w14:paraId="7432845A">
      <w:pPr>
        <w:suppressAutoHyphens/>
        <w:snapToGrid w:val="0"/>
        <w:spacing w:line="480" w:lineRule="exact"/>
        <w:ind w:firstLine="420" w:firstLineChars="200"/>
        <w:rPr>
          <w:rFonts w:hint="eastAsia" w:ascii="宋体" w:hAnsi="宋体" w:cs="宋体"/>
          <w:color w:val="000000"/>
          <w:kern w:val="1"/>
          <w:szCs w:val="21"/>
          <w:highlight w:val="none"/>
          <w:lang w:val="en-US" w:eastAsia="ar-SA"/>
        </w:rPr>
      </w:pPr>
      <w:r>
        <w:rPr>
          <w:rFonts w:hint="eastAsia" w:ascii="宋体" w:hAnsi="宋体" w:cs="宋体"/>
          <w:color w:val="000000"/>
          <w:kern w:val="1"/>
          <w:szCs w:val="21"/>
          <w:highlight w:val="none"/>
          <w:lang w:val="en-US" w:eastAsia="ar-SA"/>
        </w:rPr>
        <w:t>4.质保期内货物如因人为使用不当导致损坏的，乙方也应当积极进行维修服务，但相应维修费用由甲方承担。超过质保期的机器设备，终生维修，维修时只收取部件成本费。</w:t>
      </w:r>
    </w:p>
    <w:p w14:paraId="789EB4C8">
      <w:pPr>
        <w:snapToGrid w:val="0"/>
        <w:spacing w:line="48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第十二条 货物包装、发运及运输</w:t>
      </w:r>
    </w:p>
    <w:p w14:paraId="79EB3D92">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 乙方应在货物发运前对其进行满足运输距离、防潮、防震、防锈和防破损装卸等要求包装，以保证货物安全运达甲方指定地点。</w:t>
      </w:r>
    </w:p>
    <w:p w14:paraId="0B0EB521">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 使用说明书、质量检验证明书、随配附件和工具以及清单一并附于货物内。</w:t>
      </w:r>
    </w:p>
    <w:p w14:paraId="6780111B">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 乙方在货物发运手续办理完毕后二十四小时内或货到甲方四十八小时前通知甲方，以准备接货。</w:t>
      </w:r>
    </w:p>
    <w:p w14:paraId="5B89ED95">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 货物在交付甲方前发生的风险均由乙方负责。</w:t>
      </w:r>
    </w:p>
    <w:p w14:paraId="21851CFA">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5. 货物在规定的交付期限内由乙方送达甲方指定的地点。</w:t>
      </w:r>
    </w:p>
    <w:p w14:paraId="1B22CDCD">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第十三条 交货及验收要求</w:t>
      </w:r>
    </w:p>
    <w:p w14:paraId="1D14E6B2">
      <w:pPr>
        <w:snapToGrid w:val="0"/>
        <w:spacing w:line="480" w:lineRule="exact"/>
        <w:ind w:firstLine="420" w:firstLineChars="200"/>
        <w:jc w:val="left"/>
        <w:rPr>
          <w:rFonts w:ascii="宋体" w:hAnsi="宋体" w:cs="宋体"/>
          <w:bCs/>
          <w:color w:val="000000"/>
          <w:szCs w:val="21"/>
          <w:highlight w:val="none"/>
        </w:rPr>
      </w:pPr>
      <w:r>
        <w:rPr>
          <w:rFonts w:hint="eastAsia" w:ascii="宋体" w:hAnsi="宋体" w:cs="宋体"/>
          <w:color w:val="000000"/>
          <w:szCs w:val="21"/>
          <w:highlight w:val="none"/>
        </w:rPr>
        <w:t>1. 甲方对乙方提交的货物依据采购文件上的技术规格要求和国家有关质量标准进行现</w:t>
      </w:r>
      <w:r>
        <w:rPr>
          <w:rFonts w:hint="eastAsia" w:ascii="宋体" w:hAnsi="宋体" w:cs="宋体"/>
          <w:bCs/>
          <w:color w:val="000000"/>
          <w:szCs w:val="21"/>
          <w:highlight w:val="none"/>
        </w:rPr>
        <w:t>场签收，外观、说明书符合采购文件技术要求的，给予签收，不合格的不予签收。</w:t>
      </w:r>
    </w:p>
    <w:p w14:paraId="0767704B">
      <w:pPr>
        <w:snapToGrid w:val="0"/>
        <w:spacing w:line="480" w:lineRule="exact"/>
        <w:ind w:firstLine="420" w:firstLineChars="200"/>
        <w:jc w:val="left"/>
        <w:rPr>
          <w:rFonts w:ascii="宋体" w:hAnsi="宋体" w:cs="宋体"/>
          <w:bCs/>
          <w:color w:val="000000"/>
          <w:szCs w:val="21"/>
          <w:highlight w:val="none"/>
        </w:rPr>
      </w:pPr>
      <w:r>
        <w:rPr>
          <w:rFonts w:hint="eastAsia" w:ascii="宋体" w:hAnsi="宋体" w:cs="宋体"/>
          <w:bCs/>
          <w:color w:val="000000"/>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54B9AFB8">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 乙方需负责安装、调试，并培训甲方的使用操作人员，直到设备运行符合技术要求，甲方方可验收。</w:t>
      </w:r>
    </w:p>
    <w:p w14:paraId="6DC24C23">
      <w:pPr>
        <w:snapToGrid w:val="0"/>
        <w:spacing w:line="4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 甲方组织验收，</w:t>
      </w:r>
      <w:r>
        <w:rPr>
          <w:rFonts w:hint="eastAsia" w:ascii="宋体" w:hAnsi="宋体" w:cs="宋体"/>
          <w:bCs/>
          <w:color w:val="000000"/>
          <w:szCs w:val="21"/>
          <w:highlight w:val="none"/>
        </w:rPr>
        <w:t>乙方必须到场</w:t>
      </w:r>
      <w:r>
        <w:rPr>
          <w:rFonts w:hint="eastAsia" w:ascii="宋体" w:hAnsi="宋体" w:cs="宋体"/>
          <w:color w:val="000000"/>
          <w:szCs w:val="21"/>
          <w:highlight w:val="none"/>
        </w:rPr>
        <w:t>配合，</w:t>
      </w:r>
      <w:r>
        <w:rPr>
          <w:rFonts w:hint="eastAsia" w:ascii="宋体" w:hAnsi="宋体" w:cs="宋体"/>
          <w:bCs/>
          <w:color w:val="000000"/>
          <w:szCs w:val="21"/>
          <w:highlight w:val="none"/>
        </w:rPr>
        <w:t>验收合格后双方签署验收合格凭证。</w:t>
      </w:r>
      <w:r>
        <w:rPr>
          <w:rFonts w:hint="eastAsia" w:ascii="宋体" w:hAnsi="宋体" w:cs="宋体"/>
          <w:color w:val="000000"/>
          <w:szCs w:val="21"/>
          <w:highlight w:val="none"/>
        </w:rPr>
        <w:t>对技术复杂的货物，甲方可请国家认可的专业检测机构参与验收，费用由乙方承担。</w:t>
      </w:r>
    </w:p>
    <w:p w14:paraId="1522D99B">
      <w:pPr>
        <w:snapToGrid w:val="0"/>
        <w:spacing w:line="48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5.其他未尽事宜应严格参照《关于印发广西壮族自治区政府采购项目履约验收管理办法的通知》[桂财采〔2015〕22号]以及《财政部关于进一步加强政府采购需求和履约验收管理的指导意见》[财库〔2016〕205号]规定执行。</w:t>
      </w:r>
    </w:p>
    <w:p w14:paraId="4FD0FD38">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第十四条 违约责任</w:t>
      </w:r>
    </w:p>
    <w:p w14:paraId="121E2038">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1.乙方所提供的货物规格、技术标准、材料等质量不合格的，应在甲方要求的合理时间内及时更换，更换不及时的按逾期交货处罚；因质量问题甲方不同意接收的或</w:t>
      </w:r>
      <w:r>
        <w:rPr>
          <w:rFonts w:hint="eastAsia" w:ascii="宋体" w:hAnsi="宋体" w:cs="宋体"/>
          <w:color w:val="000000"/>
          <w:kern w:val="1"/>
          <w:szCs w:val="21"/>
          <w:highlight w:val="none"/>
          <w:lang w:eastAsia="zh-Hans"/>
        </w:rPr>
        <w:t>即便存在质量问题但</w:t>
      </w:r>
      <w:r>
        <w:rPr>
          <w:rFonts w:hint="eastAsia" w:ascii="宋体" w:hAnsi="宋体" w:cs="宋体"/>
          <w:color w:val="000000"/>
          <w:kern w:val="1"/>
          <w:szCs w:val="21"/>
          <w:highlight w:val="none"/>
          <w:lang w:eastAsia="ar-SA"/>
        </w:rPr>
        <w:t>特殊情况甲方同意接收的，乙方应向甲方支付</w:t>
      </w:r>
      <w:r>
        <w:rPr>
          <w:rFonts w:hint="eastAsia"/>
          <w:highlight w:val="none"/>
          <w:lang w:val="en-US" w:eastAsia="zh-CN"/>
        </w:rPr>
        <w:t>本合同金额</w:t>
      </w:r>
      <w:r>
        <w:rPr>
          <w:rFonts w:hint="eastAsia" w:ascii="宋体" w:hAnsi="宋体" w:cs="宋体"/>
          <w:color w:val="000000"/>
          <w:kern w:val="1"/>
          <w:szCs w:val="21"/>
          <w:highlight w:val="none"/>
          <w:u w:val="single"/>
          <w:lang w:eastAsia="ar-SA"/>
        </w:rPr>
        <w:t>5%</w:t>
      </w:r>
      <w:r>
        <w:rPr>
          <w:rFonts w:hint="eastAsia" w:ascii="宋体" w:hAnsi="宋体" w:cs="宋体"/>
          <w:color w:val="000000"/>
          <w:kern w:val="1"/>
          <w:szCs w:val="21"/>
          <w:highlight w:val="none"/>
        </w:rPr>
        <w:t>的</w:t>
      </w:r>
      <w:r>
        <w:rPr>
          <w:rFonts w:hint="eastAsia" w:ascii="宋体" w:hAnsi="宋体" w:cs="宋体"/>
          <w:color w:val="000000"/>
          <w:kern w:val="1"/>
          <w:szCs w:val="21"/>
          <w:highlight w:val="none"/>
          <w:lang w:eastAsia="ar-SA"/>
        </w:rPr>
        <w:t>违约金并赔偿甲方经济损失。</w:t>
      </w:r>
    </w:p>
    <w:p w14:paraId="7B38AEFB">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2.乙方提供的货物如侵犯了第三方合法权益而引发的任何纠纷或诉讼，均由乙方负责交涉并承担全部责任。</w:t>
      </w:r>
    </w:p>
    <w:p w14:paraId="3A6DAEBE">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3.因包装、运输引起的货物损坏，</w:t>
      </w:r>
      <w:r>
        <w:rPr>
          <w:rFonts w:hint="eastAsia" w:ascii="宋体" w:hAnsi="宋体" w:cs="宋体"/>
          <w:color w:val="000000"/>
          <w:kern w:val="1"/>
          <w:szCs w:val="21"/>
          <w:highlight w:val="none"/>
          <w:lang w:eastAsia="zh-Hans"/>
        </w:rPr>
        <w:t>甲方有权选择不予接收或</w:t>
      </w:r>
      <w:r>
        <w:rPr>
          <w:rFonts w:hint="eastAsia" w:ascii="宋体" w:hAnsi="宋体" w:cs="宋体"/>
          <w:color w:val="000000"/>
          <w:kern w:val="1"/>
          <w:szCs w:val="21"/>
          <w:highlight w:val="none"/>
          <w:lang w:eastAsia="ar-SA"/>
        </w:rPr>
        <w:t>按质量不合格处罚。</w:t>
      </w:r>
    </w:p>
    <w:p w14:paraId="755D7751">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4.</w:t>
      </w:r>
      <w:r>
        <w:rPr>
          <w:rFonts w:hint="eastAsia" w:ascii="宋体" w:hAnsi="宋体" w:cs="宋体"/>
          <w:color w:val="000000"/>
          <w:szCs w:val="21"/>
          <w:highlight w:val="none"/>
        </w:rPr>
        <w:t>甲方无故延期接收货物、乙方逾期交货的，每天向对方偿付违约货款额</w:t>
      </w:r>
      <w:bookmarkStart w:id="150" w:name="_Hlk166775994"/>
      <w:r>
        <w:rPr>
          <w:rFonts w:hint="eastAsia" w:ascii="宋体" w:hAnsi="宋体" w:cs="宋体"/>
          <w:color w:val="000000"/>
          <w:szCs w:val="21"/>
          <w:highlight w:val="none"/>
          <w:u w:val="single"/>
        </w:rPr>
        <w:t>万分之四</w:t>
      </w:r>
      <w:bookmarkEnd w:id="150"/>
      <w:r>
        <w:rPr>
          <w:rFonts w:hint="eastAsia" w:ascii="宋体" w:hAnsi="宋体" w:cs="宋体"/>
          <w:color w:val="000000"/>
          <w:szCs w:val="21"/>
          <w:highlight w:val="none"/>
        </w:rPr>
        <w:t>违约金，但违约金累计不得超过违约货款额</w:t>
      </w:r>
      <w:bookmarkStart w:id="151" w:name="_Hlk117262039"/>
      <w:r>
        <w:rPr>
          <w:rFonts w:ascii="宋体" w:hAnsi="宋体" w:cs="宋体"/>
          <w:color w:val="000000"/>
          <w:szCs w:val="21"/>
          <w:highlight w:val="none"/>
          <w:u w:val="single"/>
        </w:rPr>
        <w:t>10</w:t>
      </w:r>
      <w:r>
        <w:rPr>
          <w:rFonts w:hint="eastAsia" w:ascii="宋体" w:hAnsi="宋体" w:cs="宋体"/>
          <w:color w:val="000000"/>
          <w:szCs w:val="21"/>
          <w:highlight w:val="none"/>
          <w:u w:val="single"/>
        </w:rPr>
        <w:t>%</w:t>
      </w:r>
      <w:bookmarkEnd w:id="151"/>
      <w:r>
        <w:rPr>
          <w:rFonts w:hint="eastAsia" w:ascii="宋体" w:hAnsi="宋体" w:cs="宋体"/>
          <w:color w:val="000000"/>
          <w:szCs w:val="21"/>
          <w:highlight w:val="none"/>
        </w:rPr>
        <w:t>，超过</w:t>
      </w:r>
      <w:r>
        <w:rPr>
          <w:rFonts w:hint="eastAsia" w:ascii="宋体" w:hAnsi="宋体" w:cs="宋体"/>
          <w:color w:val="000000"/>
          <w:szCs w:val="21"/>
          <w:highlight w:val="none"/>
          <w:u w:val="single"/>
        </w:rPr>
        <w:t xml:space="preserve"> 20 </w:t>
      </w:r>
      <w:r>
        <w:rPr>
          <w:rFonts w:hint="eastAsia" w:ascii="宋体" w:hAnsi="宋体" w:cs="宋体"/>
          <w:color w:val="000000"/>
          <w:szCs w:val="21"/>
          <w:highlight w:val="none"/>
        </w:rPr>
        <w:t>天对方有权解除合同，违约方承担因此给对方造成经济损失；甲方延期付货款的，每天向乙方偿付延期货款额</w:t>
      </w:r>
      <w:r>
        <w:rPr>
          <w:rFonts w:hint="eastAsia" w:ascii="宋体" w:hAnsi="宋体" w:cs="宋体"/>
          <w:color w:val="000000"/>
          <w:szCs w:val="21"/>
          <w:highlight w:val="none"/>
          <w:u w:val="single"/>
        </w:rPr>
        <w:t>万分之四</w:t>
      </w:r>
      <w:r>
        <w:rPr>
          <w:rFonts w:hint="eastAsia" w:ascii="宋体" w:hAnsi="宋体" w:cs="宋体"/>
          <w:color w:val="000000"/>
          <w:szCs w:val="21"/>
          <w:highlight w:val="none"/>
        </w:rPr>
        <w:t>滞纳金，但滞纳金累计不得超过延期货款额</w:t>
      </w:r>
      <w:r>
        <w:rPr>
          <w:rFonts w:hint="eastAsia" w:ascii="宋体" w:hAnsi="宋体" w:cs="宋体"/>
          <w:color w:val="000000"/>
          <w:szCs w:val="21"/>
          <w:highlight w:val="none"/>
          <w:u w:val="single"/>
        </w:rPr>
        <w:t>10%</w:t>
      </w:r>
      <w:r>
        <w:rPr>
          <w:rFonts w:hint="eastAsia" w:ascii="宋体" w:hAnsi="宋体" w:cs="宋体"/>
          <w:color w:val="000000"/>
          <w:szCs w:val="21"/>
          <w:highlight w:val="none"/>
        </w:rPr>
        <w:t>。</w:t>
      </w:r>
    </w:p>
    <w:p w14:paraId="77E0F9B8">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5.乙方未按本合同和投标文件中规定的服务承诺提供售后服务的，</w:t>
      </w:r>
      <w:r>
        <w:rPr>
          <w:rFonts w:hint="eastAsia" w:ascii="宋体" w:hAnsi="宋体" w:cs="宋体"/>
          <w:color w:val="000000"/>
          <w:kern w:val="1"/>
          <w:szCs w:val="21"/>
          <w:highlight w:val="none"/>
          <w:lang w:val="en-US" w:eastAsia="zh-CN"/>
        </w:rPr>
        <w:t>每发生一次</w:t>
      </w:r>
      <w:r>
        <w:rPr>
          <w:rFonts w:hint="eastAsia" w:ascii="宋体" w:hAnsi="宋体" w:cs="宋体"/>
          <w:color w:val="000000"/>
          <w:kern w:val="1"/>
          <w:szCs w:val="21"/>
          <w:highlight w:val="none"/>
          <w:lang w:eastAsia="ar-SA"/>
        </w:rPr>
        <w:t>乙方应按本合同合计金额</w:t>
      </w:r>
      <w:r>
        <w:rPr>
          <w:rFonts w:hint="eastAsia" w:ascii="宋体" w:hAnsi="宋体" w:cs="宋体"/>
          <w:color w:val="000000"/>
          <w:kern w:val="1"/>
          <w:szCs w:val="21"/>
          <w:highlight w:val="none"/>
        </w:rPr>
        <w:t>的</w:t>
      </w:r>
      <w:r>
        <w:rPr>
          <w:rFonts w:hint="eastAsia" w:ascii="宋体" w:hAnsi="宋体" w:cs="宋体"/>
          <w:color w:val="000000"/>
          <w:kern w:val="1"/>
          <w:szCs w:val="21"/>
          <w:highlight w:val="none"/>
          <w:u w:val="single"/>
        </w:rPr>
        <w:t>10</w:t>
      </w:r>
      <w:r>
        <w:rPr>
          <w:rFonts w:hint="eastAsia" w:ascii="宋体" w:hAnsi="宋体" w:cs="宋体"/>
          <w:color w:val="000000"/>
          <w:kern w:val="1"/>
          <w:szCs w:val="21"/>
          <w:highlight w:val="none"/>
          <w:u w:val="single"/>
          <w:lang w:eastAsia="ar-SA"/>
        </w:rPr>
        <w:t>%</w:t>
      </w:r>
      <w:r>
        <w:rPr>
          <w:rFonts w:hint="eastAsia" w:ascii="宋体" w:hAnsi="宋体" w:cs="宋体"/>
          <w:color w:val="000000"/>
          <w:kern w:val="1"/>
          <w:szCs w:val="21"/>
          <w:highlight w:val="none"/>
          <w:lang w:eastAsia="ar-SA"/>
        </w:rPr>
        <w:t>向甲方支付违约金。</w:t>
      </w:r>
    </w:p>
    <w:p w14:paraId="0C75154D">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6.乙方提供的货物在质量保证期内，因设计、工艺或材料的缺陷和其它质量原因造成的问题，由乙方负责，费用从履约保证金中扣除，履约保证金不足以支付的，由乙方另行支付。</w:t>
      </w:r>
    </w:p>
    <w:p w14:paraId="422CEF95">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7.其它违约行为</w:t>
      </w:r>
      <w:r>
        <w:rPr>
          <w:rFonts w:hint="eastAsia" w:ascii="宋体" w:hAnsi="宋体" w:cs="宋体"/>
          <w:color w:val="000000"/>
          <w:kern w:val="1"/>
          <w:szCs w:val="21"/>
          <w:highlight w:val="none"/>
          <w:lang w:val="en-US" w:eastAsia="zh-CN"/>
        </w:rPr>
        <w:t>由违约方</w:t>
      </w:r>
      <w:r>
        <w:rPr>
          <w:rFonts w:hint="eastAsia" w:ascii="宋体" w:hAnsi="宋体" w:cs="宋体"/>
          <w:color w:val="000000"/>
          <w:kern w:val="1"/>
          <w:szCs w:val="21"/>
          <w:highlight w:val="none"/>
          <w:lang w:eastAsia="ar-SA"/>
        </w:rPr>
        <w:t>按违约货款额5%</w:t>
      </w:r>
      <w:r>
        <w:rPr>
          <w:rFonts w:hint="eastAsia" w:ascii="宋体" w:hAnsi="宋体" w:cs="宋体"/>
          <w:color w:val="000000"/>
          <w:kern w:val="1"/>
          <w:szCs w:val="21"/>
          <w:highlight w:val="none"/>
          <w:lang w:val="en-US" w:eastAsia="zh-CN"/>
        </w:rPr>
        <w:t>向守约方支付</w:t>
      </w:r>
      <w:r>
        <w:rPr>
          <w:rFonts w:hint="eastAsia" w:ascii="宋体" w:hAnsi="宋体" w:cs="宋体"/>
          <w:color w:val="000000"/>
          <w:kern w:val="1"/>
          <w:szCs w:val="21"/>
          <w:highlight w:val="none"/>
          <w:lang w:eastAsia="ar-SA"/>
        </w:rPr>
        <w:t>违约金并赔偿经济损失。</w:t>
      </w:r>
    </w:p>
    <w:p w14:paraId="41E4012C">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8.</w:t>
      </w:r>
      <w:r>
        <w:rPr>
          <w:rFonts w:hint="eastAsia" w:ascii="宋体" w:hAnsi="宋体" w:cs="宋体"/>
          <w:color w:val="000000"/>
          <w:kern w:val="1"/>
          <w:szCs w:val="21"/>
          <w:highlight w:val="none"/>
          <w:lang w:eastAsia="zh-Hans"/>
        </w:rPr>
        <w:t>任何一方违约，均应当赔偿由此给守约方造成的全部经济损失，包括但不限于案件受理费、律师费、</w:t>
      </w:r>
      <w:r>
        <w:rPr>
          <w:rFonts w:hint="eastAsia" w:ascii="宋体" w:hAnsi="宋体" w:cs="宋体"/>
          <w:color w:val="000000"/>
          <w:kern w:val="1"/>
          <w:szCs w:val="21"/>
          <w:highlight w:val="none"/>
          <w:lang w:val="en-US" w:eastAsia="zh-CN"/>
        </w:rPr>
        <w:t>保全保险</w:t>
      </w:r>
      <w:r>
        <w:rPr>
          <w:rFonts w:hint="eastAsia" w:ascii="宋体" w:hAnsi="宋体" w:cs="宋体"/>
          <w:color w:val="000000"/>
          <w:kern w:val="1"/>
          <w:szCs w:val="21"/>
          <w:highlight w:val="none"/>
          <w:lang w:eastAsia="zh-Hans"/>
        </w:rPr>
        <w:t>费</w:t>
      </w:r>
      <w:r>
        <w:rPr>
          <w:rFonts w:hint="eastAsia" w:ascii="宋体" w:hAnsi="宋体" w:cs="宋体"/>
          <w:color w:val="000000"/>
          <w:kern w:val="1"/>
          <w:szCs w:val="21"/>
          <w:highlight w:val="none"/>
          <w:lang w:val="en-US" w:eastAsia="zh-CN"/>
        </w:rPr>
        <w:t>、公告</w:t>
      </w:r>
      <w:r>
        <w:rPr>
          <w:rFonts w:hint="eastAsia" w:ascii="宋体" w:hAnsi="宋体" w:cs="宋体"/>
          <w:color w:val="000000"/>
          <w:kern w:val="1"/>
          <w:szCs w:val="21"/>
          <w:highlight w:val="none"/>
          <w:lang w:eastAsia="zh-Hans"/>
        </w:rPr>
        <w:t>费</w:t>
      </w:r>
      <w:r>
        <w:rPr>
          <w:rFonts w:hint="eastAsia" w:ascii="宋体" w:hAnsi="宋体" w:cs="宋体"/>
          <w:color w:val="000000"/>
          <w:kern w:val="1"/>
          <w:szCs w:val="21"/>
          <w:highlight w:val="none"/>
          <w:lang w:eastAsia="zh-CN"/>
        </w:rPr>
        <w:t>、</w:t>
      </w:r>
      <w:r>
        <w:rPr>
          <w:rFonts w:hint="eastAsia" w:ascii="宋体" w:hAnsi="宋体" w:cs="宋体"/>
          <w:color w:val="000000"/>
          <w:kern w:val="1"/>
          <w:szCs w:val="21"/>
          <w:highlight w:val="none"/>
          <w:lang w:eastAsia="zh-Hans"/>
        </w:rPr>
        <w:t>评估费、鉴定费、差旅费等。</w:t>
      </w:r>
    </w:p>
    <w:p w14:paraId="40C403F4">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第十五条 不可抗力事件处理</w:t>
      </w:r>
    </w:p>
    <w:p w14:paraId="3BF9731B">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 在合同有效期内，任何一方因不可抗力事件导致不能履行合同，则合同履行期可延长，其延长期与不可抗力影响期相同。</w:t>
      </w:r>
    </w:p>
    <w:p w14:paraId="7CFA3149">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2. 不可抗力事件发生后，应立即通知对方，并寄送有关权威机构出具的证明。</w:t>
      </w:r>
    </w:p>
    <w:p w14:paraId="04F4A215">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3. 不可抗力事件延续一百二十天以上，双方应通过友好协商，确定是否继续履行合同。</w:t>
      </w:r>
    </w:p>
    <w:p w14:paraId="0FCC062B">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第十六条 合同争议解决</w:t>
      </w:r>
    </w:p>
    <w:p w14:paraId="78FBE903">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 因货物质量问题发生争议的，应邀请国家认可的质量检测机构按照国家标准对货物质量进行</w:t>
      </w:r>
      <w:r>
        <w:rPr>
          <w:rFonts w:hint="eastAsia" w:ascii="宋体" w:hAnsi="宋体" w:cs="宋体"/>
          <w:color w:val="000000"/>
          <w:kern w:val="1"/>
          <w:szCs w:val="21"/>
          <w:highlight w:val="none"/>
          <w:lang w:eastAsia="zh-Hans"/>
        </w:rPr>
        <w:t>鉴定</w:t>
      </w:r>
      <w:r>
        <w:rPr>
          <w:rFonts w:hint="eastAsia" w:ascii="宋体" w:hAnsi="宋体" w:cs="宋体"/>
          <w:color w:val="000000"/>
          <w:kern w:val="1"/>
          <w:szCs w:val="21"/>
          <w:highlight w:val="none"/>
          <w:lang w:eastAsia="ar-SA"/>
        </w:rPr>
        <w:t>。货物符合国家标准的，鉴定费由甲方承担；货物不符合国家标准的，鉴定费由乙方承担。</w:t>
      </w:r>
    </w:p>
    <w:p w14:paraId="3CFA75AD">
      <w:pPr>
        <w:snapToGrid w:val="0"/>
        <w:spacing w:line="360" w:lineRule="exact"/>
        <w:ind w:firstLine="420" w:firstLineChars="200"/>
        <w:rPr>
          <w:rFonts w:ascii="宋体" w:hAnsi="宋体"/>
          <w:color w:val="000000"/>
          <w:szCs w:val="21"/>
          <w:highlight w:val="none"/>
        </w:rPr>
      </w:pPr>
      <w:r>
        <w:rPr>
          <w:rFonts w:hint="eastAsia" w:ascii="宋体" w:hAnsi="宋体" w:cs="宋体"/>
          <w:color w:val="000000"/>
          <w:kern w:val="1"/>
          <w:szCs w:val="21"/>
          <w:highlight w:val="none"/>
          <w:lang w:eastAsia="ar-SA"/>
        </w:rPr>
        <w:t>2. 因履行本合同引起的或与本合同有关的争议，甲乙双方应首先通过友好协商解决，如果协商不能解决，可向甲方所在地人民法院提起诉讼。</w:t>
      </w:r>
      <w:r>
        <w:rPr>
          <w:rFonts w:hint="eastAsia" w:ascii="宋体" w:hAnsi="宋体"/>
          <w:color w:val="000000"/>
          <w:szCs w:val="21"/>
          <w:highlight w:val="none"/>
        </w:rPr>
        <w:t>守约方为主张权利而产生的律师费、保全费、保函费、鉴定费、公告费、公证费等由违约方承担。</w:t>
      </w:r>
    </w:p>
    <w:p w14:paraId="2B87312F">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3. 诉讼期间，本合同继续履行。</w:t>
      </w:r>
    </w:p>
    <w:p w14:paraId="77F87509">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第十七条 合同生效及其它</w:t>
      </w:r>
    </w:p>
    <w:p w14:paraId="5C81354D">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1.合同履行地点为：</w:t>
      </w:r>
      <w:r>
        <w:rPr>
          <w:rFonts w:hint="eastAsia" w:ascii="宋体" w:hAnsi="宋体" w:cs="宋体"/>
          <w:color w:val="000000"/>
          <w:kern w:val="1"/>
          <w:szCs w:val="21"/>
          <w:highlight w:val="none"/>
          <w:u w:val="single"/>
        </w:rPr>
        <w:t>广西制造工程职业技术学院</w:t>
      </w:r>
      <w:r>
        <w:rPr>
          <w:rFonts w:hint="eastAsia" w:ascii="宋体" w:hAnsi="宋体" w:cs="宋体"/>
          <w:color w:val="000000"/>
          <w:kern w:val="1"/>
          <w:szCs w:val="21"/>
          <w:highlight w:val="none"/>
          <w:lang w:eastAsia="ar-SA"/>
        </w:rPr>
        <w:t>；合同履行的方式：</w:t>
      </w:r>
      <w:r>
        <w:rPr>
          <w:rFonts w:hint="eastAsia" w:ascii="宋体" w:hAnsi="宋体" w:cs="宋体"/>
          <w:color w:val="000000"/>
          <w:kern w:val="1"/>
          <w:szCs w:val="21"/>
          <w:highlight w:val="none"/>
          <w:u w:val="single"/>
          <w:lang w:eastAsia="ar-SA"/>
        </w:rPr>
        <w:t>按照本合同约定</w:t>
      </w:r>
      <w:r>
        <w:rPr>
          <w:rFonts w:hint="eastAsia" w:ascii="宋体" w:hAnsi="宋体" w:cs="宋体"/>
          <w:color w:val="000000"/>
          <w:kern w:val="1"/>
          <w:szCs w:val="21"/>
          <w:highlight w:val="none"/>
          <w:lang w:eastAsia="ar-SA"/>
        </w:rPr>
        <w:t>。</w:t>
      </w:r>
    </w:p>
    <w:p w14:paraId="717EF408">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2.合同经双方</w:t>
      </w:r>
      <w:r>
        <w:rPr>
          <w:rFonts w:hint="eastAsia" w:ascii="宋体" w:hAnsi="宋体" w:cs="宋体"/>
          <w:color w:val="000000"/>
          <w:kern w:val="1"/>
          <w:szCs w:val="21"/>
          <w:highlight w:val="none"/>
        </w:rPr>
        <w:t>法定代表人（或负责人）</w:t>
      </w:r>
      <w:r>
        <w:rPr>
          <w:rFonts w:hint="eastAsia" w:ascii="宋体" w:hAnsi="宋体" w:cs="宋体"/>
          <w:color w:val="000000"/>
          <w:kern w:val="1"/>
          <w:szCs w:val="21"/>
          <w:highlight w:val="none"/>
          <w:lang w:eastAsia="ar-SA"/>
        </w:rPr>
        <w:t>或授权代表签字并加盖单位公章后生效。</w:t>
      </w:r>
    </w:p>
    <w:p w14:paraId="59257C13">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3.</w:t>
      </w:r>
      <w:r>
        <w:rPr>
          <w:rFonts w:hint="eastAsia" w:ascii="宋体" w:hAnsi="宋体" w:cs="宋体"/>
          <w:color w:val="000000"/>
          <w:szCs w:val="21"/>
          <w:highlight w:val="none"/>
        </w:rPr>
        <w:t>合同执行中涉及采购内容修改或补充的，按政府采购相关规定要求签订书面补充协议，并作为主合同不可分割的一部分</w:t>
      </w:r>
      <w:r>
        <w:rPr>
          <w:rFonts w:hint="eastAsia" w:ascii="宋体" w:hAnsi="宋体" w:cs="宋体"/>
          <w:color w:val="000000"/>
          <w:kern w:val="1"/>
          <w:szCs w:val="21"/>
          <w:highlight w:val="none"/>
          <w:lang w:eastAsia="ar-SA"/>
        </w:rPr>
        <w:t>。</w:t>
      </w:r>
    </w:p>
    <w:p w14:paraId="32D26915">
      <w:pPr>
        <w:suppressAutoHyphens/>
        <w:snapToGrid w:val="0"/>
        <w:spacing w:line="480" w:lineRule="exact"/>
        <w:ind w:firstLine="420" w:firstLineChars="200"/>
        <w:rPr>
          <w:rFonts w:hint="eastAsia"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4.本合同未尽事宜，遵照《</w:t>
      </w:r>
      <w:r>
        <w:rPr>
          <w:rFonts w:hint="eastAsia" w:ascii="宋体" w:hAnsi="宋体" w:cs="宋体"/>
          <w:color w:val="000000"/>
          <w:kern w:val="1"/>
          <w:szCs w:val="21"/>
          <w:highlight w:val="none"/>
        </w:rPr>
        <w:t>中华人民共和国民法典</w:t>
      </w:r>
      <w:r>
        <w:rPr>
          <w:rFonts w:hint="eastAsia" w:ascii="宋体" w:hAnsi="宋体" w:cs="宋体"/>
          <w:color w:val="000000"/>
          <w:kern w:val="1"/>
          <w:szCs w:val="21"/>
          <w:highlight w:val="none"/>
          <w:lang w:eastAsia="ar-SA"/>
        </w:rPr>
        <w:t>》有关条文执行。</w:t>
      </w:r>
    </w:p>
    <w:p w14:paraId="179ABC80">
      <w:pPr>
        <w:snapToGrid w:val="0"/>
        <w:spacing w:line="480" w:lineRule="exact"/>
        <w:ind w:firstLine="420" w:firstLineChars="200"/>
        <w:rPr>
          <w:rFonts w:hint="eastAsia" w:ascii="宋体" w:hAnsi="宋体" w:cs="宋体"/>
          <w:color w:val="000000"/>
          <w:kern w:val="1"/>
          <w:szCs w:val="21"/>
          <w:highlight w:val="none"/>
          <w:lang w:eastAsia="ar-SA"/>
        </w:rPr>
      </w:pPr>
      <w:r>
        <w:rPr>
          <w:rFonts w:hint="eastAsia" w:ascii="宋体" w:hAnsi="宋体" w:cs="宋体"/>
          <w:szCs w:val="21"/>
          <w:highlight w:val="none"/>
          <w:lang w:val="en-US" w:eastAsia="zh-CN"/>
        </w:rPr>
        <w:t>5</w:t>
      </w:r>
      <w:r>
        <w:rPr>
          <w:rFonts w:hint="eastAsia" w:ascii="宋体" w:hAnsi="宋体" w:cs="宋体"/>
          <w:szCs w:val="21"/>
          <w:highlight w:val="none"/>
          <w:lang w:val="en-US" w:eastAsia="zh-CN"/>
        </w:rPr>
        <w:t>.</w:t>
      </w:r>
      <w:r>
        <w:rPr>
          <w:rFonts w:hint="eastAsia" w:ascii="宋体" w:hAnsi="宋体" w:cs="宋体"/>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w:t>
      </w:r>
      <w:r>
        <w:rPr>
          <w:rFonts w:hint="eastAsia" w:ascii="宋体" w:hAnsi="宋体" w:cs="宋体"/>
          <w:szCs w:val="21"/>
          <w:highlight w:val="none"/>
          <w:u w:val="single"/>
          <w:lang w:val="en-US" w:eastAsia="zh-CN"/>
        </w:rPr>
        <w:t>7</w:t>
      </w:r>
      <w:r>
        <w:rPr>
          <w:rFonts w:hint="eastAsia" w:ascii="宋体" w:hAnsi="宋体" w:cs="宋体"/>
          <w:szCs w:val="21"/>
          <w:highlight w:val="none"/>
        </w:rPr>
        <w:t>个工作日书面通知对方。因提供或者确认的通讯地址不准确、通讯地址变更后未及时依程序告知对方或受送达方拒绝签收等原因，导致文书未能被实际接收的，邮寄送达的，以文书退回之日视为送达之日。</w:t>
      </w:r>
    </w:p>
    <w:p w14:paraId="7E128175">
      <w:pPr>
        <w:snapToGrid w:val="0"/>
        <w:spacing w:line="48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第十八条 合同的变更、终止与转让</w:t>
      </w:r>
    </w:p>
    <w:p w14:paraId="7FD331F2">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1.本合同一经签订，甲乙双方不得擅自变更、中止或终止。</w:t>
      </w:r>
    </w:p>
    <w:p w14:paraId="472F1F69">
      <w:pPr>
        <w:suppressAutoHyphens/>
        <w:snapToGrid w:val="0"/>
        <w:spacing w:line="480" w:lineRule="exact"/>
        <w:ind w:firstLine="420" w:firstLineChars="200"/>
        <w:rPr>
          <w:rFonts w:ascii="宋体" w:hAnsi="宋体" w:cs="宋体"/>
          <w:color w:val="000000"/>
          <w:kern w:val="1"/>
          <w:szCs w:val="21"/>
          <w:highlight w:val="none"/>
          <w:lang w:eastAsia="ar-SA"/>
        </w:rPr>
      </w:pPr>
      <w:r>
        <w:rPr>
          <w:rFonts w:hint="eastAsia" w:ascii="宋体" w:hAnsi="宋体" w:cs="宋体"/>
          <w:color w:val="000000"/>
          <w:kern w:val="1"/>
          <w:szCs w:val="21"/>
          <w:highlight w:val="none"/>
          <w:lang w:eastAsia="ar-SA"/>
        </w:rPr>
        <w:t>2.未经甲方书面同意，乙方不得擅自转让</w:t>
      </w:r>
      <w:r>
        <w:rPr>
          <w:rFonts w:hint="eastAsia" w:ascii="宋体" w:hAnsi="宋体" w:cs="宋体"/>
          <w:color w:val="000000"/>
          <w:kern w:val="1"/>
          <w:szCs w:val="21"/>
          <w:highlight w:val="none"/>
          <w:lang w:eastAsia="zh-Hans"/>
        </w:rPr>
        <w:t>、分包</w:t>
      </w:r>
      <w:r>
        <w:rPr>
          <w:rFonts w:hint="eastAsia" w:ascii="宋体" w:hAnsi="宋体" w:cs="宋体"/>
          <w:color w:val="000000"/>
          <w:kern w:val="1"/>
          <w:szCs w:val="21"/>
          <w:highlight w:val="none"/>
          <w:lang w:eastAsia="ar-SA"/>
        </w:rPr>
        <w:t>（无进口资格的乙方委托进口货物除外）其应履行的合同义务。</w:t>
      </w:r>
    </w:p>
    <w:p w14:paraId="6E5A061B">
      <w:pPr>
        <w:spacing w:line="480" w:lineRule="exact"/>
        <w:ind w:firstLine="422" w:firstLineChars="200"/>
        <w:rPr>
          <w:rFonts w:ascii="宋体" w:hAnsi="宋体" w:cs="宋体"/>
          <w:b/>
          <w:color w:val="000000"/>
          <w:kern w:val="1"/>
          <w:szCs w:val="21"/>
          <w:highlight w:val="none"/>
        </w:rPr>
      </w:pPr>
      <w:r>
        <w:rPr>
          <w:rFonts w:hint="eastAsia" w:ascii="宋体" w:hAnsi="宋体" w:cs="宋体"/>
          <w:b/>
          <w:color w:val="000000"/>
          <w:kern w:val="1"/>
          <w:szCs w:val="21"/>
          <w:highlight w:val="none"/>
          <w:lang w:eastAsia="ar-SA"/>
        </w:rPr>
        <w:t>第十九条 签订本合同依据</w:t>
      </w:r>
    </w:p>
    <w:p w14:paraId="1A7843B1">
      <w:pPr>
        <w:spacing w:line="48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1</w:t>
      </w:r>
      <w:r>
        <w:rPr>
          <w:rFonts w:hint="eastAsia" w:ascii="宋体" w:hAnsi="宋体" w:cs="宋体"/>
          <w:color w:val="000000"/>
          <w:kern w:val="1"/>
          <w:szCs w:val="21"/>
          <w:highlight w:val="none"/>
          <w:lang w:eastAsia="ar-SA"/>
        </w:rPr>
        <w:t>.</w:t>
      </w:r>
      <w:r>
        <w:rPr>
          <w:rFonts w:hint="eastAsia" w:ascii="宋体" w:hAnsi="宋体" w:cs="宋体"/>
          <w:color w:val="000000"/>
          <w:kern w:val="1"/>
          <w:szCs w:val="21"/>
          <w:highlight w:val="none"/>
        </w:rPr>
        <w:t>招标</w:t>
      </w:r>
      <w:r>
        <w:rPr>
          <w:rFonts w:hint="eastAsia" w:ascii="宋体" w:hAnsi="宋体" w:cs="宋体"/>
          <w:color w:val="000000"/>
          <w:kern w:val="1"/>
          <w:szCs w:val="21"/>
          <w:highlight w:val="none"/>
          <w:lang w:eastAsia="ar-SA"/>
        </w:rPr>
        <w:t>文件；</w:t>
      </w:r>
    </w:p>
    <w:p w14:paraId="167D8AC5">
      <w:pPr>
        <w:suppressAutoHyphens/>
        <w:spacing w:line="480" w:lineRule="exact"/>
        <w:ind w:firstLine="420" w:firstLineChars="200"/>
        <w:rPr>
          <w:rFonts w:ascii="宋体" w:hAnsi="宋体" w:cs="宋体"/>
          <w:color w:val="000000"/>
          <w:kern w:val="1"/>
          <w:szCs w:val="21"/>
          <w:highlight w:val="none"/>
        </w:rPr>
      </w:pPr>
      <w:r>
        <w:rPr>
          <w:rFonts w:hint="eastAsia" w:ascii="宋体" w:hAnsi="宋体" w:cs="宋体"/>
          <w:color w:val="000000"/>
          <w:kern w:val="1"/>
          <w:szCs w:val="21"/>
          <w:highlight w:val="none"/>
        </w:rPr>
        <w:t>2</w:t>
      </w:r>
      <w:r>
        <w:rPr>
          <w:rFonts w:hint="eastAsia" w:ascii="宋体" w:hAnsi="宋体" w:cs="宋体"/>
          <w:color w:val="000000"/>
          <w:kern w:val="1"/>
          <w:szCs w:val="21"/>
          <w:highlight w:val="none"/>
          <w:lang w:eastAsia="ar-SA"/>
        </w:rPr>
        <w:t>.乙方提供的投标文件</w:t>
      </w:r>
      <w:r>
        <w:rPr>
          <w:rFonts w:hint="eastAsia" w:ascii="宋体" w:hAnsi="宋体" w:cs="宋体"/>
          <w:color w:val="000000"/>
          <w:kern w:val="1"/>
          <w:szCs w:val="21"/>
          <w:highlight w:val="none"/>
        </w:rPr>
        <w:t>；</w:t>
      </w:r>
    </w:p>
    <w:p w14:paraId="5967E264">
      <w:pPr>
        <w:suppressAutoHyphens/>
        <w:spacing w:line="480" w:lineRule="exact"/>
        <w:ind w:firstLine="420" w:firstLineChars="200"/>
        <w:rPr>
          <w:rFonts w:ascii="宋体" w:hAnsi="宋体" w:cs="宋体"/>
          <w:color w:val="000000"/>
          <w:kern w:val="1"/>
          <w:szCs w:val="21"/>
          <w:highlight w:val="none"/>
        </w:rPr>
      </w:pPr>
      <w:r>
        <w:rPr>
          <w:rFonts w:hint="eastAsia" w:ascii="宋体" w:hAnsi="宋体" w:cs="宋体"/>
          <w:color w:val="000000"/>
          <w:kern w:val="1"/>
          <w:szCs w:val="21"/>
          <w:highlight w:val="none"/>
        </w:rPr>
        <w:t>3</w:t>
      </w:r>
      <w:r>
        <w:rPr>
          <w:rFonts w:hint="eastAsia" w:ascii="宋体" w:hAnsi="宋体" w:cs="宋体"/>
          <w:color w:val="000000"/>
          <w:kern w:val="1"/>
          <w:szCs w:val="21"/>
          <w:highlight w:val="none"/>
          <w:lang w:eastAsia="ar-SA"/>
        </w:rPr>
        <w:t>.中标通知书</w:t>
      </w:r>
      <w:r>
        <w:rPr>
          <w:rFonts w:hint="eastAsia" w:ascii="宋体" w:hAnsi="宋体" w:cs="宋体"/>
          <w:color w:val="000000"/>
          <w:kern w:val="1"/>
          <w:szCs w:val="21"/>
          <w:highlight w:val="none"/>
        </w:rPr>
        <w:t>。</w:t>
      </w:r>
    </w:p>
    <w:p w14:paraId="62EDE72E">
      <w:pPr>
        <w:snapToGrid w:val="0"/>
        <w:spacing w:line="480" w:lineRule="exact"/>
        <w:ind w:firstLine="422" w:firstLineChars="200"/>
        <w:rPr>
          <w:rFonts w:ascii="宋体" w:hAnsi="宋体" w:cs="宋体"/>
          <w:color w:val="000000"/>
          <w:kern w:val="1"/>
          <w:szCs w:val="21"/>
          <w:highlight w:val="none"/>
          <w:lang w:eastAsia="ar-SA"/>
        </w:rPr>
      </w:pPr>
      <w:r>
        <w:rPr>
          <w:rFonts w:hint="eastAsia" w:ascii="宋体" w:hAnsi="宋体" w:cs="宋体"/>
          <w:b/>
          <w:color w:val="000000"/>
          <w:szCs w:val="21"/>
          <w:highlight w:val="none"/>
        </w:rPr>
        <w:t xml:space="preserve">第二十条 </w:t>
      </w:r>
      <w:r>
        <w:rPr>
          <w:rFonts w:hint="eastAsia" w:ascii="宋体" w:hAnsi="宋体" w:cs="宋体"/>
          <w:color w:val="000000"/>
          <w:kern w:val="1"/>
          <w:szCs w:val="21"/>
          <w:highlight w:val="none"/>
          <w:lang w:eastAsia="ar-SA"/>
        </w:rPr>
        <w:t>本合同一式</w:t>
      </w:r>
      <w:r>
        <w:rPr>
          <w:rFonts w:hint="eastAsia" w:ascii="宋体" w:hAnsi="宋体" w:cs="宋体"/>
          <w:color w:val="000000"/>
          <w:kern w:val="1"/>
          <w:szCs w:val="21"/>
          <w:highlight w:val="none"/>
          <w:lang w:val="en-US" w:eastAsia="zh-CN"/>
        </w:rPr>
        <w:t>玖</w:t>
      </w:r>
      <w:r>
        <w:rPr>
          <w:rFonts w:hint="eastAsia" w:ascii="宋体" w:hAnsi="宋体" w:cs="宋体"/>
          <w:color w:val="000000"/>
          <w:kern w:val="1"/>
          <w:szCs w:val="21"/>
          <w:highlight w:val="none"/>
          <w:lang w:eastAsia="ar-SA"/>
        </w:rPr>
        <w:t>份，具有同等法律效力。甲方</w:t>
      </w:r>
      <w:r>
        <w:rPr>
          <w:rFonts w:hint="eastAsia" w:ascii="宋体" w:hAnsi="宋体" w:cs="宋体"/>
          <w:color w:val="000000"/>
          <w:kern w:val="1"/>
          <w:szCs w:val="21"/>
          <w:highlight w:val="none"/>
          <w:lang w:val="en-US" w:eastAsia="zh-CN"/>
        </w:rPr>
        <w:t>伍</w:t>
      </w:r>
      <w:r>
        <w:rPr>
          <w:rFonts w:hint="eastAsia" w:ascii="宋体" w:hAnsi="宋体" w:cs="宋体"/>
          <w:color w:val="000000"/>
          <w:kern w:val="1"/>
          <w:szCs w:val="21"/>
          <w:highlight w:val="none"/>
          <w:lang w:eastAsia="ar-SA"/>
        </w:rPr>
        <w:t>份，乙方</w:t>
      </w:r>
      <w:r>
        <w:rPr>
          <w:rFonts w:hint="eastAsia" w:ascii="宋体" w:hAnsi="宋体" w:cs="宋体"/>
          <w:color w:val="000000"/>
          <w:kern w:val="1"/>
          <w:szCs w:val="21"/>
          <w:highlight w:val="none"/>
        </w:rPr>
        <w:t>贰</w:t>
      </w:r>
      <w:r>
        <w:rPr>
          <w:rFonts w:hint="eastAsia" w:ascii="宋体" w:hAnsi="宋体" w:cs="宋体"/>
          <w:color w:val="000000"/>
          <w:kern w:val="1"/>
          <w:szCs w:val="21"/>
          <w:highlight w:val="none"/>
          <w:lang w:eastAsia="ar-SA"/>
        </w:rPr>
        <w:t>份，采购代理机构</w:t>
      </w:r>
      <w:r>
        <w:rPr>
          <w:rFonts w:hint="eastAsia" w:ascii="宋体" w:hAnsi="宋体" w:cs="宋体"/>
          <w:color w:val="000000"/>
          <w:kern w:val="1"/>
          <w:szCs w:val="21"/>
          <w:highlight w:val="none"/>
        </w:rPr>
        <w:t>贰</w:t>
      </w:r>
      <w:r>
        <w:rPr>
          <w:rFonts w:hint="eastAsia" w:ascii="宋体" w:hAnsi="宋体" w:cs="宋体"/>
          <w:color w:val="000000"/>
          <w:kern w:val="1"/>
          <w:szCs w:val="21"/>
          <w:highlight w:val="none"/>
          <w:lang w:eastAsia="ar-SA"/>
        </w:rPr>
        <w:t>份</w:t>
      </w:r>
      <w:r>
        <w:rPr>
          <w:rFonts w:hint="eastAsia" w:ascii="宋体" w:hAnsi="宋体" w:cs="宋体"/>
          <w:color w:val="000000"/>
          <w:kern w:val="1"/>
          <w:szCs w:val="21"/>
          <w:highlight w:val="none"/>
        </w:rPr>
        <w:t>，本合同经甲乙双方法定代表人（或负责人）或授权代表签字并加盖单位公章后生效</w:t>
      </w:r>
      <w:r>
        <w:rPr>
          <w:rFonts w:hint="eastAsia" w:ascii="宋体" w:hAnsi="宋体" w:cs="宋体"/>
          <w:color w:val="000000"/>
          <w:kern w:val="1"/>
          <w:szCs w:val="21"/>
          <w:highlight w:val="none"/>
          <w:lang w:eastAsia="ar-SA"/>
        </w:rPr>
        <w:t>。合同附件是合同的不可分割的组成部分，与合同具有同等法律效力。</w:t>
      </w:r>
    </w:p>
    <w:tbl>
      <w:tblPr>
        <w:tblStyle w:val="48"/>
        <w:tblW w:w="87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7D9B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360" w:type="dxa"/>
            <w:vAlign w:val="center"/>
          </w:tcPr>
          <w:p w14:paraId="13BBA9B0">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 xml:space="preserve">甲方（章）广西制造工程职业技术学院 </w:t>
            </w:r>
          </w:p>
          <w:p w14:paraId="55FDD1C5">
            <w:pPr>
              <w:snapToGrid w:val="0"/>
              <w:spacing w:line="480" w:lineRule="exact"/>
              <w:rPr>
                <w:rFonts w:ascii="宋体" w:hAnsi="宋体" w:cs="宋体"/>
                <w:color w:val="000000"/>
                <w:szCs w:val="21"/>
                <w:highlight w:val="none"/>
              </w:rPr>
            </w:pPr>
          </w:p>
          <w:p w14:paraId="606A0CFB">
            <w:pPr>
              <w:snapToGrid w:val="0"/>
              <w:spacing w:line="480" w:lineRule="exact"/>
              <w:ind w:firstLine="945" w:firstLineChars="450"/>
              <w:jc w:val="right"/>
              <w:rPr>
                <w:rFonts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年   月   日</w:t>
            </w:r>
          </w:p>
        </w:tc>
        <w:tc>
          <w:tcPr>
            <w:tcW w:w="4360" w:type="dxa"/>
            <w:vAlign w:val="center"/>
          </w:tcPr>
          <w:p w14:paraId="5C0057BC">
            <w:pPr>
              <w:snapToGrid w:val="0"/>
              <w:spacing w:line="480" w:lineRule="exact"/>
              <w:rPr>
                <w:rFonts w:ascii="宋体" w:hAnsi="宋体" w:cs="宋体"/>
                <w:color w:val="000000"/>
                <w:szCs w:val="21"/>
                <w:highlight w:val="none"/>
              </w:rPr>
            </w:pPr>
            <w:r>
              <w:rPr>
                <w:rFonts w:hint="eastAsia" w:ascii="宋体" w:hAnsi="宋体" w:cs="宋体"/>
                <w:color w:val="000000"/>
                <w:szCs w:val="21"/>
                <w:highlight w:val="none"/>
              </w:rPr>
              <w:t xml:space="preserve">乙方（章）               </w:t>
            </w:r>
          </w:p>
          <w:p w14:paraId="1FB1626C">
            <w:pPr>
              <w:snapToGrid w:val="0"/>
              <w:spacing w:line="480" w:lineRule="exact"/>
              <w:rPr>
                <w:rFonts w:ascii="宋体" w:hAnsi="宋体" w:cs="宋体"/>
                <w:color w:val="000000"/>
                <w:szCs w:val="21"/>
                <w:highlight w:val="none"/>
              </w:rPr>
            </w:pPr>
          </w:p>
          <w:p w14:paraId="19C21440">
            <w:pPr>
              <w:snapToGrid w:val="0"/>
              <w:spacing w:line="48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 20</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年   月   日</w:t>
            </w:r>
          </w:p>
        </w:tc>
      </w:tr>
      <w:tr w14:paraId="5080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vAlign w:val="center"/>
          </w:tcPr>
          <w:p w14:paraId="4CD7B6A3">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单位地址：广西南宁市武鸣区（广西—东盟经济技术开发区）宝源南路29号</w:t>
            </w:r>
          </w:p>
        </w:tc>
        <w:tc>
          <w:tcPr>
            <w:tcW w:w="4360" w:type="dxa"/>
            <w:vAlign w:val="center"/>
          </w:tcPr>
          <w:p w14:paraId="39E6325A">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单位地址：</w:t>
            </w:r>
          </w:p>
        </w:tc>
      </w:tr>
      <w:tr w14:paraId="29AA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4360" w:type="dxa"/>
            <w:vAlign w:val="center"/>
          </w:tcPr>
          <w:p w14:paraId="73B908B7">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法定代表人或委托代理人：</w:t>
            </w:r>
          </w:p>
        </w:tc>
        <w:tc>
          <w:tcPr>
            <w:tcW w:w="4360" w:type="dxa"/>
            <w:vAlign w:val="center"/>
          </w:tcPr>
          <w:p w14:paraId="64DBA4FB">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法定代表人或委托代理人：</w:t>
            </w:r>
          </w:p>
        </w:tc>
      </w:tr>
      <w:tr w14:paraId="4FFD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vAlign w:val="center"/>
          </w:tcPr>
          <w:p w14:paraId="4268FA0C">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电话：</w:t>
            </w:r>
          </w:p>
        </w:tc>
        <w:tc>
          <w:tcPr>
            <w:tcW w:w="4360" w:type="dxa"/>
            <w:vAlign w:val="center"/>
          </w:tcPr>
          <w:p w14:paraId="53C39325">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电话：</w:t>
            </w:r>
          </w:p>
        </w:tc>
      </w:tr>
      <w:tr w14:paraId="3DA1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360" w:type="dxa"/>
            <w:vAlign w:val="center"/>
          </w:tcPr>
          <w:p w14:paraId="55904A2F">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电子邮箱：</w:t>
            </w:r>
          </w:p>
        </w:tc>
        <w:tc>
          <w:tcPr>
            <w:tcW w:w="4360" w:type="dxa"/>
            <w:vAlign w:val="center"/>
          </w:tcPr>
          <w:p w14:paraId="5EB7CAAC">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电子邮箱：</w:t>
            </w:r>
          </w:p>
        </w:tc>
      </w:tr>
      <w:tr w14:paraId="5475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360" w:type="dxa"/>
            <w:vAlign w:val="center"/>
          </w:tcPr>
          <w:p w14:paraId="0C7B83E5">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开户银行：</w:t>
            </w:r>
          </w:p>
        </w:tc>
        <w:tc>
          <w:tcPr>
            <w:tcW w:w="4360" w:type="dxa"/>
            <w:vAlign w:val="center"/>
          </w:tcPr>
          <w:p w14:paraId="6276BDE0">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开户银行：</w:t>
            </w:r>
          </w:p>
        </w:tc>
      </w:tr>
      <w:tr w14:paraId="0E4A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360" w:type="dxa"/>
            <w:vAlign w:val="center"/>
          </w:tcPr>
          <w:p w14:paraId="1B91B15A">
            <w:pPr>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账号：</w:t>
            </w:r>
          </w:p>
        </w:tc>
        <w:tc>
          <w:tcPr>
            <w:tcW w:w="4360" w:type="dxa"/>
            <w:vAlign w:val="center"/>
          </w:tcPr>
          <w:p w14:paraId="0DAC1D4C">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账号：</w:t>
            </w:r>
          </w:p>
        </w:tc>
      </w:tr>
      <w:tr w14:paraId="1766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360" w:type="dxa"/>
            <w:vAlign w:val="center"/>
          </w:tcPr>
          <w:p w14:paraId="065B70A2">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纳税人识别号或统一社会信用代码：12450000MB1G8284XL</w:t>
            </w:r>
          </w:p>
        </w:tc>
        <w:tc>
          <w:tcPr>
            <w:tcW w:w="4360" w:type="dxa"/>
            <w:vAlign w:val="center"/>
          </w:tcPr>
          <w:p w14:paraId="64457C72">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纳税人识别号或统一社会信用代码：</w:t>
            </w:r>
          </w:p>
          <w:p w14:paraId="07A2E6D5">
            <w:pPr>
              <w:snapToGrid w:val="0"/>
              <w:spacing w:line="480" w:lineRule="exact"/>
              <w:jc w:val="left"/>
              <w:rPr>
                <w:rFonts w:ascii="宋体" w:hAnsi="宋体" w:cs="宋体"/>
                <w:color w:val="000000"/>
                <w:szCs w:val="21"/>
                <w:highlight w:val="none"/>
              </w:rPr>
            </w:pPr>
          </w:p>
        </w:tc>
      </w:tr>
      <w:tr w14:paraId="768B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4360" w:type="dxa"/>
            <w:vAlign w:val="center"/>
          </w:tcPr>
          <w:p w14:paraId="436DC985">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邮政编码：530105</w:t>
            </w:r>
          </w:p>
        </w:tc>
        <w:tc>
          <w:tcPr>
            <w:tcW w:w="4360" w:type="dxa"/>
            <w:vAlign w:val="center"/>
          </w:tcPr>
          <w:p w14:paraId="1CB82CC2">
            <w:pPr>
              <w:snapToGrid w:val="0"/>
              <w:spacing w:line="480" w:lineRule="exact"/>
              <w:jc w:val="left"/>
              <w:rPr>
                <w:rFonts w:ascii="宋体" w:hAnsi="宋体" w:cs="宋体"/>
                <w:color w:val="000000"/>
                <w:szCs w:val="21"/>
                <w:highlight w:val="none"/>
              </w:rPr>
            </w:pPr>
            <w:r>
              <w:rPr>
                <w:rFonts w:hint="eastAsia" w:ascii="宋体" w:hAnsi="宋体" w:cs="宋体"/>
                <w:color w:val="000000"/>
                <w:szCs w:val="21"/>
                <w:highlight w:val="none"/>
              </w:rPr>
              <w:t>邮政编码：</w:t>
            </w:r>
          </w:p>
        </w:tc>
      </w:tr>
    </w:tbl>
    <w:p w14:paraId="4CDA2A66">
      <w:pPr>
        <w:snapToGrid w:val="0"/>
        <w:spacing w:line="360" w:lineRule="auto"/>
        <w:ind w:left="420" w:hanging="420" w:hangingChars="200"/>
        <w:rPr>
          <w:rFonts w:ascii="宋体" w:hAnsi="宋体"/>
          <w:color w:val="000000"/>
          <w:szCs w:val="21"/>
          <w:highlight w:val="none"/>
        </w:rPr>
      </w:pPr>
    </w:p>
    <w:p w14:paraId="4678D42B">
      <w:pPr>
        <w:snapToGrid w:val="0"/>
        <w:spacing w:line="360" w:lineRule="auto"/>
        <w:jc w:val="center"/>
        <w:rPr>
          <w:rFonts w:ascii="宋体" w:hAnsi="宋体"/>
          <w:bCs/>
          <w:color w:val="000000"/>
          <w:sz w:val="32"/>
          <w:szCs w:val="32"/>
          <w:highlight w:val="none"/>
        </w:rPr>
      </w:pPr>
      <w:r>
        <w:rPr>
          <w:rFonts w:ascii="宋体" w:hAnsi="宋体"/>
          <w:b/>
          <w:color w:val="000000"/>
          <w:szCs w:val="21"/>
          <w:highlight w:val="none"/>
        </w:rPr>
        <w:br w:type="page"/>
      </w:r>
    </w:p>
    <w:bookmarkEnd w:id="147"/>
    <w:p w14:paraId="740599A8">
      <w:pPr>
        <w:snapToGrid w:val="0"/>
        <w:jc w:val="center"/>
        <w:rPr>
          <w:rFonts w:ascii="宋体" w:hAnsi="宋体"/>
          <w:bCs/>
          <w:color w:val="000000"/>
          <w:sz w:val="32"/>
          <w:szCs w:val="32"/>
          <w:highlight w:val="none"/>
        </w:rPr>
      </w:pPr>
    </w:p>
    <w:p w14:paraId="3DC3EC25">
      <w:pPr>
        <w:pStyle w:val="59"/>
        <w:rPr>
          <w:rFonts w:ascii="宋体" w:hAnsi="宋体"/>
          <w:bCs/>
          <w:sz w:val="32"/>
          <w:szCs w:val="32"/>
          <w:highlight w:val="none"/>
        </w:rPr>
      </w:pPr>
    </w:p>
    <w:p w14:paraId="0F797578">
      <w:pPr>
        <w:rPr>
          <w:highlight w:val="none"/>
        </w:rPr>
      </w:pPr>
    </w:p>
    <w:p w14:paraId="046F6931">
      <w:pPr>
        <w:snapToGrid w:val="0"/>
        <w:jc w:val="center"/>
        <w:rPr>
          <w:rFonts w:ascii="宋体" w:hAnsi="宋体"/>
          <w:bCs/>
          <w:color w:val="000000"/>
          <w:sz w:val="32"/>
          <w:szCs w:val="32"/>
          <w:highlight w:val="none"/>
        </w:rPr>
      </w:pPr>
    </w:p>
    <w:p w14:paraId="2A647DFC">
      <w:pPr>
        <w:snapToGrid w:val="0"/>
        <w:jc w:val="center"/>
        <w:rPr>
          <w:rFonts w:ascii="宋体" w:hAnsi="宋体"/>
          <w:bCs/>
          <w:color w:val="000000"/>
          <w:sz w:val="32"/>
          <w:szCs w:val="32"/>
          <w:highlight w:val="none"/>
        </w:rPr>
      </w:pPr>
    </w:p>
    <w:p w14:paraId="4F5F0FA5">
      <w:pPr>
        <w:snapToGrid w:val="0"/>
        <w:jc w:val="center"/>
        <w:rPr>
          <w:rFonts w:ascii="宋体" w:hAnsi="宋体"/>
          <w:bCs/>
          <w:color w:val="000000"/>
          <w:sz w:val="32"/>
          <w:szCs w:val="32"/>
          <w:highlight w:val="none"/>
        </w:rPr>
      </w:pPr>
    </w:p>
    <w:p w14:paraId="682E4B4F">
      <w:pPr>
        <w:snapToGrid w:val="0"/>
        <w:jc w:val="center"/>
        <w:rPr>
          <w:rFonts w:ascii="宋体" w:hAnsi="宋体"/>
          <w:bCs/>
          <w:color w:val="000000"/>
          <w:sz w:val="32"/>
          <w:szCs w:val="32"/>
          <w:highlight w:val="none"/>
        </w:rPr>
      </w:pPr>
    </w:p>
    <w:p w14:paraId="5E4D49B2">
      <w:pPr>
        <w:snapToGrid w:val="0"/>
        <w:jc w:val="center"/>
        <w:rPr>
          <w:rFonts w:ascii="宋体" w:hAnsi="宋体"/>
          <w:bCs/>
          <w:color w:val="000000"/>
          <w:sz w:val="32"/>
          <w:szCs w:val="32"/>
          <w:highlight w:val="none"/>
        </w:rPr>
      </w:pPr>
    </w:p>
    <w:p w14:paraId="4F3DBFBF">
      <w:pPr>
        <w:snapToGrid w:val="0"/>
        <w:jc w:val="center"/>
        <w:rPr>
          <w:rFonts w:ascii="宋体" w:hAnsi="宋体"/>
          <w:bCs/>
          <w:color w:val="000000"/>
          <w:sz w:val="32"/>
          <w:szCs w:val="32"/>
          <w:highlight w:val="none"/>
        </w:rPr>
      </w:pPr>
    </w:p>
    <w:p w14:paraId="7BDD5550">
      <w:pPr>
        <w:snapToGrid w:val="0"/>
        <w:jc w:val="center"/>
        <w:rPr>
          <w:rFonts w:ascii="宋体" w:hAnsi="宋体"/>
          <w:bCs/>
          <w:color w:val="000000"/>
          <w:sz w:val="32"/>
          <w:szCs w:val="32"/>
          <w:highlight w:val="none"/>
        </w:rPr>
      </w:pPr>
    </w:p>
    <w:p w14:paraId="4913062B">
      <w:pPr>
        <w:snapToGrid w:val="0"/>
        <w:jc w:val="center"/>
        <w:rPr>
          <w:rFonts w:ascii="宋体" w:hAnsi="宋体"/>
          <w:bCs/>
          <w:color w:val="000000"/>
          <w:sz w:val="32"/>
          <w:szCs w:val="32"/>
          <w:highlight w:val="none"/>
        </w:rPr>
      </w:pPr>
    </w:p>
    <w:p w14:paraId="2F220C17">
      <w:pPr>
        <w:snapToGrid w:val="0"/>
        <w:jc w:val="center"/>
        <w:rPr>
          <w:rFonts w:ascii="宋体" w:hAnsi="宋体"/>
          <w:bCs/>
          <w:color w:val="000000"/>
          <w:sz w:val="32"/>
          <w:szCs w:val="32"/>
          <w:highlight w:val="none"/>
        </w:rPr>
      </w:pPr>
    </w:p>
    <w:p w14:paraId="62DA4244">
      <w:pPr>
        <w:pStyle w:val="2"/>
        <w:jc w:val="center"/>
        <w:rPr>
          <w:color w:val="000000"/>
          <w:highlight w:val="none"/>
        </w:rPr>
      </w:pPr>
      <w:bookmarkStart w:id="152" w:name="_Toc74320805"/>
    </w:p>
    <w:p w14:paraId="434F1EE8">
      <w:pPr>
        <w:pStyle w:val="2"/>
        <w:jc w:val="center"/>
        <w:rPr>
          <w:color w:val="000000"/>
          <w:highlight w:val="none"/>
        </w:rPr>
      </w:pPr>
      <w:r>
        <w:rPr>
          <w:rFonts w:hint="eastAsia"/>
          <w:color w:val="000000"/>
          <w:highlight w:val="none"/>
        </w:rPr>
        <w:t>第六章　投标文件格式</w:t>
      </w:r>
      <w:bookmarkEnd w:id="152"/>
    </w:p>
    <w:p w14:paraId="4AEE988E">
      <w:pPr>
        <w:snapToGrid w:val="0"/>
        <w:spacing w:before="50" w:after="50"/>
        <w:outlineLvl w:val="1"/>
        <w:rPr>
          <w:rFonts w:ascii="宋体" w:hAnsi="宋体"/>
          <w:color w:val="000000"/>
          <w:sz w:val="32"/>
          <w:szCs w:val="20"/>
          <w:highlight w:val="none"/>
        </w:rPr>
      </w:pPr>
    </w:p>
    <w:p w14:paraId="53D7EC2E">
      <w:pPr>
        <w:snapToGrid w:val="0"/>
        <w:spacing w:before="50" w:after="50"/>
        <w:outlineLvl w:val="1"/>
        <w:rPr>
          <w:rFonts w:ascii="宋体" w:hAnsi="宋体"/>
          <w:color w:val="000000"/>
          <w:sz w:val="32"/>
          <w:szCs w:val="20"/>
          <w:highlight w:val="none"/>
        </w:rPr>
      </w:pPr>
    </w:p>
    <w:p w14:paraId="2379DFEF">
      <w:pPr>
        <w:snapToGrid w:val="0"/>
        <w:spacing w:before="50" w:after="50"/>
        <w:outlineLvl w:val="1"/>
        <w:rPr>
          <w:rFonts w:ascii="宋体" w:hAnsi="宋体"/>
          <w:color w:val="000000"/>
          <w:sz w:val="32"/>
          <w:szCs w:val="20"/>
          <w:highlight w:val="none"/>
        </w:rPr>
      </w:pPr>
    </w:p>
    <w:p w14:paraId="59891FBB">
      <w:pPr>
        <w:snapToGrid w:val="0"/>
        <w:spacing w:before="50" w:after="50"/>
        <w:outlineLvl w:val="1"/>
        <w:rPr>
          <w:rFonts w:ascii="宋体" w:hAnsi="宋体"/>
          <w:color w:val="000000"/>
          <w:sz w:val="32"/>
          <w:szCs w:val="20"/>
          <w:highlight w:val="none"/>
        </w:rPr>
      </w:pPr>
    </w:p>
    <w:p w14:paraId="201896F9">
      <w:pPr>
        <w:snapToGrid w:val="0"/>
        <w:spacing w:before="50" w:after="50"/>
        <w:outlineLvl w:val="1"/>
        <w:rPr>
          <w:rFonts w:ascii="宋体" w:hAnsi="宋体"/>
          <w:color w:val="000000"/>
          <w:sz w:val="32"/>
          <w:szCs w:val="20"/>
          <w:highlight w:val="none"/>
        </w:rPr>
      </w:pPr>
    </w:p>
    <w:p w14:paraId="60CBF015">
      <w:pPr>
        <w:snapToGrid w:val="0"/>
        <w:spacing w:before="50" w:after="50"/>
        <w:outlineLvl w:val="1"/>
        <w:rPr>
          <w:rFonts w:ascii="宋体" w:hAnsi="宋体"/>
          <w:color w:val="000000"/>
          <w:sz w:val="32"/>
          <w:szCs w:val="20"/>
          <w:highlight w:val="none"/>
        </w:rPr>
      </w:pPr>
    </w:p>
    <w:p w14:paraId="38284003">
      <w:pPr>
        <w:snapToGrid w:val="0"/>
        <w:spacing w:before="50" w:after="50"/>
        <w:outlineLvl w:val="1"/>
        <w:rPr>
          <w:rFonts w:ascii="宋体" w:hAnsi="宋体"/>
          <w:color w:val="000000"/>
          <w:sz w:val="32"/>
          <w:szCs w:val="20"/>
          <w:highlight w:val="none"/>
        </w:rPr>
      </w:pPr>
    </w:p>
    <w:p w14:paraId="312DEF47">
      <w:pPr>
        <w:snapToGrid w:val="0"/>
        <w:spacing w:before="50" w:after="50"/>
        <w:outlineLvl w:val="1"/>
        <w:rPr>
          <w:rFonts w:ascii="宋体" w:hAnsi="宋体"/>
          <w:color w:val="000000"/>
          <w:sz w:val="32"/>
          <w:szCs w:val="20"/>
          <w:highlight w:val="none"/>
        </w:rPr>
      </w:pPr>
    </w:p>
    <w:p w14:paraId="23288999">
      <w:pPr>
        <w:snapToGrid w:val="0"/>
        <w:spacing w:before="50" w:after="50"/>
        <w:outlineLvl w:val="1"/>
        <w:rPr>
          <w:rFonts w:ascii="宋体" w:hAnsi="宋体"/>
          <w:color w:val="000000"/>
          <w:sz w:val="32"/>
          <w:szCs w:val="20"/>
          <w:highlight w:val="none"/>
        </w:rPr>
      </w:pPr>
    </w:p>
    <w:p w14:paraId="77EC9FE5">
      <w:pPr>
        <w:snapToGrid w:val="0"/>
        <w:spacing w:before="50" w:after="50"/>
        <w:outlineLvl w:val="1"/>
        <w:rPr>
          <w:rFonts w:ascii="宋体" w:hAnsi="宋体"/>
          <w:color w:val="000000"/>
          <w:sz w:val="32"/>
          <w:szCs w:val="20"/>
          <w:highlight w:val="none"/>
        </w:rPr>
      </w:pPr>
    </w:p>
    <w:p w14:paraId="0729B0A3">
      <w:pPr>
        <w:snapToGrid w:val="0"/>
        <w:spacing w:before="120" w:beforeLines="50" w:after="50"/>
        <w:jc w:val="center"/>
        <w:outlineLvl w:val="1"/>
        <w:rPr>
          <w:rFonts w:ascii="宋体" w:hAnsi="宋体"/>
          <w:color w:val="000000"/>
          <w:highlight w:val="none"/>
        </w:rPr>
      </w:pPr>
    </w:p>
    <w:p w14:paraId="75640B9C">
      <w:pPr>
        <w:rPr>
          <w:b/>
          <w:color w:val="000000"/>
          <w:sz w:val="28"/>
          <w:szCs w:val="28"/>
          <w:highlight w:val="none"/>
        </w:rPr>
      </w:pPr>
      <w:bookmarkStart w:id="153" w:name="_Toc19686836"/>
      <w:bookmarkStart w:id="154" w:name="_Toc254970698"/>
      <w:bookmarkStart w:id="155" w:name="_Toc254970557"/>
      <w:r>
        <w:rPr>
          <w:rFonts w:hint="eastAsia"/>
          <w:b/>
          <w:color w:val="000000"/>
          <w:sz w:val="28"/>
          <w:szCs w:val="28"/>
          <w:highlight w:val="none"/>
        </w:rPr>
        <w:t>一、报价文件格式</w:t>
      </w:r>
      <w:bookmarkEnd w:id="153"/>
    </w:p>
    <w:p w14:paraId="4D92EBFE">
      <w:pPr>
        <w:snapToGrid w:val="0"/>
        <w:spacing w:before="120" w:beforeLines="50" w:after="50" w:line="360" w:lineRule="auto"/>
        <w:ind w:left="142"/>
        <w:jc w:val="left"/>
        <w:rPr>
          <w:rFonts w:ascii="宋体" w:hAnsi="宋体"/>
          <w:b/>
          <w:color w:val="000000"/>
          <w:sz w:val="24"/>
          <w:highlight w:val="none"/>
        </w:rPr>
      </w:pPr>
      <w:r>
        <w:rPr>
          <w:rFonts w:hint="eastAsia" w:ascii="宋体" w:hAnsi="宋体"/>
          <w:b/>
          <w:color w:val="000000"/>
          <w:sz w:val="24"/>
          <w:highlight w:val="none"/>
        </w:rPr>
        <w:t xml:space="preserve">1. 报价文件封面格式： </w:t>
      </w:r>
    </w:p>
    <w:p w14:paraId="0DE54741">
      <w:pPr>
        <w:snapToGrid w:val="0"/>
        <w:spacing w:before="120" w:beforeLines="50" w:after="50" w:line="360" w:lineRule="auto"/>
        <w:ind w:left="142"/>
        <w:jc w:val="center"/>
        <w:rPr>
          <w:rFonts w:ascii="宋体" w:hAnsi="宋体" w:eastAsia="仿宋"/>
          <w:bCs/>
          <w:color w:val="000000"/>
          <w:sz w:val="48"/>
          <w:szCs w:val="48"/>
          <w:highlight w:val="none"/>
        </w:rPr>
      </w:pPr>
      <w:r>
        <w:rPr>
          <w:rFonts w:hint="eastAsia" w:ascii="宋体" w:hAnsi="宋体" w:eastAsia="仿宋"/>
          <w:bCs/>
          <w:color w:val="000000"/>
          <w:sz w:val="48"/>
          <w:szCs w:val="48"/>
          <w:highlight w:val="none"/>
        </w:rPr>
        <w:t>电子投标文件</w:t>
      </w:r>
    </w:p>
    <w:p w14:paraId="7B03115D">
      <w:pPr>
        <w:snapToGrid w:val="0"/>
        <w:spacing w:before="120" w:beforeLines="50" w:after="50" w:line="400" w:lineRule="exact"/>
        <w:jc w:val="left"/>
        <w:rPr>
          <w:rFonts w:ascii="宋体" w:hAnsi="宋体" w:eastAsia="仿宋"/>
          <w:bCs/>
          <w:color w:val="000000"/>
          <w:sz w:val="48"/>
          <w:szCs w:val="48"/>
          <w:highlight w:val="none"/>
        </w:rPr>
      </w:pPr>
    </w:p>
    <w:p w14:paraId="533B8937">
      <w:pPr>
        <w:snapToGrid w:val="0"/>
        <w:spacing w:before="120" w:beforeLines="50" w:after="50" w:line="400" w:lineRule="exact"/>
        <w:jc w:val="center"/>
        <w:rPr>
          <w:rFonts w:ascii="仿宋" w:hAnsi="仿宋" w:eastAsia="仿宋" w:cs="仿宋"/>
          <w:color w:val="000000"/>
          <w:sz w:val="44"/>
          <w:szCs w:val="44"/>
          <w:highlight w:val="none"/>
        </w:rPr>
      </w:pPr>
      <w:r>
        <w:rPr>
          <w:rFonts w:hint="eastAsia" w:ascii="仿宋" w:hAnsi="仿宋" w:eastAsia="仿宋" w:cs="仿宋"/>
          <w:color w:val="000000"/>
          <w:sz w:val="44"/>
          <w:szCs w:val="44"/>
          <w:highlight w:val="none"/>
        </w:rPr>
        <w:t>报  价  文  件</w:t>
      </w:r>
    </w:p>
    <w:p w14:paraId="02CB269A">
      <w:pPr>
        <w:snapToGrid w:val="0"/>
        <w:spacing w:before="120" w:beforeLines="50" w:after="50" w:line="400" w:lineRule="exact"/>
        <w:rPr>
          <w:rFonts w:ascii="宋体" w:hAnsi="宋体"/>
          <w:bCs/>
          <w:color w:val="000000"/>
          <w:sz w:val="24"/>
          <w:szCs w:val="20"/>
          <w:highlight w:val="none"/>
        </w:rPr>
      </w:pPr>
    </w:p>
    <w:p w14:paraId="56D6480E">
      <w:pPr>
        <w:snapToGrid w:val="0"/>
        <w:spacing w:before="120" w:beforeLines="50" w:after="50" w:line="400" w:lineRule="exact"/>
        <w:rPr>
          <w:rFonts w:ascii="宋体" w:hAnsi="宋体"/>
          <w:bCs/>
          <w:color w:val="000000"/>
          <w:sz w:val="24"/>
          <w:szCs w:val="20"/>
          <w:highlight w:val="none"/>
        </w:rPr>
      </w:pPr>
    </w:p>
    <w:p w14:paraId="75C9024A">
      <w:pPr>
        <w:snapToGrid w:val="0"/>
        <w:spacing w:before="120" w:beforeLines="50" w:after="50" w:line="400" w:lineRule="exact"/>
        <w:rPr>
          <w:rFonts w:ascii="宋体" w:hAnsi="宋体"/>
          <w:bCs/>
          <w:color w:val="000000"/>
          <w:sz w:val="24"/>
          <w:szCs w:val="20"/>
          <w:highlight w:val="none"/>
        </w:rPr>
      </w:pPr>
    </w:p>
    <w:p w14:paraId="41EEF133">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项目名称： </w:t>
      </w:r>
    </w:p>
    <w:p w14:paraId="55054FA8">
      <w:pPr>
        <w:snapToGrid w:val="0"/>
        <w:spacing w:before="120" w:beforeLines="50" w:after="50" w:line="400" w:lineRule="exact"/>
        <w:ind w:firstLine="360" w:firstLineChars="150"/>
        <w:rPr>
          <w:rFonts w:ascii="宋体" w:hAnsi="宋体"/>
          <w:bCs/>
          <w:color w:val="000000"/>
          <w:sz w:val="24"/>
          <w:highlight w:val="none"/>
        </w:rPr>
      </w:pPr>
    </w:p>
    <w:p w14:paraId="6414926F">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项目编号： </w:t>
      </w:r>
    </w:p>
    <w:p w14:paraId="785843EC">
      <w:pPr>
        <w:snapToGrid w:val="0"/>
        <w:spacing w:before="120" w:beforeLines="50" w:after="50" w:line="400" w:lineRule="exact"/>
        <w:ind w:firstLine="360" w:firstLineChars="150"/>
        <w:rPr>
          <w:rFonts w:ascii="宋体" w:hAnsi="宋体"/>
          <w:bCs/>
          <w:color w:val="000000"/>
          <w:sz w:val="24"/>
          <w:highlight w:val="none"/>
        </w:rPr>
      </w:pPr>
    </w:p>
    <w:p w14:paraId="3852EE6D">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所投分标：无，则写“/”</w:t>
      </w:r>
    </w:p>
    <w:p w14:paraId="6962EEF0">
      <w:pPr>
        <w:snapToGrid w:val="0"/>
        <w:spacing w:before="120" w:beforeLines="50" w:after="50" w:line="400" w:lineRule="exact"/>
        <w:ind w:firstLine="360" w:firstLineChars="150"/>
        <w:rPr>
          <w:rFonts w:ascii="宋体" w:hAnsi="宋体"/>
          <w:bCs/>
          <w:color w:val="000000"/>
          <w:sz w:val="24"/>
          <w:highlight w:val="none"/>
        </w:rPr>
      </w:pPr>
    </w:p>
    <w:p w14:paraId="0E2359E1">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投标人名称：</w:t>
      </w:r>
    </w:p>
    <w:p w14:paraId="6167FAFB">
      <w:pPr>
        <w:snapToGrid w:val="0"/>
        <w:spacing w:before="120" w:beforeLines="50" w:after="50" w:line="400" w:lineRule="exact"/>
        <w:ind w:firstLine="360" w:firstLineChars="150"/>
        <w:rPr>
          <w:rFonts w:ascii="宋体" w:hAnsi="宋体"/>
          <w:bCs/>
          <w:color w:val="000000"/>
          <w:sz w:val="24"/>
          <w:highlight w:val="none"/>
        </w:rPr>
      </w:pPr>
    </w:p>
    <w:p w14:paraId="0680F185">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投标人地址：</w:t>
      </w:r>
    </w:p>
    <w:p w14:paraId="520C39A0">
      <w:pPr>
        <w:pStyle w:val="7"/>
        <w:snapToGrid w:val="0"/>
        <w:spacing w:before="50" w:after="50" w:line="400" w:lineRule="exact"/>
        <w:ind w:firstLine="960" w:firstLineChars="400"/>
        <w:rPr>
          <w:rFonts w:ascii="宋体" w:hAnsi="宋体"/>
          <w:bCs/>
          <w:color w:val="000000"/>
          <w:sz w:val="24"/>
          <w:szCs w:val="24"/>
          <w:highlight w:val="none"/>
        </w:rPr>
      </w:pPr>
    </w:p>
    <w:p w14:paraId="724B34FF">
      <w:pPr>
        <w:snapToGrid w:val="0"/>
        <w:spacing w:before="120" w:beforeLines="50" w:after="50" w:line="400" w:lineRule="exact"/>
        <w:rPr>
          <w:rFonts w:ascii="宋体" w:hAnsi="宋体"/>
          <w:color w:val="000000"/>
          <w:sz w:val="30"/>
          <w:szCs w:val="20"/>
          <w:highlight w:val="none"/>
        </w:rPr>
      </w:pPr>
      <w:r>
        <w:rPr>
          <w:rFonts w:hint="eastAsia" w:ascii="宋体" w:hAnsi="宋体"/>
          <w:color w:val="000000"/>
          <w:sz w:val="24"/>
          <w:highlight w:val="none"/>
        </w:rPr>
        <w:t xml:space="preserve">                                   年  月  日</w:t>
      </w:r>
    </w:p>
    <w:p w14:paraId="10F5FD0B">
      <w:pPr>
        <w:snapToGrid w:val="0"/>
        <w:spacing w:before="120" w:beforeLines="50" w:after="50" w:line="360" w:lineRule="auto"/>
        <w:jc w:val="left"/>
        <w:rPr>
          <w:rFonts w:ascii="宋体" w:hAnsi="宋体"/>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2.</w:t>
      </w:r>
      <w:r>
        <w:rPr>
          <w:rFonts w:hint="eastAsia" w:ascii="宋体" w:hAnsi="宋体"/>
          <w:b/>
          <w:bCs/>
          <w:color w:val="000000"/>
          <w:sz w:val="24"/>
          <w:highlight w:val="none"/>
        </w:rPr>
        <w:t>报价文件目录</w:t>
      </w:r>
    </w:p>
    <w:p w14:paraId="3AA055A8">
      <w:pPr>
        <w:snapToGrid w:val="0"/>
        <w:spacing w:before="50" w:after="120" w:afterLines="50" w:line="360" w:lineRule="auto"/>
        <w:jc w:val="left"/>
        <w:rPr>
          <w:rFonts w:ascii="宋体" w:hAnsi="宋体"/>
          <w:b/>
          <w:color w:val="000000"/>
          <w:sz w:val="24"/>
          <w:highlight w:val="none"/>
        </w:rPr>
      </w:pPr>
      <w:r>
        <w:rPr>
          <w:rFonts w:hint="eastAsia" w:ascii="宋体" w:hAnsi="宋体"/>
          <w:color w:val="000000"/>
          <w:szCs w:val="21"/>
          <w:highlight w:val="none"/>
        </w:rPr>
        <w:t>根据招标文件规定及投标人提供的材料自行编写目录。</w:t>
      </w:r>
    </w:p>
    <w:p w14:paraId="7C88B8D4">
      <w:pPr>
        <w:snapToGrid w:val="0"/>
        <w:spacing w:before="120" w:beforeLines="50" w:after="50"/>
        <w:rPr>
          <w:rFonts w:ascii="宋体" w:hAnsi="宋体"/>
          <w:b/>
          <w:color w:val="000000"/>
          <w:sz w:val="24"/>
          <w:highlight w:val="none"/>
        </w:rPr>
      </w:pPr>
    </w:p>
    <w:p w14:paraId="387AD4FD">
      <w:pPr>
        <w:snapToGrid w:val="0"/>
        <w:spacing w:before="120" w:beforeLines="50" w:after="50"/>
        <w:rPr>
          <w:rFonts w:ascii="宋体" w:hAnsi="宋体"/>
          <w:b/>
          <w:color w:val="000000"/>
          <w:sz w:val="24"/>
          <w:highlight w:val="none"/>
        </w:rPr>
      </w:pPr>
    </w:p>
    <w:p w14:paraId="26F528F9">
      <w:pPr>
        <w:snapToGrid w:val="0"/>
        <w:spacing w:before="120" w:beforeLines="50" w:after="50"/>
        <w:rPr>
          <w:rFonts w:ascii="宋体" w:hAnsi="宋体"/>
          <w:b/>
          <w:color w:val="000000"/>
          <w:sz w:val="24"/>
          <w:highlight w:val="none"/>
        </w:rPr>
      </w:pPr>
    </w:p>
    <w:p w14:paraId="5BEF5E28">
      <w:pPr>
        <w:snapToGrid w:val="0"/>
        <w:spacing w:before="120" w:beforeLines="50" w:after="50"/>
        <w:ind w:left="142"/>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 投标函格式：</w:t>
      </w:r>
    </w:p>
    <w:p w14:paraId="7C6098B6">
      <w:pPr>
        <w:snapToGrid w:val="0"/>
        <w:spacing w:before="120" w:beforeLines="50" w:after="50" w:line="360" w:lineRule="auto"/>
        <w:jc w:val="center"/>
        <w:rPr>
          <w:rFonts w:ascii="仿宋" w:hAnsi="仿宋" w:eastAsia="仿宋" w:cs="仿宋"/>
          <w:bCs/>
          <w:color w:val="000000"/>
          <w:sz w:val="44"/>
          <w:szCs w:val="44"/>
          <w:highlight w:val="none"/>
        </w:rPr>
      </w:pPr>
      <w:r>
        <w:rPr>
          <w:rFonts w:hint="eastAsia" w:ascii="仿宋" w:hAnsi="仿宋" w:eastAsia="仿宋" w:cs="仿宋"/>
          <w:bCs/>
          <w:color w:val="000000"/>
          <w:sz w:val="44"/>
          <w:szCs w:val="44"/>
          <w:highlight w:val="none"/>
        </w:rPr>
        <w:t>投 标 函</w:t>
      </w:r>
    </w:p>
    <w:p w14:paraId="36396762">
      <w:pPr>
        <w:snapToGrid w:val="0"/>
        <w:spacing w:before="120" w:beforeLines="50" w:after="50" w:line="320" w:lineRule="exact"/>
        <w:jc w:val="center"/>
        <w:rPr>
          <w:rFonts w:ascii="宋体" w:hAnsi="宋体"/>
          <w:b/>
          <w:color w:val="000000"/>
          <w:sz w:val="32"/>
          <w:szCs w:val="32"/>
          <w:highlight w:val="none"/>
        </w:rPr>
      </w:pPr>
    </w:p>
    <w:p w14:paraId="04825BBF">
      <w:pPr>
        <w:spacing w:line="360" w:lineRule="exact"/>
        <w:contextualSpacing/>
        <w:rPr>
          <w:rFonts w:ascii="宋体" w:hAnsi="宋体"/>
          <w:color w:val="000000"/>
          <w:szCs w:val="21"/>
          <w:highlight w:val="none"/>
        </w:rPr>
      </w:pPr>
      <w:r>
        <w:rPr>
          <w:rFonts w:hint="eastAsia" w:ascii="宋体" w:hAnsi="宋体"/>
          <w:color w:val="000000"/>
          <w:szCs w:val="21"/>
          <w:highlight w:val="none"/>
        </w:rPr>
        <w:t>致：</w:t>
      </w:r>
      <w:r>
        <w:rPr>
          <w:rFonts w:hint="eastAsia" w:ascii="宋体" w:hAnsi="宋体"/>
          <w:color w:val="000000"/>
          <w:szCs w:val="21"/>
          <w:highlight w:val="none"/>
          <w:u w:val="single"/>
        </w:rPr>
        <w:t>采购人名称</w:t>
      </w:r>
      <w:r>
        <w:rPr>
          <w:rFonts w:hint="eastAsia" w:ascii="宋体" w:hAnsi="宋体"/>
          <w:color w:val="000000"/>
          <w:szCs w:val="21"/>
          <w:highlight w:val="none"/>
        </w:rPr>
        <w:t>：</w:t>
      </w:r>
    </w:p>
    <w:p w14:paraId="2789C14A">
      <w:pPr>
        <w:spacing w:line="360" w:lineRule="exact"/>
        <w:ind w:firstLine="480"/>
        <w:contextualSpacing/>
        <w:rPr>
          <w:rFonts w:ascii="宋体" w:hAnsi="宋体"/>
          <w:color w:val="000000"/>
          <w:szCs w:val="21"/>
          <w:highlight w:val="none"/>
        </w:rPr>
      </w:pPr>
      <w:r>
        <w:rPr>
          <w:rFonts w:hint="eastAsia" w:ascii="宋体" w:hAnsi="宋体"/>
          <w:color w:val="000000"/>
          <w:szCs w:val="21"/>
          <w:highlight w:val="none"/>
        </w:rPr>
        <w:t>根据贵方</w:t>
      </w:r>
      <w:r>
        <w:rPr>
          <w:rFonts w:hint="eastAsia" w:ascii="宋体" w:hAnsi="宋体"/>
          <w:color w:val="000000"/>
          <w:szCs w:val="21"/>
          <w:highlight w:val="none"/>
          <w:u w:val="single"/>
        </w:rPr>
        <w:t xml:space="preserve"> 项目名称</w:t>
      </w:r>
      <w:r>
        <w:rPr>
          <w:rFonts w:hint="eastAsia" w:ascii="宋体" w:hAnsi="宋体"/>
          <w:color w:val="000000"/>
          <w:szCs w:val="21"/>
          <w:highlight w:val="none"/>
        </w:rPr>
        <w:t>（项目编号：</w:t>
      </w:r>
      <w:r>
        <w:rPr>
          <w:rFonts w:hint="eastAsia" w:ascii="宋体" w:hAnsi="宋体"/>
          <w:color w:val="000000"/>
          <w:szCs w:val="21"/>
          <w:highlight w:val="none"/>
          <w:u w:val="single"/>
        </w:rPr>
        <w:t xml:space="preserve">        </w:t>
      </w:r>
      <w:r>
        <w:rPr>
          <w:rFonts w:hint="eastAsia" w:ascii="宋体" w:hAnsi="宋体"/>
          <w:color w:val="000000"/>
          <w:szCs w:val="21"/>
          <w:highlight w:val="none"/>
        </w:rPr>
        <w:t>）的招标公告，签字代表______</w:t>
      </w:r>
      <w:r>
        <w:rPr>
          <w:rFonts w:hint="eastAsia" w:ascii="宋体" w:hAnsi="宋体"/>
          <w:color w:val="000000"/>
          <w:szCs w:val="21"/>
          <w:highlight w:val="none"/>
          <w:u w:val="single"/>
        </w:rPr>
        <w:t xml:space="preserve">     </w:t>
      </w:r>
      <w:r>
        <w:rPr>
          <w:rFonts w:hint="eastAsia" w:ascii="宋体" w:hAnsi="宋体"/>
          <w:color w:val="000000"/>
          <w:szCs w:val="21"/>
          <w:highlight w:val="none"/>
        </w:rPr>
        <w:t>（姓名）经正式授权并代表投标人</w:t>
      </w:r>
      <w:r>
        <w:rPr>
          <w:rFonts w:hint="eastAsia" w:ascii="宋体" w:hAnsi="宋体"/>
          <w:color w:val="000000"/>
          <w:szCs w:val="21"/>
          <w:highlight w:val="none"/>
          <w:u w:val="single"/>
        </w:rPr>
        <w:t xml:space="preserve">                 </w:t>
      </w:r>
      <w:r>
        <w:rPr>
          <w:rFonts w:hint="eastAsia" w:ascii="宋体" w:hAnsi="宋体"/>
          <w:color w:val="000000"/>
          <w:szCs w:val="21"/>
          <w:highlight w:val="none"/>
        </w:rPr>
        <w:t>（投标人名称）提交投标文件。</w:t>
      </w:r>
    </w:p>
    <w:p w14:paraId="650661F5">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据此函，我方宣布同意如下：</w:t>
      </w:r>
    </w:p>
    <w:p w14:paraId="5E3CEBB2">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D5FFB58">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2.我方在投标之前已经完全理解并接受招标文件的各项规定和要求，对招标文件的合理性、合法性不再有异议。</w:t>
      </w:r>
    </w:p>
    <w:p w14:paraId="554FBB6B">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3.本投标有效期自投标截止之日起</w:t>
      </w:r>
      <w:r>
        <w:rPr>
          <w:rFonts w:ascii="宋体" w:hAnsi="宋体"/>
          <w:color w:val="000000"/>
          <w:szCs w:val="21"/>
          <w:highlight w:val="none"/>
          <w:u w:val="single"/>
        </w:rPr>
        <w:t xml:space="preserve">    </w:t>
      </w:r>
      <w:r>
        <w:rPr>
          <w:rFonts w:hint="eastAsia" w:ascii="宋体" w:hAnsi="宋体"/>
          <w:color w:val="000000"/>
          <w:szCs w:val="21"/>
          <w:highlight w:val="none"/>
        </w:rPr>
        <w:t>日。</w:t>
      </w:r>
    </w:p>
    <w:p w14:paraId="5ACA5040">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4.如中标，本投标文件至本项目合同履行完毕止均保持有效，我方将按“招标文件”及政府采购法律、法规的规定履行合同责任和义务。</w:t>
      </w:r>
    </w:p>
    <w:p w14:paraId="383C112A">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5.我方同意按照贵方要求提供与投标有关的一切数据或者资料。</w:t>
      </w:r>
    </w:p>
    <w:p w14:paraId="1E300AFF">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6.我方向贵方提交的所有投标文件、资料都是准确的和真实的。</w:t>
      </w:r>
    </w:p>
    <w:p w14:paraId="479A250C">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7.以上事项如有虚假或者隐瞒，我方愿意承担一切后果，并不再寻求任何旨在减轻或者免除法律责任的辩解。</w:t>
      </w:r>
    </w:p>
    <w:p w14:paraId="0F7E856C">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8.根据</w:t>
      </w:r>
      <w:r>
        <w:rPr>
          <w:rFonts w:ascii="宋体" w:hAnsi="宋体"/>
          <w:color w:val="000000"/>
          <w:szCs w:val="21"/>
          <w:highlight w:val="none"/>
        </w:rPr>
        <w:t>《中华人民共和国政府采购法实施条例》第五十条要求对政府采购合同进行公告</w:t>
      </w:r>
      <w:r>
        <w:rPr>
          <w:rFonts w:hint="eastAsia" w:ascii="宋体" w:hAnsi="宋体"/>
          <w:color w:val="000000"/>
          <w:szCs w:val="21"/>
          <w:highlight w:val="none"/>
        </w:rPr>
        <w:t>，</w:t>
      </w:r>
      <w:r>
        <w:rPr>
          <w:rFonts w:ascii="宋体" w:hAnsi="宋体"/>
          <w:color w:val="000000"/>
          <w:szCs w:val="21"/>
          <w:highlight w:val="none"/>
        </w:rPr>
        <w:t>但政府采购合同中涉及国家秘密、商业秘密的内容除外。</w:t>
      </w:r>
      <w:r>
        <w:rPr>
          <w:rFonts w:hint="eastAsia" w:ascii="宋体" w:hAnsi="宋体"/>
          <w:color w:val="000000"/>
          <w:szCs w:val="21"/>
          <w:highlight w:val="none"/>
        </w:rPr>
        <w:t>我方就对本次投标文件进行注明如下：（两项内容中必须选择一项）</w:t>
      </w:r>
    </w:p>
    <w:p w14:paraId="3CAB58C7">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□我方本次投标文件</w:t>
      </w:r>
      <w:r>
        <w:rPr>
          <w:rFonts w:ascii="宋体" w:hAnsi="宋体" w:cs="宋体"/>
          <w:color w:val="000000"/>
          <w:kern w:val="0"/>
          <w:szCs w:val="21"/>
          <w:highlight w:val="none"/>
        </w:rPr>
        <w:t>内容中</w:t>
      </w:r>
      <w:r>
        <w:rPr>
          <w:rFonts w:hint="eastAsia" w:ascii="宋体" w:hAnsi="宋体"/>
          <w:color w:val="000000"/>
          <w:szCs w:val="21"/>
          <w:highlight w:val="none"/>
        </w:rPr>
        <w:t>未</w:t>
      </w:r>
      <w:r>
        <w:rPr>
          <w:rFonts w:ascii="宋体" w:hAnsi="宋体" w:cs="宋体"/>
          <w:color w:val="000000"/>
          <w:kern w:val="0"/>
          <w:szCs w:val="21"/>
          <w:highlight w:val="none"/>
        </w:rPr>
        <w:t>涉及商业秘密</w:t>
      </w:r>
      <w:r>
        <w:rPr>
          <w:rFonts w:hint="eastAsia" w:ascii="宋体" w:hAnsi="宋体" w:cs="宋体"/>
          <w:color w:val="000000"/>
          <w:kern w:val="0"/>
          <w:szCs w:val="21"/>
          <w:highlight w:val="none"/>
        </w:rPr>
        <w:t>；</w:t>
      </w:r>
    </w:p>
    <w:p w14:paraId="3AF13748">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□我方本次投标文件</w:t>
      </w:r>
      <w:r>
        <w:rPr>
          <w:rFonts w:ascii="宋体" w:hAnsi="宋体" w:cs="宋体"/>
          <w:color w:val="000000"/>
          <w:kern w:val="0"/>
          <w:szCs w:val="21"/>
          <w:highlight w:val="none"/>
        </w:rPr>
        <w:t>涉及商业秘密</w:t>
      </w:r>
      <w:r>
        <w:rPr>
          <w:rFonts w:hint="eastAsia" w:ascii="宋体" w:hAnsi="宋体" w:cs="宋体"/>
          <w:color w:val="000000"/>
          <w:kern w:val="0"/>
          <w:szCs w:val="21"/>
          <w:highlight w:val="none"/>
        </w:rPr>
        <w:t>的</w:t>
      </w:r>
      <w:r>
        <w:rPr>
          <w:rFonts w:ascii="宋体" w:hAnsi="宋体" w:cs="宋体"/>
          <w:color w:val="000000"/>
          <w:kern w:val="0"/>
          <w:szCs w:val="21"/>
          <w:highlight w:val="none"/>
        </w:rPr>
        <w:t>内容</w:t>
      </w:r>
      <w:r>
        <w:rPr>
          <w:rFonts w:hint="eastAsia" w:ascii="宋体" w:hAnsi="宋体" w:cs="宋体"/>
          <w:color w:val="000000"/>
          <w:kern w:val="0"/>
          <w:szCs w:val="21"/>
          <w:highlight w:val="none"/>
        </w:rPr>
        <w:t>有：</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14:paraId="09CE1BF3">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9.与本投标有关的一切正式往来信函请寄：</w:t>
      </w:r>
    </w:p>
    <w:p w14:paraId="7993A286">
      <w:pPr>
        <w:spacing w:line="360" w:lineRule="exact"/>
        <w:ind w:firstLine="420" w:firstLineChars="200"/>
        <w:contextualSpacing/>
        <w:rPr>
          <w:rFonts w:ascii="宋体" w:hAnsi="宋体"/>
          <w:color w:val="000000"/>
          <w:szCs w:val="21"/>
          <w:highlight w:val="none"/>
          <w:u w:val="singl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          </w:t>
      </w:r>
      <w:r>
        <w:rPr>
          <w:rFonts w:hint="eastAsia" w:ascii="宋体" w:hAnsi="宋体"/>
          <w:color w:val="000000"/>
          <w:szCs w:val="21"/>
          <w:highlight w:val="none"/>
        </w:rPr>
        <w:t>邮编：</w:t>
      </w:r>
      <w:r>
        <w:rPr>
          <w:rFonts w:hint="eastAsia" w:ascii="宋体" w:hAnsi="宋体"/>
          <w:color w:val="000000"/>
          <w:szCs w:val="21"/>
          <w:highlight w:val="none"/>
          <w:u w:val="single"/>
        </w:rPr>
        <w:t xml:space="preserve">            </w:t>
      </w:r>
    </w:p>
    <w:p w14:paraId="0398C7BF">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邮箱：</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p>
    <w:p w14:paraId="22AC0B7E">
      <w:pPr>
        <w:spacing w:line="36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投标人名称:</w:t>
      </w:r>
      <w:r>
        <w:rPr>
          <w:rFonts w:hint="eastAsia" w:ascii="宋体" w:hAnsi="宋体"/>
          <w:color w:val="000000"/>
          <w:szCs w:val="21"/>
          <w:highlight w:val="none"/>
          <w:u w:val="single"/>
        </w:rPr>
        <w:t xml:space="preserve">                </w:t>
      </w:r>
    </w:p>
    <w:p w14:paraId="162E245B">
      <w:pPr>
        <w:spacing w:line="36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开户银行：</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银行</w:t>
      </w:r>
      <w:r>
        <w:rPr>
          <w:rFonts w:hint="eastAsia" w:ascii="宋体" w:hAnsi="宋体"/>
          <w:color w:val="000000"/>
          <w:szCs w:val="21"/>
          <w:highlight w:val="none"/>
          <w:lang w:eastAsia="zh-CN"/>
        </w:rPr>
        <w:t>账</w:t>
      </w:r>
      <w:r>
        <w:rPr>
          <w:rFonts w:hint="eastAsia" w:ascii="宋体" w:hAnsi="宋体"/>
          <w:color w:val="000000"/>
          <w:szCs w:val="21"/>
          <w:highlight w:val="none"/>
        </w:rPr>
        <w:t>号：</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0AB68155">
      <w:pPr>
        <w:spacing w:line="36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 xml:space="preserve">法定代表人（或负责人）或者委托代理人（签字或电子签名）:___________ </w:t>
      </w:r>
    </w:p>
    <w:p w14:paraId="31FB30D0">
      <w:pPr>
        <w:pStyle w:val="26"/>
        <w:spacing w:line="360" w:lineRule="exact"/>
        <w:contextualSpacing/>
        <w:jc w:val="center"/>
        <w:rPr>
          <w:rFonts w:hAnsi="宋体"/>
          <w:color w:val="000000"/>
          <w:sz w:val="21"/>
          <w:highlight w:val="none"/>
        </w:rPr>
      </w:pPr>
      <w:r>
        <w:rPr>
          <w:rFonts w:hint="eastAsia" w:hAnsi="宋体"/>
          <w:color w:val="000000"/>
          <w:sz w:val="21"/>
          <w:highlight w:val="none"/>
        </w:rPr>
        <w:t xml:space="preserve"> </w:t>
      </w:r>
      <w:r>
        <w:rPr>
          <w:rFonts w:hAnsi="宋体"/>
          <w:color w:val="000000"/>
          <w:sz w:val="21"/>
          <w:highlight w:val="none"/>
        </w:rPr>
        <w:t xml:space="preserve">                                   </w:t>
      </w:r>
    </w:p>
    <w:p w14:paraId="7007D934">
      <w:pPr>
        <w:pStyle w:val="26"/>
        <w:spacing w:line="360" w:lineRule="exact"/>
        <w:contextualSpacing/>
        <w:jc w:val="center"/>
        <w:rPr>
          <w:rFonts w:hAnsi="宋体"/>
          <w:color w:val="000000"/>
          <w:sz w:val="21"/>
          <w:highlight w:val="none"/>
        </w:rPr>
      </w:pPr>
    </w:p>
    <w:p w14:paraId="507B2C8A">
      <w:pPr>
        <w:pStyle w:val="26"/>
        <w:spacing w:line="360" w:lineRule="exact"/>
        <w:contextualSpacing/>
        <w:jc w:val="center"/>
        <w:rPr>
          <w:rFonts w:hAnsi="宋体"/>
          <w:color w:val="000000"/>
          <w:sz w:val="21"/>
          <w:highlight w:val="none"/>
          <w:u w:val="single"/>
        </w:rPr>
      </w:pPr>
      <w:r>
        <w:rPr>
          <w:rFonts w:hint="eastAsia" w:hAnsi="宋体"/>
          <w:color w:val="000000"/>
          <w:sz w:val="21"/>
          <w:highlight w:val="none"/>
        </w:rPr>
        <w:t>投标人名称（电子签章）：</w:t>
      </w:r>
    </w:p>
    <w:p w14:paraId="4C809722">
      <w:pPr>
        <w:pStyle w:val="26"/>
        <w:spacing w:line="360" w:lineRule="exact"/>
        <w:contextualSpacing/>
        <w:rPr>
          <w:rFonts w:hAnsi="宋体"/>
          <w:color w:val="000000"/>
          <w:sz w:val="21"/>
          <w:highlight w:val="none"/>
        </w:rPr>
      </w:pPr>
      <w:r>
        <w:rPr>
          <w:rFonts w:hint="eastAsia" w:hAnsi="宋体"/>
          <w:color w:val="000000"/>
          <w:sz w:val="21"/>
          <w:highlight w:val="none"/>
        </w:rPr>
        <w:t xml:space="preserve">                                                </w:t>
      </w:r>
      <w:r>
        <w:rPr>
          <w:rFonts w:hint="eastAsia" w:hAnsi="宋体"/>
          <w:color w:val="000000"/>
          <w:sz w:val="21"/>
          <w:highlight w:val="none"/>
          <w:u w:val="single"/>
        </w:rPr>
        <w:t xml:space="preserve">      </w:t>
      </w:r>
      <w:r>
        <w:rPr>
          <w:rFonts w:hint="eastAsia" w:hAnsi="宋体"/>
          <w:color w:val="000000"/>
          <w:sz w:val="21"/>
          <w:highlight w:val="none"/>
        </w:rPr>
        <w:t>年</w:t>
      </w:r>
      <w:r>
        <w:rPr>
          <w:rFonts w:hint="eastAsia" w:hAnsi="宋体"/>
          <w:color w:val="000000"/>
          <w:sz w:val="21"/>
          <w:highlight w:val="none"/>
          <w:u w:val="single"/>
        </w:rPr>
        <w:t xml:space="preserve">    </w:t>
      </w:r>
      <w:r>
        <w:rPr>
          <w:rFonts w:hint="eastAsia" w:hAnsi="宋体"/>
          <w:color w:val="000000"/>
          <w:sz w:val="21"/>
          <w:highlight w:val="none"/>
        </w:rPr>
        <w:t>月</w:t>
      </w:r>
      <w:r>
        <w:rPr>
          <w:rFonts w:hint="eastAsia" w:hAnsi="宋体"/>
          <w:color w:val="000000"/>
          <w:sz w:val="21"/>
          <w:highlight w:val="none"/>
          <w:u w:val="single"/>
        </w:rPr>
        <w:t xml:space="preserve">     </w:t>
      </w:r>
      <w:r>
        <w:rPr>
          <w:rFonts w:hint="eastAsia" w:hAnsi="宋体"/>
          <w:color w:val="000000"/>
          <w:sz w:val="21"/>
          <w:highlight w:val="none"/>
        </w:rPr>
        <w:t>日</w:t>
      </w:r>
    </w:p>
    <w:p w14:paraId="30C131DE">
      <w:pPr>
        <w:snapToGrid w:val="0"/>
        <w:spacing w:before="120" w:beforeLines="50" w:after="50"/>
        <w:jc w:val="left"/>
        <w:rPr>
          <w:rFonts w:ascii="宋体" w:hAnsi="宋体"/>
          <w:b/>
          <w:color w:val="000000"/>
          <w:sz w:val="24"/>
          <w:szCs w:val="20"/>
          <w:highlight w:val="none"/>
        </w:rPr>
      </w:pPr>
      <w:r>
        <w:rPr>
          <w:rFonts w:hAnsi="宋体"/>
          <w:color w:val="000000"/>
          <w:highlight w:val="none"/>
          <w:u w:val="single"/>
        </w:rPr>
        <w:br w:type="page"/>
      </w:r>
      <w:r>
        <w:rPr>
          <w:rFonts w:hint="eastAsia" w:ascii="宋体" w:hAnsi="宋体"/>
          <w:b/>
          <w:color w:val="000000"/>
          <w:sz w:val="24"/>
          <w:highlight w:val="none"/>
        </w:rPr>
        <w:t>4. 开标一览表（货物类格式）</w:t>
      </w:r>
    </w:p>
    <w:p w14:paraId="5778A567">
      <w:pPr>
        <w:snapToGrid w:val="0"/>
        <w:spacing w:before="50" w:after="50"/>
        <w:jc w:val="center"/>
        <w:rPr>
          <w:rFonts w:ascii="宋体" w:hAnsi="宋体"/>
          <w:b/>
          <w:color w:val="000000"/>
          <w:sz w:val="30"/>
          <w:highlight w:val="none"/>
        </w:rPr>
      </w:pPr>
      <w:r>
        <w:rPr>
          <w:rFonts w:hint="eastAsia" w:ascii="宋体" w:hAnsi="宋体"/>
          <w:b/>
          <w:color w:val="000000"/>
          <w:sz w:val="30"/>
          <w:highlight w:val="none"/>
        </w:rPr>
        <w:t>开标一览表</w:t>
      </w:r>
    </w:p>
    <w:p w14:paraId="76360B6E">
      <w:pPr>
        <w:snapToGrid w:val="0"/>
        <w:spacing w:before="50" w:after="50"/>
        <w:jc w:val="center"/>
        <w:rPr>
          <w:rFonts w:ascii="宋体" w:hAnsi="宋体"/>
          <w:b/>
          <w:color w:val="000000"/>
          <w:sz w:val="30"/>
          <w:szCs w:val="20"/>
          <w:highlight w:val="none"/>
        </w:rPr>
      </w:pPr>
    </w:p>
    <w:p w14:paraId="2DCC03F5">
      <w:pPr>
        <w:snapToGrid w:val="0"/>
        <w:spacing w:before="50" w:after="50" w:line="360" w:lineRule="auto"/>
        <w:rPr>
          <w:rFonts w:ascii="宋体" w:hAnsi="宋体"/>
          <w:color w:val="000000"/>
          <w:szCs w:val="21"/>
          <w:highlight w:val="none"/>
          <w:u w:val="single"/>
        </w:rPr>
      </w:pPr>
      <w:r>
        <w:rPr>
          <w:rFonts w:hint="eastAsia" w:ascii="宋体" w:hAnsi="宋体"/>
          <w:color w:val="000000"/>
          <w:szCs w:val="21"/>
          <w:highlight w:val="none"/>
        </w:rPr>
        <w:t>项目名称：</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项目编号：</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分标：</w:t>
      </w:r>
      <w:r>
        <w:rPr>
          <w:rFonts w:hint="eastAsia" w:ascii="宋体" w:hAnsi="宋体"/>
          <w:color w:val="000000"/>
          <w:szCs w:val="21"/>
          <w:highlight w:val="none"/>
          <w:u w:val="single"/>
        </w:rPr>
        <w:t xml:space="preserve">           </w:t>
      </w:r>
    </w:p>
    <w:p w14:paraId="22F4D828">
      <w:pPr>
        <w:snapToGrid w:val="0"/>
        <w:spacing w:before="50" w:after="50" w:line="360" w:lineRule="auto"/>
        <w:rPr>
          <w:rFonts w:ascii="宋体" w:hAnsi="宋体"/>
          <w:color w:val="000000"/>
          <w:szCs w:val="21"/>
          <w:highlight w:val="none"/>
        </w:rPr>
      </w:pPr>
      <w:r>
        <w:rPr>
          <w:rFonts w:hint="eastAsia" w:ascii="宋体" w:hAnsi="宋体"/>
          <w:color w:val="000000"/>
          <w:szCs w:val="21"/>
          <w:highlight w:val="none"/>
        </w:rPr>
        <w:t>投标人名称：</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11"/>
        <w:gridCol w:w="994"/>
        <w:gridCol w:w="849"/>
        <w:gridCol w:w="710"/>
        <w:gridCol w:w="851"/>
        <w:gridCol w:w="992"/>
        <w:gridCol w:w="992"/>
        <w:gridCol w:w="1523"/>
      </w:tblGrid>
      <w:tr w14:paraId="18A88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AC4DBA4">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14:paraId="1AF37B18">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标的</w:t>
            </w:r>
          </w:p>
          <w:p w14:paraId="4B6C681D">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名称</w:t>
            </w:r>
          </w:p>
        </w:tc>
        <w:tc>
          <w:tcPr>
            <w:tcW w:w="994" w:type="dxa"/>
            <w:tcBorders>
              <w:top w:val="single" w:color="auto" w:sz="4" w:space="0"/>
              <w:left w:val="single" w:color="auto" w:sz="4" w:space="0"/>
              <w:bottom w:val="single" w:color="auto" w:sz="4" w:space="0"/>
              <w:right w:val="single" w:color="auto" w:sz="4" w:space="0"/>
            </w:tcBorders>
            <w:vAlign w:val="center"/>
          </w:tcPr>
          <w:p w14:paraId="555F4E46">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品牌</w:t>
            </w:r>
          </w:p>
        </w:tc>
        <w:tc>
          <w:tcPr>
            <w:tcW w:w="849" w:type="dxa"/>
            <w:tcBorders>
              <w:top w:val="single" w:color="auto" w:sz="4" w:space="0"/>
              <w:left w:val="single" w:color="auto" w:sz="4" w:space="0"/>
              <w:bottom w:val="single" w:color="auto" w:sz="4" w:space="0"/>
              <w:right w:val="single" w:color="auto" w:sz="4" w:space="0"/>
            </w:tcBorders>
            <w:vAlign w:val="center"/>
          </w:tcPr>
          <w:p w14:paraId="31F4823E">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规格</w:t>
            </w:r>
          </w:p>
          <w:p w14:paraId="4DC8B320">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型号</w:t>
            </w:r>
          </w:p>
        </w:tc>
        <w:tc>
          <w:tcPr>
            <w:tcW w:w="710" w:type="dxa"/>
            <w:tcBorders>
              <w:top w:val="single" w:color="auto" w:sz="4" w:space="0"/>
              <w:left w:val="single" w:color="auto" w:sz="4" w:space="0"/>
              <w:bottom w:val="single" w:color="auto" w:sz="4" w:space="0"/>
              <w:right w:val="single" w:color="auto" w:sz="4" w:space="0"/>
            </w:tcBorders>
            <w:vAlign w:val="center"/>
          </w:tcPr>
          <w:p w14:paraId="6C9528E7">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14:paraId="36D5B855">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国别</w:t>
            </w:r>
          </w:p>
        </w:tc>
        <w:tc>
          <w:tcPr>
            <w:tcW w:w="992" w:type="dxa"/>
            <w:tcBorders>
              <w:top w:val="single" w:color="auto" w:sz="4" w:space="0"/>
              <w:left w:val="single" w:color="auto" w:sz="4" w:space="0"/>
              <w:bottom w:val="single" w:color="auto" w:sz="4" w:space="0"/>
              <w:right w:val="single" w:color="auto" w:sz="4" w:space="0"/>
            </w:tcBorders>
            <w:vAlign w:val="center"/>
          </w:tcPr>
          <w:p w14:paraId="19E1C429">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数量及单位①</w:t>
            </w:r>
          </w:p>
        </w:tc>
        <w:tc>
          <w:tcPr>
            <w:tcW w:w="992" w:type="dxa"/>
            <w:tcBorders>
              <w:top w:val="single" w:color="auto" w:sz="4" w:space="0"/>
              <w:left w:val="single" w:color="auto" w:sz="4" w:space="0"/>
              <w:bottom w:val="single" w:color="auto" w:sz="4" w:space="0"/>
              <w:right w:val="single" w:color="auto" w:sz="4" w:space="0"/>
            </w:tcBorders>
            <w:vAlign w:val="center"/>
          </w:tcPr>
          <w:p w14:paraId="717A9EE6">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单价</w:t>
            </w:r>
          </w:p>
          <w:p w14:paraId="781B27E0">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②</w:t>
            </w:r>
          </w:p>
        </w:tc>
        <w:tc>
          <w:tcPr>
            <w:tcW w:w="1523" w:type="dxa"/>
            <w:tcBorders>
              <w:top w:val="single" w:color="auto" w:sz="4" w:space="0"/>
              <w:left w:val="single" w:color="auto" w:sz="4" w:space="0"/>
              <w:bottom w:val="single" w:color="auto" w:sz="4" w:space="0"/>
              <w:right w:val="single" w:color="auto" w:sz="4" w:space="0"/>
            </w:tcBorders>
            <w:vAlign w:val="center"/>
          </w:tcPr>
          <w:p w14:paraId="3E8ADED2">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投标报价</w:t>
            </w:r>
          </w:p>
          <w:p w14:paraId="50EDC63F">
            <w:pPr>
              <w:snapToGrid w:val="0"/>
              <w:spacing w:before="50" w:after="50" w:line="360" w:lineRule="auto"/>
              <w:jc w:val="center"/>
              <w:rPr>
                <w:rFonts w:ascii="宋体" w:hAnsi="宋体"/>
                <w:b/>
                <w:color w:val="000000"/>
                <w:szCs w:val="21"/>
                <w:highlight w:val="none"/>
              </w:rPr>
            </w:pPr>
            <w:r>
              <w:rPr>
                <w:rFonts w:ascii="宋体" w:hAnsi="宋体"/>
                <w:b/>
                <w:color w:val="000000"/>
                <w:szCs w:val="21"/>
                <w:highlight w:val="none"/>
              </w:rPr>
              <w:t>③</w:t>
            </w:r>
            <w:r>
              <w:rPr>
                <w:rFonts w:hint="eastAsia" w:ascii="宋体" w:hAnsi="宋体"/>
                <w:b/>
                <w:color w:val="000000"/>
                <w:szCs w:val="21"/>
                <w:highlight w:val="none"/>
              </w:rPr>
              <w:t>=①×②</w:t>
            </w:r>
          </w:p>
        </w:tc>
      </w:tr>
      <w:tr w14:paraId="63B8D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2F79954">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1</w:t>
            </w:r>
          </w:p>
        </w:tc>
        <w:tc>
          <w:tcPr>
            <w:tcW w:w="1111" w:type="dxa"/>
            <w:tcBorders>
              <w:top w:val="single" w:color="auto" w:sz="4" w:space="0"/>
              <w:left w:val="single" w:color="auto" w:sz="4" w:space="0"/>
              <w:bottom w:val="single" w:color="auto" w:sz="4" w:space="0"/>
              <w:right w:val="single" w:color="auto" w:sz="4" w:space="0"/>
            </w:tcBorders>
            <w:vAlign w:val="center"/>
          </w:tcPr>
          <w:p w14:paraId="5AC5BE45">
            <w:pPr>
              <w:snapToGrid w:val="0"/>
              <w:spacing w:before="50" w:after="50" w:line="360" w:lineRule="auto"/>
              <w:jc w:val="center"/>
              <w:rPr>
                <w:rFonts w:ascii="宋体" w:hAnsi="宋体"/>
                <w:b/>
                <w:color w:val="00000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391E15A3">
            <w:pPr>
              <w:snapToGrid w:val="0"/>
              <w:spacing w:before="50" w:after="50" w:line="360" w:lineRule="auto"/>
              <w:rPr>
                <w:rFonts w:ascii="宋体" w:hAnsi="宋体"/>
                <w:color w:val="000000"/>
                <w:szCs w:val="21"/>
                <w:highlight w:val="none"/>
              </w:rPr>
            </w:pPr>
          </w:p>
        </w:tc>
        <w:tc>
          <w:tcPr>
            <w:tcW w:w="849" w:type="dxa"/>
            <w:tcBorders>
              <w:top w:val="single" w:color="auto" w:sz="4" w:space="0"/>
              <w:left w:val="single" w:color="auto" w:sz="4" w:space="0"/>
              <w:bottom w:val="single" w:color="auto" w:sz="4" w:space="0"/>
              <w:right w:val="single" w:color="auto" w:sz="4" w:space="0"/>
            </w:tcBorders>
          </w:tcPr>
          <w:p w14:paraId="0DFDE450">
            <w:pPr>
              <w:snapToGrid w:val="0"/>
              <w:spacing w:before="50" w:after="50" w:line="360" w:lineRule="auto"/>
              <w:rPr>
                <w:rFonts w:ascii="宋体" w:hAnsi="宋体"/>
                <w:color w:val="000000"/>
                <w:szCs w:val="21"/>
                <w:highlight w:val="none"/>
              </w:rPr>
            </w:pPr>
          </w:p>
        </w:tc>
        <w:tc>
          <w:tcPr>
            <w:tcW w:w="710" w:type="dxa"/>
            <w:tcBorders>
              <w:top w:val="single" w:color="auto" w:sz="4" w:space="0"/>
              <w:left w:val="single" w:color="auto" w:sz="4" w:space="0"/>
              <w:bottom w:val="single" w:color="auto" w:sz="4" w:space="0"/>
              <w:right w:val="single" w:color="auto" w:sz="4" w:space="0"/>
            </w:tcBorders>
          </w:tcPr>
          <w:p w14:paraId="465B4937">
            <w:pPr>
              <w:snapToGrid w:val="0"/>
              <w:spacing w:before="50" w:after="50" w:line="360" w:lineRule="auto"/>
              <w:rPr>
                <w:rFonts w:ascii="宋体" w:hAnsi="宋体"/>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3CA023B7">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A901FEC">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2EED94F">
            <w:pPr>
              <w:snapToGrid w:val="0"/>
              <w:spacing w:before="50" w:after="50" w:line="360" w:lineRule="auto"/>
              <w:rPr>
                <w:rFonts w:ascii="宋体" w:hAnsi="宋体"/>
                <w:color w:val="000000"/>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30FC1ED1">
            <w:pPr>
              <w:snapToGrid w:val="0"/>
              <w:spacing w:before="50" w:after="50" w:line="360" w:lineRule="auto"/>
              <w:rPr>
                <w:rFonts w:ascii="宋体" w:hAnsi="宋体"/>
                <w:color w:val="000000"/>
                <w:szCs w:val="21"/>
                <w:highlight w:val="none"/>
              </w:rPr>
            </w:pPr>
          </w:p>
        </w:tc>
      </w:tr>
      <w:tr w14:paraId="15B81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535CFEE">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2</w:t>
            </w:r>
          </w:p>
        </w:tc>
        <w:tc>
          <w:tcPr>
            <w:tcW w:w="1111" w:type="dxa"/>
            <w:tcBorders>
              <w:top w:val="single" w:color="auto" w:sz="4" w:space="0"/>
              <w:left w:val="single" w:color="auto" w:sz="4" w:space="0"/>
              <w:bottom w:val="single" w:color="auto" w:sz="4" w:space="0"/>
              <w:right w:val="single" w:color="auto" w:sz="4" w:space="0"/>
            </w:tcBorders>
            <w:vAlign w:val="center"/>
          </w:tcPr>
          <w:p w14:paraId="2A2ECE85">
            <w:pPr>
              <w:snapToGrid w:val="0"/>
              <w:spacing w:before="50" w:after="50" w:line="360" w:lineRule="auto"/>
              <w:jc w:val="center"/>
              <w:rPr>
                <w:rFonts w:ascii="宋体" w:hAnsi="宋体"/>
                <w:b/>
                <w:color w:val="00000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41E1803F">
            <w:pPr>
              <w:snapToGrid w:val="0"/>
              <w:spacing w:before="50" w:after="50" w:line="360" w:lineRule="auto"/>
              <w:rPr>
                <w:rFonts w:ascii="宋体" w:hAnsi="宋体"/>
                <w:color w:val="000000"/>
                <w:szCs w:val="21"/>
                <w:highlight w:val="none"/>
              </w:rPr>
            </w:pPr>
          </w:p>
        </w:tc>
        <w:tc>
          <w:tcPr>
            <w:tcW w:w="849" w:type="dxa"/>
            <w:tcBorders>
              <w:top w:val="single" w:color="auto" w:sz="4" w:space="0"/>
              <w:left w:val="single" w:color="auto" w:sz="4" w:space="0"/>
              <w:bottom w:val="single" w:color="auto" w:sz="4" w:space="0"/>
              <w:right w:val="single" w:color="auto" w:sz="4" w:space="0"/>
            </w:tcBorders>
          </w:tcPr>
          <w:p w14:paraId="6915500B">
            <w:pPr>
              <w:snapToGrid w:val="0"/>
              <w:spacing w:before="50" w:after="50" w:line="360" w:lineRule="auto"/>
              <w:rPr>
                <w:rFonts w:ascii="宋体" w:hAnsi="宋体"/>
                <w:color w:val="000000"/>
                <w:szCs w:val="21"/>
                <w:highlight w:val="none"/>
              </w:rPr>
            </w:pPr>
          </w:p>
        </w:tc>
        <w:tc>
          <w:tcPr>
            <w:tcW w:w="710" w:type="dxa"/>
            <w:tcBorders>
              <w:top w:val="single" w:color="auto" w:sz="4" w:space="0"/>
              <w:left w:val="single" w:color="auto" w:sz="4" w:space="0"/>
              <w:bottom w:val="single" w:color="auto" w:sz="4" w:space="0"/>
              <w:right w:val="single" w:color="auto" w:sz="4" w:space="0"/>
            </w:tcBorders>
          </w:tcPr>
          <w:p w14:paraId="21362E03">
            <w:pPr>
              <w:snapToGrid w:val="0"/>
              <w:spacing w:before="50" w:after="50" w:line="360" w:lineRule="auto"/>
              <w:rPr>
                <w:rFonts w:ascii="宋体" w:hAnsi="宋体"/>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15A50D7E">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90DEEA2">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9DAEFCA">
            <w:pPr>
              <w:snapToGrid w:val="0"/>
              <w:spacing w:before="50" w:after="50" w:line="360" w:lineRule="auto"/>
              <w:rPr>
                <w:rFonts w:ascii="宋体" w:hAnsi="宋体"/>
                <w:color w:val="000000"/>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35032ED2">
            <w:pPr>
              <w:snapToGrid w:val="0"/>
              <w:spacing w:before="50" w:after="50" w:line="360" w:lineRule="auto"/>
              <w:rPr>
                <w:rFonts w:ascii="宋体" w:hAnsi="宋体"/>
                <w:color w:val="000000"/>
                <w:szCs w:val="21"/>
                <w:highlight w:val="none"/>
              </w:rPr>
            </w:pPr>
          </w:p>
        </w:tc>
      </w:tr>
      <w:tr w14:paraId="49F07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B4F9502">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w:t>
            </w:r>
          </w:p>
        </w:tc>
        <w:tc>
          <w:tcPr>
            <w:tcW w:w="1111" w:type="dxa"/>
            <w:tcBorders>
              <w:top w:val="single" w:color="auto" w:sz="4" w:space="0"/>
              <w:left w:val="single" w:color="auto" w:sz="4" w:space="0"/>
              <w:bottom w:val="single" w:color="auto" w:sz="4" w:space="0"/>
              <w:right w:val="single" w:color="auto" w:sz="4" w:space="0"/>
            </w:tcBorders>
            <w:vAlign w:val="center"/>
          </w:tcPr>
          <w:p w14:paraId="697EC191">
            <w:pPr>
              <w:snapToGrid w:val="0"/>
              <w:spacing w:before="50" w:after="50" w:line="360" w:lineRule="auto"/>
              <w:jc w:val="center"/>
              <w:rPr>
                <w:rFonts w:ascii="宋体" w:hAnsi="宋体"/>
                <w:b/>
                <w:color w:val="000000"/>
                <w:szCs w:val="21"/>
                <w:highlight w:val="none"/>
              </w:rPr>
            </w:pPr>
            <w:r>
              <w:rPr>
                <w:rFonts w:hint="eastAsia" w:ascii="宋体" w:hAnsi="宋体"/>
                <w:b/>
                <w:color w:val="000000"/>
                <w:szCs w:val="21"/>
                <w:highlight w:val="none"/>
              </w:rPr>
              <w:t>……</w:t>
            </w:r>
          </w:p>
        </w:tc>
        <w:tc>
          <w:tcPr>
            <w:tcW w:w="994" w:type="dxa"/>
            <w:tcBorders>
              <w:top w:val="single" w:color="auto" w:sz="4" w:space="0"/>
              <w:left w:val="single" w:color="auto" w:sz="4" w:space="0"/>
              <w:bottom w:val="single" w:color="auto" w:sz="4" w:space="0"/>
              <w:right w:val="single" w:color="auto" w:sz="4" w:space="0"/>
            </w:tcBorders>
            <w:vAlign w:val="center"/>
          </w:tcPr>
          <w:p w14:paraId="2411CD35">
            <w:pPr>
              <w:snapToGrid w:val="0"/>
              <w:spacing w:before="50" w:after="50" w:line="360" w:lineRule="auto"/>
              <w:rPr>
                <w:rFonts w:ascii="宋体" w:hAnsi="宋体"/>
                <w:color w:val="000000"/>
                <w:szCs w:val="21"/>
                <w:highlight w:val="none"/>
              </w:rPr>
            </w:pPr>
          </w:p>
        </w:tc>
        <w:tc>
          <w:tcPr>
            <w:tcW w:w="849" w:type="dxa"/>
            <w:tcBorders>
              <w:top w:val="single" w:color="auto" w:sz="4" w:space="0"/>
              <w:left w:val="single" w:color="auto" w:sz="4" w:space="0"/>
              <w:bottom w:val="single" w:color="auto" w:sz="4" w:space="0"/>
              <w:right w:val="single" w:color="auto" w:sz="4" w:space="0"/>
            </w:tcBorders>
          </w:tcPr>
          <w:p w14:paraId="6D479C91">
            <w:pPr>
              <w:snapToGrid w:val="0"/>
              <w:spacing w:before="50" w:after="50" w:line="360" w:lineRule="auto"/>
              <w:rPr>
                <w:rFonts w:ascii="宋体" w:hAnsi="宋体"/>
                <w:color w:val="000000"/>
                <w:szCs w:val="21"/>
                <w:highlight w:val="none"/>
              </w:rPr>
            </w:pPr>
          </w:p>
        </w:tc>
        <w:tc>
          <w:tcPr>
            <w:tcW w:w="710" w:type="dxa"/>
            <w:tcBorders>
              <w:top w:val="single" w:color="auto" w:sz="4" w:space="0"/>
              <w:left w:val="single" w:color="auto" w:sz="4" w:space="0"/>
              <w:bottom w:val="single" w:color="auto" w:sz="4" w:space="0"/>
              <w:right w:val="single" w:color="auto" w:sz="4" w:space="0"/>
            </w:tcBorders>
          </w:tcPr>
          <w:p w14:paraId="2259C717">
            <w:pPr>
              <w:snapToGrid w:val="0"/>
              <w:spacing w:before="50" w:after="50" w:line="360" w:lineRule="auto"/>
              <w:rPr>
                <w:rFonts w:ascii="宋体" w:hAnsi="宋体"/>
                <w:color w:val="000000"/>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6EFBE4F7">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FC55FA">
            <w:pPr>
              <w:snapToGrid w:val="0"/>
              <w:spacing w:before="50" w:after="50" w:line="360" w:lineRule="auto"/>
              <w:rPr>
                <w:rFonts w:ascii="宋体" w:hAnsi="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9FD7A8B">
            <w:pPr>
              <w:snapToGrid w:val="0"/>
              <w:spacing w:before="50" w:after="50" w:line="360" w:lineRule="auto"/>
              <w:rPr>
                <w:rFonts w:ascii="宋体" w:hAnsi="宋体"/>
                <w:color w:val="000000"/>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0EF4254F">
            <w:pPr>
              <w:snapToGrid w:val="0"/>
              <w:spacing w:before="50" w:after="50" w:line="360" w:lineRule="auto"/>
              <w:rPr>
                <w:rFonts w:ascii="宋体" w:hAnsi="宋体"/>
                <w:color w:val="000000"/>
                <w:szCs w:val="21"/>
                <w:highlight w:val="none"/>
              </w:rPr>
            </w:pPr>
          </w:p>
        </w:tc>
      </w:tr>
      <w:tr w14:paraId="428AE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8720" w:type="dxa"/>
            <w:gridSpan w:val="9"/>
            <w:tcBorders>
              <w:top w:val="single" w:color="auto" w:sz="4" w:space="0"/>
              <w:left w:val="single" w:color="auto" w:sz="4" w:space="0"/>
              <w:bottom w:val="single" w:color="auto" w:sz="4" w:space="0"/>
              <w:right w:val="single" w:color="auto" w:sz="4" w:space="0"/>
            </w:tcBorders>
          </w:tcPr>
          <w:p w14:paraId="3537F6B4">
            <w:pPr>
              <w:snapToGrid w:val="0"/>
              <w:spacing w:before="50" w:after="50" w:line="360" w:lineRule="auto"/>
              <w:rPr>
                <w:rFonts w:ascii="宋体" w:hAnsi="宋体"/>
                <w:color w:val="000000"/>
                <w:szCs w:val="21"/>
                <w:highlight w:val="none"/>
              </w:rPr>
            </w:pPr>
            <w:r>
              <w:rPr>
                <w:rFonts w:hint="eastAsia" w:ascii="宋体" w:hAnsi="宋体" w:cs="仿宋_GB2312"/>
                <w:color w:val="000000"/>
                <w:szCs w:val="21"/>
                <w:highlight w:val="none"/>
              </w:rPr>
              <w:t>合计金额大写：人民币</w:t>
            </w:r>
            <w:r>
              <w:rPr>
                <w:rFonts w:hint="eastAsia" w:ascii="宋体" w:hAnsi="宋体" w:cs="仿宋_GB2312"/>
                <w:color w:val="000000"/>
                <w:szCs w:val="21"/>
                <w:highlight w:val="none"/>
                <w:u w:val="single"/>
              </w:rPr>
              <w:t xml:space="preserve">           </w:t>
            </w:r>
            <w:r>
              <w:rPr>
                <w:rFonts w:hint="eastAsia" w:ascii="宋体" w:hAnsi="宋体" w:cs="仿宋_GB2312"/>
                <w:color w:val="000000"/>
                <w:szCs w:val="21"/>
                <w:highlight w:val="none"/>
              </w:rPr>
              <w:t>（￥</w:t>
            </w:r>
            <w:r>
              <w:rPr>
                <w:rFonts w:hint="eastAsia" w:ascii="宋体" w:hAnsi="宋体" w:cs="仿宋_GB2312"/>
                <w:color w:val="000000"/>
                <w:szCs w:val="21"/>
                <w:highlight w:val="none"/>
                <w:u w:val="single"/>
              </w:rPr>
              <w:t xml:space="preserve">           </w:t>
            </w:r>
            <w:r>
              <w:rPr>
                <w:rFonts w:hint="eastAsia" w:ascii="宋体" w:hAnsi="宋体" w:cs="仿宋_GB2312"/>
                <w:color w:val="000000"/>
                <w:szCs w:val="21"/>
                <w:highlight w:val="none"/>
              </w:rPr>
              <w:t>）</w:t>
            </w:r>
          </w:p>
        </w:tc>
      </w:tr>
    </w:tbl>
    <w:p w14:paraId="154E2FCC">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 xml:space="preserve">注: </w:t>
      </w:r>
    </w:p>
    <w:p w14:paraId="6B1E0F5A">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1.投标人的开标一览表必须加盖投标人电子签章并由法定代表人（或负责人）</w:t>
      </w:r>
      <w:r>
        <w:rPr>
          <w:rFonts w:ascii="宋体" w:hAnsi="宋体"/>
          <w:color w:val="000000"/>
          <w:szCs w:val="21"/>
          <w:highlight w:val="none"/>
        </w:rPr>
        <w:t>或者委托代理人</w:t>
      </w:r>
      <w:r>
        <w:rPr>
          <w:rFonts w:hint="eastAsia" w:ascii="宋体" w:hAnsi="宋体"/>
          <w:color w:val="000000"/>
          <w:szCs w:val="21"/>
          <w:highlight w:val="none"/>
        </w:rPr>
        <w:t>（签字或电子签名），</w:t>
      </w:r>
      <w:r>
        <w:rPr>
          <w:rFonts w:hint="eastAsia" w:ascii="宋体" w:hAnsi="宋体"/>
          <w:b/>
          <w:color w:val="000000"/>
          <w:szCs w:val="21"/>
          <w:highlight w:val="none"/>
        </w:rPr>
        <w:t>否则其投标作无效标处理</w:t>
      </w:r>
      <w:r>
        <w:rPr>
          <w:rFonts w:hint="eastAsia" w:ascii="宋体" w:hAnsi="宋体"/>
          <w:color w:val="000000"/>
          <w:szCs w:val="21"/>
          <w:highlight w:val="none"/>
        </w:rPr>
        <w:t>。</w:t>
      </w:r>
    </w:p>
    <w:p w14:paraId="11C90380">
      <w:pPr>
        <w:snapToGrid w:val="0"/>
        <w:spacing w:line="360" w:lineRule="auto"/>
        <w:ind w:firstLine="420" w:firstLineChars="200"/>
        <w:jc w:val="left"/>
        <w:rPr>
          <w:rFonts w:ascii="宋体" w:hAnsi="宋体"/>
          <w:b/>
          <w:color w:val="000000"/>
          <w:szCs w:val="21"/>
          <w:highlight w:val="none"/>
        </w:rPr>
      </w:pPr>
      <w:r>
        <w:rPr>
          <w:rFonts w:hint="eastAsia" w:ascii="宋体" w:hAnsi="宋体"/>
          <w:bCs/>
          <w:color w:val="000000"/>
          <w:szCs w:val="21"/>
          <w:highlight w:val="none"/>
        </w:rPr>
        <w:t>2.</w:t>
      </w:r>
      <w:r>
        <w:rPr>
          <w:rFonts w:hint="eastAsia" w:ascii="宋体" w:hAnsi="宋体"/>
          <w:color w:val="000000"/>
          <w:szCs w:val="21"/>
          <w:highlight w:val="none"/>
        </w:rPr>
        <w:t>报价一经涂改，应在涂改处加盖投标人公章或者由法定代表人（或负责人）或者委托代理人（签字或电子签名）或者盖章</w:t>
      </w:r>
      <w:r>
        <w:rPr>
          <w:rFonts w:hint="eastAsia" w:ascii="宋体" w:hAnsi="宋体"/>
          <w:b/>
          <w:color w:val="000000"/>
          <w:szCs w:val="21"/>
          <w:highlight w:val="none"/>
        </w:rPr>
        <w:t>，否则其投标作无效标处理。</w:t>
      </w:r>
    </w:p>
    <w:p w14:paraId="6763125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3.招标文件中列明采购专用耗材的，应按招标文件规定的耗材量或者按耗材的常规试用量提供报价。</w:t>
      </w:r>
    </w:p>
    <w:p w14:paraId="04B76758">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4.如为联合体投标，“投标人名称”处必须列明联合体各方名称，并标注联合体牵头人名称，</w:t>
      </w:r>
      <w:r>
        <w:rPr>
          <w:rFonts w:hint="eastAsia" w:ascii="宋体" w:hAnsi="宋体"/>
          <w:b/>
          <w:color w:val="000000"/>
          <w:szCs w:val="21"/>
          <w:highlight w:val="none"/>
        </w:rPr>
        <w:t>否则其投标作无效标处理。</w:t>
      </w:r>
    </w:p>
    <w:p w14:paraId="105DFC22">
      <w:pPr>
        <w:snapToGrid w:val="0"/>
        <w:spacing w:line="360" w:lineRule="auto"/>
        <w:ind w:firstLine="396" w:firstLineChars="200"/>
        <w:jc w:val="left"/>
        <w:rPr>
          <w:rFonts w:ascii="宋体" w:hAnsi="宋体"/>
          <w:color w:val="000000"/>
          <w:spacing w:val="-6"/>
          <w:szCs w:val="21"/>
          <w:highlight w:val="none"/>
        </w:rPr>
      </w:pPr>
      <w:r>
        <w:rPr>
          <w:rFonts w:hint="eastAsia" w:ascii="宋体" w:hAnsi="宋体"/>
          <w:color w:val="000000"/>
          <w:spacing w:val="-6"/>
          <w:szCs w:val="21"/>
          <w:highlight w:val="none"/>
        </w:rPr>
        <w:t>5.如为联合体投标，盖章处须加盖联合体牵头人电子签章，</w:t>
      </w:r>
      <w:r>
        <w:rPr>
          <w:rFonts w:hint="eastAsia" w:ascii="宋体" w:hAnsi="宋体"/>
          <w:b/>
          <w:color w:val="000000"/>
          <w:spacing w:val="-6"/>
          <w:szCs w:val="21"/>
          <w:highlight w:val="none"/>
        </w:rPr>
        <w:t>否则其投标作无效标处理。</w:t>
      </w:r>
    </w:p>
    <w:p w14:paraId="586F3870">
      <w:pPr>
        <w:snapToGrid w:val="0"/>
        <w:spacing w:line="360" w:lineRule="auto"/>
        <w:ind w:firstLine="420" w:firstLineChars="200"/>
        <w:rPr>
          <w:rFonts w:ascii="宋体" w:hAnsi="宋体"/>
          <w:b/>
          <w:color w:val="000000"/>
          <w:szCs w:val="21"/>
          <w:highlight w:val="none"/>
        </w:rPr>
      </w:pPr>
      <w:r>
        <w:rPr>
          <w:rFonts w:hint="eastAsia" w:ascii="宋体" w:hAnsi="宋体"/>
          <w:color w:val="000000"/>
          <w:szCs w:val="21"/>
          <w:highlight w:val="none"/>
        </w:rPr>
        <w:t>6.如有多分标，按分标分别提供开标一览表，</w:t>
      </w:r>
      <w:r>
        <w:rPr>
          <w:rFonts w:hint="eastAsia" w:ascii="宋体" w:hAnsi="宋体"/>
          <w:b/>
          <w:color w:val="000000"/>
          <w:szCs w:val="21"/>
          <w:highlight w:val="none"/>
        </w:rPr>
        <w:t>否则投标无效。</w:t>
      </w:r>
    </w:p>
    <w:p w14:paraId="67516F3A">
      <w:pPr>
        <w:pStyle w:val="19"/>
        <w:rPr>
          <w:color w:val="000000"/>
          <w:sz w:val="21"/>
          <w:szCs w:val="21"/>
          <w:highlight w:val="none"/>
        </w:rPr>
      </w:pPr>
    </w:p>
    <w:p w14:paraId="5CD62BC5">
      <w:pPr>
        <w:snapToGrid w:val="0"/>
        <w:spacing w:line="360" w:lineRule="auto"/>
        <w:ind w:left="-2" w:leftChars="-1" w:right="-817" w:rightChars="-389"/>
        <w:rPr>
          <w:rFonts w:ascii="宋体" w:hAnsi="宋体"/>
          <w:color w:val="000000"/>
          <w:szCs w:val="21"/>
          <w:highlight w:val="none"/>
        </w:rPr>
      </w:pPr>
      <w:r>
        <w:rPr>
          <w:rFonts w:hint="eastAsia" w:ascii="宋体" w:hAnsi="宋体"/>
          <w:color w:val="000000"/>
          <w:szCs w:val="21"/>
          <w:highlight w:val="none"/>
        </w:rPr>
        <w:t xml:space="preserve">法定代表人（或负责人）或者委托代理人（签字或电子签名）： </w:t>
      </w:r>
    </w:p>
    <w:p w14:paraId="0E42B0D2">
      <w:pPr>
        <w:snapToGrid w:val="0"/>
        <w:spacing w:line="360" w:lineRule="auto"/>
        <w:ind w:left="-6" w:leftChars="-15" w:right="-817" w:rightChars="-389" w:hanging="25" w:hangingChars="12"/>
        <w:rPr>
          <w:rFonts w:ascii="宋体" w:hAnsi="宋体"/>
          <w:color w:val="000000"/>
          <w:szCs w:val="21"/>
          <w:highlight w:val="none"/>
        </w:rPr>
      </w:pPr>
      <w:r>
        <w:rPr>
          <w:rFonts w:hint="eastAsia" w:ascii="宋体" w:hAnsi="宋体"/>
          <w:color w:val="000000"/>
          <w:szCs w:val="21"/>
          <w:highlight w:val="none"/>
        </w:rPr>
        <w:t xml:space="preserve">                                  投标人名称（电子签章）：</w:t>
      </w:r>
    </w:p>
    <w:p w14:paraId="4AF6C9F9">
      <w:pPr>
        <w:snapToGrid w:val="0"/>
        <w:spacing w:line="360" w:lineRule="auto"/>
        <w:ind w:left="-6" w:leftChars="-15" w:right="-817" w:rightChars="-389" w:hanging="25" w:hangingChars="12"/>
        <w:rPr>
          <w:rFonts w:ascii="宋体" w:hAnsi="宋体"/>
          <w:color w:val="000000"/>
          <w:szCs w:val="21"/>
          <w:highlight w:val="none"/>
        </w:rPr>
      </w:pPr>
      <w:r>
        <w:rPr>
          <w:rFonts w:hint="eastAsia" w:ascii="宋体" w:hAnsi="宋体"/>
          <w:color w:val="000000"/>
          <w:szCs w:val="21"/>
          <w:highlight w:val="none"/>
        </w:rPr>
        <w:t xml:space="preserve">                                  日期：    年   月   日</w:t>
      </w:r>
    </w:p>
    <w:p w14:paraId="26071ACC">
      <w:pPr>
        <w:rPr>
          <w:b/>
          <w:color w:val="000000"/>
          <w:sz w:val="28"/>
          <w:szCs w:val="28"/>
          <w:highlight w:val="none"/>
        </w:rPr>
      </w:pPr>
      <w:r>
        <w:rPr>
          <w:rFonts w:ascii="宋体" w:hAnsi="宋体"/>
          <w:b/>
          <w:bCs/>
          <w:color w:val="000000"/>
          <w:sz w:val="24"/>
          <w:highlight w:val="none"/>
        </w:rPr>
        <w:br w:type="page"/>
      </w:r>
      <w:bookmarkStart w:id="156" w:name="_Toc19686837"/>
      <w:r>
        <w:rPr>
          <w:rFonts w:hint="eastAsia"/>
          <w:b/>
          <w:color w:val="000000"/>
          <w:sz w:val="28"/>
          <w:szCs w:val="28"/>
          <w:highlight w:val="none"/>
        </w:rPr>
        <w:t>二、资格证明文件格式</w:t>
      </w:r>
      <w:bookmarkEnd w:id="154"/>
      <w:bookmarkEnd w:id="155"/>
      <w:bookmarkEnd w:id="156"/>
    </w:p>
    <w:p w14:paraId="4FC50A80">
      <w:pPr>
        <w:numPr>
          <w:ilvl w:val="2"/>
          <w:numId w:val="13"/>
        </w:numPr>
        <w:snapToGrid w:val="0"/>
        <w:spacing w:before="120" w:beforeLines="50" w:after="50" w:line="360" w:lineRule="auto"/>
        <w:ind w:left="0" w:firstLine="0"/>
        <w:jc w:val="left"/>
        <w:rPr>
          <w:rFonts w:ascii="宋体" w:hAnsi="宋体"/>
          <w:b/>
          <w:color w:val="000000"/>
          <w:sz w:val="24"/>
          <w:highlight w:val="none"/>
        </w:rPr>
      </w:pPr>
      <w:r>
        <w:rPr>
          <w:rFonts w:hint="eastAsia" w:ascii="宋体" w:hAnsi="宋体"/>
          <w:b/>
          <w:color w:val="000000"/>
          <w:sz w:val="24"/>
          <w:highlight w:val="none"/>
        </w:rPr>
        <w:t xml:space="preserve">资格证明文件封面格式： </w:t>
      </w:r>
    </w:p>
    <w:p w14:paraId="728896D5">
      <w:pPr>
        <w:snapToGrid w:val="0"/>
        <w:spacing w:before="120" w:beforeLines="50" w:after="50"/>
        <w:jc w:val="center"/>
        <w:rPr>
          <w:rFonts w:ascii="宋体" w:hAnsi="宋体" w:eastAsia="仿宋"/>
          <w:bCs/>
          <w:color w:val="000000"/>
          <w:sz w:val="48"/>
          <w:szCs w:val="48"/>
          <w:highlight w:val="none"/>
        </w:rPr>
      </w:pPr>
    </w:p>
    <w:p w14:paraId="5723082A">
      <w:pPr>
        <w:snapToGrid w:val="0"/>
        <w:spacing w:before="120" w:beforeLines="50" w:after="50"/>
        <w:jc w:val="center"/>
        <w:rPr>
          <w:rFonts w:ascii="宋体" w:hAnsi="宋体" w:eastAsia="仿宋"/>
          <w:bCs/>
          <w:color w:val="000000"/>
          <w:sz w:val="48"/>
          <w:szCs w:val="48"/>
          <w:highlight w:val="none"/>
        </w:rPr>
      </w:pPr>
      <w:r>
        <w:rPr>
          <w:rFonts w:hint="eastAsia" w:ascii="宋体" w:hAnsi="宋体" w:eastAsia="仿宋"/>
          <w:bCs/>
          <w:color w:val="000000"/>
          <w:sz w:val="48"/>
          <w:szCs w:val="48"/>
          <w:highlight w:val="none"/>
        </w:rPr>
        <w:t>电子投标文件</w:t>
      </w:r>
    </w:p>
    <w:p w14:paraId="6F915144">
      <w:pPr>
        <w:pStyle w:val="19"/>
        <w:rPr>
          <w:color w:val="000000"/>
          <w:highlight w:val="none"/>
        </w:rPr>
      </w:pPr>
    </w:p>
    <w:p w14:paraId="1BEA03EA">
      <w:pPr>
        <w:snapToGrid w:val="0"/>
        <w:spacing w:before="120" w:beforeLines="50" w:after="50"/>
        <w:jc w:val="center"/>
        <w:rPr>
          <w:rFonts w:ascii="宋体" w:hAnsi="宋体"/>
          <w:b/>
          <w:color w:val="000000"/>
          <w:sz w:val="24"/>
          <w:szCs w:val="20"/>
          <w:highlight w:val="none"/>
        </w:rPr>
      </w:pPr>
      <w:r>
        <w:rPr>
          <w:rFonts w:hint="eastAsia" w:ascii="宋体" w:hAnsi="宋体"/>
          <w:b/>
          <w:color w:val="000000"/>
          <w:sz w:val="32"/>
          <w:szCs w:val="32"/>
          <w:highlight w:val="none"/>
        </w:rPr>
        <w:t>资格证明文件</w:t>
      </w:r>
    </w:p>
    <w:p w14:paraId="08896D11">
      <w:pPr>
        <w:snapToGrid w:val="0"/>
        <w:spacing w:before="120" w:beforeLines="50" w:after="50"/>
        <w:rPr>
          <w:rFonts w:ascii="宋体" w:hAnsi="宋体"/>
          <w:bCs/>
          <w:color w:val="000000"/>
          <w:sz w:val="24"/>
          <w:szCs w:val="20"/>
          <w:highlight w:val="none"/>
        </w:rPr>
      </w:pPr>
    </w:p>
    <w:p w14:paraId="1D7BBBF2">
      <w:pPr>
        <w:snapToGrid w:val="0"/>
        <w:spacing w:before="120" w:beforeLines="50" w:after="50"/>
        <w:rPr>
          <w:rFonts w:ascii="宋体" w:hAnsi="宋体"/>
          <w:bCs/>
          <w:color w:val="000000"/>
          <w:sz w:val="24"/>
          <w:szCs w:val="20"/>
          <w:highlight w:val="none"/>
        </w:rPr>
      </w:pPr>
    </w:p>
    <w:p w14:paraId="7E2C10F0">
      <w:pPr>
        <w:snapToGrid w:val="0"/>
        <w:spacing w:before="120" w:beforeLines="50" w:after="50"/>
        <w:rPr>
          <w:rFonts w:ascii="宋体" w:hAnsi="宋体"/>
          <w:bCs/>
          <w:color w:val="000000"/>
          <w:sz w:val="24"/>
          <w:szCs w:val="20"/>
          <w:highlight w:val="none"/>
        </w:rPr>
      </w:pPr>
    </w:p>
    <w:p w14:paraId="24EFAD6A">
      <w:pPr>
        <w:snapToGrid w:val="0"/>
        <w:spacing w:before="120" w:beforeLines="50" w:after="50"/>
        <w:rPr>
          <w:rFonts w:ascii="宋体" w:hAnsi="宋体"/>
          <w:bCs/>
          <w:color w:val="000000"/>
          <w:sz w:val="24"/>
          <w:szCs w:val="20"/>
          <w:highlight w:val="none"/>
        </w:rPr>
      </w:pPr>
    </w:p>
    <w:p w14:paraId="22F9558B">
      <w:pPr>
        <w:snapToGrid w:val="0"/>
        <w:spacing w:before="120" w:beforeLines="50" w:after="50"/>
        <w:rPr>
          <w:rFonts w:ascii="宋体" w:hAnsi="宋体"/>
          <w:bCs/>
          <w:color w:val="000000"/>
          <w:sz w:val="24"/>
          <w:szCs w:val="20"/>
          <w:highlight w:val="none"/>
        </w:rPr>
      </w:pPr>
    </w:p>
    <w:p w14:paraId="7C3E532A">
      <w:pPr>
        <w:snapToGrid w:val="0"/>
        <w:spacing w:before="120" w:beforeLines="50" w:after="50"/>
        <w:rPr>
          <w:rFonts w:ascii="宋体" w:hAnsi="宋体"/>
          <w:bCs/>
          <w:color w:val="000000"/>
          <w:sz w:val="24"/>
          <w:szCs w:val="20"/>
          <w:highlight w:val="none"/>
        </w:rPr>
      </w:pPr>
    </w:p>
    <w:p w14:paraId="6471812F">
      <w:pPr>
        <w:snapToGrid w:val="0"/>
        <w:spacing w:before="120" w:beforeLines="50" w:after="50"/>
        <w:rPr>
          <w:rFonts w:ascii="宋体" w:hAnsi="宋体"/>
          <w:bCs/>
          <w:color w:val="000000"/>
          <w:sz w:val="24"/>
          <w:szCs w:val="20"/>
          <w:highlight w:val="none"/>
        </w:rPr>
      </w:pPr>
    </w:p>
    <w:p w14:paraId="56807E06">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项目名称：</w:t>
      </w:r>
    </w:p>
    <w:p w14:paraId="7C8E9B55">
      <w:pPr>
        <w:snapToGrid w:val="0"/>
        <w:spacing w:before="120" w:beforeLines="50" w:after="50"/>
        <w:ind w:firstLine="540" w:firstLineChars="225"/>
        <w:rPr>
          <w:rFonts w:ascii="宋体" w:hAnsi="宋体"/>
          <w:bCs/>
          <w:color w:val="000000"/>
          <w:sz w:val="24"/>
          <w:szCs w:val="20"/>
          <w:highlight w:val="none"/>
        </w:rPr>
      </w:pPr>
    </w:p>
    <w:p w14:paraId="33F1A54F">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项目编号：</w:t>
      </w:r>
    </w:p>
    <w:p w14:paraId="49162B33">
      <w:pPr>
        <w:snapToGrid w:val="0"/>
        <w:spacing w:before="120" w:beforeLines="50" w:after="50"/>
        <w:ind w:firstLine="540" w:firstLineChars="225"/>
        <w:rPr>
          <w:rFonts w:ascii="宋体" w:hAnsi="宋体"/>
          <w:bCs/>
          <w:color w:val="000000"/>
          <w:sz w:val="24"/>
          <w:szCs w:val="20"/>
          <w:highlight w:val="none"/>
        </w:rPr>
      </w:pPr>
      <w:r>
        <w:rPr>
          <w:rFonts w:hint="eastAsia" w:ascii="宋体" w:hAnsi="宋体"/>
          <w:bCs/>
          <w:color w:val="000000"/>
          <w:sz w:val="24"/>
          <w:highlight w:val="none"/>
        </w:rPr>
        <w:t xml:space="preserve"> </w:t>
      </w:r>
    </w:p>
    <w:p w14:paraId="39779B15">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所投分标：无，则写“/”</w:t>
      </w:r>
    </w:p>
    <w:p w14:paraId="0764B862">
      <w:pPr>
        <w:pStyle w:val="7"/>
        <w:snapToGrid w:val="0"/>
        <w:spacing w:before="50" w:after="50"/>
        <w:ind w:firstLine="540" w:firstLineChars="225"/>
        <w:rPr>
          <w:rFonts w:ascii="宋体" w:hAnsi="宋体"/>
          <w:bCs/>
          <w:color w:val="000000"/>
          <w:sz w:val="24"/>
          <w:szCs w:val="24"/>
          <w:highlight w:val="none"/>
        </w:rPr>
      </w:pPr>
    </w:p>
    <w:p w14:paraId="55429604">
      <w:pPr>
        <w:pStyle w:val="7"/>
        <w:snapToGrid w:val="0"/>
        <w:spacing w:before="50" w:after="50"/>
        <w:ind w:firstLine="540" w:firstLineChars="225"/>
        <w:rPr>
          <w:rFonts w:ascii="宋体" w:hAnsi="宋体"/>
          <w:bCs/>
          <w:color w:val="000000"/>
          <w:sz w:val="24"/>
          <w:szCs w:val="24"/>
          <w:highlight w:val="none"/>
        </w:rPr>
      </w:pPr>
      <w:r>
        <w:rPr>
          <w:rFonts w:hint="eastAsia" w:ascii="宋体" w:hAnsi="宋体"/>
          <w:bCs/>
          <w:color w:val="000000"/>
          <w:sz w:val="24"/>
          <w:szCs w:val="24"/>
          <w:highlight w:val="none"/>
        </w:rPr>
        <w:t>投标人名称：</w:t>
      </w:r>
    </w:p>
    <w:p w14:paraId="02102C8E">
      <w:pPr>
        <w:pStyle w:val="7"/>
        <w:snapToGrid w:val="0"/>
        <w:spacing w:before="50" w:after="50"/>
        <w:ind w:firstLine="540" w:firstLineChars="225"/>
        <w:rPr>
          <w:rFonts w:ascii="宋体" w:hAnsi="宋体"/>
          <w:bCs/>
          <w:color w:val="000000"/>
          <w:sz w:val="24"/>
          <w:szCs w:val="24"/>
          <w:highlight w:val="none"/>
        </w:rPr>
      </w:pPr>
    </w:p>
    <w:p w14:paraId="3782C87F">
      <w:pPr>
        <w:pStyle w:val="7"/>
        <w:snapToGrid w:val="0"/>
        <w:spacing w:before="50" w:after="50"/>
        <w:ind w:firstLine="960" w:firstLineChars="400"/>
        <w:rPr>
          <w:rFonts w:ascii="宋体" w:hAnsi="宋体"/>
          <w:bCs/>
          <w:color w:val="000000"/>
          <w:sz w:val="24"/>
          <w:szCs w:val="24"/>
          <w:highlight w:val="none"/>
        </w:rPr>
      </w:pPr>
    </w:p>
    <w:p w14:paraId="75B9EBE3">
      <w:pPr>
        <w:snapToGrid w:val="0"/>
        <w:spacing w:before="120" w:beforeLines="50" w:after="50"/>
        <w:ind w:firstLine="645"/>
        <w:jc w:val="center"/>
        <w:rPr>
          <w:rFonts w:ascii="宋体" w:hAnsi="宋体"/>
          <w:color w:val="000000"/>
          <w:sz w:val="24"/>
          <w:highlight w:val="none"/>
        </w:rPr>
      </w:pPr>
      <w:r>
        <w:rPr>
          <w:rFonts w:hint="eastAsia" w:ascii="宋体" w:hAnsi="宋体"/>
          <w:color w:val="000000"/>
          <w:sz w:val="24"/>
          <w:highlight w:val="none"/>
        </w:rPr>
        <w:t>年  月  日</w:t>
      </w:r>
    </w:p>
    <w:p w14:paraId="70B6638A">
      <w:pPr>
        <w:snapToGrid w:val="0"/>
        <w:spacing w:before="120" w:beforeLines="50" w:after="50"/>
        <w:rPr>
          <w:rFonts w:ascii="宋体" w:hAnsi="宋体"/>
          <w:color w:val="000000"/>
          <w:sz w:val="24"/>
          <w:szCs w:val="20"/>
          <w:highlight w:val="none"/>
        </w:rPr>
      </w:pPr>
      <w:r>
        <w:rPr>
          <w:rFonts w:ascii="宋体" w:hAnsi="宋体"/>
          <w:color w:val="000000"/>
          <w:sz w:val="24"/>
          <w:szCs w:val="20"/>
          <w:highlight w:val="none"/>
        </w:rPr>
        <w:t xml:space="preserve"> </w:t>
      </w:r>
    </w:p>
    <w:p w14:paraId="7E7E2734">
      <w:pPr>
        <w:snapToGrid w:val="0"/>
        <w:spacing w:before="120" w:beforeLines="50" w:after="50"/>
        <w:rPr>
          <w:rFonts w:ascii="宋体" w:hAnsi="宋体"/>
          <w:color w:val="000000"/>
          <w:sz w:val="24"/>
          <w:szCs w:val="20"/>
          <w:highlight w:val="none"/>
        </w:rPr>
      </w:pPr>
    </w:p>
    <w:p w14:paraId="3CAA2F96">
      <w:pPr>
        <w:numPr>
          <w:ilvl w:val="2"/>
          <w:numId w:val="13"/>
        </w:numPr>
        <w:snapToGrid w:val="0"/>
        <w:spacing w:before="120" w:beforeLines="50" w:after="50" w:line="360" w:lineRule="auto"/>
        <w:ind w:left="0" w:firstLine="0"/>
        <w:jc w:val="left"/>
        <w:rPr>
          <w:rFonts w:ascii="宋体" w:hAnsi="宋体"/>
          <w:color w:val="000000"/>
          <w:sz w:val="24"/>
          <w:szCs w:val="20"/>
          <w:highlight w:val="none"/>
        </w:rPr>
      </w:pPr>
      <w:r>
        <w:rPr>
          <w:rFonts w:ascii="宋体" w:hAnsi="宋体"/>
          <w:b/>
          <w:bCs/>
          <w:color w:val="000000"/>
          <w:sz w:val="24"/>
          <w:highlight w:val="none"/>
        </w:rPr>
        <w:br w:type="page"/>
      </w:r>
      <w:r>
        <w:rPr>
          <w:rFonts w:hint="eastAsia" w:ascii="宋体" w:hAnsi="宋体"/>
          <w:b/>
          <w:bCs/>
          <w:color w:val="000000"/>
          <w:sz w:val="24"/>
          <w:highlight w:val="none"/>
        </w:rPr>
        <w:t>资格证明文件目录</w:t>
      </w:r>
    </w:p>
    <w:p w14:paraId="337AE9BC">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根据招标文件规定及投标人提供的材料自行编写目录。</w:t>
      </w:r>
    </w:p>
    <w:p w14:paraId="6424C49D">
      <w:pPr>
        <w:snapToGrid w:val="0"/>
        <w:spacing w:before="50" w:after="120" w:afterLines="50"/>
        <w:jc w:val="left"/>
        <w:rPr>
          <w:rFonts w:ascii="宋体" w:hAnsi="宋体"/>
          <w:color w:val="000000"/>
          <w:sz w:val="24"/>
          <w:highlight w:val="none"/>
        </w:rPr>
      </w:pPr>
    </w:p>
    <w:p w14:paraId="0BB08107">
      <w:pPr>
        <w:snapToGrid w:val="0"/>
        <w:spacing w:before="50" w:after="120" w:afterLines="50"/>
        <w:jc w:val="left"/>
        <w:rPr>
          <w:rFonts w:ascii="宋体" w:hAnsi="宋体"/>
          <w:color w:val="000000"/>
          <w:sz w:val="24"/>
          <w:highlight w:val="none"/>
        </w:rPr>
      </w:pPr>
    </w:p>
    <w:p w14:paraId="2E02FA6C">
      <w:pPr>
        <w:numPr>
          <w:ilvl w:val="2"/>
          <w:numId w:val="13"/>
        </w:numPr>
        <w:snapToGrid w:val="0"/>
        <w:spacing w:before="120" w:beforeLines="50" w:after="50"/>
        <w:ind w:left="0" w:firstLine="0"/>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8"/>
          <w:szCs w:val="28"/>
          <w:highlight w:val="none"/>
        </w:rPr>
        <w:t>投标人直接控股、管理关系信息表</w:t>
      </w:r>
    </w:p>
    <w:p w14:paraId="73CA715F">
      <w:pPr>
        <w:snapToGrid w:val="0"/>
        <w:spacing w:before="50" w:after="120" w:afterLines="50"/>
        <w:jc w:val="center"/>
        <w:rPr>
          <w:rFonts w:ascii="宋体" w:hAnsi="宋体"/>
          <w:b/>
          <w:color w:val="000000"/>
          <w:sz w:val="28"/>
          <w:szCs w:val="28"/>
          <w:highlight w:val="none"/>
        </w:rPr>
      </w:pPr>
    </w:p>
    <w:p w14:paraId="28B672BA">
      <w:pPr>
        <w:snapToGrid w:val="0"/>
        <w:spacing w:before="50" w:after="120" w:afterLines="50" w:line="360" w:lineRule="auto"/>
        <w:jc w:val="center"/>
        <w:rPr>
          <w:rFonts w:ascii="宋体" w:hAnsi="宋体"/>
          <w:b/>
          <w:color w:val="000000"/>
          <w:sz w:val="32"/>
          <w:szCs w:val="32"/>
          <w:highlight w:val="none"/>
        </w:rPr>
      </w:pPr>
      <w:r>
        <w:rPr>
          <w:rFonts w:hint="eastAsia" w:ascii="宋体" w:hAnsi="宋体"/>
          <w:b/>
          <w:color w:val="000000"/>
          <w:sz w:val="32"/>
          <w:szCs w:val="32"/>
          <w:highlight w:val="none"/>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0FBC115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C563D4">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9E35CC">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DBDEEF">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E1F537">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31B0CE">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备注</w:t>
            </w:r>
          </w:p>
        </w:tc>
      </w:tr>
      <w:tr w14:paraId="4C7BAC9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D602A">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59B65">
            <w:pPr>
              <w:spacing w:line="360" w:lineRule="auto"/>
              <w:jc w:val="center"/>
              <w:rPr>
                <w:rFonts w:ascii="宋体" w:hAnsi="宋体" w:cs="宋体"/>
                <w:color w:val="000000"/>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83CEF">
            <w:pPr>
              <w:spacing w:line="360" w:lineRule="auto"/>
              <w:jc w:val="center"/>
              <w:rPr>
                <w:rFonts w:ascii="宋体" w:hAnsi="宋体" w:cs="宋体"/>
                <w:color w:val="000000"/>
                <w:kern w:val="0"/>
                <w:szCs w:val="21"/>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7A4D75">
            <w:pPr>
              <w:spacing w:line="360" w:lineRule="auto"/>
              <w:jc w:val="center"/>
              <w:rPr>
                <w:rFonts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8858D4">
            <w:pPr>
              <w:spacing w:line="360" w:lineRule="auto"/>
              <w:jc w:val="center"/>
              <w:rPr>
                <w:rFonts w:ascii="宋体" w:hAnsi="宋体" w:cs="宋体"/>
                <w:color w:val="000000"/>
                <w:kern w:val="0"/>
                <w:szCs w:val="21"/>
                <w:highlight w:val="none"/>
              </w:rPr>
            </w:pPr>
          </w:p>
        </w:tc>
      </w:tr>
      <w:tr w14:paraId="50B59EF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4FFCD5">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3A3FB">
            <w:pPr>
              <w:spacing w:line="360" w:lineRule="auto"/>
              <w:jc w:val="center"/>
              <w:rPr>
                <w:rFonts w:ascii="宋体" w:hAnsi="宋体" w:cs="宋体"/>
                <w:color w:val="000000"/>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27F4FF">
            <w:pPr>
              <w:spacing w:line="360" w:lineRule="auto"/>
              <w:jc w:val="center"/>
              <w:rPr>
                <w:rFonts w:ascii="宋体" w:hAnsi="宋体" w:cs="宋体"/>
                <w:color w:val="000000"/>
                <w:kern w:val="0"/>
                <w:szCs w:val="21"/>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09F89">
            <w:pPr>
              <w:spacing w:line="360" w:lineRule="auto"/>
              <w:jc w:val="center"/>
              <w:rPr>
                <w:rFonts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13CF1">
            <w:pPr>
              <w:spacing w:line="360" w:lineRule="auto"/>
              <w:jc w:val="center"/>
              <w:rPr>
                <w:rFonts w:ascii="宋体" w:hAnsi="宋体" w:cs="宋体"/>
                <w:color w:val="000000"/>
                <w:kern w:val="0"/>
                <w:szCs w:val="21"/>
                <w:highlight w:val="none"/>
              </w:rPr>
            </w:pPr>
          </w:p>
        </w:tc>
      </w:tr>
      <w:tr w14:paraId="4D22348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B5A50A">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1AEFD">
            <w:pPr>
              <w:spacing w:line="360" w:lineRule="auto"/>
              <w:jc w:val="center"/>
              <w:rPr>
                <w:rFonts w:ascii="宋体" w:hAnsi="宋体" w:cs="宋体"/>
                <w:color w:val="000000"/>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60C5D">
            <w:pPr>
              <w:spacing w:line="360" w:lineRule="auto"/>
              <w:jc w:val="center"/>
              <w:rPr>
                <w:rFonts w:ascii="宋体" w:hAnsi="宋体" w:cs="宋体"/>
                <w:color w:val="000000"/>
                <w:kern w:val="0"/>
                <w:szCs w:val="21"/>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292CB2">
            <w:pPr>
              <w:spacing w:line="360" w:lineRule="auto"/>
              <w:jc w:val="center"/>
              <w:rPr>
                <w:rFonts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761A7E">
            <w:pPr>
              <w:spacing w:line="360" w:lineRule="auto"/>
              <w:jc w:val="center"/>
              <w:rPr>
                <w:rFonts w:ascii="宋体" w:hAnsi="宋体" w:cs="宋体"/>
                <w:color w:val="000000"/>
                <w:kern w:val="0"/>
                <w:szCs w:val="21"/>
                <w:highlight w:val="none"/>
              </w:rPr>
            </w:pPr>
          </w:p>
        </w:tc>
      </w:tr>
      <w:tr w14:paraId="3C67D0A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DC624">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290C55">
            <w:pPr>
              <w:spacing w:line="360" w:lineRule="auto"/>
              <w:jc w:val="center"/>
              <w:rPr>
                <w:rFonts w:ascii="宋体" w:hAnsi="宋体" w:cs="宋体"/>
                <w:color w:val="000000"/>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35B8EC">
            <w:pPr>
              <w:spacing w:line="360" w:lineRule="auto"/>
              <w:jc w:val="center"/>
              <w:rPr>
                <w:rFonts w:ascii="宋体" w:hAnsi="宋体" w:cs="宋体"/>
                <w:color w:val="000000"/>
                <w:kern w:val="0"/>
                <w:szCs w:val="21"/>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A798A0">
            <w:pPr>
              <w:spacing w:line="360" w:lineRule="auto"/>
              <w:jc w:val="center"/>
              <w:rPr>
                <w:rFonts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C215B">
            <w:pPr>
              <w:spacing w:line="360" w:lineRule="auto"/>
              <w:jc w:val="center"/>
              <w:rPr>
                <w:rFonts w:ascii="宋体" w:hAnsi="宋体" w:cs="宋体"/>
                <w:color w:val="000000"/>
                <w:kern w:val="0"/>
                <w:szCs w:val="21"/>
                <w:highlight w:val="none"/>
              </w:rPr>
            </w:pPr>
          </w:p>
        </w:tc>
      </w:tr>
    </w:tbl>
    <w:p w14:paraId="4B1E92D4">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注：</w:t>
      </w:r>
    </w:p>
    <w:p w14:paraId="2CC7DE41">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20EBE7E">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2.本表所指的控股关系仅限于直接控股关系，不包括间接的控股关系。公司实际控制人与公司之间的关系不属于本表所指的直接控股关系。</w:t>
      </w:r>
    </w:p>
    <w:p w14:paraId="79625A3B">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3.供应商不存在直接控股股东的，则在“</w:t>
      </w:r>
      <w:r>
        <w:rPr>
          <w:rFonts w:hint="eastAsia" w:ascii="宋体" w:hAnsi="宋体" w:cs="宋体"/>
          <w:b/>
          <w:bCs/>
          <w:color w:val="000000"/>
          <w:kern w:val="0"/>
          <w:szCs w:val="21"/>
          <w:highlight w:val="none"/>
        </w:rPr>
        <w:t>直接控股股东名称</w:t>
      </w:r>
      <w:r>
        <w:rPr>
          <w:rFonts w:hint="eastAsia" w:ascii="宋体" w:hAnsi="宋体"/>
          <w:color w:val="000000"/>
          <w:szCs w:val="21"/>
          <w:highlight w:val="none"/>
        </w:rPr>
        <w:t>”中填“无”。</w:t>
      </w:r>
    </w:p>
    <w:p w14:paraId="57B86D21">
      <w:pPr>
        <w:snapToGrid w:val="0"/>
        <w:spacing w:line="360" w:lineRule="auto"/>
        <w:jc w:val="left"/>
        <w:rPr>
          <w:rFonts w:ascii="宋体" w:hAnsi="宋体"/>
          <w:color w:val="000000"/>
          <w:szCs w:val="21"/>
          <w:highlight w:val="none"/>
        </w:rPr>
      </w:pPr>
    </w:p>
    <w:p w14:paraId="12EB9213">
      <w:pPr>
        <w:snapToGrid w:val="0"/>
        <w:spacing w:line="360" w:lineRule="auto"/>
        <w:jc w:val="left"/>
        <w:rPr>
          <w:rFonts w:ascii="宋体" w:hAnsi="宋体"/>
          <w:color w:val="000000"/>
          <w:szCs w:val="21"/>
          <w:highlight w:val="none"/>
        </w:rPr>
      </w:pPr>
    </w:p>
    <w:p w14:paraId="72702C38">
      <w:pPr>
        <w:snapToGrid w:val="0"/>
        <w:spacing w:line="360" w:lineRule="auto"/>
        <w:jc w:val="left"/>
        <w:rPr>
          <w:rFonts w:ascii="宋体" w:hAnsi="宋体"/>
          <w:color w:val="000000"/>
          <w:szCs w:val="21"/>
          <w:highlight w:val="none"/>
        </w:rPr>
      </w:pPr>
    </w:p>
    <w:p w14:paraId="72C822A8">
      <w:pPr>
        <w:snapToGrid w:val="0"/>
        <w:spacing w:line="360" w:lineRule="auto"/>
        <w:ind w:left="-2" w:leftChars="-1" w:right="-817" w:rightChars="-389"/>
        <w:rPr>
          <w:rFonts w:ascii="宋体" w:hAnsi="宋体"/>
          <w:color w:val="000000"/>
          <w:szCs w:val="21"/>
          <w:highlight w:val="none"/>
        </w:rPr>
      </w:pPr>
      <w:r>
        <w:rPr>
          <w:rFonts w:hint="eastAsia" w:ascii="宋体" w:hAnsi="宋体"/>
          <w:color w:val="000000"/>
          <w:szCs w:val="21"/>
          <w:highlight w:val="none"/>
        </w:rPr>
        <w:t xml:space="preserve">法定代表人（或负责人）或者委托代理人（签字或电子签名）： </w:t>
      </w:r>
    </w:p>
    <w:p w14:paraId="7C2476CC">
      <w:pPr>
        <w:snapToGrid w:val="0"/>
        <w:spacing w:line="360" w:lineRule="auto"/>
        <w:ind w:left="-6" w:leftChars="-15" w:right="-817" w:rightChars="-389" w:hanging="25" w:hangingChars="12"/>
        <w:rPr>
          <w:rFonts w:ascii="宋体" w:hAnsi="宋体"/>
          <w:color w:val="000000"/>
          <w:szCs w:val="21"/>
          <w:highlight w:val="none"/>
        </w:rPr>
      </w:pPr>
      <w:r>
        <w:rPr>
          <w:rFonts w:hint="eastAsia" w:ascii="宋体" w:hAnsi="宋体"/>
          <w:color w:val="000000"/>
          <w:szCs w:val="21"/>
          <w:highlight w:val="none"/>
        </w:rPr>
        <w:t xml:space="preserve">                                    投标人名称（电子签章）：</w:t>
      </w:r>
    </w:p>
    <w:p w14:paraId="7C2251F6">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 xml:space="preserve">                                    日期：    年   月   日</w:t>
      </w:r>
    </w:p>
    <w:p w14:paraId="3451A469">
      <w:pPr>
        <w:snapToGrid w:val="0"/>
        <w:jc w:val="center"/>
        <w:rPr>
          <w:rFonts w:ascii="宋体" w:hAnsi="宋体"/>
          <w:b/>
          <w:color w:val="000000"/>
          <w:sz w:val="28"/>
          <w:szCs w:val="28"/>
          <w:highlight w:val="none"/>
        </w:rPr>
      </w:pPr>
    </w:p>
    <w:p w14:paraId="2F28466A">
      <w:pPr>
        <w:snapToGrid w:val="0"/>
        <w:spacing w:line="360" w:lineRule="auto"/>
        <w:jc w:val="center"/>
        <w:rPr>
          <w:rFonts w:ascii="宋体" w:hAnsi="宋体"/>
          <w:color w:val="000000"/>
          <w:sz w:val="32"/>
          <w:szCs w:val="32"/>
          <w:highlight w:val="none"/>
        </w:rPr>
      </w:pPr>
      <w:r>
        <w:rPr>
          <w:rFonts w:ascii="宋体" w:hAnsi="宋体"/>
          <w:b/>
          <w:color w:val="000000"/>
          <w:sz w:val="32"/>
          <w:szCs w:val="32"/>
          <w:highlight w:val="none"/>
        </w:rPr>
        <w:br w:type="page"/>
      </w:r>
      <w:r>
        <w:rPr>
          <w:rFonts w:hint="eastAsia" w:ascii="宋体" w:hAnsi="宋体"/>
          <w:b/>
          <w:color w:val="000000"/>
          <w:sz w:val="32"/>
          <w:szCs w:val="32"/>
          <w:highlight w:val="none"/>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1281FA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A7C60E">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63C647">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1B2AF3">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5314C3">
            <w:pPr>
              <w:spacing w:line="36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备注</w:t>
            </w:r>
          </w:p>
        </w:tc>
      </w:tr>
      <w:tr w14:paraId="0C818FF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2B083C">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EAFEFE">
            <w:pPr>
              <w:spacing w:line="360" w:lineRule="auto"/>
              <w:jc w:val="center"/>
              <w:rPr>
                <w:rFonts w:ascii="宋体" w:hAnsi="宋体" w:cs="宋体"/>
                <w:color w:val="000000"/>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F539BF">
            <w:pPr>
              <w:spacing w:line="360" w:lineRule="auto"/>
              <w:jc w:val="center"/>
              <w:rPr>
                <w:rFonts w:ascii="宋体" w:hAnsi="宋体" w:cs="宋体"/>
                <w:color w:val="000000"/>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E6447">
            <w:pPr>
              <w:spacing w:line="360" w:lineRule="auto"/>
              <w:jc w:val="center"/>
              <w:rPr>
                <w:rFonts w:ascii="宋体" w:hAnsi="宋体" w:cs="宋体"/>
                <w:color w:val="000000"/>
                <w:kern w:val="0"/>
                <w:szCs w:val="21"/>
                <w:highlight w:val="none"/>
              </w:rPr>
            </w:pPr>
          </w:p>
        </w:tc>
      </w:tr>
      <w:tr w14:paraId="2788961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EBA54">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2B9391">
            <w:pPr>
              <w:spacing w:line="360" w:lineRule="auto"/>
              <w:jc w:val="center"/>
              <w:rPr>
                <w:rFonts w:ascii="宋体" w:hAnsi="宋体" w:cs="宋体"/>
                <w:color w:val="000000"/>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618A36">
            <w:pPr>
              <w:spacing w:line="360" w:lineRule="auto"/>
              <w:jc w:val="center"/>
              <w:rPr>
                <w:rFonts w:ascii="宋体" w:hAnsi="宋体" w:cs="宋体"/>
                <w:color w:val="000000"/>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3393B">
            <w:pPr>
              <w:spacing w:line="360" w:lineRule="auto"/>
              <w:jc w:val="center"/>
              <w:rPr>
                <w:rFonts w:ascii="宋体" w:hAnsi="宋体" w:cs="宋体"/>
                <w:color w:val="000000"/>
                <w:kern w:val="0"/>
                <w:szCs w:val="21"/>
                <w:highlight w:val="none"/>
              </w:rPr>
            </w:pPr>
          </w:p>
        </w:tc>
      </w:tr>
      <w:tr w14:paraId="4BC72C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67A839">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98F90">
            <w:pPr>
              <w:spacing w:line="360" w:lineRule="auto"/>
              <w:jc w:val="center"/>
              <w:rPr>
                <w:rFonts w:ascii="宋体" w:hAnsi="宋体" w:cs="宋体"/>
                <w:color w:val="000000"/>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3B743F">
            <w:pPr>
              <w:spacing w:line="360" w:lineRule="auto"/>
              <w:jc w:val="center"/>
              <w:rPr>
                <w:rFonts w:ascii="宋体" w:hAnsi="宋体" w:cs="宋体"/>
                <w:color w:val="000000"/>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0FA69B">
            <w:pPr>
              <w:spacing w:line="360" w:lineRule="auto"/>
              <w:jc w:val="center"/>
              <w:rPr>
                <w:rFonts w:ascii="宋体" w:hAnsi="宋体" w:cs="宋体"/>
                <w:color w:val="000000"/>
                <w:kern w:val="0"/>
                <w:szCs w:val="21"/>
                <w:highlight w:val="none"/>
              </w:rPr>
            </w:pPr>
          </w:p>
        </w:tc>
      </w:tr>
      <w:tr w14:paraId="3EBD60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EFE317">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3B101">
            <w:pPr>
              <w:spacing w:line="360" w:lineRule="auto"/>
              <w:jc w:val="center"/>
              <w:rPr>
                <w:rFonts w:ascii="宋体" w:hAnsi="宋体" w:cs="宋体"/>
                <w:color w:val="000000"/>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87B46">
            <w:pPr>
              <w:spacing w:line="360" w:lineRule="auto"/>
              <w:jc w:val="center"/>
              <w:rPr>
                <w:rFonts w:ascii="宋体" w:hAnsi="宋体" w:cs="宋体"/>
                <w:color w:val="000000"/>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9CF9A5">
            <w:pPr>
              <w:spacing w:line="360" w:lineRule="auto"/>
              <w:jc w:val="center"/>
              <w:rPr>
                <w:rFonts w:ascii="宋体" w:hAnsi="宋体" w:cs="宋体"/>
                <w:color w:val="000000"/>
                <w:kern w:val="0"/>
                <w:szCs w:val="21"/>
                <w:highlight w:val="none"/>
              </w:rPr>
            </w:pPr>
          </w:p>
        </w:tc>
      </w:tr>
    </w:tbl>
    <w:p w14:paraId="465EE270">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注：</w:t>
      </w:r>
    </w:p>
    <w:p w14:paraId="35F4C20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1.管理关系：是指不具有出资持股关系的其他单位之间存在的管理与被管理关系，如一些上下级关系的事业单位和团体组织。</w:t>
      </w:r>
    </w:p>
    <w:p w14:paraId="5946B016">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pacing w:val="-6"/>
          <w:szCs w:val="21"/>
          <w:highlight w:val="none"/>
        </w:rPr>
        <w:t>本表所指的管理关系仅限于直接管理关系，不包括间接的管理关系。</w:t>
      </w:r>
    </w:p>
    <w:p w14:paraId="6863F5D7">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3.供应商不存在直接管理关系的，则在“</w:t>
      </w:r>
      <w:r>
        <w:rPr>
          <w:rFonts w:hint="eastAsia" w:ascii="宋体" w:hAnsi="宋体" w:cs="宋体"/>
          <w:b/>
          <w:bCs/>
          <w:color w:val="000000"/>
          <w:kern w:val="0"/>
          <w:szCs w:val="21"/>
          <w:highlight w:val="none"/>
        </w:rPr>
        <w:t>直接管理关系单位名称</w:t>
      </w:r>
      <w:r>
        <w:rPr>
          <w:rFonts w:hint="eastAsia" w:ascii="宋体" w:hAnsi="宋体"/>
          <w:color w:val="000000"/>
          <w:szCs w:val="21"/>
          <w:highlight w:val="none"/>
        </w:rPr>
        <w:t>”中填“无”。</w:t>
      </w:r>
    </w:p>
    <w:p w14:paraId="3EB46BD4">
      <w:pPr>
        <w:snapToGrid w:val="0"/>
        <w:spacing w:line="360" w:lineRule="auto"/>
        <w:jc w:val="left"/>
        <w:rPr>
          <w:rFonts w:ascii="宋体" w:hAnsi="宋体"/>
          <w:color w:val="000000"/>
          <w:szCs w:val="21"/>
          <w:highlight w:val="none"/>
        </w:rPr>
      </w:pPr>
    </w:p>
    <w:p w14:paraId="2F9607A0">
      <w:pPr>
        <w:snapToGrid w:val="0"/>
        <w:spacing w:line="360" w:lineRule="auto"/>
        <w:jc w:val="left"/>
        <w:rPr>
          <w:rFonts w:ascii="宋体" w:hAnsi="宋体"/>
          <w:color w:val="000000"/>
          <w:szCs w:val="21"/>
          <w:highlight w:val="none"/>
        </w:rPr>
      </w:pPr>
    </w:p>
    <w:p w14:paraId="72CCA12F">
      <w:pPr>
        <w:snapToGrid w:val="0"/>
        <w:spacing w:line="360" w:lineRule="auto"/>
        <w:jc w:val="left"/>
        <w:rPr>
          <w:rFonts w:ascii="宋体" w:hAnsi="宋体"/>
          <w:color w:val="000000"/>
          <w:szCs w:val="21"/>
          <w:highlight w:val="none"/>
        </w:rPr>
      </w:pPr>
    </w:p>
    <w:p w14:paraId="231F7559">
      <w:pPr>
        <w:snapToGrid w:val="0"/>
        <w:spacing w:line="360" w:lineRule="auto"/>
        <w:jc w:val="left"/>
        <w:rPr>
          <w:color w:val="000000"/>
          <w:szCs w:val="21"/>
          <w:highlight w:val="none"/>
        </w:rPr>
      </w:pPr>
    </w:p>
    <w:p w14:paraId="5CB6E8F6">
      <w:pPr>
        <w:snapToGrid w:val="0"/>
        <w:spacing w:line="360" w:lineRule="auto"/>
        <w:ind w:left="-2" w:leftChars="-1" w:right="-817" w:rightChars="-389"/>
        <w:rPr>
          <w:rFonts w:ascii="宋体" w:hAnsi="宋体"/>
          <w:color w:val="000000"/>
          <w:szCs w:val="21"/>
          <w:highlight w:val="none"/>
        </w:rPr>
      </w:pPr>
      <w:r>
        <w:rPr>
          <w:rFonts w:hint="eastAsia" w:ascii="宋体" w:hAnsi="宋体"/>
          <w:color w:val="000000"/>
          <w:szCs w:val="21"/>
          <w:highlight w:val="none"/>
        </w:rPr>
        <w:t xml:space="preserve">法定代表人（或负责人）或者委托代理人（签字或电子签名）： </w:t>
      </w:r>
    </w:p>
    <w:p w14:paraId="27CD5534">
      <w:pPr>
        <w:snapToGrid w:val="0"/>
        <w:spacing w:line="360" w:lineRule="auto"/>
        <w:ind w:left="-6" w:leftChars="-15" w:right="-817" w:rightChars="-389" w:hanging="25" w:hangingChars="12"/>
        <w:rPr>
          <w:rFonts w:ascii="宋体" w:hAnsi="宋体"/>
          <w:color w:val="000000"/>
          <w:szCs w:val="21"/>
          <w:highlight w:val="none"/>
        </w:rPr>
      </w:pPr>
      <w:r>
        <w:rPr>
          <w:rFonts w:hint="eastAsia" w:ascii="宋体" w:hAnsi="宋体"/>
          <w:color w:val="000000"/>
          <w:szCs w:val="21"/>
          <w:highlight w:val="none"/>
        </w:rPr>
        <w:t xml:space="preserve">                                  投标人名称（电子签章）：</w:t>
      </w:r>
    </w:p>
    <w:p w14:paraId="7CE26898">
      <w:pPr>
        <w:snapToGrid w:val="0"/>
        <w:spacing w:line="360" w:lineRule="auto"/>
        <w:ind w:right="480" w:firstLine="210" w:firstLineChars="100"/>
        <w:jc w:val="left"/>
        <w:rPr>
          <w:rFonts w:ascii="宋体" w:hAnsi="宋体"/>
          <w:color w:val="000000"/>
          <w:szCs w:val="21"/>
          <w:highlight w:val="none"/>
        </w:rPr>
      </w:pPr>
      <w:r>
        <w:rPr>
          <w:rFonts w:hint="eastAsia" w:ascii="宋体" w:hAnsi="宋体"/>
          <w:color w:val="000000"/>
          <w:szCs w:val="21"/>
          <w:highlight w:val="none"/>
        </w:rPr>
        <w:t xml:space="preserve">                                日期：    年   月   日</w:t>
      </w:r>
    </w:p>
    <w:p w14:paraId="1678FDDE">
      <w:pPr>
        <w:snapToGrid w:val="0"/>
        <w:spacing w:before="120" w:beforeLines="50" w:after="50"/>
        <w:jc w:val="left"/>
        <w:rPr>
          <w:rFonts w:ascii="宋体" w:hAnsi="宋体"/>
          <w:b/>
          <w:color w:val="000000"/>
          <w:sz w:val="24"/>
          <w:szCs w:val="20"/>
          <w:highlight w:val="none"/>
        </w:rPr>
      </w:pPr>
    </w:p>
    <w:p w14:paraId="09CC0CFB">
      <w:pPr>
        <w:numPr>
          <w:ilvl w:val="2"/>
          <w:numId w:val="13"/>
        </w:numPr>
        <w:snapToGrid w:val="0"/>
        <w:spacing w:before="120" w:beforeLines="50" w:after="50"/>
        <w:ind w:left="0" w:firstLine="0"/>
        <w:jc w:val="left"/>
        <w:rPr>
          <w:rFonts w:ascii="宋体" w:hAnsi="宋体"/>
          <w:b/>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投标声明</w:t>
      </w:r>
    </w:p>
    <w:p w14:paraId="340C22DB">
      <w:pPr>
        <w:snapToGrid w:val="0"/>
        <w:spacing w:before="50" w:after="120" w:afterLines="50"/>
        <w:jc w:val="left"/>
        <w:rPr>
          <w:rFonts w:ascii="宋体" w:hAnsi="宋体"/>
          <w:color w:val="000000"/>
          <w:highlight w:val="none"/>
        </w:rPr>
      </w:pPr>
    </w:p>
    <w:p w14:paraId="75F1FCCA">
      <w:pPr>
        <w:snapToGrid w:val="0"/>
        <w:spacing w:before="50" w:after="120" w:afterLines="50"/>
        <w:jc w:val="center"/>
        <w:rPr>
          <w:rFonts w:ascii="仿宋" w:hAnsi="仿宋" w:eastAsia="仿宋" w:cs="仿宋"/>
          <w:bCs/>
          <w:color w:val="000000"/>
          <w:sz w:val="44"/>
          <w:szCs w:val="44"/>
          <w:highlight w:val="none"/>
        </w:rPr>
      </w:pPr>
      <w:r>
        <w:rPr>
          <w:rFonts w:hint="eastAsia" w:ascii="仿宋" w:hAnsi="仿宋" w:eastAsia="仿宋" w:cs="仿宋"/>
          <w:bCs/>
          <w:color w:val="000000"/>
          <w:sz w:val="44"/>
          <w:szCs w:val="44"/>
          <w:highlight w:val="none"/>
        </w:rPr>
        <w:t>投标声明</w:t>
      </w:r>
    </w:p>
    <w:p w14:paraId="21C0BFE2">
      <w:pPr>
        <w:spacing w:line="400" w:lineRule="exact"/>
        <w:contextualSpacing/>
        <w:jc w:val="left"/>
        <w:rPr>
          <w:color w:val="000000"/>
          <w:szCs w:val="21"/>
          <w:highlight w:val="none"/>
        </w:rPr>
      </w:pPr>
      <w:r>
        <w:rPr>
          <w:rFonts w:hint="eastAsia"/>
          <w:color w:val="000000"/>
          <w:szCs w:val="21"/>
          <w:highlight w:val="none"/>
        </w:rPr>
        <w:t>（采购人名称）：</w:t>
      </w:r>
    </w:p>
    <w:p w14:paraId="31D7B962">
      <w:pPr>
        <w:spacing w:line="400" w:lineRule="exact"/>
        <w:ind w:firstLine="457" w:firstLineChars="218"/>
        <w:contextualSpacing/>
        <w:jc w:val="left"/>
        <w:rPr>
          <w:rFonts w:ascii="宋体" w:hAnsi="宋体"/>
          <w:color w:val="000000"/>
          <w:szCs w:val="21"/>
          <w:highlight w:val="none"/>
        </w:rPr>
      </w:pPr>
      <w:r>
        <w:rPr>
          <w:rFonts w:hint="eastAsia" w:ascii="宋体" w:hAnsi="宋体"/>
          <w:color w:val="000000"/>
          <w:szCs w:val="21"/>
          <w:highlight w:val="none"/>
        </w:rPr>
        <w:t>我方参加贵单位组织</w:t>
      </w:r>
      <w:r>
        <w:rPr>
          <w:rFonts w:hint="eastAsia" w:ascii="宋体" w:hAnsi="宋体"/>
          <w:color w:val="000000"/>
          <w:szCs w:val="21"/>
          <w:highlight w:val="none"/>
          <w:u w:val="single"/>
        </w:rPr>
        <w:t xml:space="preserve">             </w:t>
      </w:r>
      <w:r>
        <w:rPr>
          <w:rFonts w:hint="eastAsia" w:ascii="宋体" w:hAnsi="宋体"/>
          <w:color w:val="000000"/>
          <w:szCs w:val="21"/>
          <w:highlight w:val="none"/>
        </w:rPr>
        <w:t>项目（项目编号：</w:t>
      </w:r>
      <w:r>
        <w:rPr>
          <w:rFonts w:hint="eastAsia" w:ascii="宋体" w:hAnsi="宋体"/>
          <w:color w:val="000000"/>
          <w:szCs w:val="21"/>
          <w:highlight w:val="none"/>
          <w:u w:val="single"/>
        </w:rPr>
        <w:t xml:space="preserve">       </w:t>
      </w:r>
      <w:r>
        <w:rPr>
          <w:rFonts w:hint="eastAsia" w:ascii="宋体" w:hAnsi="宋体"/>
          <w:color w:val="000000"/>
          <w:szCs w:val="21"/>
          <w:highlight w:val="none"/>
        </w:rPr>
        <w:t>）的政府采购活动。我方在此郑重声明：</w:t>
      </w:r>
    </w:p>
    <w:p w14:paraId="5BF1DCE6">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CB1640D">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2.我方不是为本次采购项目提供整体设计、规范编制或者项目管理、监理、检测等服务的供应商。</w:t>
      </w:r>
    </w:p>
    <w:p w14:paraId="685723D8">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3. 我方承诺符合《中华人民共和国政府采购法》第二十二条规定：</w:t>
      </w:r>
    </w:p>
    <w:p w14:paraId="435A4F91">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（一）具有独立承担民事责任的能力；</w:t>
      </w:r>
    </w:p>
    <w:p w14:paraId="5CE740C3">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（二）具有良好的商业信誉和健全的财务会计制度；</w:t>
      </w:r>
    </w:p>
    <w:p w14:paraId="1E3B72F0">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（三）具有履行合同所必需的设备和专业技术能力；</w:t>
      </w:r>
    </w:p>
    <w:p w14:paraId="6B7262B0">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（四）有依法缴纳税收和社会保障资金的良好记录；</w:t>
      </w:r>
    </w:p>
    <w:p w14:paraId="4F4E0CA2">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（五）参加政府采购活动前三年内，在经营活动中没有重大违法记录；</w:t>
      </w:r>
    </w:p>
    <w:p w14:paraId="630712E8">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（六）法律、行政法规规定的其他条件。</w:t>
      </w:r>
    </w:p>
    <w:p w14:paraId="3928A49C">
      <w:pPr>
        <w:spacing w:line="400" w:lineRule="exact"/>
        <w:ind w:firstLine="420" w:firstLineChars="200"/>
        <w:contextualSpacing/>
        <w:jc w:val="left"/>
        <w:rPr>
          <w:rFonts w:ascii="宋体" w:hAnsi="宋体"/>
          <w:color w:val="000000"/>
          <w:szCs w:val="21"/>
          <w:highlight w:val="none"/>
        </w:rPr>
      </w:pPr>
      <w:r>
        <w:rPr>
          <w:rFonts w:hint="eastAsia" w:ascii="宋体" w:hAnsi="宋体"/>
          <w:color w:val="000000"/>
          <w:szCs w:val="21"/>
          <w:highlight w:val="none"/>
        </w:rPr>
        <w:t>4.以上事项如有虚假或者隐瞒，我方愿意承担一切后果，并不再寻求任何旨在减轻或者免除法律责任的辩解。</w:t>
      </w:r>
    </w:p>
    <w:p w14:paraId="2E7C05D8">
      <w:pPr>
        <w:spacing w:line="400" w:lineRule="exact"/>
        <w:contextualSpacing/>
        <w:jc w:val="left"/>
        <w:rPr>
          <w:rFonts w:ascii="宋体" w:hAnsi="宋体"/>
          <w:color w:val="000000"/>
          <w:szCs w:val="21"/>
          <w:highlight w:val="none"/>
        </w:rPr>
      </w:pPr>
      <w:r>
        <w:rPr>
          <w:rFonts w:hint="eastAsia" w:ascii="宋体" w:hAnsi="宋体"/>
          <w:color w:val="000000"/>
          <w:szCs w:val="21"/>
          <w:highlight w:val="none"/>
        </w:rPr>
        <w:t xml:space="preserve">    特此承诺。</w:t>
      </w:r>
    </w:p>
    <w:p w14:paraId="57A17240">
      <w:pPr>
        <w:spacing w:line="400" w:lineRule="exact"/>
        <w:contextualSpacing/>
        <w:jc w:val="left"/>
        <w:rPr>
          <w:rFonts w:ascii="宋体" w:hAnsi="宋体"/>
          <w:color w:val="000000"/>
          <w:szCs w:val="21"/>
          <w:highlight w:val="none"/>
        </w:rPr>
      </w:pPr>
      <w:r>
        <w:rPr>
          <w:rFonts w:hint="eastAsia" w:ascii="宋体" w:hAnsi="宋体"/>
          <w:color w:val="000000"/>
          <w:szCs w:val="21"/>
          <w:highlight w:val="none"/>
        </w:rPr>
        <w:t>法定代表人（或负责人）（签字或电子签名）：</w:t>
      </w:r>
      <w:r>
        <w:rPr>
          <w:rFonts w:hint="eastAsia" w:ascii="宋体" w:hAnsi="宋体"/>
          <w:color w:val="000000"/>
          <w:szCs w:val="21"/>
          <w:highlight w:val="none"/>
          <w:u w:val="single"/>
        </w:rPr>
        <w:t xml:space="preserve">             </w:t>
      </w:r>
    </w:p>
    <w:p w14:paraId="26706361">
      <w:pPr>
        <w:spacing w:line="400" w:lineRule="exact"/>
        <w:contextualSpacing/>
        <w:jc w:val="left"/>
        <w:rPr>
          <w:rFonts w:ascii="宋体" w:hAnsi="宋体"/>
          <w:color w:val="000000"/>
          <w:szCs w:val="21"/>
          <w:highlight w:val="none"/>
        </w:rPr>
      </w:pPr>
      <w:r>
        <w:rPr>
          <w:rFonts w:hint="eastAsia" w:ascii="宋体" w:hAnsi="宋体"/>
          <w:color w:val="000000"/>
          <w:szCs w:val="21"/>
          <w:highlight w:val="none"/>
        </w:rPr>
        <w:t xml:space="preserve">                                         投标人名称（电子签章）：</w:t>
      </w:r>
      <w:r>
        <w:rPr>
          <w:rFonts w:hint="eastAsia" w:ascii="宋体" w:hAnsi="宋体"/>
          <w:color w:val="000000"/>
          <w:szCs w:val="21"/>
          <w:highlight w:val="none"/>
          <w:u w:val="single"/>
        </w:rPr>
        <w:t xml:space="preserve">                 </w:t>
      </w:r>
    </w:p>
    <w:p w14:paraId="14B80471">
      <w:pPr>
        <w:spacing w:line="400" w:lineRule="exact"/>
        <w:contextualSpacing/>
        <w:jc w:val="left"/>
        <w:rPr>
          <w:rFonts w:ascii="宋体" w:hAnsi="宋体"/>
          <w:color w:val="000000"/>
          <w:szCs w:val="21"/>
          <w:highlight w:val="none"/>
        </w:rPr>
      </w:pPr>
      <w:r>
        <w:rPr>
          <w:rFonts w:hint="eastAsia" w:ascii="宋体" w:hAnsi="宋体"/>
          <w:color w:val="000000"/>
          <w:szCs w:val="21"/>
          <w:highlight w:val="none"/>
        </w:rPr>
        <w:t xml:space="preserve">                                                  年    月    日</w:t>
      </w:r>
    </w:p>
    <w:p w14:paraId="0C68F293">
      <w:pPr>
        <w:spacing w:line="440" w:lineRule="exact"/>
        <w:contextualSpacing/>
        <w:rPr>
          <w:rFonts w:ascii="宋体" w:hAnsi="宋体"/>
          <w:b/>
          <w:color w:val="000000"/>
          <w:szCs w:val="21"/>
          <w:highlight w:val="none"/>
        </w:rPr>
      </w:pPr>
      <w:bookmarkStart w:id="157" w:name="_Toc19686838"/>
      <w:r>
        <w:rPr>
          <w:rFonts w:hint="eastAsia" w:ascii="宋体" w:hAnsi="宋体"/>
          <w:b/>
          <w:color w:val="000000"/>
          <w:szCs w:val="21"/>
          <w:highlight w:val="none"/>
        </w:rPr>
        <w:t>注：1.如为联合体投标，盖章处须加盖联合体牵头人电子签章并由联合体各方法定代表人（或负责人）分别签字或者电子签名，否则投标无效。</w:t>
      </w:r>
    </w:p>
    <w:p w14:paraId="176F8EF5">
      <w:pPr>
        <w:spacing w:line="440" w:lineRule="exact"/>
        <w:contextualSpacing/>
        <w:jc w:val="left"/>
        <w:rPr>
          <w:rFonts w:ascii="宋体" w:hAnsi="宋体"/>
          <w:b/>
          <w:color w:val="000000"/>
          <w:szCs w:val="21"/>
          <w:highlight w:val="none"/>
        </w:rPr>
      </w:pPr>
      <w:r>
        <w:rPr>
          <w:rFonts w:hint="eastAsia" w:ascii="宋体" w:hAnsi="宋体"/>
          <w:b/>
          <w:color w:val="000000"/>
          <w:szCs w:val="21"/>
          <w:highlight w:val="none"/>
        </w:rPr>
        <w:t>2</w:t>
      </w:r>
      <w:r>
        <w:rPr>
          <w:rFonts w:hint="eastAsia" w:ascii="宋体" w:hAnsi="宋体" w:cs="仿宋_GB2312"/>
          <w:color w:val="000000"/>
          <w:szCs w:val="21"/>
          <w:highlight w:val="none"/>
        </w:rPr>
        <w:t>.法定代表人（或负责人）必须在授权委托书上亲笔签字或者盖章</w:t>
      </w:r>
      <w:r>
        <w:rPr>
          <w:rFonts w:hint="eastAsia" w:ascii="宋体" w:hAnsi="宋体"/>
          <w:color w:val="000000"/>
          <w:szCs w:val="21"/>
          <w:highlight w:val="none"/>
        </w:rPr>
        <w:t>或者电子签名</w:t>
      </w:r>
      <w:r>
        <w:rPr>
          <w:rFonts w:hint="eastAsia" w:ascii="宋体" w:hAnsi="宋体" w:cs="仿宋_GB2312"/>
          <w:color w:val="000000"/>
          <w:szCs w:val="21"/>
          <w:highlight w:val="none"/>
        </w:rPr>
        <w:t>，</w:t>
      </w:r>
      <w:r>
        <w:rPr>
          <w:rFonts w:hint="eastAsia" w:ascii="宋体" w:hAnsi="宋体" w:cs="仿宋_GB2312"/>
          <w:b/>
          <w:bCs/>
          <w:color w:val="000000"/>
          <w:szCs w:val="21"/>
          <w:highlight w:val="none"/>
        </w:rPr>
        <w:t>否则按无效投标处理</w:t>
      </w:r>
      <w:r>
        <w:rPr>
          <w:rFonts w:hint="eastAsia" w:ascii="宋体" w:hAnsi="宋体" w:cs="仿宋_GB2312"/>
          <w:color w:val="000000"/>
          <w:szCs w:val="21"/>
          <w:highlight w:val="none"/>
        </w:rPr>
        <w:t>；</w:t>
      </w:r>
    </w:p>
    <w:p w14:paraId="22E21CA6">
      <w:pPr>
        <w:rPr>
          <w:b/>
          <w:color w:val="000000"/>
          <w:sz w:val="28"/>
          <w:szCs w:val="28"/>
          <w:highlight w:val="none"/>
        </w:rPr>
      </w:pPr>
      <w:r>
        <w:rPr>
          <w:b/>
          <w:color w:val="000000"/>
          <w:sz w:val="28"/>
          <w:szCs w:val="28"/>
          <w:highlight w:val="none"/>
        </w:rPr>
        <w:br w:type="page"/>
      </w:r>
      <w:r>
        <w:rPr>
          <w:rFonts w:hint="eastAsia"/>
          <w:b/>
          <w:color w:val="000000"/>
          <w:sz w:val="28"/>
          <w:szCs w:val="28"/>
          <w:highlight w:val="none"/>
        </w:rPr>
        <w:t>三、商务文件格式</w:t>
      </w:r>
      <w:bookmarkEnd w:id="157"/>
    </w:p>
    <w:p w14:paraId="15B5377D">
      <w:pPr>
        <w:snapToGrid w:val="0"/>
        <w:spacing w:before="120" w:beforeLines="50" w:after="50" w:line="360" w:lineRule="auto"/>
        <w:jc w:val="left"/>
        <w:rPr>
          <w:rFonts w:ascii="宋体" w:hAnsi="宋体"/>
          <w:b/>
          <w:color w:val="000000"/>
          <w:sz w:val="24"/>
          <w:highlight w:val="none"/>
        </w:rPr>
      </w:pPr>
      <w:r>
        <w:rPr>
          <w:rFonts w:hint="eastAsia" w:ascii="宋体" w:hAnsi="宋体"/>
          <w:b/>
          <w:color w:val="000000"/>
          <w:sz w:val="24"/>
          <w:highlight w:val="none"/>
        </w:rPr>
        <w:t xml:space="preserve">1.商务文件封面格式： </w:t>
      </w:r>
    </w:p>
    <w:p w14:paraId="5D058595">
      <w:pPr>
        <w:snapToGrid w:val="0"/>
        <w:spacing w:before="120" w:beforeLines="50" w:after="50"/>
        <w:jc w:val="center"/>
        <w:rPr>
          <w:rFonts w:ascii="宋体" w:hAnsi="宋体" w:eastAsia="仿宋"/>
          <w:bCs/>
          <w:color w:val="000000"/>
          <w:sz w:val="48"/>
          <w:szCs w:val="48"/>
          <w:highlight w:val="none"/>
        </w:rPr>
      </w:pPr>
    </w:p>
    <w:p w14:paraId="13032523">
      <w:pPr>
        <w:snapToGrid w:val="0"/>
        <w:spacing w:before="120" w:beforeLines="50" w:after="50"/>
        <w:jc w:val="center"/>
        <w:rPr>
          <w:rFonts w:ascii="宋体" w:hAnsi="宋体"/>
          <w:color w:val="000000"/>
          <w:sz w:val="24"/>
          <w:highlight w:val="none"/>
        </w:rPr>
      </w:pPr>
      <w:r>
        <w:rPr>
          <w:rFonts w:hint="eastAsia" w:ascii="宋体" w:hAnsi="宋体" w:eastAsia="仿宋"/>
          <w:bCs/>
          <w:color w:val="000000"/>
          <w:sz w:val="48"/>
          <w:szCs w:val="48"/>
          <w:highlight w:val="none"/>
        </w:rPr>
        <w:t>电子投标文件</w:t>
      </w:r>
    </w:p>
    <w:p w14:paraId="64C8484D">
      <w:pPr>
        <w:snapToGrid w:val="0"/>
        <w:spacing w:before="120" w:beforeLines="50" w:after="50"/>
        <w:jc w:val="center"/>
        <w:rPr>
          <w:rFonts w:ascii="仿宋" w:hAnsi="仿宋" w:eastAsia="仿宋" w:cs="仿宋"/>
          <w:bCs/>
          <w:color w:val="000000"/>
          <w:sz w:val="44"/>
          <w:szCs w:val="44"/>
          <w:highlight w:val="none"/>
        </w:rPr>
      </w:pPr>
    </w:p>
    <w:p w14:paraId="4093DFC0">
      <w:pPr>
        <w:snapToGrid w:val="0"/>
        <w:spacing w:before="120" w:beforeLines="50" w:after="50"/>
        <w:jc w:val="center"/>
        <w:rPr>
          <w:rFonts w:ascii="仿宋" w:hAnsi="仿宋" w:eastAsia="仿宋" w:cs="仿宋"/>
          <w:bCs/>
          <w:color w:val="000000"/>
          <w:sz w:val="44"/>
          <w:szCs w:val="44"/>
          <w:highlight w:val="none"/>
        </w:rPr>
      </w:pPr>
      <w:r>
        <w:rPr>
          <w:rFonts w:hint="eastAsia" w:ascii="仿宋" w:hAnsi="仿宋" w:eastAsia="仿宋" w:cs="仿宋"/>
          <w:bCs/>
          <w:color w:val="000000"/>
          <w:sz w:val="44"/>
          <w:szCs w:val="44"/>
          <w:highlight w:val="none"/>
        </w:rPr>
        <w:t>商  务  文  件</w:t>
      </w:r>
    </w:p>
    <w:p w14:paraId="633CB83A">
      <w:pPr>
        <w:snapToGrid w:val="0"/>
        <w:spacing w:before="120" w:beforeLines="50" w:after="50"/>
        <w:rPr>
          <w:rFonts w:ascii="宋体" w:hAnsi="宋体"/>
          <w:bCs/>
          <w:color w:val="000000"/>
          <w:sz w:val="24"/>
          <w:szCs w:val="20"/>
          <w:highlight w:val="none"/>
        </w:rPr>
      </w:pPr>
    </w:p>
    <w:p w14:paraId="409A6AFA">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项目名称：</w:t>
      </w:r>
    </w:p>
    <w:p w14:paraId="5C2BFB4C">
      <w:pPr>
        <w:snapToGrid w:val="0"/>
        <w:spacing w:before="120" w:beforeLines="50" w:after="50"/>
        <w:ind w:firstLine="540" w:firstLineChars="225"/>
        <w:rPr>
          <w:rFonts w:ascii="宋体" w:hAnsi="宋体"/>
          <w:bCs/>
          <w:color w:val="000000"/>
          <w:sz w:val="24"/>
          <w:szCs w:val="20"/>
          <w:highlight w:val="none"/>
        </w:rPr>
      </w:pPr>
    </w:p>
    <w:p w14:paraId="469B08DA">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项目编号：</w:t>
      </w:r>
    </w:p>
    <w:p w14:paraId="30270882">
      <w:pPr>
        <w:snapToGrid w:val="0"/>
        <w:spacing w:before="120" w:beforeLines="50" w:after="50"/>
        <w:ind w:firstLine="540" w:firstLineChars="225"/>
        <w:rPr>
          <w:rFonts w:ascii="宋体" w:hAnsi="宋体"/>
          <w:bCs/>
          <w:color w:val="000000"/>
          <w:sz w:val="24"/>
          <w:szCs w:val="20"/>
          <w:highlight w:val="none"/>
        </w:rPr>
      </w:pPr>
      <w:r>
        <w:rPr>
          <w:rFonts w:hint="eastAsia" w:ascii="宋体" w:hAnsi="宋体"/>
          <w:bCs/>
          <w:color w:val="000000"/>
          <w:sz w:val="24"/>
          <w:highlight w:val="none"/>
        </w:rPr>
        <w:t xml:space="preserve"> </w:t>
      </w:r>
    </w:p>
    <w:p w14:paraId="07F15F32">
      <w:pPr>
        <w:snapToGrid w:val="0"/>
        <w:spacing w:before="120" w:beforeLines="50" w:after="50"/>
        <w:ind w:firstLine="540" w:firstLineChars="225"/>
        <w:rPr>
          <w:rFonts w:ascii="宋体" w:hAnsi="宋体"/>
          <w:bCs/>
          <w:color w:val="000000"/>
          <w:sz w:val="24"/>
          <w:highlight w:val="none"/>
        </w:rPr>
      </w:pPr>
      <w:r>
        <w:rPr>
          <w:rFonts w:hint="eastAsia" w:ascii="宋体" w:hAnsi="宋体"/>
          <w:bCs/>
          <w:color w:val="000000"/>
          <w:sz w:val="24"/>
          <w:highlight w:val="none"/>
        </w:rPr>
        <w:t>所投分标：无，则写“/”</w:t>
      </w:r>
    </w:p>
    <w:p w14:paraId="0EDCAA6B">
      <w:pPr>
        <w:snapToGrid w:val="0"/>
        <w:spacing w:before="120" w:beforeLines="50" w:after="50"/>
        <w:ind w:firstLine="540" w:firstLineChars="225"/>
        <w:rPr>
          <w:rFonts w:ascii="宋体" w:hAnsi="宋体"/>
          <w:bCs/>
          <w:color w:val="000000"/>
          <w:sz w:val="24"/>
          <w:szCs w:val="20"/>
          <w:highlight w:val="none"/>
        </w:rPr>
      </w:pPr>
    </w:p>
    <w:p w14:paraId="7324AC68">
      <w:pPr>
        <w:pStyle w:val="7"/>
        <w:snapToGrid w:val="0"/>
        <w:spacing w:before="50" w:after="50"/>
        <w:ind w:firstLine="540" w:firstLineChars="225"/>
        <w:rPr>
          <w:rFonts w:ascii="宋体" w:hAnsi="宋体"/>
          <w:bCs/>
          <w:color w:val="000000"/>
          <w:sz w:val="24"/>
          <w:szCs w:val="24"/>
          <w:highlight w:val="none"/>
        </w:rPr>
      </w:pPr>
      <w:r>
        <w:rPr>
          <w:rFonts w:hint="eastAsia" w:ascii="宋体" w:hAnsi="宋体"/>
          <w:bCs/>
          <w:color w:val="000000"/>
          <w:sz w:val="24"/>
          <w:szCs w:val="24"/>
          <w:highlight w:val="none"/>
        </w:rPr>
        <w:t>投标人名称：</w:t>
      </w:r>
    </w:p>
    <w:p w14:paraId="0F142EA9">
      <w:pPr>
        <w:pStyle w:val="7"/>
        <w:snapToGrid w:val="0"/>
        <w:spacing w:before="50" w:after="50"/>
        <w:ind w:firstLine="540" w:firstLineChars="225"/>
        <w:rPr>
          <w:rFonts w:ascii="宋体" w:hAnsi="宋体"/>
          <w:bCs/>
          <w:color w:val="000000"/>
          <w:sz w:val="24"/>
          <w:szCs w:val="24"/>
          <w:highlight w:val="none"/>
        </w:rPr>
      </w:pPr>
    </w:p>
    <w:p w14:paraId="6E86AD7B">
      <w:pPr>
        <w:pStyle w:val="7"/>
        <w:snapToGrid w:val="0"/>
        <w:spacing w:before="50" w:after="50"/>
        <w:ind w:firstLine="540" w:firstLineChars="225"/>
        <w:rPr>
          <w:rFonts w:ascii="宋体" w:hAnsi="宋体"/>
          <w:bCs/>
          <w:color w:val="000000"/>
          <w:sz w:val="24"/>
          <w:szCs w:val="24"/>
          <w:highlight w:val="none"/>
        </w:rPr>
      </w:pPr>
      <w:r>
        <w:rPr>
          <w:rFonts w:hint="eastAsia" w:ascii="宋体" w:hAnsi="宋体"/>
          <w:bCs/>
          <w:color w:val="000000"/>
          <w:sz w:val="24"/>
          <w:szCs w:val="24"/>
          <w:highlight w:val="none"/>
        </w:rPr>
        <w:t>投标人地址：</w:t>
      </w:r>
    </w:p>
    <w:p w14:paraId="76213DA1">
      <w:pPr>
        <w:pStyle w:val="7"/>
        <w:snapToGrid w:val="0"/>
        <w:spacing w:before="50" w:after="50"/>
        <w:ind w:firstLine="960" w:firstLineChars="400"/>
        <w:rPr>
          <w:rFonts w:ascii="宋体" w:hAnsi="宋体"/>
          <w:bCs/>
          <w:color w:val="000000"/>
          <w:sz w:val="24"/>
          <w:szCs w:val="24"/>
          <w:highlight w:val="none"/>
        </w:rPr>
      </w:pPr>
    </w:p>
    <w:p w14:paraId="0020DA52">
      <w:pPr>
        <w:snapToGrid w:val="0"/>
        <w:spacing w:before="120" w:beforeLines="50" w:after="50"/>
        <w:ind w:firstLine="645"/>
        <w:rPr>
          <w:rFonts w:ascii="宋体" w:hAnsi="宋体"/>
          <w:color w:val="000000"/>
          <w:sz w:val="24"/>
          <w:highlight w:val="none"/>
        </w:rPr>
      </w:pPr>
      <w:r>
        <w:rPr>
          <w:rFonts w:hint="eastAsia" w:ascii="宋体" w:hAnsi="宋体"/>
          <w:color w:val="000000"/>
          <w:sz w:val="24"/>
          <w:highlight w:val="none"/>
        </w:rPr>
        <w:t xml:space="preserve">                        年  月  日</w:t>
      </w:r>
    </w:p>
    <w:p w14:paraId="081ED8BD">
      <w:pPr>
        <w:snapToGrid w:val="0"/>
        <w:spacing w:before="120" w:beforeLines="50" w:after="50"/>
        <w:rPr>
          <w:rFonts w:ascii="宋体" w:hAnsi="宋体"/>
          <w:color w:val="000000"/>
          <w:sz w:val="24"/>
          <w:szCs w:val="20"/>
          <w:highlight w:val="none"/>
        </w:rPr>
      </w:pPr>
      <w:r>
        <w:rPr>
          <w:rFonts w:ascii="宋体" w:hAnsi="宋体"/>
          <w:color w:val="000000"/>
          <w:sz w:val="24"/>
          <w:szCs w:val="20"/>
          <w:highlight w:val="none"/>
        </w:rPr>
        <w:t xml:space="preserve"> </w:t>
      </w:r>
    </w:p>
    <w:p w14:paraId="339374D7">
      <w:pPr>
        <w:snapToGrid w:val="0"/>
        <w:spacing w:line="360" w:lineRule="auto"/>
        <w:jc w:val="left"/>
        <w:rPr>
          <w:rFonts w:ascii="宋体" w:hAnsi="宋体"/>
          <w:b/>
          <w:color w:val="000000"/>
          <w:sz w:val="24"/>
          <w:highlight w:val="none"/>
        </w:rPr>
      </w:pPr>
      <w:r>
        <w:rPr>
          <w:rFonts w:ascii="宋体" w:hAnsi="宋体"/>
          <w:color w:val="000000"/>
          <w:sz w:val="24"/>
          <w:szCs w:val="20"/>
          <w:highlight w:val="none"/>
        </w:rPr>
        <w:br w:type="page"/>
      </w:r>
      <w:r>
        <w:rPr>
          <w:rFonts w:hint="eastAsia" w:ascii="宋体" w:hAnsi="宋体"/>
          <w:b/>
          <w:color w:val="000000"/>
          <w:sz w:val="24"/>
          <w:highlight w:val="none"/>
        </w:rPr>
        <w:t>2.商务文件目录</w:t>
      </w:r>
    </w:p>
    <w:p w14:paraId="3CBB44DD">
      <w:pPr>
        <w:snapToGrid w:val="0"/>
        <w:spacing w:before="50" w:after="120" w:afterLines="50" w:line="360" w:lineRule="auto"/>
        <w:ind w:firstLine="420" w:firstLineChars="200"/>
        <w:jc w:val="left"/>
        <w:rPr>
          <w:rFonts w:ascii="微软雅黑" w:hAnsi="微软雅黑" w:eastAsia="微软雅黑"/>
          <w:b/>
          <w:bCs/>
          <w:color w:val="000000"/>
          <w:szCs w:val="21"/>
          <w:highlight w:val="none"/>
        </w:rPr>
      </w:pPr>
      <w:r>
        <w:rPr>
          <w:rFonts w:hint="eastAsia" w:ascii="宋体" w:hAnsi="宋体"/>
          <w:color w:val="000000"/>
          <w:szCs w:val="21"/>
          <w:highlight w:val="none"/>
        </w:rPr>
        <w:t>根据招标文件规定及投标人提供的材料自行编写目录。</w:t>
      </w:r>
    </w:p>
    <w:p w14:paraId="1A7BFD60">
      <w:pPr>
        <w:snapToGrid w:val="0"/>
        <w:spacing w:before="50" w:after="120" w:afterLines="50"/>
        <w:jc w:val="left"/>
        <w:rPr>
          <w:rFonts w:ascii="宋体" w:hAnsi="宋体"/>
          <w:color w:val="000000"/>
          <w:highlight w:val="none"/>
        </w:rPr>
      </w:pPr>
    </w:p>
    <w:p w14:paraId="1F2DC208">
      <w:pPr>
        <w:snapToGrid w:val="0"/>
        <w:spacing w:before="120" w:beforeLines="50" w:after="50"/>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3.投标人参加本项目无围标串标行为的承诺</w:t>
      </w:r>
    </w:p>
    <w:p w14:paraId="6088E601">
      <w:pPr>
        <w:snapToGrid w:val="0"/>
        <w:spacing w:before="120" w:beforeLines="50" w:after="50"/>
        <w:jc w:val="left"/>
        <w:rPr>
          <w:rFonts w:ascii="宋体" w:hAnsi="宋体"/>
          <w:b/>
          <w:color w:val="000000"/>
          <w:sz w:val="24"/>
          <w:highlight w:val="none"/>
        </w:rPr>
      </w:pPr>
    </w:p>
    <w:p w14:paraId="59148028">
      <w:pPr>
        <w:spacing w:line="360" w:lineRule="auto"/>
        <w:ind w:left="420"/>
        <w:contextualSpacing/>
        <w:jc w:val="center"/>
        <w:rPr>
          <w:rFonts w:ascii="宋体" w:hAnsi="宋体"/>
          <w:b/>
          <w:color w:val="000000"/>
          <w:sz w:val="24"/>
          <w:highlight w:val="none"/>
        </w:rPr>
      </w:pPr>
      <w:r>
        <w:rPr>
          <w:rFonts w:hint="eastAsia" w:ascii="仿宋" w:hAnsi="仿宋" w:eastAsia="仿宋" w:cs="仿宋"/>
          <w:bCs/>
          <w:color w:val="000000"/>
          <w:spacing w:val="-11"/>
          <w:sz w:val="44"/>
          <w:szCs w:val="44"/>
          <w:highlight w:val="none"/>
        </w:rPr>
        <w:t>投标人参加本项目无围标串标行为的承诺函</w:t>
      </w:r>
    </w:p>
    <w:p w14:paraId="6E1403B8">
      <w:pPr>
        <w:spacing w:line="440" w:lineRule="exact"/>
        <w:contextualSpacing/>
        <w:jc w:val="left"/>
        <w:rPr>
          <w:rFonts w:ascii="宋体" w:hAnsi="宋体"/>
          <w:b/>
          <w:color w:val="000000"/>
          <w:szCs w:val="21"/>
          <w:highlight w:val="none"/>
        </w:rPr>
      </w:pPr>
      <w:r>
        <w:rPr>
          <w:rFonts w:hint="eastAsia" w:ascii="宋体" w:hAnsi="宋体"/>
          <w:b/>
          <w:color w:val="000000"/>
          <w:szCs w:val="21"/>
          <w:highlight w:val="none"/>
        </w:rPr>
        <w:t>一、我方承诺无下列相互串通投标的情形：</w:t>
      </w:r>
    </w:p>
    <w:p w14:paraId="465E7954">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1.不同投标人的投标文件由同一单位或者个人编制；</w:t>
      </w:r>
    </w:p>
    <w:p w14:paraId="1FE43340">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2.不同投标人委托同一单位或者个人办理投标事宜；</w:t>
      </w:r>
    </w:p>
    <w:p w14:paraId="495BE1B7">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3.不同的投标人的投标文件载明的项目管理员为同一个人；</w:t>
      </w:r>
    </w:p>
    <w:p w14:paraId="4529331E">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4.不同投标人的投标文件异常一致或者投标报价呈规律性差异；</w:t>
      </w:r>
    </w:p>
    <w:p w14:paraId="05D28DCB">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5.不同投标人的投标文件相互混装；</w:t>
      </w:r>
    </w:p>
    <w:p w14:paraId="6A109E6A">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6.不同投标人的投标保证金从同一单位或者个人账户转出。</w:t>
      </w:r>
    </w:p>
    <w:p w14:paraId="6EE8B798">
      <w:pPr>
        <w:spacing w:line="440" w:lineRule="exact"/>
        <w:contextualSpacing/>
        <w:jc w:val="left"/>
        <w:rPr>
          <w:rFonts w:ascii="宋体" w:hAnsi="宋体"/>
          <w:color w:val="000000"/>
          <w:szCs w:val="21"/>
          <w:highlight w:val="none"/>
        </w:rPr>
      </w:pPr>
      <w:r>
        <w:rPr>
          <w:rFonts w:hint="eastAsia" w:ascii="宋体" w:hAnsi="宋体"/>
          <w:b/>
          <w:color w:val="000000"/>
          <w:szCs w:val="21"/>
          <w:highlight w:val="none"/>
        </w:rPr>
        <w:t>二、我方承诺无下列恶意串通的情形：</w:t>
      </w:r>
    </w:p>
    <w:p w14:paraId="5048A013">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1.投标人直接或者间接从采购人或者采购代理机构处获得其他投标人的相关信息并修改其投标文件或者响应文件；</w:t>
      </w:r>
    </w:p>
    <w:p w14:paraId="12B03354">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2.投标人按照采购人或者采购代理机构的授意撤换、修改投标文件或者响应文件；</w:t>
      </w:r>
    </w:p>
    <w:p w14:paraId="4C1D04B6">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3.投标人之间协商报价、技术方案等投标文件或者响应文件的实质性内容；</w:t>
      </w:r>
    </w:p>
    <w:p w14:paraId="40A28476">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4.属于同一集团、协会、商会等组织成员的投标人按照该组织要求协同参加政府采购活动；</w:t>
      </w:r>
    </w:p>
    <w:p w14:paraId="65C367FA">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14:paraId="7052BEE9">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6.投标人之间商定部分投标人放弃参加政府采购活动或者放弃中标；</w:t>
      </w:r>
    </w:p>
    <w:p w14:paraId="0B2E0320">
      <w:pPr>
        <w:spacing w:line="440" w:lineRule="exact"/>
        <w:ind w:firstLine="411" w:firstLineChars="196"/>
        <w:contextualSpacing/>
        <w:jc w:val="left"/>
        <w:rPr>
          <w:rFonts w:ascii="宋体" w:hAnsi="宋体"/>
          <w:color w:val="000000"/>
          <w:szCs w:val="21"/>
          <w:highlight w:val="none"/>
        </w:rPr>
      </w:pPr>
      <w:r>
        <w:rPr>
          <w:rFonts w:hint="eastAsia" w:ascii="宋体" w:hAnsi="宋体"/>
          <w:color w:val="000000"/>
          <w:szCs w:val="21"/>
          <w:highlight w:val="none"/>
        </w:rPr>
        <w:t>7.投标人与采购人或者采购代理机构之间、投标人相互之间，为谋求特定投标人中标或者排斥其他投标人的其他串通行为。</w:t>
      </w:r>
    </w:p>
    <w:p w14:paraId="3EEAE96C">
      <w:pPr>
        <w:spacing w:line="440" w:lineRule="exact"/>
        <w:ind w:firstLine="413" w:firstLineChars="196"/>
        <w:contextualSpacing/>
        <w:jc w:val="left"/>
        <w:rPr>
          <w:rFonts w:ascii="宋体" w:hAnsi="宋体"/>
          <w:b/>
          <w:color w:val="000000"/>
          <w:szCs w:val="21"/>
          <w:highlight w:val="none"/>
        </w:rPr>
      </w:pPr>
      <w:r>
        <w:rPr>
          <w:rFonts w:hint="eastAsia" w:ascii="宋体" w:hAnsi="宋体"/>
          <w:b/>
          <w:color w:val="000000"/>
          <w:szCs w:val="21"/>
          <w:highlight w:val="none"/>
        </w:rPr>
        <w:t>以上情形一经核查属实，我方愿意承担一切后果，并不再寻求任何旨在减轻或者免除法律责任的辩解。</w:t>
      </w:r>
    </w:p>
    <w:p w14:paraId="1807EEEC">
      <w:pPr>
        <w:pStyle w:val="26"/>
        <w:spacing w:line="440" w:lineRule="exact"/>
        <w:ind w:firstLine="5985" w:firstLineChars="2850"/>
        <w:contextualSpacing/>
        <w:rPr>
          <w:rFonts w:hAnsi="宋体"/>
          <w:color w:val="000000"/>
          <w:sz w:val="21"/>
          <w:highlight w:val="none"/>
        </w:rPr>
      </w:pPr>
    </w:p>
    <w:p w14:paraId="07655FC0">
      <w:pPr>
        <w:pStyle w:val="26"/>
        <w:spacing w:line="440" w:lineRule="exact"/>
        <w:contextualSpacing/>
        <w:jc w:val="center"/>
        <w:rPr>
          <w:rFonts w:hAnsi="宋体"/>
          <w:color w:val="000000"/>
          <w:sz w:val="21"/>
          <w:highlight w:val="none"/>
        </w:rPr>
      </w:pPr>
      <w:r>
        <w:rPr>
          <w:rFonts w:hint="eastAsia" w:hAnsi="宋体"/>
          <w:color w:val="000000"/>
          <w:sz w:val="21"/>
          <w:highlight w:val="none"/>
        </w:rPr>
        <w:t xml:space="preserve"> </w:t>
      </w:r>
      <w:r>
        <w:rPr>
          <w:rFonts w:hAnsi="宋体"/>
          <w:color w:val="000000"/>
          <w:sz w:val="21"/>
          <w:highlight w:val="none"/>
        </w:rPr>
        <w:t xml:space="preserve">                                   </w:t>
      </w:r>
      <w:r>
        <w:rPr>
          <w:rFonts w:hint="eastAsia" w:hAnsi="宋体"/>
          <w:color w:val="000000"/>
          <w:sz w:val="21"/>
          <w:highlight w:val="none"/>
        </w:rPr>
        <w:t>投标人名称（电子签章）</w:t>
      </w:r>
    </w:p>
    <w:p w14:paraId="5D33DE90">
      <w:pPr>
        <w:pStyle w:val="26"/>
        <w:spacing w:line="440" w:lineRule="exact"/>
        <w:contextualSpacing/>
        <w:rPr>
          <w:rFonts w:hAnsi="宋体"/>
          <w:color w:val="000000"/>
          <w:sz w:val="21"/>
          <w:highlight w:val="none"/>
        </w:rPr>
        <w:sectPr>
          <w:pgSz w:w="11906" w:h="16838"/>
          <w:pgMar w:top="1701" w:right="1701" w:bottom="1701" w:left="1701" w:header="851" w:footer="992" w:gutter="0"/>
          <w:cols w:space="720" w:num="1"/>
          <w:titlePg/>
          <w:docGrid w:linePitch="312" w:charSpace="0"/>
        </w:sectPr>
      </w:pPr>
      <w:r>
        <w:rPr>
          <w:rFonts w:hint="eastAsia" w:hAnsi="宋体"/>
          <w:color w:val="000000"/>
          <w:sz w:val="21"/>
          <w:highlight w:val="none"/>
        </w:rPr>
        <w:t xml:space="preserve">                                                </w:t>
      </w:r>
      <w:r>
        <w:rPr>
          <w:rFonts w:hint="eastAsia" w:hAnsi="宋体"/>
          <w:color w:val="000000"/>
          <w:sz w:val="21"/>
          <w:highlight w:val="none"/>
          <w:u w:val="single"/>
        </w:rPr>
        <w:t xml:space="preserve">      </w:t>
      </w:r>
      <w:r>
        <w:rPr>
          <w:rFonts w:hint="eastAsia" w:hAnsi="宋体"/>
          <w:color w:val="000000"/>
          <w:sz w:val="21"/>
          <w:highlight w:val="none"/>
        </w:rPr>
        <w:t>年</w:t>
      </w:r>
      <w:r>
        <w:rPr>
          <w:rFonts w:hint="eastAsia" w:hAnsi="宋体"/>
          <w:color w:val="000000"/>
          <w:sz w:val="21"/>
          <w:highlight w:val="none"/>
          <w:u w:val="single"/>
        </w:rPr>
        <w:t xml:space="preserve">    </w:t>
      </w:r>
      <w:r>
        <w:rPr>
          <w:rFonts w:hint="eastAsia" w:hAnsi="宋体"/>
          <w:color w:val="000000"/>
          <w:sz w:val="21"/>
          <w:highlight w:val="none"/>
        </w:rPr>
        <w:t>月</w:t>
      </w:r>
      <w:r>
        <w:rPr>
          <w:rFonts w:hint="eastAsia" w:hAnsi="宋体"/>
          <w:color w:val="000000"/>
          <w:sz w:val="21"/>
          <w:highlight w:val="none"/>
          <w:u w:val="single"/>
        </w:rPr>
        <w:t xml:space="preserve">     </w:t>
      </w:r>
      <w:r>
        <w:rPr>
          <w:rFonts w:hint="eastAsia" w:hAnsi="宋体"/>
          <w:color w:val="000000"/>
          <w:sz w:val="21"/>
          <w:highlight w:val="none"/>
        </w:rPr>
        <w:t>日</w:t>
      </w:r>
    </w:p>
    <w:p w14:paraId="20845507">
      <w:pPr>
        <w:snapToGrid w:val="0"/>
        <w:spacing w:before="120" w:beforeLines="50" w:after="50"/>
        <w:jc w:val="left"/>
        <w:rPr>
          <w:rFonts w:ascii="宋体" w:hAnsi="宋体"/>
          <w:b/>
          <w:color w:val="000000"/>
          <w:sz w:val="24"/>
          <w:szCs w:val="20"/>
          <w:highlight w:val="none"/>
        </w:rPr>
      </w:pPr>
      <w:r>
        <w:rPr>
          <w:rFonts w:hint="eastAsia" w:ascii="宋体" w:hAnsi="宋体"/>
          <w:b/>
          <w:color w:val="000000"/>
          <w:sz w:val="24"/>
          <w:highlight w:val="none"/>
        </w:rPr>
        <w:t>4.法定代表人（或负责人）身份证明</w:t>
      </w:r>
    </w:p>
    <w:p w14:paraId="224AB83E">
      <w:pPr>
        <w:spacing w:before="240" w:beforeLines="100" w:after="120" w:afterLines="50"/>
        <w:ind w:left="540"/>
        <w:jc w:val="center"/>
        <w:rPr>
          <w:rFonts w:ascii="宋体" w:hAnsi="Courier New"/>
          <w:b/>
          <w:color w:val="000000"/>
          <w:sz w:val="32"/>
          <w:szCs w:val="32"/>
          <w:highlight w:val="none"/>
        </w:rPr>
      </w:pPr>
    </w:p>
    <w:p w14:paraId="59EB715F">
      <w:pPr>
        <w:spacing w:before="240" w:beforeLines="100" w:after="120" w:afterLines="50"/>
        <w:ind w:left="540"/>
        <w:jc w:val="center"/>
        <w:rPr>
          <w:rFonts w:ascii="仿宋" w:hAnsi="仿宋" w:eastAsia="仿宋" w:cs="仿宋"/>
          <w:bCs/>
          <w:color w:val="000000"/>
          <w:sz w:val="44"/>
          <w:szCs w:val="44"/>
          <w:highlight w:val="none"/>
        </w:rPr>
      </w:pPr>
      <w:r>
        <w:rPr>
          <w:rFonts w:hint="eastAsia" w:ascii="仿宋" w:hAnsi="仿宋" w:eastAsia="仿宋" w:cs="仿宋"/>
          <w:bCs/>
          <w:color w:val="000000"/>
          <w:sz w:val="44"/>
          <w:szCs w:val="44"/>
          <w:highlight w:val="none"/>
        </w:rPr>
        <w:t>法定代表人（或负责人）身份证明</w:t>
      </w:r>
    </w:p>
    <w:p w14:paraId="648B9303">
      <w:pPr>
        <w:spacing w:line="500" w:lineRule="exact"/>
        <w:ind w:left="540"/>
        <w:rPr>
          <w:rFonts w:ascii="宋体" w:hAnsi="宋体"/>
          <w:color w:val="000000"/>
          <w:szCs w:val="21"/>
          <w:highlight w:val="none"/>
        </w:rPr>
      </w:pPr>
      <w:r>
        <w:rPr>
          <w:rFonts w:hint="eastAsia" w:ascii="宋体" w:hAnsi="宋体"/>
          <w:color w:val="000000"/>
          <w:szCs w:val="21"/>
          <w:highlight w:val="none"/>
        </w:rPr>
        <w:t>投 标 人：</w:t>
      </w:r>
      <w:r>
        <w:rPr>
          <w:rFonts w:hint="eastAsia" w:ascii="宋体" w:hAnsi="宋体"/>
          <w:color w:val="000000"/>
          <w:szCs w:val="21"/>
          <w:highlight w:val="none"/>
          <w:u w:val="single"/>
        </w:rPr>
        <w:t xml:space="preserve">                                                        </w:t>
      </w:r>
    </w:p>
    <w:p w14:paraId="75664366">
      <w:pPr>
        <w:spacing w:line="500" w:lineRule="exact"/>
        <w:ind w:left="540"/>
        <w:rPr>
          <w:rFonts w:ascii="宋体" w:hAnsi="宋体"/>
          <w:color w:val="000000"/>
          <w:szCs w:val="21"/>
          <w:highlight w:val="none"/>
        </w:rPr>
      </w:pPr>
      <w:r>
        <w:rPr>
          <w:rFonts w:hint="eastAsia" w:ascii="宋体" w:hAnsi="宋体"/>
          <w:color w:val="000000"/>
          <w:szCs w:val="21"/>
          <w:highlight w:val="none"/>
        </w:rPr>
        <w:t>地    址：</w:t>
      </w:r>
      <w:r>
        <w:rPr>
          <w:rFonts w:hint="eastAsia" w:ascii="宋体" w:hAnsi="宋体"/>
          <w:color w:val="000000"/>
          <w:szCs w:val="21"/>
          <w:highlight w:val="none"/>
          <w:u w:val="single"/>
        </w:rPr>
        <w:t xml:space="preserve">                                                        </w:t>
      </w:r>
    </w:p>
    <w:p w14:paraId="030828C2">
      <w:pPr>
        <w:spacing w:line="500" w:lineRule="exact"/>
        <w:ind w:left="540"/>
        <w:rPr>
          <w:rFonts w:ascii="宋体" w:hAnsi="宋体"/>
          <w:color w:val="000000"/>
          <w:szCs w:val="21"/>
          <w:highlight w:val="none"/>
        </w:rPr>
      </w:pPr>
      <w:r>
        <w:rPr>
          <w:rFonts w:hint="eastAsia" w:ascii="宋体" w:hAnsi="宋体"/>
          <w:color w:val="000000"/>
          <w:szCs w:val="21"/>
          <w:highlight w:val="none"/>
        </w:rPr>
        <w:t>姓    名：</w:t>
      </w:r>
      <w:r>
        <w:rPr>
          <w:rFonts w:hint="eastAsia" w:ascii="宋体" w:hAnsi="宋体"/>
          <w:color w:val="000000"/>
          <w:szCs w:val="21"/>
          <w:highlight w:val="none"/>
          <w:u w:val="single"/>
        </w:rPr>
        <w:t xml:space="preserve">                          </w:t>
      </w:r>
      <w:r>
        <w:rPr>
          <w:rFonts w:hint="eastAsia" w:ascii="宋体" w:hAnsi="宋体"/>
          <w:color w:val="000000"/>
          <w:szCs w:val="21"/>
          <w:highlight w:val="none"/>
        </w:rPr>
        <w:t>性      别：</w:t>
      </w:r>
      <w:r>
        <w:rPr>
          <w:rFonts w:hint="eastAsia" w:ascii="宋体" w:hAnsi="宋体"/>
          <w:color w:val="000000"/>
          <w:szCs w:val="21"/>
          <w:highlight w:val="none"/>
          <w:u w:val="single"/>
        </w:rPr>
        <w:t xml:space="preserve">                </w:t>
      </w:r>
    </w:p>
    <w:p w14:paraId="4ED55100">
      <w:pPr>
        <w:spacing w:line="500" w:lineRule="exact"/>
        <w:ind w:left="540"/>
        <w:rPr>
          <w:rFonts w:ascii="宋体" w:hAnsi="宋体"/>
          <w:color w:val="000000"/>
          <w:szCs w:val="21"/>
          <w:highlight w:val="none"/>
          <w:u w:val="single"/>
        </w:rPr>
      </w:pPr>
      <w:r>
        <w:rPr>
          <w:rFonts w:hint="eastAsia" w:ascii="宋体" w:hAnsi="宋体"/>
          <w:color w:val="000000"/>
          <w:szCs w:val="21"/>
          <w:highlight w:val="none"/>
        </w:rPr>
        <w:t>年    龄：</w:t>
      </w:r>
      <w:r>
        <w:rPr>
          <w:rFonts w:hint="eastAsia" w:ascii="宋体" w:hAnsi="宋体"/>
          <w:color w:val="000000"/>
          <w:szCs w:val="21"/>
          <w:highlight w:val="none"/>
          <w:u w:val="single"/>
        </w:rPr>
        <w:t xml:space="preserve">                          </w:t>
      </w:r>
      <w:r>
        <w:rPr>
          <w:rFonts w:hint="eastAsia" w:ascii="宋体" w:hAnsi="宋体"/>
          <w:color w:val="000000"/>
          <w:szCs w:val="21"/>
          <w:highlight w:val="none"/>
        </w:rPr>
        <w:t>职      务：</w:t>
      </w:r>
      <w:r>
        <w:rPr>
          <w:rFonts w:hint="eastAsia" w:ascii="宋体" w:hAnsi="宋体"/>
          <w:color w:val="000000"/>
          <w:szCs w:val="21"/>
          <w:highlight w:val="none"/>
          <w:u w:val="single"/>
        </w:rPr>
        <w:t xml:space="preserve">                </w:t>
      </w:r>
    </w:p>
    <w:p w14:paraId="380E95C7">
      <w:pPr>
        <w:spacing w:line="500" w:lineRule="exact"/>
        <w:ind w:left="540"/>
        <w:rPr>
          <w:rFonts w:ascii="宋体" w:hAnsi="宋体"/>
          <w:color w:val="000000"/>
          <w:szCs w:val="21"/>
          <w:highlight w:val="none"/>
        </w:rPr>
      </w:pPr>
      <w:r>
        <w:rPr>
          <w:rFonts w:hint="eastAsia" w:ascii="宋体" w:hAnsi="宋体"/>
          <w:color w:val="000000"/>
          <w:szCs w:val="21"/>
          <w:highlight w:val="none"/>
        </w:rPr>
        <w:t>身份证</w:t>
      </w:r>
      <w:r>
        <w:rPr>
          <w:rFonts w:hint="eastAsia"/>
          <w:color w:val="000000"/>
          <w:szCs w:val="21"/>
          <w:highlight w:val="none"/>
        </w:rPr>
        <w:t>号码：</w:t>
      </w:r>
      <w:r>
        <w:rPr>
          <w:rFonts w:hint="eastAsia"/>
          <w:color w:val="000000"/>
          <w:szCs w:val="21"/>
          <w:highlight w:val="none"/>
          <w:u w:val="single"/>
        </w:rPr>
        <w:t xml:space="preserve">                                 </w:t>
      </w:r>
    </w:p>
    <w:p w14:paraId="5E234969">
      <w:pPr>
        <w:spacing w:line="500" w:lineRule="exact"/>
        <w:ind w:left="540"/>
        <w:rPr>
          <w:rFonts w:ascii="宋体" w:hAnsi="宋体"/>
          <w:color w:val="000000"/>
          <w:szCs w:val="21"/>
          <w:highlight w:val="none"/>
        </w:rPr>
      </w:pPr>
      <w:r>
        <w:rPr>
          <w:rFonts w:hint="eastAsia" w:ascii="宋体" w:hAnsi="宋体"/>
          <w:color w:val="000000"/>
          <w:szCs w:val="21"/>
          <w:highlight w:val="none"/>
        </w:rPr>
        <w:t>系</w:t>
      </w:r>
      <w:r>
        <w:rPr>
          <w:rFonts w:hint="eastAsia" w:ascii="宋体" w:hAnsi="宋体"/>
          <w:color w:val="000000"/>
          <w:szCs w:val="21"/>
          <w:highlight w:val="none"/>
          <w:u w:val="single"/>
        </w:rPr>
        <w:t xml:space="preserve">            （投标人名称）              </w:t>
      </w:r>
      <w:r>
        <w:rPr>
          <w:rFonts w:hint="eastAsia" w:ascii="宋体" w:hAnsi="宋体"/>
          <w:color w:val="000000"/>
          <w:szCs w:val="21"/>
          <w:highlight w:val="none"/>
        </w:rPr>
        <w:t>的法定代表人（或负责人）。</w:t>
      </w:r>
    </w:p>
    <w:p w14:paraId="78EEB535">
      <w:pPr>
        <w:spacing w:line="500" w:lineRule="exact"/>
        <w:ind w:left="540"/>
        <w:rPr>
          <w:rFonts w:ascii="宋体" w:hAnsi="宋体"/>
          <w:color w:val="000000"/>
          <w:szCs w:val="21"/>
          <w:highlight w:val="none"/>
        </w:rPr>
      </w:pPr>
      <w:r>
        <w:rPr>
          <w:rFonts w:hint="eastAsia" w:ascii="宋体" w:hAnsi="宋体"/>
          <w:color w:val="000000"/>
          <w:szCs w:val="21"/>
          <w:highlight w:val="none"/>
        </w:rPr>
        <w:t>特此证明。</w:t>
      </w:r>
    </w:p>
    <w:p w14:paraId="43BF678A">
      <w:pPr>
        <w:spacing w:line="500" w:lineRule="exact"/>
        <w:ind w:left="540"/>
        <w:rPr>
          <w:rFonts w:ascii="宋体" w:hAnsi="宋体"/>
          <w:color w:val="000000"/>
          <w:szCs w:val="21"/>
          <w:highlight w:val="none"/>
        </w:rPr>
      </w:pPr>
    </w:p>
    <w:p w14:paraId="2EF15E4A">
      <w:pPr>
        <w:spacing w:line="500" w:lineRule="exact"/>
        <w:ind w:left="540"/>
        <w:rPr>
          <w:rFonts w:ascii="宋体" w:hAnsi="宋体"/>
          <w:color w:val="000000"/>
          <w:szCs w:val="21"/>
          <w:highlight w:val="none"/>
        </w:rPr>
      </w:pPr>
    </w:p>
    <w:p w14:paraId="42834084">
      <w:pPr>
        <w:spacing w:line="500" w:lineRule="exact"/>
        <w:ind w:left="540"/>
        <w:rPr>
          <w:rFonts w:ascii="宋体" w:hAnsi="宋体"/>
          <w:color w:val="000000"/>
          <w:szCs w:val="21"/>
          <w:highlight w:val="none"/>
        </w:rPr>
      </w:pPr>
      <w:r>
        <w:rPr>
          <w:rFonts w:hint="eastAsia" w:ascii="宋体" w:hAnsi="宋体"/>
          <w:color w:val="000000"/>
          <w:szCs w:val="21"/>
          <w:highlight w:val="none"/>
        </w:rPr>
        <w:t>附件：法定代表人（或负责人）有效身份证正反面复印件</w:t>
      </w:r>
    </w:p>
    <w:p w14:paraId="3E6F4295">
      <w:pPr>
        <w:spacing w:line="500" w:lineRule="exact"/>
        <w:ind w:left="540"/>
        <w:rPr>
          <w:rFonts w:ascii="宋体" w:hAnsi="宋体"/>
          <w:color w:val="000000"/>
          <w:szCs w:val="21"/>
          <w:highlight w:val="none"/>
        </w:rPr>
      </w:pPr>
    </w:p>
    <w:p w14:paraId="14AF829F">
      <w:pPr>
        <w:spacing w:line="500" w:lineRule="exact"/>
        <w:ind w:left="540"/>
        <w:jc w:val="right"/>
        <w:rPr>
          <w:rFonts w:ascii="宋体" w:hAnsi="宋体"/>
          <w:color w:val="000000"/>
          <w:szCs w:val="21"/>
          <w:highlight w:val="none"/>
        </w:rPr>
      </w:pPr>
      <w:r>
        <w:rPr>
          <w:rFonts w:hint="eastAsia" w:ascii="宋体" w:hAnsi="宋体"/>
          <w:color w:val="000000"/>
          <w:szCs w:val="21"/>
          <w:highlight w:val="none"/>
        </w:rPr>
        <w:t>投标人名称（电子签章）</w:t>
      </w:r>
    </w:p>
    <w:p w14:paraId="11127F80">
      <w:pPr>
        <w:spacing w:line="500" w:lineRule="exact"/>
        <w:ind w:left="540"/>
        <w:jc w:val="right"/>
        <w:rPr>
          <w:rFonts w:ascii="宋体" w:hAnsi="宋体"/>
          <w:color w:val="000000"/>
          <w:szCs w:val="21"/>
          <w:highlight w:val="none"/>
        </w:rPr>
      </w:pPr>
    </w:p>
    <w:p w14:paraId="600E815F">
      <w:pPr>
        <w:snapToGrid w:val="0"/>
        <w:spacing w:before="120" w:beforeLines="50" w:after="50"/>
        <w:ind w:left="540"/>
        <w:jc w:val="right"/>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38FE5B0D">
      <w:pPr>
        <w:snapToGrid w:val="0"/>
        <w:spacing w:before="120" w:beforeLines="50" w:after="50"/>
        <w:jc w:val="center"/>
        <w:rPr>
          <w:rFonts w:ascii="宋体" w:hAnsi="宋体"/>
          <w:b/>
          <w:color w:val="000000"/>
          <w:szCs w:val="21"/>
          <w:highlight w:val="none"/>
        </w:rPr>
      </w:pPr>
    </w:p>
    <w:p w14:paraId="3B522DD2">
      <w:pPr>
        <w:snapToGrid w:val="0"/>
        <w:spacing w:before="120" w:beforeLines="50" w:after="50"/>
        <w:jc w:val="left"/>
        <w:rPr>
          <w:rFonts w:ascii="宋体" w:hAnsi="宋体"/>
          <w:b/>
          <w:color w:val="000000"/>
          <w:szCs w:val="21"/>
          <w:highlight w:val="none"/>
        </w:rPr>
      </w:pPr>
      <w:r>
        <w:rPr>
          <w:rFonts w:hint="eastAsia" w:ascii="宋体" w:hAnsi="宋体"/>
          <w:color w:val="000000"/>
          <w:szCs w:val="21"/>
          <w:highlight w:val="none"/>
        </w:rPr>
        <w:t>注：自然人投标的无需提供</w:t>
      </w:r>
    </w:p>
    <w:p w14:paraId="00E3C139">
      <w:pPr>
        <w:snapToGrid w:val="0"/>
        <w:spacing w:before="120" w:beforeLines="50" w:after="50"/>
        <w:jc w:val="left"/>
        <w:rPr>
          <w:rFonts w:ascii="宋体" w:hAnsi="宋体"/>
          <w:b/>
          <w:color w:val="000000"/>
          <w:sz w:val="24"/>
          <w:szCs w:val="20"/>
          <w:highlight w:val="none"/>
        </w:rPr>
      </w:pPr>
      <w:r>
        <w:rPr>
          <w:rFonts w:ascii="宋体" w:hAnsi="宋体"/>
          <w:b/>
          <w:color w:val="000000"/>
          <w:sz w:val="24"/>
          <w:highlight w:val="none"/>
        </w:rPr>
        <w:br w:type="page"/>
      </w:r>
      <w:r>
        <w:rPr>
          <w:rFonts w:hint="eastAsia" w:ascii="宋体" w:hAnsi="宋体"/>
          <w:b/>
          <w:color w:val="000000"/>
          <w:sz w:val="24"/>
          <w:highlight w:val="none"/>
        </w:rPr>
        <w:t>5.授权委托书格式</w:t>
      </w:r>
    </w:p>
    <w:p w14:paraId="78C9B739">
      <w:pPr>
        <w:spacing w:line="360" w:lineRule="auto"/>
        <w:contextualSpacing/>
        <w:jc w:val="center"/>
        <w:rPr>
          <w:rFonts w:ascii="仿宋" w:hAnsi="仿宋" w:eastAsia="仿宋" w:cs="仿宋"/>
          <w:bCs/>
          <w:color w:val="000000"/>
          <w:sz w:val="44"/>
          <w:szCs w:val="44"/>
          <w:highlight w:val="none"/>
        </w:rPr>
      </w:pPr>
      <w:r>
        <w:rPr>
          <w:rFonts w:hint="eastAsia" w:ascii="仿宋" w:hAnsi="仿宋" w:eastAsia="仿宋" w:cs="仿宋"/>
          <w:bCs/>
          <w:color w:val="000000"/>
          <w:sz w:val="44"/>
          <w:szCs w:val="44"/>
          <w:highlight w:val="none"/>
        </w:rPr>
        <w:t>授权委托书</w:t>
      </w:r>
    </w:p>
    <w:p w14:paraId="42B9AC96">
      <w:pPr>
        <w:spacing w:line="360" w:lineRule="auto"/>
        <w:contextualSpacing/>
        <w:jc w:val="center"/>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（非联合体投标格式）</w:t>
      </w:r>
    </w:p>
    <w:p w14:paraId="17D1D281">
      <w:pPr>
        <w:spacing w:line="360" w:lineRule="auto"/>
        <w:contextualSpacing/>
        <w:jc w:val="center"/>
        <w:rPr>
          <w:rFonts w:ascii="仿宋" w:hAnsi="仿宋" w:eastAsia="仿宋" w:cs="仿宋"/>
          <w:bCs/>
          <w:color w:val="000000"/>
          <w:sz w:val="24"/>
          <w:highlight w:val="none"/>
        </w:rPr>
      </w:pPr>
      <w:r>
        <w:rPr>
          <w:rFonts w:hint="eastAsia" w:ascii="仿宋" w:hAnsi="仿宋" w:eastAsia="仿宋" w:cs="仿宋"/>
          <w:bCs/>
          <w:color w:val="000000"/>
          <w:sz w:val="32"/>
          <w:szCs w:val="32"/>
          <w:highlight w:val="none"/>
        </w:rPr>
        <w:t>（如有委托时）</w:t>
      </w:r>
    </w:p>
    <w:p w14:paraId="33838FF8">
      <w:pPr>
        <w:spacing w:line="440" w:lineRule="exact"/>
        <w:contextualSpacing/>
        <w:jc w:val="center"/>
        <w:rPr>
          <w:rFonts w:ascii="宋体" w:hAnsi="宋体"/>
          <w:b/>
          <w:color w:val="000000"/>
          <w:sz w:val="24"/>
          <w:highlight w:val="none"/>
        </w:rPr>
      </w:pPr>
    </w:p>
    <w:p w14:paraId="45AACF71">
      <w:pPr>
        <w:spacing w:line="440" w:lineRule="exact"/>
        <w:contextualSpacing/>
        <w:rPr>
          <w:rFonts w:ascii="宋体" w:hAnsi="宋体"/>
          <w:b/>
          <w:bCs/>
          <w:color w:val="000000"/>
          <w:szCs w:val="21"/>
          <w:highlight w:val="none"/>
        </w:rPr>
      </w:pPr>
      <w:r>
        <w:rPr>
          <w:rFonts w:hint="eastAsia" w:ascii="宋体" w:hAnsi="宋体"/>
          <w:bCs/>
          <w:color w:val="000000"/>
          <w:szCs w:val="21"/>
          <w:highlight w:val="none"/>
        </w:rPr>
        <w:t>致：</w:t>
      </w:r>
      <w:r>
        <w:rPr>
          <w:rFonts w:hint="eastAsia" w:ascii="宋体" w:hAnsi="宋体"/>
          <w:color w:val="000000"/>
          <w:szCs w:val="21"/>
          <w:highlight w:val="none"/>
          <w:u w:val="single"/>
        </w:rPr>
        <w:t>采购人名称</w:t>
      </w:r>
      <w:r>
        <w:rPr>
          <w:rFonts w:hint="eastAsia" w:ascii="宋体" w:hAnsi="宋体"/>
          <w:color w:val="000000"/>
          <w:szCs w:val="21"/>
          <w:highlight w:val="none"/>
        </w:rPr>
        <w:t>：</w:t>
      </w:r>
    </w:p>
    <w:p w14:paraId="15379A3E">
      <w:pPr>
        <w:spacing w:line="440" w:lineRule="exact"/>
        <w:ind w:firstLine="495" w:firstLineChars="236"/>
        <w:contextualSpacing/>
        <w:rPr>
          <w:rFonts w:ascii="宋体" w:hAnsi="宋体"/>
          <w:color w:val="000000"/>
          <w:szCs w:val="21"/>
          <w:highlight w:val="none"/>
        </w:rPr>
      </w:pPr>
      <w:r>
        <w:rPr>
          <w:rFonts w:hint="eastAsia" w:ascii="宋体" w:hAnsi="宋体"/>
          <w:color w:val="000000"/>
          <w:szCs w:val="21"/>
          <w:highlight w:val="none"/>
        </w:rPr>
        <w:t>我</w:t>
      </w:r>
      <w:r>
        <w:rPr>
          <w:rFonts w:hint="eastAsia" w:ascii="宋体" w:hAnsi="宋体"/>
          <w:color w:val="000000"/>
          <w:szCs w:val="21"/>
          <w:highlight w:val="none"/>
          <w:u w:val="single"/>
        </w:rPr>
        <w:t xml:space="preserve">       </w:t>
      </w:r>
      <w:r>
        <w:rPr>
          <w:rFonts w:hint="eastAsia" w:ascii="宋体" w:hAnsi="宋体"/>
          <w:color w:val="000000"/>
          <w:szCs w:val="21"/>
          <w:highlight w:val="none"/>
        </w:rPr>
        <w:t>（姓名）系</w:t>
      </w:r>
      <w:r>
        <w:rPr>
          <w:rFonts w:hint="eastAsia" w:ascii="宋体" w:hAnsi="宋体"/>
          <w:color w:val="000000"/>
          <w:szCs w:val="21"/>
          <w:highlight w:val="none"/>
          <w:u w:val="single"/>
        </w:rPr>
        <w:t xml:space="preserve">      </w:t>
      </w:r>
      <w:r>
        <w:rPr>
          <w:rFonts w:hint="eastAsia" w:ascii="宋体" w:hAnsi="宋体"/>
          <w:color w:val="000000"/>
          <w:szCs w:val="21"/>
          <w:highlight w:val="none"/>
        </w:rPr>
        <w:t>（投标人名称）的法定代表人（或负责人），现授权委托</w:t>
      </w:r>
      <w:r>
        <w:rPr>
          <w:rFonts w:hint="eastAsia" w:ascii="宋体" w:hAnsi="宋体"/>
          <w:color w:val="000000"/>
          <w:szCs w:val="21"/>
          <w:highlight w:val="none"/>
          <w:u w:val="single"/>
        </w:rPr>
        <w:t xml:space="preserve">              （姓名）</w:t>
      </w:r>
      <w:r>
        <w:rPr>
          <w:rFonts w:hint="eastAsia" w:ascii="宋体" w:hAnsi="宋体"/>
          <w:color w:val="000000"/>
          <w:szCs w:val="21"/>
          <w:highlight w:val="none"/>
        </w:rPr>
        <w:t>以我方的名义参加</w:t>
      </w:r>
      <w:r>
        <w:rPr>
          <w:rFonts w:hint="eastAsia" w:ascii="宋体" w:hAnsi="宋体"/>
          <w:color w:val="000000"/>
          <w:szCs w:val="21"/>
          <w:highlight w:val="none"/>
          <w:u w:val="single"/>
        </w:rPr>
        <w:t xml:space="preserve">              </w:t>
      </w:r>
      <w:r>
        <w:rPr>
          <w:rFonts w:hint="eastAsia" w:ascii="宋体" w:hAnsi="宋体"/>
          <w:color w:val="000000"/>
          <w:szCs w:val="21"/>
          <w:highlight w:val="none"/>
        </w:rPr>
        <w:t>项目的投标活动，并代表我方全权办理针对上述项目的所有采购程序和环节的具体事务和签署相关文件。</w:t>
      </w:r>
    </w:p>
    <w:p w14:paraId="32DDD862">
      <w:pPr>
        <w:spacing w:line="440" w:lineRule="exact"/>
        <w:contextualSpacing/>
        <w:rPr>
          <w:rFonts w:ascii="宋体" w:hAnsi="宋体"/>
          <w:color w:val="000000"/>
          <w:szCs w:val="21"/>
          <w:highlight w:val="none"/>
        </w:rPr>
      </w:pPr>
      <w:r>
        <w:rPr>
          <w:rFonts w:hint="eastAsia" w:ascii="宋体" w:hAnsi="宋体"/>
          <w:color w:val="000000"/>
          <w:szCs w:val="21"/>
          <w:highlight w:val="none"/>
        </w:rPr>
        <w:t xml:space="preserve">    我方对委托代理人的签字或者电子签名事项负全部责任。</w:t>
      </w:r>
    </w:p>
    <w:p w14:paraId="28593FE0">
      <w:pPr>
        <w:spacing w:line="440" w:lineRule="exact"/>
        <w:ind w:firstLine="480"/>
        <w:contextualSpacing/>
        <w:rPr>
          <w:rFonts w:ascii="宋体" w:hAnsi="宋体"/>
          <w:color w:val="000000"/>
          <w:szCs w:val="21"/>
          <w:highlight w:val="none"/>
        </w:rPr>
      </w:pPr>
      <w:r>
        <w:rPr>
          <w:rFonts w:hint="eastAsia" w:ascii="宋体" w:hAnsi="宋体"/>
          <w:color w:val="000000"/>
          <w:szCs w:val="21"/>
          <w:highlight w:val="none"/>
          <w:u w:val="single"/>
        </w:rPr>
        <w:t>本授权书自签署之日起生效，在撤销授权的书面通知以前，本授权书一直有效。委托代理人在授权书有效期内签署的所有文件不因授权的撤销而失效。</w:t>
      </w:r>
    </w:p>
    <w:p w14:paraId="0C22F5FE">
      <w:pPr>
        <w:spacing w:line="440" w:lineRule="exact"/>
        <w:ind w:firstLine="480"/>
        <w:contextualSpacing/>
        <w:rPr>
          <w:rFonts w:ascii="宋体" w:hAnsi="宋体"/>
          <w:color w:val="000000"/>
          <w:szCs w:val="21"/>
          <w:highlight w:val="none"/>
        </w:rPr>
      </w:pPr>
      <w:r>
        <w:rPr>
          <w:rFonts w:hint="eastAsia" w:ascii="宋体" w:hAnsi="宋体"/>
          <w:color w:val="000000"/>
          <w:szCs w:val="21"/>
          <w:highlight w:val="none"/>
        </w:rPr>
        <w:t>委托代理人无转委托权，特此委托。</w:t>
      </w:r>
    </w:p>
    <w:p w14:paraId="3CB7DAED">
      <w:pPr>
        <w:spacing w:line="440" w:lineRule="exact"/>
        <w:ind w:firstLine="480"/>
        <w:contextualSpacing/>
        <w:rPr>
          <w:rFonts w:ascii="宋体" w:hAnsi="宋体"/>
          <w:color w:val="000000"/>
          <w:szCs w:val="21"/>
          <w:highlight w:val="none"/>
        </w:rPr>
      </w:pPr>
      <w:r>
        <w:rPr>
          <w:rFonts w:hint="eastAsia" w:ascii="宋体" w:hAnsi="宋体"/>
          <w:color w:val="000000"/>
          <w:szCs w:val="21"/>
          <w:highlight w:val="none"/>
        </w:rPr>
        <w:t>附：法定代表人（或负责人）身份证明及委托代理人有效身份证正反面复印件</w:t>
      </w:r>
    </w:p>
    <w:p w14:paraId="2C33D52A">
      <w:pPr>
        <w:spacing w:line="440" w:lineRule="exact"/>
        <w:contextualSpacing/>
        <w:rPr>
          <w:rFonts w:ascii="宋体" w:hAnsi="宋体"/>
          <w:color w:val="000000"/>
          <w:szCs w:val="21"/>
          <w:highlight w:val="none"/>
        </w:rPr>
      </w:pPr>
    </w:p>
    <w:p w14:paraId="71DD86CA">
      <w:pPr>
        <w:spacing w:line="440" w:lineRule="exact"/>
        <w:contextualSpacing/>
        <w:rPr>
          <w:rFonts w:ascii="宋体" w:hAnsi="宋体"/>
          <w:color w:val="000000"/>
          <w:szCs w:val="21"/>
          <w:highlight w:val="none"/>
        </w:rPr>
      </w:pPr>
      <w:r>
        <w:rPr>
          <w:rFonts w:hint="eastAsia" w:ascii="宋体" w:hAnsi="宋体"/>
          <w:color w:val="000000"/>
          <w:szCs w:val="21"/>
          <w:highlight w:val="none"/>
        </w:rPr>
        <w:t>委托代理人（签字或电子签名）：</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116D9F9C">
      <w:pPr>
        <w:spacing w:line="440" w:lineRule="exact"/>
        <w:contextualSpacing/>
        <w:rPr>
          <w:rFonts w:ascii="宋体" w:hAnsi="宋体"/>
          <w:color w:val="000000"/>
          <w:szCs w:val="21"/>
          <w:highlight w:val="none"/>
          <w:u w:val="single"/>
        </w:rPr>
      </w:pPr>
      <w:r>
        <w:rPr>
          <w:rFonts w:hint="eastAsia" w:ascii="宋体" w:hAnsi="宋体"/>
          <w:color w:val="000000"/>
          <w:szCs w:val="21"/>
          <w:highlight w:val="none"/>
        </w:rPr>
        <w:t>委托代理人身份证号码：</w:t>
      </w:r>
      <w:r>
        <w:rPr>
          <w:rFonts w:hint="eastAsia" w:ascii="宋体" w:hAnsi="宋体"/>
          <w:color w:val="000000"/>
          <w:szCs w:val="21"/>
          <w:highlight w:val="none"/>
          <w:u w:val="single"/>
        </w:rPr>
        <w:t xml:space="preserve">                             </w:t>
      </w:r>
    </w:p>
    <w:p w14:paraId="1D3C0813">
      <w:pPr>
        <w:spacing w:line="440" w:lineRule="exact"/>
        <w:contextualSpacing/>
        <w:rPr>
          <w:rFonts w:ascii="宋体" w:hAnsi="宋体"/>
          <w:color w:val="000000"/>
          <w:szCs w:val="21"/>
          <w:highlight w:val="none"/>
          <w:u w:val="single"/>
        </w:rPr>
      </w:pPr>
      <w:r>
        <w:rPr>
          <w:rFonts w:hint="eastAsia" w:ascii="宋体" w:hAnsi="宋体"/>
          <w:color w:val="000000"/>
          <w:szCs w:val="21"/>
          <w:highlight w:val="none"/>
        </w:rPr>
        <w:t>法定代表人（或负责人）（签字或电子签名）：</w:t>
      </w:r>
      <w:r>
        <w:rPr>
          <w:rFonts w:hint="eastAsia" w:ascii="宋体" w:hAnsi="宋体"/>
          <w:color w:val="000000"/>
          <w:szCs w:val="21"/>
          <w:highlight w:val="none"/>
          <w:u w:val="single"/>
        </w:rPr>
        <w:t xml:space="preserve">              </w:t>
      </w:r>
    </w:p>
    <w:p w14:paraId="1A02FF40">
      <w:pPr>
        <w:spacing w:line="440" w:lineRule="exact"/>
        <w:contextualSpacing/>
        <w:rPr>
          <w:rFonts w:ascii="宋体" w:hAnsi="宋体"/>
          <w:color w:val="000000"/>
          <w:szCs w:val="21"/>
          <w:highlight w:val="none"/>
        </w:rPr>
      </w:pPr>
      <w:r>
        <w:rPr>
          <w:rFonts w:hint="eastAsia" w:ascii="宋体" w:hAnsi="宋体"/>
          <w:color w:val="000000"/>
          <w:szCs w:val="21"/>
          <w:highlight w:val="none"/>
        </w:rPr>
        <w:t xml:space="preserve"> </w:t>
      </w:r>
    </w:p>
    <w:p w14:paraId="20874A86">
      <w:pPr>
        <w:spacing w:line="440" w:lineRule="exact"/>
        <w:contextualSpacing/>
        <w:jc w:val="center"/>
        <w:rPr>
          <w:rFonts w:ascii="宋体" w:hAnsi="宋体"/>
          <w:color w:val="000000"/>
          <w:szCs w:val="21"/>
          <w:highlight w:val="none"/>
        </w:rPr>
      </w:pPr>
      <w:r>
        <w:rPr>
          <w:rFonts w:hint="eastAsia" w:ascii="宋体" w:hAnsi="宋体"/>
          <w:color w:val="000000"/>
          <w:szCs w:val="21"/>
          <w:highlight w:val="none"/>
        </w:rPr>
        <w:t xml:space="preserve">                                                投标人名称（电子签章）：</w:t>
      </w:r>
    </w:p>
    <w:p w14:paraId="4A45909B">
      <w:pPr>
        <w:spacing w:line="440" w:lineRule="exact"/>
        <w:contextualSpacing/>
        <w:jc w:val="center"/>
        <w:rPr>
          <w:rFonts w:ascii="宋体" w:hAnsi="宋体"/>
          <w:color w:val="000000"/>
          <w:szCs w:val="21"/>
          <w:highlight w:val="none"/>
        </w:rPr>
      </w:pPr>
      <w:r>
        <w:rPr>
          <w:rFonts w:hint="eastAsia" w:ascii="宋体" w:hAnsi="宋体"/>
          <w:color w:val="000000"/>
          <w:szCs w:val="21"/>
          <w:highlight w:val="none"/>
        </w:rPr>
        <w:t xml:space="preserve">                                              年    月    日</w:t>
      </w:r>
    </w:p>
    <w:p w14:paraId="42D03C4B">
      <w:pPr>
        <w:spacing w:line="440" w:lineRule="exact"/>
        <w:contextualSpacing/>
        <w:rPr>
          <w:rFonts w:ascii="宋体" w:hAnsi="宋体" w:cs="仿宋_GB2312"/>
          <w:color w:val="000000"/>
          <w:szCs w:val="21"/>
          <w:highlight w:val="none"/>
        </w:rPr>
      </w:pPr>
      <w:r>
        <w:rPr>
          <w:rFonts w:hint="eastAsia" w:ascii="宋体" w:hAnsi="宋体" w:cs="仿宋_GB2312"/>
          <w:color w:val="000000"/>
          <w:szCs w:val="21"/>
          <w:highlight w:val="none"/>
        </w:rPr>
        <w:t>注：1.</w:t>
      </w:r>
      <w:bookmarkStart w:id="158" w:name="_Hlk65851555"/>
      <w:bookmarkStart w:id="159" w:name="_Hlk65851620"/>
      <w:r>
        <w:rPr>
          <w:rFonts w:hint="eastAsia" w:ascii="宋体" w:hAnsi="宋体" w:cs="仿宋_GB2312"/>
          <w:color w:val="000000"/>
          <w:szCs w:val="21"/>
          <w:highlight w:val="none"/>
        </w:rPr>
        <w:t>法定代表人（或负责人）必须在授权委托书上亲笔签字或者盖章</w:t>
      </w:r>
      <w:r>
        <w:rPr>
          <w:rFonts w:hint="eastAsia" w:ascii="宋体" w:hAnsi="宋体"/>
          <w:color w:val="000000"/>
          <w:szCs w:val="21"/>
          <w:highlight w:val="none"/>
        </w:rPr>
        <w:t>或者电子签名</w:t>
      </w:r>
      <w:r>
        <w:rPr>
          <w:rFonts w:hint="eastAsia" w:ascii="宋体" w:hAnsi="宋体" w:cs="仿宋_GB2312"/>
          <w:color w:val="000000"/>
          <w:szCs w:val="21"/>
          <w:highlight w:val="none"/>
        </w:rPr>
        <w:t>，</w:t>
      </w:r>
      <w:bookmarkEnd w:id="158"/>
      <w:r>
        <w:rPr>
          <w:rFonts w:hint="eastAsia" w:ascii="宋体" w:hAnsi="宋体" w:cs="仿宋_GB2312"/>
          <w:color w:val="000000"/>
          <w:szCs w:val="21"/>
          <w:highlight w:val="none"/>
        </w:rPr>
        <w:t>委托代理人必须在授权委托书上亲笔签字</w:t>
      </w:r>
      <w:r>
        <w:rPr>
          <w:rFonts w:hint="eastAsia" w:ascii="宋体" w:hAnsi="宋体"/>
          <w:color w:val="000000"/>
          <w:szCs w:val="21"/>
          <w:highlight w:val="none"/>
        </w:rPr>
        <w:t>或者电子签名</w:t>
      </w:r>
      <w:r>
        <w:rPr>
          <w:rFonts w:hint="eastAsia" w:ascii="宋体" w:hAnsi="宋体" w:cs="仿宋_GB2312"/>
          <w:color w:val="000000"/>
          <w:szCs w:val="21"/>
          <w:highlight w:val="none"/>
        </w:rPr>
        <w:t>，</w:t>
      </w:r>
      <w:r>
        <w:rPr>
          <w:rFonts w:hint="eastAsia" w:ascii="宋体" w:hAnsi="宋体" w:cs="仿宋_GB2312"/>
          <w:b/>
          <w:bCs/>
          <w:color w:val="000000"/>
          <w:szCs w:val="21"/>
          <w:highlight w:val="none"/>
        </w:rPr>
        <w:t>否则按无效投标处理</w:t>
      </w:r>
      <w:r>
        <w:rPr>
          <w:rFonts w:hint="eastAsia" w:ascii="宋体" w:hAnsi="宋体" w:cs="仿宋_GB2312"/>
          <w:color w:val="000000"/>
          <w:szCs w:val="21"/>
          <w:highlight w:val="none"/>
        </w:rPr>
        <w:t>；</w:t>
      </w:r>
      <w:bookmarkEnd w:id="159"/>
    </w:p>
    <w:p w14:paraId="76CA0DC0">
      <w:pPr>
        <w:spacing w:line="440" w:lineRule="exact"/>
        <w:ind w:firstLine="420" w:firstLineChars="200"/>
        <w:contextualSpacing/>
        <w:jc w:val="left"/>
        <w:rPr>
          <w:rFonts w:ascii="宋体" w:hAnsi="宋体"/>
          <w:color w:val="000000"/>
          <w:szCs w:val="21"/>
          <w:highlight w:val="none"/>
        </w:rPr>
      </w:pPr>
      <w:r>
        <w:rPr>
          <w:rFonts w:hint="eastAsia" w:ascii="宋体" w:hAnsi="宋体" w:cs="仿宋_GB2312"/>
          <w:color w:val="000000"/>
          <w:szCs w:val="21"/>
          <w:highlight w:val="none"/>
        </w:rPr>
        <w:t>2.法人、其他组织投标时“我方”是指“我单位”，自然人投标时“我方”是指“本人”。</w:t>
      </w:r>
    </w:p>
    <w:p w14:paraId="6CA23A93">
      <w:pPr>
        <w:rPr>
          <w:rFonts w:ascii="宋体" w:hAnsi="宋体"/>
          <w:color w:val="000000"/>
          <w:sz w:val="24"/>
          <w:highlight w:val="none"/>
        </w:rPr>
      </w:pPr>
      <w:r>
        <w:rPr>
          <w:rFonts w:ascii="宋体" w:hAnsi="宋体"/>
          <w:color w:val="000000"/>
          <w:sz w:val="24"/>
          <w:highlight w:val="none"/>
        </w:rPr>
        <w:br w:type="page"/>
      </w:r>
    </w:p>
    <w:p w14:paraId="0FEADDEC">
      <w:pPr>
        <w:rPr>
          <w:rFonts w:ascii="宋体" w:hAnsi="宋体"/>
          <w:b/>
          <w:color w:val="000000"/>
          <w:sz w:val="24"/>
          <w:szCs w:val="20"/>
          <w:highlight w:val="none"/>
        </w:rPr>
      </w:pPr>
      <w:r>
        <w:rPr>
          <w:rFonts w:hint="eastAsia" w:ascii="宋体" w:hAnsi="宋体"/>
          <w:b/>
          <w:color w:val="000000"/>
          <w:sz w:val="24"/>
          <w:highlight w:val="none"/>
        </w:rPr>
        <w:t>6.商务要求偏离表格式（注：按项目需求表具体项目修改）</w:t>
      </w:r>
    </w:p>
    <w:p w14:paraId="6E9550C2">
      <w:pPr>
        <w:snapToGrid w:val="0"/>
        <w:spacing w:before="50"/>
        <w:jc w:val="left"/>
        <w:rPr>
          <w:rFonts w:ascii="宋体" w:hAnsi="宋体"/>
          <w:color w:val="000000"/>
          <w:sz w:val="24"/>
          <w:highlight w:val="none"/>
        </w:rPr>
      </w:pPr>
    </w:p>
    <w:p w14:paraId="25882B06">
      <w:pPr>
        <w:snapToGrid w:val="0"/>
        <w:spacing w:before="50"/>
        <w:jc w:val="left"/>
        <w:rPr>
          <w:rFonts w:ascii="宋体" w:hAnsi="宋体"/>
          <w:color w:val="000000"/>
          <w:szCs w:val="21"/>
          <w:highlight w:val="none"/>
        </w:rPr>
      </w:pPr>
      <w:r>
        <w:rPr>
          <w:rFonts w:hint="eastAsia" w:ascii="宋体" w:hAnsi="宋体"/>
          <w:color w:val="000000"/>
          <w:szCs w:val="21"/>
          <w:highlight w:val="none"/>
        </w:rPr>
        <w:t xml:space="preserve">项目名称：                                     项目编号：                        </w:t>
      </w:r>
    </w:p>
    <w:p w14:paraId="33784182">
      <w:pPr>
        <w:snapToGrid w:val="0"/>
        <w:spacing w:before="50"/>
        <w:jc w:val="left"/>
        <w:rPr>
          <w:rFonts w:ascii="宋体" w:hAnsi="宋体"/>
          <w:color w:val="000000"/>
          <w:szCs w:val="21"/>
          <w:highlight w:val="none"/>
        </w:rPr>
      </w:pPr>
      <w:r>
        <w:rPr>
          <w:rFonts w:hint="eastAsia" w:ascii="宋体" w:hAnsi="宋体"/>
          <w:color w:val="000000"/>
          <w:szCs w:val="21"/>
          <w:highlight w:val="none"/>
        </w:rPr>
        <w:t xml:space="preserve">                      </w:t>
      </w: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88"/>
        <w:gridCol w:w="2126"/>
        <w:gridCol w:w="1701"/>
        <w:gridCol w:w="1326"/>
      </w:tblGrid>
      <w:tr w14:paraId="1539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488" w:type="dxa"/>
            <w:tcBorders>
              <w:top w:val="single" w:color="auto" w:sz="4" w:space="0"/>
              <w:left w:val="single" w:color="auto" w:sz="4" w:space="0"/>
              <w:bottom w:val="single" w:color="auto" w:sz="4" w:space="0"/>
              <w:right w:val="single" w:color="auto" w:sz="4" w:space="0"/>
            </w:tcBorders>
          </w:tcPr>
          <w:p w14:paraId="5324F880">
            <w:pPr>
              <w:snapToGrid w:val="0"/>
              <w:spacing w:before="120" w:beforeLines="50"/>
              <w:jc w:val="center"/>
              <w:rPr>
                <w:rFonts w:ascii="宋体" w:hAnsi="宋体"/>
                <w:color w:val="000000"/>
                <w:szCs w:val="21"/>
                <w:highlight w:val="none"/>
              </w:rPr>
            </w:pPr>
            <w:r>
              <w:rPr>
                <w:rFonts w:hint="eastAsia" w:ascii="宋体" w:hAnsi="宋体"/>
                <w:color w:val="000000"/>
                <w:szCs w:val="21"/>
                <w:highlight w:val="none"/>
              </w:rPr>
              <w:t>项目</w:t>
            </w:r>
          </w:p>
        </w:tc>
        <w:tc>
          <w:tcPr>
            <w:tcW w:w="2126" w:type="dxa"/>
            <w:tcBorders>
              <w:top w:val="single" w:color="auto" w:sz="4" w:space="0"/>
              <w:left w:val="single" w:color="auto" w:sz="4" w:space="0"/>
              <w:bottom w:val="single" w:color="auto" w:sz="4" w:space="0"/>
              <w:right w:val="single" w:color="auto" w:sz="4" w:space="0"/>
            </w:tcBorders>
          </w:tcPr>
          <w:p w14:paraId="3E65C853">
            <w:pPr>
              <w:snapToGrid w:val="0"/>
              <w:spacing w:before="120" w:beforeLines="50"/>
              <w:jc w:val="center"/>
              <w:rPr>
                <w:rFonts w:ascii="宋体" w:hAnsi="宋体"/>
                <w:color w:val="000000"/>
                <w:szCs w:val="21"/>
                <w:highlight w:val="none"/>
              </w:rPr>
            </w:pPr>
            <w:r>
              <w:rPr>
                <w:rFonts w:hint="eastAsia" w:ascii="宋体" w:hAnsi="宋体"/>
                <w:color w:val="000000"/>
                <w:szCs w:val="21"/>
                <w:highlight w:val="none"/>
              </w:rPr>
              <w:t>招标文件商务要求</w:t>
            </w:r>
          </w:p>
        </w:tc>
        <w:tc>
          <w:tcPr>
            <w:tcW w:w="1701" w:type="dxa"/>
            <w:tcBorders>
              <w:top w:val="single" w:color="auto" w:sz="4" w:space="0"/>
              <w:left w:val="single" w:color="auto" w:sz="4" w:space="0"/>
              <w:bottom w:val="single" w:color="auto" w:sz="4" w:space="0"/>
              <w:right w:val="single" w:color="auto" w:sz="4" w:space="0"/>
            </w:tcBorders>
          </w:tcPr>
          <w:p w14:paraId="66CC0684">
            <w:pPr>
              <w:snapToGrid w:val="0"/>
              <w:spacing w:before="120" w:beforeLines="50"/>
              <w:jc w:val="center"/>
              <w:rPr>
                <w:rFonts w:ascii="宋体" w:hAnsi="宋体"/>
                <w:color w:val="000000"/>
                <w:szCs w:val="21"/>
                <w:highlight w:val="none"/>
              </w:rPr>
            </w:pPr>
            <w:r>
              <w:rPr>
                <w:rFonts w:hint="eastAsia" w:ascii="宋体" w:hAnsi="宋体"/>
                <w:color w:val="000000"/>
                <w:szCs w:val="21"/>
                <w:highlight w:val="none"/>
              </w:rPr>
              <w:t>投标人的承诺</w:t>
            </w:r>
          </w:p>
        </w:tc>
        <w:tc>
          <w:tcPr>
            <w:tcW w:w="1326" w:type="dxa"/>
            <w:tcBorders>
              <w:top w:val="single" w:color="auto" w:sz="4" w:space="0"/>
              <w:left w:val="single" w:color="auto" w:sz="4" w:space="0"/>
              <w:bottom w:val="single" w:color="auto" w:sz="4" w:space="0"/>
              <w:right w:val="single" w:color="auto" w:sz="4" w:space="0"/>
            </w:tcBorders>
          </w:tcPr>
          <w:p w14:paraId="5203C4FF">
            <w:pPr>
              <w:snapToGrid w:val="0"/>
              <w:spacing w:before="120" w:beforeLines="50"/>
              <w:jc w:val="center"/>
              <w:rPr>
                <w:rFonts w:ascii="宋体" w:hAnsi="宋体"/>
                <w:color w:val="000000"/>
                <w:szCs w:val="21"/>
                <w:highlight w:val="none"/>
              </w:rPr>
            </w:pPr>
            <w:r>
              <w:rPr>
                <w:rFonts w:hint="eastAsia" w:ascii="宋体" w:hAnsi="宋体"/>
                <w:color w:val="000000"/>
                <w:szCs w:val="21"/>
                <w:highlight w:val="none"/>
              </w:rPr>
              <w:t>偏离说明</w:t>
            </w:r>
          </w:p>
        </w:tc>
      </w:tr>
      <w:tr w14:paraId="4F00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488" w:type="dxa"/>
            <w:tcBorders>
              <w:top w:val="single" w:color="auto" w:sz="4" w:space="0"/>
              <w:left w:val="single" w:color="auto" w:sz="4" w:space="0"/>
              <w:bottom w:val="single" w:color="auto" w:sz="4" w:space="0"/>
              <w:right w:val="single" w:color="auto" w:sz="4" w:space="0"/>
            </w:tcBorders>
            <w:vAlign w:val="center"/>
          </w:tcPr>
          <w:p w14:paraId="22AE8E5F">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3AF07446">
            <w:pPr>
              <w:snapToGrid w:val="0"/>
              <w:spacing w:line="400" w:lineRule="exact"/>
              <w:jc w:val="center"/>
              <w:rPr>
                <w:rFonts w:ascii="宋体" w:hAnsi="宋体"/>
                <w:color w:val="00000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7C3F18E">
            <w:pPr>
              <w:snapToGrid w:val="0"/>
              <w:spacing w:line="400" w:lineRule="exact"/>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1EDC4C5F">
            <w:pPr>
              <w:snapToGrid w:val="0"/>
              <w:spacing w:line="400" w:lineRule="exact"/>
              <w:jc w:val="center"/>
              <w:rPr>
                <w:rFonts w:ascii="宋体" w:hAnsi="宋体"/>
                <w:color w:val="000000"/>
                <w:szCs w:val="21"/>
                <w:highlight w:val="none"/>
              </w:rPr>
            </w:pPr>
          </w:p>
        </w:tc>
      </w:tr>
      <w:tr w14:paraId="39A86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488" w:type="dxa"/>
            <w:tcBorders>
              <w:top w:val="single" w:color="auto" w:sz="4" w:space="0"/>
              <w:left w:val="single" w:color="auto" w:sz="4" w:space="0"/>
              <w:bottom w:val="single" w:color="auto" w:sz="4" w:space="0"/>
              <w:right w:val="single" w:color="auto" w:sz="4" w:space="0"/>
            </w:tcBorders>
            <w:vAlign w:val="center"/>
          </w:tcPr>
          <w:p w14:paraId="39DC7BA6">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9F31223">
            <w:pPr>
              <w:snapToGrid w:val="0"/>
              <w:spacing w:line="400" w:lineRule="exact"/>
              <w:jc w:val="center"/>
              <w:rPr>
                <w:rFonts w:ascii="宋体" w:hAnsi="宋体"/>
                <w:color w:val="00000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D4FE6DA">
            <w:pPr>
              <w:snapToGrid w:val="0"/>
              <w:spacing w:line="400" w:lineRule="exact"/>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BC035E6">
            <w:pPr>
              <w:snapToGrid w:val="0"/>
              <w:spacing w:line="400" w:lineRule="exact"/>
              <w:jc w:val="center"/>
              <w:rPr>
                <w:rFonts w:ascii="宋体" w:hAnsi="宋体"/>
                <w:color w:val="000000"/>
                <w:szCs w:val="21"/>
                <w:highlight w:val="none"/>
              </w:rPr>
            </w:pPr>
          </w:p>
        </w:tc>
      </w:tr>
      <w:tr w14:paraId="37100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88" w:type="dxa"/>
            <w:tcBorders>
              <w:top w:val="single" w:color="auto" w:sz="4" w:space="0"/>
              <w:left w:val="single" w:color="auto" w:sz="4" w:space="0"/>
              <w:bottom w:val="single" w:color="auto" w:sz="4" w:space="0"/>
              <w:right w:val="single" w:color="auto" w:sz="4" w:space="0"/>
            </w:tcBorders>
            <w:vAlign w:val="center"/>
          </w:tcPr>
          <w:p w14:paraId="1FE12D02">
            <w:pPr>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3647B5BD">
            <w:pPr>
              <w:snapToGrid w:val="0"/>
              <w:spacing w:line="400" w:lineRule="exact"/>
              <w:rPr>
                <w:rFonts w:ascii="宋体" w:hAnsi="宋体"/>
                <w:color w:val="000000"/>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tcPr>
          <w:p w14:paraId="0D407476">
            <w:pPr>
              <w:snapToGrid w:val="0"/>
              <w:spacing w:line="400" w:lineRule="exact"/>
              <w:ind w:left="43"/>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74C6E348">
            <w:pPr>
              <w:snapToGrid w:val="0"/>
              <w:spacing w:line="400" w:lineRule="exact"/>
              <w:ind w:left="43"/>
              <w:jc w:val="center"/>
              <w:rPr>
                <w:rFonts w:ascii="宋体" w:hAnsi="宋体"/>
                <w:color w:val="000000"/>
                <w:szCs w:val="21"/>
                <w:highlight w:val="none"/>
              </w:rPr>
            </w:pPr>
          </w:p>
        </w:tc>
      </w:tr>
      <w:tr w14:paraId="2980F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8" w:type="dxa"/>
            <w:tcBorders>
              <w:top w:val="single" w:color="auto" w:sz="4" w:space="0"/>
              <w:left w:val="single" w:color="auto" w:sz="4" w:space="0"/>
              <w:bottom w:val="single" w:color="auto" w:sz="4" w:space="0"/>
              <w:right w:val="single" w:color="auto" w:sz="4" w:space="0"/>
            </w:tcBorders>
            <w:vAlign w:val="center"/>
          </w:tcPr>
          <w:p w14:paraId="781ED509">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C9A1916">
            <w:pPr>
              <w:snapToGrid w:val="0"/>
              <w:spacing w:line="400" w:lineRule="exact"/>
              <w:rPr>
                <w:rFonts w:ascii="宋体" w:hAnsi="宋体"/>
                <w:color w:val="000000"/>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tcPr>
          <w:p w14:paraId="483A3036">
            <w:pPr>
              <w:snapToGrid w:val="0"/>
              <w:spacing w:line="400" w:lineRule="exact"/>
              <w:ind w:left="43"/>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897BA43">
            <w:pPr>
              <w:snapToGrid w:val="0"/>
              <w:spacing w:line="400" w:lineRule="exact"/>
              <w:ind w:left="43"/>
              <w:jc w:val="center"/>
              <w:rPr>
                <w:rFonts w:ascii="宋体" w:hAnsi="宋体"/>
                <w:color w:val="000000"/>
                <w:szCs w:val="21"/>
                <w:highlight w:val="none"/>
              </w:rPr>
            </w:pPr>
          </w:p>
        </w:tc>
      </w:tr>
      <w:tr w14:paraId="0F954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488" w:type="dxa"/>
            <w:tcBorders>
              <w:top w:val="single" w:color="auto" w:sz="4" w:space="0"/>
              <w:left w:val="single" w:color="auto" w:sz="4" w:space="0"/>
              <w:bottom w:val="single" w:color="auto" w:sz="4" w:space="0"/>
              <w:right w:val="single" w:color="auto" w:sz="4" w:space="0"/>
            </w:tcBorders>
            <w:vAlign w:val="center"/>
          </w:tcPr>
          <w:p w14:paraId="0966D3FC">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B8C846D">
            <w:pPr>
              <w:snapToGrid w:val="0"/>
              <w:spacing w:line="400" w:lineRule="exact"/>
              <w:rPr>
                <w:rFonts w:ascii="宋体" w:hAnsi="宋体"/>
                <w:color w:val="000000"/>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tcPr>
          <w:p w14:paraId="5B27B393">
            <w:pPr>
              <w:snapToGrid w:val="0"/>
              <w:spacing w:line="400" w:lineRule="exact"/>
              <w:ind w:left="43"/>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52AF95B">
            <w:pPr>
              <w:snapToGrid w:val="0"/>
              <w:spacing w:line="400" w:lineRule="exact"/>
              <w:ind w:left="43"/>
              <w:jc w:val="center"/>
              <w:rPr>
                <w:rFonts w:ascii="宋体" w:hAnsi="宋体"/>
                <w:color w:val="000000"/>
                <w:szCs w:val="21"/>
                <w:highlight w:val="none"/>
              </w:rPr>
            </w:pPr>
          </w:p>
        </w:tc>
      </w:tr>
      <w:tr w14:paraId="65144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488" w:type="dxa"/>
            <w:tcBorders>
              <w:top w:val="single" w:color="auto" w:sz="4" w:space="0"/>
              <w:left w:val="single" w:color="auto" w:sz="4" w:space="0"/>
              <w:bottom w:val="single" w:color="auto" w:sz="4" w:space="0"/>
              <w:right w:val="single" w:color="auto" w:sz="4" w:space="0"/>
            </w:tcBorders>
            <w:vAlign w:val="center"/>
          </w:tcPr>
          <w:p w14:paraId="6639A2CD">
            <w:pPr>
              <w:snapToGrid w:val="0"/>
              <w:spacing w:line="400" w:lineRule="exact"/>
              <w:jc w:val="center"/>
              <w:rPr>
                <w:rFonts w:ascii="宋体" w:hAnsi="宋体" w:cs="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73F1F2">
            <w:pPr>
              <w:snapToGrid w:val="0"/>
              <w:spacing w:line="400" w:lineRule="exact"/>
              <w:rPr>
                <w:rFonts w:ascii="宋体" w:hAnsi="宋体"/>
                <w:color w:val="000000"/>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tcPr>
          <w:p w14:paraId="032AE72C">
            <w:pPr>
              <w:snapToGrid w:val="0"/>
              <w:spacing w:line="400" w:lineRule="exact"/>
              <w:ind w:left="43"/>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6862B55C">
            <w:pPr>
              <w:snapToGrid w:val="0"/>
              <w:spacing w:line="400" w:lineRule="exact"/>
              <w:ind w:left="43"/>
              <w:jc w:val="center"/>
              <w:rPr>
                <w:rFonts w:ascii="宋体" w:hAnsi="宋体"/>
                <w:color w:val="000000"/>
                <w:szCs w:val="21"/>
                <w:highlight w:val="none"/>
              </w:rPr>
            </w:pPr>
          </w:p>
        </w:tc>
      </w:tr>
      <w:tr w14:paraId="53BD7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488" w:type="dxa"/>
            <w:tcBorders>
              <w:top w:val="single" w:color="auto" w:sz="4" w:space="0"/>
              <w:left w:val="single" w:color="auto" w:sz="4" w:space="0"/>
              <w:bottom w:val="single" w:color="auto" w:sz="4" w:space="0"/>
              <w:right w:val="single" w:color="auto" w:sz="4" w:space="0"/>
            </w:tcBorders>
            <w:vAlign w:val="center"/>
          </w:tcPr>
          <w:p w14:paraId="27C22490">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9D83F32">
            <w:pPr>
              <w:snapToGrid w:val="0"/>
              <w:spacing w:line="400" w:lineRule="exact"/>
              <w:rPr>
                <w:rFonts w:ascii="宋体" w:hAnsi="宋体"/>
                <w:color w:val="000000"/>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tcPr>
          <w:p w14:paraId="200A0F6B">
            <w:pPr>
              <w:snapToGrid w:val="0"/>
              <w:spacing w:line="400" w:lineRule="exact"/>
              <w:ind w:left="43"/>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3378DE4E">
            <w:pPr>
              <w:snapToGrid w:val="0"/>
              <w:spacing w:line="400" w:lineRule="exact"/>
              <w:ind w:left="43"/>
              <w:jc w:val="center"/>
              <w:rPr>
                <w:rFonts w:ascii="宋体" w:hAnsi="宋体"/>
                <w:color w:val="000000"/>
                <w:szCs w:val="21"/>
                <w:highlight w:val="none"/>
              </w:rPr>
            </w:pPr>
          </w:p>
        </w:tc>
      </w:tr>
      <w:tr w14:paraId="70FFF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488" w:type="dxa"/>
            <w:tcBorders>
              <w:top w:val="single" w:color="auto" w:sz="4" w:space="0"/>
              <w:left w:val="single" w:color="auto" w:sz="4" w:space="0"/>
              <w:bottom w:val="single" w:color="auto" w:sz="4" w:space="0"/>
              <w:right w:val="single" w:color="auto" w:sz="4" w:space="0"/>
            </w:tcBorders>
            <w:vAlign w:val="center"/>
          </w:tcPr>
          <w:p w14:paraId="4461BF1F">
            <w:pPr>
              <w:snapToGrid w:val="0"/>
              <w:spacing w:line="400" w:lineRule="exact"/>
              <w:jc w:val="center"/>
              <w:rPr>
                <w:rFonts w:ascii="宋体" w:hAnsi="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76F09E">
            <w:pPr>
              <w:snapToGrid w:val="0"/>
              <w:spacing w:line="400" w:lineRule="exact"/>
              <w:jc w:val="center"/>
              <w:rPr>
                <w:rFonts w:ascii="宋体" w:hAnsi="宋体"/>
                <w:color w:val="00000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38DFAF3">
            <w:pPr>
              <w:snapToGrid w:val="0"/>
              <w:spacing w:line="400" w:lineRule="exact"/>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44A246F6">
            <w:pPr>
              <w:snapToGrid w:val="0"/>
              <w:spacing w:line="400" w:lineRule="exact"/>
              <w:jc w:val="center"/>
              <w:rPr>
                <w:rFonts w:ascii="宋体" w:hAnsi="宋体"/>
                <w:color w:val="000000"/>
                <w:szCs w:val="21"/>
                <w:highlight w:val="none"/>
              </w:rPr>
            </w:pPr>
          </w:p>
        </w:tc>
      </w:tr>
      <w:tr w14:paraId="44E7C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488" w:type="dxa"/>
            <w:tcBorders>
              <w:top w:val="single" w:color="auto" w:sz="4" w:space="0"/>
              <w:left w:val="single" w:color="auto" w:sz="4" w:space="0"/>
              <w:bottom w:val="single" w:color="auto" w:sz="4" w:space="0"/>
              <w:right w:val="single" w:color="auto" w:sz="4" w:space="0"/>
            </w:tcBorders>
            <w:vAlign w:val="center"/>
          </w:tcPr>
          <w:p w14:paraId="5D065D85">
            <w:pPr>
              <w:snapToGrid w:val="0"/>
              <w:spacing w:line="400" w:lineRule="exact"/>
              <w:jc w:val="center"/>
              <w:rPr>
                <w:rFonts w:ascii="宋体" w:hAnsi="宋体" w:cs="宋体"/>
                <w:color w:val="000000"/>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8A825E9">
            <w:pPr>
              <w:snapToGrid w:val="0"/>
              <w:spacing w:line="400" w:lineRule="exact"/>
              <w:jc w:val="center"/>
              <w:rPr>
                <w:rFonts w:ascii="宋体" w:hAnsi="宋体"/>
                <w:color w:val="000000"/>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31794174">
            <w:pPr>
              <w:snapToGrid w:val="0"/>
              <w:spacing w:line="400" w:lineRule="exact"/>
              <w:jc w:val="center"/>
              <w:rPr>
                <w:rFonts w:ascii="宋体" w:hAnsi="宋体"/>
                <w:color w:val="000000"/>
                <w:szCs w:val="21"/>
                <w:highlight w:val="none"/>
              </w:rPr>
            </w:pPr>
          </w:p>
        </w:tc>
        <w:tc>
          <w:tcPr>
            <w:tcW w:w="1326" w:type="dxa"/>
            <w:tcBorders>
              <w:top w:val="single" w:color="auto" w:sz="4" w:space="0"/>
              <w:left w:val="single" w:color="auto" w:sz="4" w:space="0"/>
              <w:bottom w:val="single" w:color="auto" w:sz="4" w:space="0"/>
              <w:right w:val="single" w:color="auto" w:sz="4" w:space="0"/>
            </w:tcBorders>
          </w:tcPr>
          <w:p w14:paraId="03366642">
            <w:pPr>
              <w:snapToGrid w:val="0"/>
              <w:spacing w:line="400" w:lineRule="exact"/>
              <w:jc w:val="center"/>
              <w:rPr>
                <w:rFonts w:ascii="宋体" w:hAnsi="宋体"/>
                <w:color w:val="000000"/>
                <w:szCs w:val="21"/>
                <w:highlight w:val="none"/>
              </w:rPr>
            </w:pPr>
          </w:p>
        </w:tc>
      </w:tr>
      <w:tr w14:paraId="7D2B0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88" w:type="dxa"/>
            <w:tcBorders>
              <w:top w:val="single" w:color="auto" w:sz="4" w:space="0"/>
              <w:left w:val="single" w:color="auto" w:sz="4" w:space="0"/>
              <w:bottom w:val="single" w:color="auto" w:sz="4" w:space="0"/>
              <w:right w:val="single" w:color="auto" w:sz="4" w:space="0"/>
            </w:tcBorders>
            <w:vAlign w:val="center"/>
          </w:tcPr>
          <w:p w14:paraId="6A5BA0B6">
            <w:pPr>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2126" w:type="dxa"/>
            <w:tcBorders>
              <w:top w:val="single" w:color="auto" w:sz="4" w:space="0"/>
              <w:left w:val="single" w:color="auto" w:sz="4" w:space="0"/>
              <w:bottom w:val="single" w:color="auto" w:sz="4" w:space="0"/>
              <w:right w:val="single" w:color="auto" w:sz="4" w:space="0"/>
            </w:tcBorders>
          </w:tcPr>
          <w:p w14:paraId="49331BC2">
            <w:pPr>
              <w:snapToGrid w:val="0"/>
              <w:spacing w:line="400" w:lineRule="exact"/>
              <w:jc w:val="center"/>
              <w:rPr>
                <w:rFonts w:ascii="宋体" w:hAnsi="宋体"/>
                <w:color w:val="000000"/>
                <w:szCs w:val="21"/>
                <w:highlight w:val="none"/>
              </w:rPr>
            </w:pPr>
            <w:r>
              <w:rPr>
                <w:rFonts w:hint="eastAsia" w:ascii="宋体" w:hAnsi="宋体" w:cs="宋体"/>
                <w:color w:val="000000"/>
                <w:szCs w:val="21"/>
                <w:highlight w:val="none"/>
              </w:rPr>
              <w:t>……</w:t>
            </w:r>
          </w:p>
        </w:tc>
        <w:tc>
          <w:tcPr>
            <w:tcW w:w="1701" w:type="dxa"/>
            <w:tcBorders>
              <w:top w:val="single" w:color="auto" w:sz="4" w:space="0"/>
              <w:left w:val="single" w:color="auto" w:sz="4" w:space="0"/>
              <w:bottom w:val="single" w:color="auto" w:sz="4" w:space="0"/>
              <w:right w:val="single" w:color="auto" w:sz="4" w:space="0"/>
            </w:tcBorders>
          </w:tcPr>
          <w:p w14:paraId="5C107598">
            <w:pPr>
              <w:snapToGrid w:val="0"/>
              <w:spacing w:line="400" w:lineRule="exact"/>
              <w:jc w:val="center"/>
              <w:rPr>
                <w:rFonts w:ascii="宋体" w:hAnsi="宋体"/>
                <w:color w:val="000000"/>
                <w:szCs w:val="21"/>
                <w:highlight w:val="none"/>
              </w:rPr>
            </w:pPr>
            <w:r>
              <w:rPr>
                <w:rFonts w:hint="eastAsia" w:ascii="宋体" w:hAnsi="宋体" w:cs="宋体"/>
                <w:color w:val="000000"/>
                <w:szCs w:val="21"/>
                <w:highlight w:val="none"/>
              </w:rPr>
              <w:t>……</w:t>
            </w:r>
          </w:p>
        </w:tc>
        <w:tc>
          <w:tcPr>
            <w:tcW w:w="1326" w:type="dxa"/>
            <w:tcBorders>
              <w:top w:val="single" w:color="auto" w:sz="4" w:space="0"/>
              <w:left w:val="single" w:color="auto" w:sz="4" w:space="0"/>
              <w:bottom w:val="single" w:color="auto" w:sz="4" w:space="0"/>
              <w:right w:val="single" w:color="auto" w:sz="4" w:space="0"/>
            </w:tcBorders>
          </w:tcPr>
          <w:p w14:paraId="381EBD6F">
            <w:pPr>
              <w:snapToGrid w:val="0"/>
              <w:spacing w:line="400" w:lineRule="exact"/>
              <w:jc w:val="center"/>
              <w:rPr>
                <w:rFonts w:ascii="宋体" w:hAnsi="宋体"/>
                <w:color w:val="000000"/>
                <w:szCs w:val="21"/>
                <w:highlight w:val="none"/>
              </w:rPr>
            </w:pPr>
            <w:r>
              <w:rPr>
                <w:rFonts w:hint="eastAsia" w:ascii="宋体" w:hAnsi="宋体" w:cs="宋体"/>
                <w:color w:val="000000"/>
                <w:szCs w:val="21"/>
                <w:highlight w:val="none"/>
              </w:rPr>
              <w:t>……</w:t>
            </w:r>
          </w:p>
        </w:tc>
      </w:tr>
    </w:tbl>
    <w:p w14:paraId="6B99846F">
      <w:pPr>
        <w:pStyle w:val="18"/>
        <w:rPr>
          <w:rFonts w:ascii="宋体" w:hAnsi="宋体"/>
          <w:color w:val="000000"/>
          <w:sz w:val="21"/>
          <w:szCs w:val="21"/>
          <w:highlight w:val="none"/>
        </w:rPr>
      </w:pPr>
      <w:r>
        <w:rPr>
          <w:rFonts w:hint="eastAsia" w:ascii="宋体" w:hAnsi="宋体"/>
          <w:color w:val="000000"/>
          <w:sz w:val="21"/>
          <w:szCs w:val="21"/>
          <w:highlight w:val="none"/>
        </w:rPr>
        <w:t>注：</w:t>
      </w:r>
    </w:p>
    <w:p w14:paraId="3E6A1643">
      <w:pPr>
        <w:pStyle w:val="21"/>
        <w:spacing w:line="520" w:lineRule="exact"/>
        <w:ind w:firstLine="0" w:firstLineChars="0"/>
        <w:rPr>
          <w:rFonts w:hAnsi="仿宋_GB2312" w:cs="仿宋_GB2312"/>
          <w:color w:val="000000"/>
          <w:sz w:val="21"/>
          <w:szCs w:val="21"/>
          <w:highlight w:val="none"/>
        </w:rPr>
      </w:pPr>
      <w:r>
        <w:rPr>
          <w:rFonts w:hint="eastAsia" w:ascii="宋体" w:hAnsi="宋体" w:eastAsia="宋体"/>
          <w:color w:val="000000"/>
          <w:sz w:val="21"/>
          <w:szCs w:val="21"/>
          <w:highlight w:val="none"/>
        </w:rPr>
        <w:t>1.</w:t>
      </w:r>
      <w:r>
        <w:rPr>
          <w:rFonts w:hint="eastAsia"/>
          <w:color w:val="000000"/>
          <w:sz w:val="21"/>
          <w:szCs w:val="21"/>
          <w:highlight w:val="none"/>
        </w:rPr>
        <w:t xml:space="preserve"> </w:t>
      </w:r>
      <w:r>
        <w:rPr>
          <w:rFonts w:hint="eastAsia" w:ascii="宋体" w:hAnsi="宋体" w:eastAsia="宋体"/>
          <w:color w:val="000000"/>
          <w:sz w:val="21"/>
          <w:szCs w:val="21"/>
          <w:highlight w:val="none"/>
        </w:rPr>
        <w:t>说明：应对照招标文件“第二章 采购需求”中的商务要求逐条作明确的投标响应，并作出偏离说明。</w:t>
      </w:r>
    </w:p>
    <w:p w14:paraId="0F35B25A">
      <w:pPr>
        <w:pStyle w:val="18"/>
        <w:rPr>
          <w:rFonts w:ascii="宋体" w:hAnsi="宋体"/>
          <w:b w:val="0"/>
          <w:bCs w:val="0"/>
          <w:color w:val="000000"/>
          <w:sz w:val="21"/>
          <w:szCs w:val="21"/>
          <w:highlight w:val="none"/>
        </w:rPr>
      </w:pPr>
      <w:r>
        <w:rPr>
          <w:rFonts w:ascii="宋体" w:hAnsi="宋体"/>
          <w:b w:val="0"/>
          <w:bCs w:val="0"/>
          <w:color w:val="000000"/>
          <w:sz w:val="21"/>
          <w:szCs w:val="21"/>
          <w:highlight w:val="none"/>
        </w:rPr>
        <w:t>2.</w:t>
      </w:r>
      <w:r>
        <w:rPr>
          <w:rFonts w:hint="eastAsia" w:ascii="宋体" w:hAnsi="宋体"/>
          <w:b w:val="0"/>
          <w:bCs w:val="0"/>
          <w:color w:val="000000"/>
          <w:sz w:val="21"/>
          <w:szCs w:val="21"/>
          <w:highlight w:val="none"/>
        </w:rPr>
        <w:t>投标人应根据自身的承诺，对照招标文件要求在“偏离说明”中注明“</w:t>
      </w:r>
      <w:r>
        <w:rPr>
          <w:rFonts w:hint="eastAsia" w:ascii="宋体" w:hAnsi="宋体"/>
          <w:color w:val="000000"/>
          <w:sz w:val="21"/>
          <w:szCs w:val="21"/>
          <w:highlight w:val="none"/>
        </w:rPr>
        <w:t>正偏离</w:t>
      </w:r>
      <w:r>
        <w:rPr>
          <w:rFonts w:hint="eastAsia" w:ascii="宋体" w:hAnsi="宋体"/>
          <w:b w:val="0"/>
          <w:bCs w:val="0"/>
          <w:color w:val="000000"/>
          <w:sz w:val="21"/>
          <w:szCs w:val="21"/>
          <w:highlight w:val="none"/>
        </w:rPr>
        <w:t>”、“</w:t>
      </w:r>
      <w:r>
        <w:rPr>
          <w:rFonts w:hint="eastAsia" w:ascii="宋体" w:hAnsi="宋体"/>
          <w:color w:val="000000"/>
          <w:sz w:val="21"/>
          <w:szCs w:val="21"/>
          <w:highlight w:val="none"/>
        </w:rPr>
        <w:t>负偏离</w:t>
      </w:r>
      <w:r>
        <w:rPr>
          <w:rFonts w:hint="eastAsia" w:ascii="宋体" w:hAnsi="宋体"/>
          <w:b w:val="0"/>
          <w:bCs w:val="0"/>
          <w:color w:val="000000"/>
          <w:sz w:val="21"/>
          <w:szCs w:val="21"/>
          <w:highlight w:val="none"/>
        </w:rPr>
        <w:t>”或者“</w:t>
      </w:r>
      <w:r>
        <w:rPr>
          <w:rFonts w:hint="eastAsia" w:ascii="宋体" w:hAnsi="宋体"/>
          <w:color w:val="000000"/>
          <w:sz w:val="21"/>
          <w:szCs w:val="21"/>
          <w:highlight w:val="none"/>
        </w:rPr>
        <w:t>无偏离</w:t>
      </w:r>
      <w:r>
        <w:rPr>
          <w:rFonts w:hint="eastAsia" w:ascii="宋体" w:hAnsi="宋体"/>
          <w:b w:val="0"/>
          <w:bCs w:val="0"/>
          <w:color w:val="000000"/>
          <w:sz w:val="21"/>
          <w:szCs w:val="21"/>
          <w:highlight w:val="none"/>
        </w:rPr>
        <w:t>”。既不属于“</w:t>
      </w:r>
      <w:r>
        <w:rPr>
          <w:rFonts w:hint="eastAsia" w:ascii="宋体" w:hAnsi="宋体"/>
          <w:color w:val="000000"/>
          <w:sz w:val="21"/>
          <w:szCs w:val="21"/>
          <w:highlight w:val="none"/>
        </w:rPr>
        <w:t>正偏离</w:t>
      </w:r>
      <w:r>
        <w:rPr>
          <w:rFonts w:hint="eastAsia" w:ascii="宋体" w:hAnsi="宋体"/>
          <w:b w:val="0"/>
          <w:bCs w:val="0"/>
          <w:color w:val="000000"/>
          <w:sz w:val="21"/>
          <w:szCs w:val="21"/>
          <w:highlight w:val="none"/>
        </w:rPr>
        <w:t>”也不属于“</w:t>
      </w:r>
      <w:r>
        <w:rPr>
          <w:rFonts w:hint="eastAsia" w:ascii="宋体" w:hAnsi="宋体"/>
          <w:color w:val="000000"/>
          <w:sz w:val="21"/>
          <w:szCs w:val="21"/>
          <w:highlight w:val="none"/>
        </w:rPr>
        <w:t>负偏离</w:t>
      </w:r>
      <w:r>
        <w:rPr>
          <w:rFonts w:hint="eastAsia" w:ascii="宋体" w:hAnsi="宋体"/>
          <w:b w:val="0"/>
          <w:bCs w:val="0"/>
          <w:color w:val="000000"/>
          <w:sz w:val="21"/>
          <w:szCs w:val="21"/>
          <w:highlight w:val="none"/>
        </w:rPr>
        <w:t>”即为“</w:t>
      </w:r>
      <w:r>
        <w:rPr>
          <w:rFonts w:hint="eastAsia" w:ascii="宋体" w:hAnsi="宋体"/>
          <w:color w:val="000000"/>
          <w:sz w:val="21"/>
          <w:szCs w:val="21"/>
          <w:highlight w:val="none"/>
        </w:rPr>
        <w:t>无偏离</w:t>
      </w:r>
      <w:r>
        <w:rPr>
          <w:rFonts w:hint="eastAsia" w:ascii="宋体" w:hAnsi="宋体"/>
          <w:b w:val="0"/>
          <w:bCs w:val="0"/>
          <w:color w:val="000000"/>
          <w:sz w:val="21"/>
          <w:szCs w:val="21"/>
          <w:highlight w:val="none"/>
        </w:rPr>
        <w:t>”。</w:t>
      </w:r>
    </w:p>
    <w:p w14:paraId="5F7BA810">
      <w:pPr>
        <w:pStyle w:val="18"/>
        <w:rPr>
          <w:rFonts w:ascii="宋体" w:hAnsi="宋体"/>
          <w:b w:val="0"/>
          <w:bCs w:val="0"/>
          <w:color w:val="000000"/>
          <w:sz w:val="21"/>
          <w:szCs w:val="21"/>
          <w:highlight w:val="none"/>
        </w:rPr>
      </w:pPr>
      <w:r>
        <w:rPr>
          <w:rFonts w:hint="eastAsia" w:ascii="宋体" w:hAnsi="宋体"/>
          <w:b w:val="0"/>
          <w:bCs w:val="0"/>
          <w:color w:val="000000"/>
          <w:sz w:val="21"/>
          <w:szCs w:val="21"/>
          <w:highlight w:val="none"/>
        </w:rPr>
        <w:t>3.不按照要求填写承诺内容的或者仅填写“满足或者响应”的，均按无效投标处理。</w:t>
      </w:r>
    </w:p>
    <w:p w14:paraId="50324CCE">
      <w:pPr>
        <w:snapToGrid w:val="0"/>
        <w:spacing w:before="50" w:after="50"/>
        <w:rPr>
          <w:rFonts w:ascii="宋体" w:hAnsi="宋体"/>
          <w:color w:val="000000"/>
          <w:spacing w:val="20"/>
          <w:szCs w:val="21"/>
          <w:highlight w:val="none"/>
          <w:u w:val="single"/>
        </w:rPr>
      </w:pPr>
      <w:r>
        <w:rPr>
          <w:rFonts w:hint="eastAsia" w:ascii="宋体" w:hAnsi="宋体"/>
          <w:color w:val="000000"/>
          <w:szCs w:val="21"/>
          <w:highlight w:val="none"/>
        </w:rPr>
        <w:t>法定代表人（或负责人）或者委托代理人（签字或电子签名）</w:t>
      </w:r>
      <w:r>
        <w:rPr>
          <w:rFonts w:hint="eastAsia" w:ascii="宋体" w:hAnsi="宋体"/>
          <w:color w:val="000000"/>
          <w:spacing w:val="20"/>
          <w:szCs w:val="21"/>
          <w:highlight w:val="none"/>
        </w:rPr>
        <w:t>：</w:t>
      </w:r>
      <w:r>
        <w:rPr>
          <w:rFonts w:hint="eastAsia" w:ascii="宋体" w:hAnsi="宋体"/>
          <w:color w:val="000000"/>
          <w:spacing w:val="20"/>
          <w:szCs w:val="21"/>
          <w:highlight w:val="none"/>
          <w:u w:val="single"/>
        </w:rPr>
        <w:t xml:space="preserve">        </w:t>
      </w:r>
    </w:p>
    <w:p w14:paraId="2AB48FC5">
      <w:pPr>
        <w:snapToGrid w:val="0"/>
        <w:spacing w:before="120" w:beforeLines="50"/>
        <w:rPr>
          <w:rFonts w:ascii="宋体" w:hAnsi="宋体"/>
          <w:color w:val="000000"/>
          <w:spacing w:val="20"/>
          <w:szCs w:val="21"/>
          <w:highlight w:val="none"/>
        </w:rPr>
      </w:pPr>
      <w:r>
        <w:rPr>
          <w:rFonts w:hint="eastAsia" w:ascii="宋体" w:hAnsi="宋体"/>
          <w:color w:val="000000"/>
          <w:spacing w:val="20"/>
          <w:szCs w:val="21"/>
          <w:highlight w:val="none"/>
        </w:rPr>
        <w:t>投标人名称（电子签章）：</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rPr>
        <w:t xml:space="preserve">   </w:t>
      </w:r>
    </w:p>
    <w:p w14:paraId="7E883758">
      <w:pPr>
        <w:snapToGrid w:val="0"/>
        <w:spacing w:before="120" w:beforeLines="50"/>
        <w:rPr>
          <w:rFonts w:ascii="宋体" w:hAnsi="宋体"/>
          <w:color w:val="000000"/>
          <w:szCs w:val="21"/>
          <w:highlight w:val="none"/>
        </w:rPr>
      </w:pPr>
      <w:r>
        <w:rPr>
          <w:rFonts w:hint="eastAsia" w:ascii="宋体" w:hAnsi="宋体"/>
          <w:color w:val="000000"/>
          <w:spacing w:val="20"/>
          <w:szCs w:val="21"/>
          <w:highlight w:val="none"/>
        </w:rPr>
        <w:t>日  期：</w:t>
      </w:r>
      <w:r>
        <w:rPr>
          <w:rFonts w:hint="eastAsia" w:ascii="宋体" w:hAnsi="宋体"/>
          <w:color w:val="000000"/>
          <w:spacing w:val="20"/>
          <w:szCs w:val="21"/>
          <w:highlight w:val="none"/>
          <w:u w:val="single"/>
        </w:rPr>
        <w:t xml:space="preserve">         </w:t>
      </w:r>
    </w:p>
    <w:p w14:paraId="03E16974">
      <w:pPr>
        <w:snapToGrid w:val="0"/>
        <w:spacing w:before="120" w:beforeLines="50" w:after="50"/>
        <w:jc w:val="left"/>
        <w:rPr>
          <w:rFonts w:ascii="宋体" w:hAnsi="宋体"/>
          <w:b/>
          <w:color w:val="000000"/>
          <w:sz w:val="24"/>
          <w:highlight w:val="none"/>
        </w:rPr>
        <w:sectPr>
          <w:pgSz w:w="11906" w:h="16838"/>
          <w:pgMar w:top="1440" w:right="1797" w:bottom="1440" w:left="1797" w:header="851" w:footer="992" w:gutter="0"/>
          <w:cols w:space="720" w:num="1"/>
          <w:docGrid w:linePitch="312" w:charSpace="0"/>
        </w:sectPr>
      </w:pPr>
    </w:p>
    <w:p w14:paraId="5F439CE5">
      <w:pPr>
        <w:snapToGrid w:val="0"/>
        <w:spacing w:before="120" w:beforeLines="50" w:after="50"/>
        <w:jc w:val="left"/>
        <w:rPr>
          <w:rFonts w:ascii="宋体" w:hAnsi="宋体"/>
          <w:b/>
          <w:color w:val="000000"/>
          <w:sz w:val="24"/>
          <w:highlight w:val="none"/>
        </w:rPr>
      </w:pPr>
      <w:r>
        <w:rPr>
          <w:rFonts w:hint="eastAsia" w:ascii="宋体" w:hAnsi="宋体"/>
          <w:b/>
          <w:color w:val="000000"/>
          <w:sz w:val="24"/>
          <w:highlight w:val="none"/>
        </w:rPr>
        <w:t>7.投标人业绩证明材料</w:t>
      </w:r>
    </w:p>
    <w:p w14:paraId="48ACCC90">
      <w:pPr>
        <w:pStyle w:val="36"/>
        <w:snapToGrid w:val="0"/>
        <w:ind w:left="480" w:hanging="480"/>
        <w:rPr>
          <w:rFonts w:ascii="宋体" w:hAnsi="宋体"/>
          <w:color w:val="000000"/>
          <w:sz w:val="24"/>
          <w:highlight w:val="none"/>
        </w:rPr>
      </w:pPr>
    </w:p>
    <w:p w14:paraId="30B537BC">
      <w:pPr>
        <w:pStyle w:val="36"/>
        <w:snapToGrid w:val="0"/>
        <w:ind w:left="420" w:hanging="420"/>
        <w:rPr>
          <w:rFonts w:ascii="宋体" w:hAnsi="宋体"/>
          <w:color w:val="000000"/>
          <w:sz w:val="21"/>
          <w:szCs w:val="21"/>
          <w:highlight w:val="none"/>
        </w:rPr>
      </w:pPr>
      <w:r>
        <w:rPr>
          <w:rFonts w:hint="eastAsia" w:ascii="宋体" w:hAnsi="宋体"/>
          <w:color w:val="000000"/>
          <w:sz w:val="21"/>
          <w:szCs w:val="21"/>
          <w:highlight w:val="none"/>
        </w:rPr>
        <w:t xml:space="preserve">投标人业绩情况一览表格式： </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05CE2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58D7D8A8">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43A52EE">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6E9462B">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合同金额</w:t>
            </w:r>
          </w:p>
          <w:p w14:paraId="113909D0">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2CEEC077">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采购人联系人及</w:t>
            </w:r>
          </w:p>
          <w:p w14:paraId="1CFD3A74">
            <w:pPr>
              <w:snapToGrid w:val="0"/>
              <w:spacing w:line="240" w:lineRule="exact"/>
              <w:jc w:val="center"/>
              <w:rPr>
                <w:rFonts w:ascii="宋体" w:hAnsi="宋体"/>
                <w:color w:val="000000"/>
                <w:szCs w:val="21"/>
                <w:highlight w:val="none"/>
              </w:rPr>
            </w:pPr>
            <w:r>
              <w:rPr>
                <w:rFonts w:hint="eastAsia" w:ascii="宋体" w:hAnsi="宋体"/>
                <w:color w:val="000000"/>
                <w:szCs w:val="21"/>
                <w:highlight w:val="none"/>
              </w:rPr>
              <w:t>联系电话</w:t>
            </w:r>
          </w:p>
        </w:tc>
      </w:tr>
      <w:tr w14:paraId="0583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75DF145E">
            <w:pPr>
              <w:jc w:val="left"/>
              <w:rPr>
                <w:rFonts w:ascii="宋体" w:hAnsi="宋体"/>
                <w:color w:val="000000"/>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5EA94A">
            <w:pPr>
              <w:jc w:val="left"/>
              <w:rPr>
                <w:rFonts w:ascii="宋体" w:hAnsi="宋体"/>
                <w:color w:val="000000"/>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BD3CBA8">
            <w:pPr>
              <w:jc w:val="left"/>
              <w:rPr>
                <w:rFonts w:ascii="宋体" w:hAnsi="宋体"/>
                <w:color w:val="000000"/>
                <w:szCs w:val="21"/>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396C63F1">
            <w:pPr>
              <w:jc w:val="left"/>
              <w:rPr>
                <w:rFonts w:ascii="宋体" w:hAnsi="宋体"/>
                <w:color w:val="000000"/>
                <w:szCs w:val="21"/>
                <w:highlight w:val="none"/>
              </w:rPr>
            </w:pPr>
          </w:p>
        </w:tc>
      </w:tr>
      <w:tr w14:paraId="27C4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1A15ECA2">
            <w:pPr>
              <w:snapToGrid w:val="0"/>
              <w:spacing w:line="24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164B2C91">
            <w:pPr>
              <w:snapToGrid w:val="0"/>
              <w:spacing w:line="24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0344C812">
            <w:pPr>
              <w:snapToGrid w:val="0"/>
              <w:spacing w:line="240" w:lineRule="exact"/>
              <w:jc w:val="left"/>
              <w:rPr>
                <w:rFonts w:ascii="宋体" w:hAnsi="宋体"/>
                <w:color w:val="000000"/>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5EE31256">
            <w:pPr>
              <w:snapToGrid w:val="0"/>
              <w:spacing w:line="240" w:lineRule="exact"/>
              <w:jc w:val="left"/>
              <w:rPr>
                <w:rFonts w:ascii="宋体" w:hAnsi="宋体"/>
                <w:color w:val="000000"/>
                <w:szCs w:val="21"/>
                <w:highlight w:val="none"/>
              </w:rPr>
            </w:pPr>
          </w:p>
        </w:tc>
      </w:tr>
      <w:tr w14:paraId="120A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22812224">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4C3E18D6">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08F7C125">
            <w:pPr>
              <w:snapToGrid w:val="0"/>
              <w:spacing w:before="50" w:after="120" w:afterLines="50" w:line="400" w:lineRule="exact"/>
              <w:jc w:val="left"/>
              <w:rPr>
                <w:rFonts w:ascii="宋体" w:hAnsi="宋体"/>
                <w:color w:val="000000"/>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3BC40F66">
            <w:pPr>
              <w:snapToGrid w:val="0"/>
              <w:spacing w:before="50" w:after="120" w:afterLines="50" w:line="400" w:lineRule="exact"/>
              <w:jc w:val="left"/>
              <w:rPr>
                <w:rFonts w:ascii="宋体" w:hAnsi="宋体"/>
                <w:color w:val="000000"/>
                <w:szCs w:val="21"/>
                <w:highlight w:val="none"/>
              </w:rPr>
            </w:pPr>
          </w:p>
        </w:tc>
      </w:tr>
      <w:tr w14:paraId="44AE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04FD5EE5">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593BA4D4">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0063980A">
            <w:pPr>
              <w:snapToGrid w:val="0"/>
              <w:spacing w:before="50" w:after="120" w:afterLines="50" w:line="400" w:lineRule="exact"/>
              <w:jc w:val="left"/>
              <w:rPr>
                <w:rFonts w:ascii="宋体" w:hAnsi="宋体"/>
                <w:color w:val="000000"/>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25CE7691">
            <w:pPr>
              <w:snapToGrid w:val="0"/>
              <w:spacing w:before="50" w:after="120" w:afterLines="50" w:line="400" w:lineRule="exact"/>
              <w:jc w:val="left"/>
              <w:rPr>
                <w:rFonts w:ascii="宋体" w:hAnsi="宋体"/>
                <w:color w:val="000000"/>
                <w:szCs w:val="21"/>
                <w:highlight w:val="none"/>
              </w:rPr>
            </w:pPr>
          </w:p>
        </w:tc>
      </w:tr>
      <w:tr w14:paraId="5C90F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0C400F3">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61E62773">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74C08162">
            <w:pPr>
              <w:snapToGrid w:val="0"/>
              <w:spacing w:before="50" w:after="120" w:afterLines="50" w:line="400" w:lineRule="exact"/>
              <w:jc w:val="left"/>
              <w:rPr>
                <w:rFonts w:ascii="宋体" w:hAnsi="宋体"/>
                <w:color w:val="000000"/>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4DBDE81B">
            <w:pPr>
              <w:snapToGrid w:val="0"/>
              <w:spacing w:before="50" w:after="120" w:afterLines="50" w:line="400" w:lineRule="exact"/>
              <w:jc w:val="left"/>
              <w:rPr>
                <w:rFonts w:ascii="宋体" w:hAnsi="宋体"/>
                <w:color w:val="000000"/>
                <w:szCs w:val="21"/>
                <w:highlight w:val="none"/>
              </w:rPr>
            </w:pPr>
          </w:p>
        </w:tc>
      </w:tr>
      <w:tr w14:paraId="19AC2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463A4AE">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46BD6275">
            <w:pPr>
              <w:snapToGrid w:val="0"/>
              <w:spacing w:before="50" w:after="120" w:afterLines="50" w:line="400" w:lineRule="exact"/>
              <w:jc w:val="left"/>
              <w:rPr>
                <w:rFonts w:ascii="宋体" w:hAnsi="宋体"/>
                <w:color w:val="000000"/>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7E06B204">
            <w:pPr>
              <w:snapToGrid w:val="0"/>
              <w:spacing w:before="50" w:after="120" w:afterLines="50" w:line="400" w:lineRule="exact"/>
              <w:jc w:val="left"/>
              <w:rPr>
                <w:rFonts w:ascii="宋体" w:hAnsi="宋体"/>
                <w:color w:val="000000"/>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7DDB7165">
            <w:pPr>
              <w:snapToGrid w:val="0"/>
              <w:spacing w:before="50" w:after="120" w:afterLines="50" w:line="400" w:lineRule="exact"/>
              <w:jc w:val="left"/>
              <w:rPr>
                <w:rFonts w:ascii="宋体" w:hAnsi="宋体"/>
                <w:color w:val="000000"/>
                <w:szCs w:val="21"/>
                <w:highlight w:val="none"/>
              </w:rPr>
            </w:pPr>
          </w:p>
        </w:tc>
      </w:tr>
    </w:tbl>
    <w:p w14:paraId="7C79B918">
      <w:pPr>
        <w:pStyle w:val="15"/>
        <w:spacing w:before="0" w:after="0" w:line="360" w:lineRule="auto"/>
        <w:contextualSpacing/>
        <w:rPr>
          <w:rFonts w:ascii="宋体" w:hAnsi="宋体" w:eastAsia="宋体"/>
          <w:color w:val="000000"/>
          <w:sz w:val="21"/>
          <w:szCs w:val="21"/>
          <w:highlight w:val="none"/>
        </w:rPr>
      </w:pPr>
    </w:p>
    <w:p w14:paraId="13EBA681">
      <w:pPr>
        <w:pStyle w:val="15"/>
        <w:spacing w:before="0" w:after="0" w:line="360" w:lineRule="auto"/>
        <w:contextualSpacing/>
        <w:rPr>
          <w:rFonts w:ascii="宋体" w:hAnsi="宋体" w:eastAsia="宋体"/>
          <w:color w:val="000000"/>
          <w:sz w:val="21"/>
          <w:szCs w:val="21"/>
          <w:highlight w:val="none"/>
        </w:rPr>
      </w:pPr>
      <w:r>
        <w:rPr>
          <w:rFonts w:hint="eastAsia" w:ascii="宋体" w:hAnsi="宋体" w:eastAsia="宋体"/>
          <w:color w:val="000000"/>
          <w:sz w:val="21"/>
          <w:szCs w:val="21"/>
          <w:highlight w:val="none"/>
        </w:rPr>
        <w:t>注：</w:t>
      </w:r>
      <w:r>
        <w:rPr>
          <w:rFonts w:hint="eastAsia" w:ascii="宋体" w:hAnsi="宋体"/>
          <w:color w:val="000000"/>
          <w:sz w:val="21"/>
          <w:szCs w:val="21"/>
          <w:highlight w:val="none"/>
        </w:rPr>
        <w:t>投标人根据评标标准具体要求附业绩证明材料。</w:t>
      </w:r>
    </w:p>
    <w:p w14:paraId="4DEBFAD5">
      <w:pPr>
        <w:pStyle w:val="15"/>
        <w:spacing w:before="0" w:after="0" w:line="360" w:lineRule="auto"/>
        <w:contextualSpacing/>
        <w:jc w:val="left"/>
        <w:rPr>
          <w:rFonts w:ascii="宋体" w:hAnsi="宋体" w:eastAsia="宋体"/>
          <w:color w:val="000000"/>
          <w:sz w:val="21"/>
          <w:szCs w:val="21"/>
          <w:highlight w:val="none"/>
          <w:u w:val="single"/>
        </w:rPr>
      </w:pPr>
      <w:r>
        <w:rPr>
          <w:rFonts w:hint="eastAsia" w:ascii="宋体" w:hAnsi="宋体" w:eastAsia="宋体"/>
          <w:color w:val="000000"/>
          <w:sz w:val="21"/>
          <w:szCs w:val="21"/>
          <w:highlight w:val="none"/>
        </w:rPr>
        <w:t>法定代表人（或负责人）或者委托代理人</w:t>
      </w:r>
      <w:r>
        <w:rPr>
          <w:rFonts w:hint="eastAsia" w:ascii="宋体" w:hAnsi="宋体"/>
          <w:color w:val="000000"/>
          <w:sz w:val="21"/>
          <w:szCs w:val="21"/>
          <w:highlight w:val="none"/>
        </w:rPr>
        <w:t>（签字或电子签名）</w:t>
      </w:r>
      <w:r>
        <w:rPr>
          <w:rFonts w:hint="eastAsia" w:ascii="宋体" w:hAnsi="宋体" w:eastAsia="宋体"/>
          <w:color w:val="000000"/>
          <w:sz w:val="21"/>
          <w:szCs w:val="21"/>
          <w:highlight w:val="none"/>
        </w:rPr>
        <w:t>：</w:t>
      </w:r>
      <w:r>
        <w:rPr>
          <w:rFonts w:hint="eastAsia" w:ascii="宋体" w:hAnsi="宋体" w:eastAsia="宋体"/>
          <w:color w:val="000000"/>
          <w:sz w:val="21"/>
          <w:szCs w:val="21"/>
          <w:highlight w:val="none"/>
          <w:u w:val="single"/>
        </w:rPr>
        <w:t>　　　　　</w:t>
      </w:r>
    </w:p>
    <w:p w14:paraId="37A08E42">
      <w:pPr>
        <w:spacing w:line="360" w:lineRule="auto"/>
        <w:ind w:right="480"/>
        <w:contextualSpacing/>
        <w:jc w:val="left"/>
        <w:rPr>
          <w:rFonts w:ascii="宋体" w:hAnsi="宋体"/>
          <w:color w:val="000000"/>
          <w:szCs w:val="21"/>
          <w:highlight w:val="none"/>
        </w:rPr>
      </w:pPr>
      <w:r>
        <w:rPr>
          <w:rFonts w:hint="eastAsia" w:ascii="宋体" w:hAnsi="宋体" w:cs="Arial"/>
          <w:color w:val="000000"/>
          <w:szCs w:val="21"/>
          <w:highlight w:val="none"/>
        </w:rPr>
        <w:t xml:space="preserve">投标人名称（电子签章）：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年    月    日</w:t>
      </w:r>
    </w:p>
    <w:p w14:paraId="6FA41A54">
      <w:pPr>
        <w:snapToGrid w:val="0"/>
        <w:spacing w:before="50"/>
        <w:ind w:firstLine="480" w:firstLineChars="200"/>
        <w:jc w:val="left"/>
        <w:rPr>
          <w:rFonts w:ascii="宋体" w:hAnsi="宋体"/>
          <w:color w:val="000000"/>
          <w:sz w:val="24"/>
          <w:szCs w:val="20"/>
          <w:highlight w:val="none"/>
        </w:rPr>
      </w:pPr>
    </w:p>
    <w:p w14:paraId="56E0B29A">
      <w:pPr>
        <w:snapToGrid w:val="0"/>
        <w:spacing w:before="50"/>
        <w:jc w:val="left"/>
        <w:rPr>
          <w:rFonts w:ascii="宋体" w:hAnsi="宋体"/>
          <w:color w:val="000000"/>
          <w:sz w:val="24"/>
          <w:highlight w:val="none"/>
        </w:rPr>
      </w:pPr>
    </w:p>
    <w:p w14:paraId="3EE35E5C">
      <w:pPr>
        <w:snapToGrid w:val="0"/>
        <w:spacing w:before="120" w:beforeLines="50"/>
        <w:rPr>
          <w:rFonts w:ascii="宋体" w:hAnsi="宋体"/>
          <w:color w:val="000000"/>
          <w:sz w:val="24"/>
          <w:szCs w:val="20"/>
          <w:highlight w:val="none"/>
        </w:rPr>
        <w:sectPr>
          <w:pgSz w:w="11906" w:h="16838"/>
          <w:pgMar w:top="1440" w:right="1797" w:bottom="1440" w:left="1797" w:header="851" w:footer="992" w:gutter="0"/>
          <w:cols w:space="720" w:num="1"/>
          <w:docGrid w:linePitch="312" w:charSpace="0"/>
        </w:sectPr>
      </w:pPr>
    </w:p>
    <w:p w14:paraId="2F523E5A">
      <w:pPr>
        <w:rPr>
          <w:b/>
          <w:color w:val="000000"/>
          <w:sz w:val="28"/>
          <w:szCs w:val="28"/>
          <w:highlight w:val="none"/>
        </w:rPr>
      </w:pPr>
      <w:r>
        <w:rPr>
          <w:rFonts w:hint="eastAsia"/>
          <w:b/>
          <w:color w:val="000000"/>
          <w:sz w:val="28"/>
          <w:szCs w:val="28"/>
          <w:highlight w:val="none"/>
        </w:rPr>
        <w:t>四、技术文件格式</w:t>
      </w:r>
    </w:p>
    <w:p w14:paraId="34A9AF00">
      <w:pPr>
        <w:snapToGrid w:val="0"/>
        <w:spacing w:before="120" w:beforeLines="50" w:after="50"/>
        <w:ind w:left="142"/>
        <w:jc w:val="left"/>
        <w:rPr>
          <w:rFonts w:ascii="宋体" w:hAnsi="宋体"/>
          <w:b/>
          <w:color w:val="000000"/>
          <w:sz w:val="24"/>
          <w:highlight w:val="none"/>
        </w:rPr>
      </w:pPr>
      <w:r>
        <w:rPr>
          <w:rFonts w:hint="eastAsia" w:ascii="宋体" w:hAnsi="宋体"/>
          <w:b/>
          <w:color w:val="000000"/>
          <w:sz w:val="24"/>
          <w:highlight w:val="none"/>
        </w:rPr>
        <w:t xml:space="preserve">1. 技术文件封面格式： </w:t>
      </w:r>
    </w:p>
    <w:p w14:paraId="331F4365">
      <w:pPr>
        <w:snapToGrid w:val="0"/>
        <w:spacing w:before="120" w:beforeLines="50" w:after="50" w:line="360" w:lineRule="auto"/>
        <w:ind w:left="142"/>
        <w:jc w:val="center"/>
        <w:rPr>
          <w:rFonts w:ascii="宋体" w:hAnsi="宋体" w:eastAsia="仿宋"/>
          <w:bCs/>
          <w:color w:val="000000"/>
          <w:sz w:val="48"/>
          <w:szCs w:val="48"/>
          <w:highlight w:val="none"/>
        </w:rPr>
      </w:pPr>
      <w:r>
        <w:rPr>
          <w:rFonts w:hint="eastAsia" w:ascii="宋体" w:hAnsi="宋体" w:eastAsia="仿宋"/>
          <w:bCs/>
          <w:color w:val="000000"/>
          <w:sz w:val="48"/>
          <w:szCs w:val="48"/>
          <w:highlight w:val="none"/>
        </w:rPr>
        <w:t>电子投标文件</w:t>
      </w:r>
    </w:p>
    <w:p w14:paraId="0BD296D2">
      <w:pPr>
        <w:snapToGrid w:val="0"/>
        <w:spacing w:before="120" w:beforeLines="50" w:after="50"/>
        <w:jc w:val="center"/>
        <w:rPr>
          <w:rFonts w:ascii="宋体" w:hAnsi="宋体"/>
          <w:b/>
          <w:bCs/>
          <w:color w:val="000000"/>
          <w:sz w:val="32"/>
          <w:szCs w:val="32"/>
          <w:highlight w:val="none"/>
        </w:rPr>
      </w:pPr>
      <w:r>
        <w:rPr>
          <w:rFonts w:hint="eastAsia" w:ascii="宋体" w:hAnsi="宋体"/>
          <w:b/>
          <w:bCs/>
          <w:color w:val="000000"/>
          <w:sz w:val="32"/>
          <w:szCs w:val="32"/>
          <w:highlight w:val="none"/>
        </w:rPr>
        <w:t>技术文件</w:t>
      </w:r>
    </w:p>
    <w:p w14:paraId="59B7FEB1">
      <w:pPr>
        <w:snapToGrid w:val="0"/>
        <w:spacing w:before="120" w:beforeLines="50" w:after="50"/>
        <w:rPr>
          <w:rFonts w:ascii="宋体" w:hAnsi="宋体"/>
          <w:bCs/>
          <w:color w:val="000000"/>
          <w:sz w:val="24"/>
          <w:szCs w:val="20"/>
          <w:highlight w:val="none"/>
        </w:rPr>
      </w:pPr>
    </w:p>
    <w:p w14:paraId="5C6B818D">
      <w:pPr>
        <w:snapToGrid w:val="0"/>
        <w:spacing w:before="120" w:beforeLines="50" w:after="50" w:line="400" w:lineRule="exact"/>
        <w:ind w:firstLine="360" w:firstLineChars="150"/>
        <w:rPr>
          <w:rFonts w:ascii="宋体" w:hAnsi="宋体"/>
          <w:bCs/>
          <w:color w:val="000000"/>
          <w:sz w:val="24"/>
          <w:szCs w:val="20"/>
          <w:highlight w:val="none"/>
        </w:rPr>
      </w:pPr>
      <w:r>
        <w:rPr>
          <w:rFonts w:hint="eastAsia" w:ascii="宋体" w:hAnsi="宋体"/>
          <w:bCs/>
          <w:color w:val="000000"/>
          <w:sz w:val="24"/>
          <w:highlight w:val="none"/>
        </w:rPr>
        <w:t xml:space="preserve">项目名称： </w:t>
      </w:r>
    </w:p>
    <w:p w14:paraId="5EBE6AFC">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 xml:space="preserve">项目编号： </w:t>
      </w:r>
    </w:p>
    <w:p w14:paraId="6FF7EFA6">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所投分标：无，则写“/”</w:t>
      </w:r>
    </w:p>
    <w:p w14:paraId="0AB54A89">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投标人名称：</w:t>
      </w:r>
    </w:p>
    <w:p w14:paraId="7ECA55C4">
      <w:pPr>
        <w:snapToGrid w:val="0"/>
        <w:spacing w:before="120" w:beforeLines="50" w:after="50" w:line="400" w:lineRule="exact"/>
        <w:ind w:firstLine="360" w:firstLineChars="150"/>
        <w:rPr>
          <w:rFonts w:ascii="宋体" w:hAnsi="宋体"/>
          <w:bCs/>
          <w:color w:val="000000"/>
          <w:sz w:val="24"/>
          <w:highlight w:val="none"/>
        </w:rPr>
      </w:pPr>
      <w:r>
        <w:rPr>
          <w:rFonts w:hint="eastAsia" w:ascii="宋体" w:hAnsi="宋体"/>
          <w:bCs/>
          <w:color w:val="000000"/>
          <w:sz w:val="24"/>
          <w:highlight w:val="none"/>
        </w:rPr>
        <w:t>投标人地址：</w:t>
      </w:r>
    </w:p>
    <w:p w14:paraId="7D4FDFB8">
      <w:pPr>
        <w:snapToGrid w:val="0"/>
        <w:spacing w:before="120" w:beforeLines="50" w:after="50"/>
        <w:ind w:firstLine="645"/>
        <w:jc w:val="center"/>
        <w:rPr>
          <w:rFonts w:ascii="宋体" w:hAnsi="宋体"/>
          <w:color w:val="000000"/>
          <w:sz w:val="24"/>
          <w:highlight w:val="none"/>
        </w:rPr>
      </w:pPr>
      <w:r>
        <w:rPr>
          <w:rFonts w:hint="eastAsia" w:ascii="宋体" w:hAnsi="宋体"/>
          <w:color w:val="000000"/>
          <w:sz w:val="24"/>
          <w:highlight w:val="none"/>
        </w:rPr>
        <w:t xml:space="preserve">                        年    月    日</w:t>
      </w:r>
    </w:p>
    <w:p w14:paraId="6794D5AB">
      <w:pPr>
        <w:snapToGrid w:val="0"/>
        <w:spacing w:before="120" w:beforeLines="50" w:after="50"/>
        <w:ind w:firstLine="645"/>
        <w:jc w:val="center"/>
        <w:rPr>
          <w:rFonts w:ascii="宋体" w:hAnsi="宋体"/>
          <w:color w:val="000000"/>
          <w:sz w:val="24"/>
          <w:szCs w:val="20"/>
          <w:highlight w:val="none"/>
        </w:rPr>
      </w:pPr>
    </w:p>
    <w:p w14:paraId="46FB04CE">
      <w:pPr>
        <w:snapToGrid w:val="0"/>
        <w:spacing w:before="120" w:beforeLines="50" w:after="50"/>
        <w:ind w:left="142"/>
        <w:jc w:val="left"/>
        <w:rPr>
          <w:rFonts w:ascii="宋体" w:hAnsi="宋体"/>
          <w:b/>
          <w:color w:val="000000"/>
          <w:sz w:val="24"/>
          <w:highlight w:val="none"/>
        </w:rPr>
      </w:pPr>
      <w:r>
        <w:rPr>
          <w:rFonts w:ascii="宋体" w:hAnsi="宋体"/>
          <w:b/>
          <w:bCs/>
          <w:color w:val="000000"/>
          <w:sz w:val="24"/>
          <w:highlight w:val="none"/>
        </w:rPr>
        <w:br w:type="page"/>
      </w:r>
      <w:r>
        <w:rPr>
          <w:rFonts w:hint="eastAsia" w:ascii="宋体" w:hAnsi="宋体"/>
          <w:b/>
          <w:color w:val="000000"/>
          <w:sz w:val="24"/>
          <w:highlight w:val="none"/>
        </w:rPr>
        <w:t>2.技术文件目录</w:t>
      </w:r>
    </w:p>
    <w:p w14:paraId="5018DE44">
      <w:pPr>
        <w:snapToGrid w:val="0"/>
        <w:spacing w:before="50" w:after="120" w:afterLines="50"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根据招标文件规定及投标人提供的材料自行编写目录。</w:t>
      </w:r>
    </w:p>
    <w:p w14:paraId="0F09DB07">
      <w:pPr>
        <w:snapToGrid w:val="0"/>
        <w:spacing w:before="120" w:beforeLines="50" w:after="50"/>
        <w:ind w:left="142"/>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3. 设备性能配置清单格式</w:t>
      </w:r>
    </w:p>
    <w:p w14:paraId="50456B0A">
      <w:pPr>
        <w:snapToGrid w:val="0"/>
        <w:spacing w:before="120" w:beforeLines="50" w:after="50"/>
        <w:ind w:left="142"/>
        <w:jc w:val="left"/>
        <w:rPr>
          <w:rFonts w:ascii="宋体" w:hAnsi="宋体"/>
          <w:b/>
          <w:color w:val="000000"/>
          <w:sz w:val="24"/>
          <w:highlight w:val="none"/>
        </w:rPr>
      </w:pPr>
    </w:p>
    <w:p w14:paraId="59C48E5B">
      <w:pPr>
        <w:snapToGrid w:val="0"/>
        <w:spacing w:before="120" w:beforeLines="50" w:after="50"/>
        <w:ind w:left="142"/>
        <w:jc w:val="center"/>
        <w:rPr>
          <w:rFonts w:ascii="宋体" w:hAnsi="宋体"/>
          <w:b/>
          <w:color w:val="000000"/>
          <w:sz w:val="32"/>
          <w:szCs w:val="32"/>
          <w:highlight w:val="none"/>
        </w:rPr>
      </w:pPr>
      <w:r>
        <w:rPr>
          <w:rFonts w:hint="eastAsia" w:ascii="宋体" w:hAnsi="宋体"/>
          <w:b/>
          <w:color w:val="000000"/>
          <w:sz w:val="32"/>
          <w:szCs w:val="32"/>
          <w:highlight w:val="none"/>
        </w:rPr>
        <w:t>设备性能配置清单</w:t>
      </w:r>
    </w:p>
    <w:p w14:paraId="7E1239EB">
      <w:pPr>
        <w:pStyle w:val="26"/>
        <w:rPr>
          <w:color w:val="000000"/>
          <w:sz w:val="21"/>
          <w:highlight w:val="none"/>
        </w:rPr>
      </w:pPr>
      <w:r>
        <w:rPr>
          <w:rFonts w:hint="eastAsia"/>
          <w:color w:val="000000"/>
          <w:sz w:val="21"/>
          <w:highlight w:val="none"/>
        </w:rPr>
        <w:t>所投分标：</w:t>
      </w:r>
      <w:r>
        <w:rPr>
          <w:rFonts w:hint="eastAsia"/>
          <w:color w:val="000000"/>
          <w:sz w:val="21"/>
          <w:highlight w:val="none"/>
          <w:u w:val="single"/>
        </w:rPr>
        <w:t xml:space="preserve">     </w:t>
      </w:r>
      <w:r>
        <w:rPr>
          <w:rFonts w:hint="eastAsia"/>
          <w:color w:val="000000"/>
          <w:sz w:val="21"/>
          <w:highlight w:val="none"/>
        </w:rPr>
        <w:t>分标</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315E1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9E2671">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2875E842">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标的名称</w:t>
            </w:r>
          </w:p>
        </w:tc>
        <w:tc>
          <w:tcPr>
            <w:tcW w:w="766" w:type="dxa"/>
            <w:tcBorders>
              <w:top w:val="single" w:color="auto" w:sz="4" w:space="0"/>
              <w:left w:val="single" w:color="auto" w:sz="4" w:space="0"/>
              <w:bottom w:val="single" w:color="auto" w:sz="4" w:space="0"/>
              <w:right w:val="single" w:color="auto" w:sz="4" w:space="0"/>
            </w:tcBorders>
            <w:vAlign w:val="center"/>
          </w:tcPr>
          <w:p w14:paraId="5B388345">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38FDD277">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7373B737">
            <w:pPr>
              <w:snapToGrid w:val="0"/>
              <w:spacing w:before="50" w:after="50"/>
              <w:jc w:val="center"/>
              <w:rPr>
                <w:rFonts w:ascii="宋体" w:hAnsi="宋体"/>
                <w:color w:val="000000"/>
                <w:szCs w:val="21"/>
                <w:highlight w:val="none"/>
              </w:rPr>
            </w:pPr>
          </w:p>
          <w:p w14:paraId="0C6D65EE">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64A5D885">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生产厂家</w:t>
            </w:r>
          </w:p>
        </w:tc>
        <w:tc>
          <w:tcPr>
            <w:tcW w:w="703" w:type="dxa"/>
            <w:tcBorders>
              <w:top w:val="single" w:color="auto" w:sz="4" w:space="0"/>
              <w:left w:val="single" w:color="auto" w:sz="4" w:space="0"/>
              <w:bottom w:val="single" w:color="auto" w:sz="4" w:space="0"/>
              <w:right w:val="single" w:color="auto" w:sz="4" w:space="0"/>
            </w:tcBorders>
            <w:vAlign w:val="center"/>
          </w:tcPr>
          <w:p w14:paraId="2E8400E3">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国别</w:t>
            </w:r>
          </w:p>
        </w:tc>
        <w:tc>
          <w:tcPr>
            <w:tcW w:w="1426" w:type="dxa"/>
            <w:tcBorders>
              <w:top w:val="single" w:color="auto" w:sz="4" w:space="0"/>
              <w:left w:val="single" w:color="auto" w:sz="4" w:space="0"/>
              <w:bottom w:val="single" w:color="auto" w:sz="4" w:space="0"/>
              <w:right w:val="single" w:color="auto" w:sz="4" w:space="0"/>
            </w:tcBorders>
            <w:vAlign w:val="center"/>
          </w:tcPr>
          <w:p w14:paraId="4442D80B">
            <w:pPr>
              <w:snapToGrid w:val="0"/>
              <w:spacing w:before="50" w:after="50"/>
              <w:jc w:val="center"/>
              <w:rPr>
                <w:rFonts w:ascii="宋体" w:hAnsi="宋体"/>
                <w:color w:val="000000"/>
                <w:szCs w:val="21"/>
                <w:highlight w:val="none"/>
              </w:rPr>
            </w:pPr>
            <w:r>
              <w:rPr>
                <w:rFonts w:hint="eastAsia" w:ascii="宋体" w:hAnsi="宋体"/>
                <w:color w:val="000000"/>
                <w:szCs w:val="21"/>
                <w:highlight w:val="none"/>
              </w:rPr>
              <w:t>参数性能、指标及配置</w:t>
            </w:r>
          </w:p>
        </w:tc>
      </w:tr>
      <w:tr w14:paraId="273A5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2E620B">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B4E676A">
            <w:pPr>
              <w:snapToGrid w:val="0"/>
              <w:spacing w:before="50" w:after="50"/>
              <w:jc w:val="center"/>
              <w:rPr>
                <w:rFonts w:ascii="宋体" w:hAnsi="宋体"/>
                <w:color w:val="000000"/>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59E5A022">
            <w:pPr>
              <w:snapToGrid w:val="0"/>
              <w:spacing w:before="50" w:after="50"/>
              <w:jc w:val="center"/>
              <w:rPr>
                <w:rFonts w:ascii="宋体" w:hAnsi="宋体"/>
                <w:color w:val="000000"/>
                <w:szCs w:val="21"/>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1C7DF11">
            <w:pPr>
              <w:snapToGrid w:val="0"/>
              <w:spacing w:before="50" w:after="50"/>
              <w:jc w:val="center"/>
              <w:rPr>
                <w:rFonts w:ascii="宋体" w:hAnsi="宋体"/>
                <w:color w:val="000000"/>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14:paraId="442FBA67">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36F00BD">
            <w:pPr>
              <w:snapToGrid w:val="0"/>
              <w:spacing w:before="50" w:after="50"/>
              <w:jc w:val="center"/>
              <w:rPr>
                <w:rFonts w:ascii="宋体" w:hAnsi="宋体"/>
                <w:color w:val="000000"/>
                <w:szCs w:val="21"/>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14CD53BC">
            <w:pPr>
              <w:snapToGrid w:val="0"/>
              <w:spacing w:before="50" w:after="50"/>
              <w:jc w:val="center"/>
              <w:rPr>
                <w:rFonts w:ascii="宋体" w:hAnsi="宋体"/>
                <w:color w:val="000000"/>
                <w:szCs w:val="21"/>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0755BF4B">
            <w:pPr>
              <w:snapToGrid w:val="0"/>
              <w:spacing w:before="50" w:after="50"/>
              <w:jc w:val="center"/>
              <w:rPr>
                <w:rFonts w:ascii="宋体" w:hAnsi="宋体"/>
                <w:color w:val="000000"/>
                <w:szCs w:val="21"/>
                <w:highlight w:val="none"/>
              </w:rPr>
            </w:pPr>
          </w:p>
        </w:tc>
      </w:tr>
      <w:tr w14:paraId="11531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3C59FE">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4709DEB">
            <w:pPr>
              <w:snapToGrid w:val="0"/>
              <w:spacing w:before="50" w:after="50"/>
              <w:jc w:val="center"/>
              <w:rPr>
                <w:rFonts w:ascii="宋体" w:hAnsi="宋体"/>
                <w:color w:val="000000"/>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56C8A6DD">
            <w:pPr>
              <w:snapToGrid w:val="0"/>
              <w:spacing w:before="50" w:after="50"/>
              <w:jc w:val="center"/>
              <w:rPr>
                <w:rFonts w:ascii="宋体" w:hAnsi="宋体"/>
                <w:color w:val="000000"/>
                <w:szCs w:val="21"/>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4958AB4">
            <w:pPr>
              <w:snapToGrid w:val="0"/>
              <w:spacing w:before="50" w:after="50"/>
              <w:jc w:val="center"/>
              <w:rPr>
                <w:rFonts w:ascii="宋体" w:hAnsi="宋体"/>
                <w:color w:val="000000"/>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14:paraId="3B14E403">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C06D399">
            <w:pPr>
              <w:snapToGrid w:val="0"/>
              <w:spacing w:before="50" w:after="50"/>
              <w:jc w:val="center"/>
              <w:rPr>
                <w:rFonts w:ascii="宋体" w:hAnsi="宋体"/>
                <w:color w:val="000000"/>
                <w:szCs w:val="21"/>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460D354">
            <w:pPr>
              <w:snapToGrid w:val="0"/>
              <w:spacing w:before="50" w:after="50"/>
              <w:jc w:val="center"/>
              <w:rPr>
                <w:rFonts w:ascii="宋体" w:hAnsi="宋体"/>
                <w:color w:val="000000"/>
                <w:szCs w:val="21"/>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9A6966E">
            <w:pPr>
              <w:snapToGrid w:val="0"/>
              <w:spacing w:before="50" w:after="50"/>
              <w:jc w:val="center"/>
              <w:rPr>
                <w:rFonts w:ascii="宋体" w:hAnsi="宋体"/>
                <w:color w:val="000000"/>
                <w:szCs w:val="21"/>
                <w:highlight w:val="none"/>
              </w:rPr>
            </w:pPr>
          </w:p>
        </w:tc>
      </w:tr>
      <w:tr w14:paraId="07F09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86B089B">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AC6C229">
            <w:pPr>
              <w:snapToGrid w:val="0"/>
              <w:spacing w:before="50" w:after="50"/>
              <w:jc w:val="center"/>
              <w:rPr>
                <w:rFonts w:ascii="宋体" w:hAnsi="宋体"/>
                <w:color w:val="000000"/>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4479676">
            <w:pPr>
              <w:snapToGrid w:val="0"/>
              <w:spacing w:before="50" w:after="50"/>
              <w:jc w:val="center"/>
              <w:rPr>
                <w:rFonts w:ascii="宋体" w:hAnsi="宋体"/>
                <w:color w:val="000000"/>
                <w:szCs w:val="21"/>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FD6B6C0">
            <w:pPr>
              <w:snapToGrid w:val="0"/>
              <w:spacing w:before="50" w:after="50"/>
              <w:jc w:val="center"/>
              <w:rPr>
                <w:rFonts w:ascii="宋体" w:hAnsi="宋体"/>
                <w:color w:val="000000"/>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14:paraId="7340D34D">
            <w:pPr>
              <w:snapToGrid w:val="0"/>
              <w:spacing w:before="50" w:after="50"/>
              <w:jc w:val="center"/>
              <w:rPr>
                <w:rFonts w:ascii="宋体" w:hAnsi="宋体"/>
                <w:color w:val="000000"/>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184D89B">
            <w:pPr>
              <w:snapToGrid w:val="0"/>
              <w:spacing w:before="50" w:after="50"/>
              <w:jc w:val="center"/>
              <w:rPr>
                <w:rFonts w:ascii="宋体" w:hAnsi="宋体"/>
                <w:color w:val="000000"/>
                <w:szCs w:val="21"/>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7C90ED36">
            <w:pPr>
              <w:snapToGrid w:val="0"/>
              <w:spacing w:before="50" w:after="50"/>
              <w:jc w:val="center"/>
              <w:rPr>
                <w:rFonts w:ascii="宋体" w:hAnsi="宋体"/>
                <w:color w:val="000000"/>
                <w:szCs w:val="21"/>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D7A1AE0">
            <w:pPr>
              <w:snapToGrid w:val="0"/>
              <w:spacing w:before="50" w:after="50"/>
              <w:jc w:val="center"/>
              <w:rPr>
                <w:rFonts w:ascii="宋体" w:hAnsi="宋体"/>
                <w:color w:val="000000"/>
                <w:szCs w:val="21"/>
                <w:highlight w:val="none"/>
              </w:rPr>
            </w:pPr>
          </w:p>
        </w:tc>
      </w:tr>
    </w:tbl>
    <w:p w14:paraId="7381D323">
      <w:pPr>
        <w:spacing w:line="360" w:lineRule="auto"/>
        <w:contextualSpacing/>
        <w:rPr>
          <w:rFonts w:ascii="宋体" w:hAnsi="宋体"/>
          <w:color w:val="000000"/>
          <w:szCs w:val="21"/>
          <w:highlight w:val="none"/>
        </w:rPr>
      </w:pPr>
      <w:r>
        <w:rPr>
          <w:rFonts w:hint="eastAsia" w:ascii="宋体" w:hAnsi="宋体"/>
          <w:color w:val="000000"/>
          <w:szCs w:val="21"/>
          <w:highlight w:val="none"/>
        </w:rPr>
        <w:t>备注：</w:t>
      </w:r>
    </w:p>
    <w:p w14:paraId="19945873">
      <w:pPr>
        <w:spacing w:line="360" w:lineRule="auto"/>
        <w:ind w:firstLine="420" w:firstLineChars="200"/>
        <w:contextualSpacing/>
        <w:rPr>
          <w:rFonts w:ascii="宋体" w:hAnsi="宋体"/>
          <w:b/>
          <w:color w:val="000000"/>
          <w:szCs w:val="21"/>
          <w:highlight w:val="none"/>
        </w:rPr>
      </w:pPr>
      <w:r>
        <w:rPr>
          <w:rFonts w:hint="eastAsia" w:ascii="宋体" w:hAnsi="宋体"/>
          <w:color w:val="000000"/>
          <w:szCs w:val="21"/>
          <w:highlight w:val="none"/>
        </w:rPr>
        <w:t>以上设备性能配置清单中“标的名称、数量及单位、品牌、规格型号、生产厂家、国别、参数性能、指标及配置”必须如实填写完整，品牌、规格型号没有则填无，填写有缺漏</w:t>
      </w:r>
      <w:r>
        <w:rPr>
          <w:rFonts w:hint="eastAsia" w:ascii="宋体" w:hAnsi="宋体"/>
          <w:bCs/>
          <w:color w:val="000000"/>
          <w:szCs w:val="21"/>
          <w:highlight w:val="none"/>
        </w:rPr>
        <w:t>的，</w:t>
      </w:r>
      <w:r>
        <w:rPr>
          <w:rFonts w:hint="eastAsia" w:ascii="宋体" w:hAnsi="宋体"/>
          <w:b/>
          <w:color w:val="000000"/>
          <w:szCs w:val="21"/>
          <w:highlight w:val="none"/>
        </w:rPr>
        <w:t>作无效投标处理。</w:t>
      </w:r>
      <w:r>
        <w:rPr>
          <w:rFonts w:hint="eastAsia" w:ascii="宋体" w:hAnsi="宋体"/>
          <w:color w:val="000000"/>
          <w:szCs w:val="21"/>
          <w:highlight w:val="none"/>
        </w:rPr>
        <w:t>标的名称、数量及单位、品牌必须与“开标一览表”一致，</w:t>
      </w:r>
      <w:r>
        <w:rPr>
          <w:rFonts w:hint="eastAsia" w:ascii="宋体" w:hAnsi="宋体"/>
          <w:b/>
          <w:color w:val="000000"/>
          <w:szCs w:val="21"/>
          <w:highlight w:val="none"/>
        </w:rPr>
        <w:t>否则按无效投标处理。</w:t>
      </w:r>
    </w:p>
    <w:p w14:paraId="37930D69">
      <w:pPr>
        <w:spacing w:line="360" w:lineRule="auto"/>
        <w:ind w:firstLine="420" w:firstLineChars="200"/>
        <w:contextualSpacing/>
        <w:rPr>
          <w:rFonts w:ascii="宋体" w:hAnsi="宋体"/>
          <w:color w:val="000000"/>
          <w:szCs w:val="21"/>
          <w:highlight w:val="none"/>
        </w:rPr>
      </w:pPr>
    </w:p>
    <w:p w14:paraId="653FDEB4">
      <w:pPr>
        <w:spacing w:line="360" w:lineRule="auto"/>
        <w:contextualSpacing/>
        <w:rPr>
          <w:rFonts w:ascii="宋体" w:hAnsi="宋体"/>
          <w:color w:val="000000"/>
          <w:spacing w:val="20"/>
          <w:szCs w:val="21"/>
          <w:highlight w:val="none"/>
          <w:u w:val="single"/>
        </w:rPr>
      </w:pPr>
      <w:r>
        <w:rPr>
          <w:rFonts w:hint="eastAsia" w:ascii="宋体" w:hAnsi="宋体"/>
          <w:color w:val="000000"/>
          <w:szCs w:val="21"/>
          <w:highlight w:val="none"/>
        </w:rPr>
        <w:t>法定代表人（或负责人）或者委托代理人（签字或电子签名）</w:t>
      </w:r>
      <w:r>
        <w:rPr>
          <w:rFonts w:hint="eastAsia" w:ascii="宋体" w:hAnsi="宋体"/>
          <w:color w:val="000000"/>
          <w:spacing w:val="20"/>
          <w:szCs w:val="21"/>
          <w:highlight w:val="none"/>
        </w:rPr>
        <w:t>：</w:t>
      </w:r>
      <w:r>
        <w:rPr>
          <w:rFonts w:hint="eastAsia" w:ascii="宋体" w:hAnsi="宋体"/>
          <w:color w:val="000000"/>
          <w:spacing w:val="20"/>
          <w:szCs w:val="21"/>
          <w:highlight w:val="none"/>
          <w:u w:val="single"/>
        </w:rPr>
        <w:t xml:space="preserve">        </w:t>
      </w:r>
    </w:p>
    <w:p w14:paraId="288F33F0">
      <w:pPr>
        <w:spacing w:line="360" w:lineRule="auto"/>
        <w:contextualSpacing/>
        <w:rPr>
          <w:rFonts w:ascii="宋体" w:hAnsi="宋体"/>
          <w:color w:val="000000"/>
          <w:spacing w:val="20"/>
          <w:szCs w:val="21"/>
          <w:highlight w:val="none"/>
        </w:rPr>
      </w:pPr>
      <w:r>
        <w:rPr>
          <w:rFonts w:hint="eastAsia" w:ascii="宋体" w:hAnsi="宋体"/>
          <w:color w:val="000000"/>
          <w:spacing w:val="20"/>
          <w:szCs w:val="21"/>
          <w:highlight w:val="none"/>
        </w:rPr>
        <w:t>投标人名称（电子签章）：</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rPr>
        <w:t xml:space="preserve">              </w:t>
      </w:r>
    </w:p>
    <w:p w14:paraId="429E7442">
      <w:pPr>
        <w:spacing w:line="360" w:lineRule="auto"/>
        <w:contextualSpacing/>
        <w:rPr>
          <w:rFonts w:ascii="宋体" w:hAnsi="宋体"/>
          <w:color w:val="000000"/>
          <w:szCs w:val="21"/>
          <w:highlight w:val="none"/>
        </w:rPr>
      </w:pPr>
      <w:r>
        <w:rPr>
          <w:rFonts w:hint="eastAsia" w:ascii="宋体" w:hAnsi="宋体"/>
          <w:color w:val="000000"/>
          <w:spacing w:val="20"/>
          <w:szCs w:val="21"/>
          <w:highlight w:val="none"/>
        </w:rPr>
        <w:t>日  期：</w:t>
      </w:r>
      <w:r>
        <w:rPr>
          <w:rFonts w:hint="eastAsia" w:ascii="宋体" w:hAnsi="宋体"/>
          <w:color w:val="000000"/>
          <w:spacing w:val="20"/>
          <w:szCs w:val="21"/>
          <w:highlight w:val="none"/>
          <w:u w:val="single"/>
        </w:rPr>
        <w:t xml:space="preserve">          </w:t>
      </w:r>
    </w:p>
    <w:p w14:paraId="04F29CC8">
      <w:pPr>
        <w:snapToGrid w:val="0"/>
        <w:spacing w:before="50" w:after="120" w:afterLines="50"/>
        <w:jc w:val="left"/>
        <w:rPr>
          <w:rFonts w:ascii="宋体" w:hAnsi="宋体"/>
          <w:color w:val="000000"/>
          <w:szCs w:val="21"/>
          <w:highlight w:val="none"/>
        </w:rPr>
      </w:pPr>
    </w:p>
    <w:p w14:paraId="62A23082">
      <w:pPr>
        <w:snapToGrid w:val="0"/>
        <w:spacing w:before="50" w:after="120" w:afterLines="50"/>
        <w:jc w:val="left"/>
        <w:rPr>
          <w:rFonts w:ascii="宋体" w:hAnsi="宋体"/>
          <w:color w:val="000000"/>
          <w:sz w:val="24"/>
          <w:szCs w:val="20"/>
          <w:highlight w:val="none"/>
        </w:rPr>
      </w:pPr>
    </w:p>
    <w:p w14:paraId="3739ACAF">
      <w:pPr>
        <w:snapToGrid w:val="0"/>
        <w:spacing w:before="120" w:beforeLines="50" w:after="50"/>
        <w:ind w:left="142"/>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4. 技术要求偏离表格式</w:t>
      </w:r>
    </w:p>
    <w:p w14:paraId="42329E92">
      <w:pPr>
        <w:snapToGrid w:val="0"/>
        <w:spacing w:before="120" w:beforeLines="50" w:after="50"/>
        <w:ind w:left="142"/>
        <w:jc w:val="left"/>
        <w:rPr>
          <w:rFonts w:ascii="宋体" w:hAnsi="宋体"/>
          <w:b/>
          <w:color w:val="000000"/>
          <w:sz w:val="24"/>
          <w:highlight w:val="none"/>
        </w:rPr>
      </w:pPr>
    </w:p>
    <w:p w14:paraId="3BE54224">
      <w:pPr>
        <w:snapToGrid w:val="0"/>
        <w:spacing w:before="120" w:beforeLines="50" w:after="50"/>
        <w:ind w:left="142"/>
        <w:jc w:val="center"/>
        <w:rPr>
          <w:rFonts w:ascii="宋体" w:hAnsi="宋体"/>
          <w:b/>
          <w:color w:val="000000"/>
          <w:sz w:val="32"/>
          <w:szCs w:val="32"/>
          <w:highlight w:val="none"/>
        </w:rPr>
      </w:pPr>
      <w:r>
        <w:rPr>
          <w:rFonts w:hint="eastAsia" w:ascii="宋体" w:hAnsi="宋体"/>
          <w:b/>
          <w:color w:val="000000"/>
          <w:sz w:val="32"/>
          <w:szCs w:val="32"/>
          <w:highlight w:val="none"/>
        </w:rPr>
        <w:t>技术要求偏离表</w:t>
      </w:r>
    </w:p>
    <w:p w14:paraId="67BBA0E9">
      <w:pPr>
        <w:pStyle w:val="26"/>
        <w:rPr>
          <w:rFonts w:hAnsi="宋体"/>
          <w:color w:val="000000"/>
          <w:sz w:val="21"/>
          <w:highlight w:val="none"/>
        </w:rPr>
      </w:pPr>
      <w:r>
        <w:rPr>
          <w:rFonts w:hint="eastAsia" w:hAnsi="宋体"/>
          <w:color w:val="000000"/>
          <w:sz w:val="21"/>
          <w:highlight w:val="none"/>
        </w:rPr>
        <w:t>所投分标：</w:t>
      </w:r>
      <w:r>
        <w:rPr>
          <w:rFonts w:hint="eastAsia" w:hAnsi="宋体"/>
          <w:color w:val="000000"/>
          <w:sz w:val="21"/>
          <w:highlight w:val="none"/>
          <w:u w:val="single"/>
        </w:rPr>
        <w:t xml:space="preserve">     </w:t>
      </w:r>
      <w:r>
        <w:rPr>
          <w:rFonts w:hint="eastAsia" w:hAnsi="宋体"/>
          <w:color w:val="000000"/>
          <w:sz w:val="21"/>
          <w:highlight w:val="none"/>
        </w:rPr>
        <w:t>分标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72B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846E88D">
            <w:pPr>
              <w:pStyle w:val="26"/>
              <w:spacing w:line="400" w:lineRule="exact"/>
              <w:jc w:val="center"/>
              <w:rPr>
                <w:rFonts w:hAnsi="宋体" w:cs="Courier New"/>
                <w:color w:val="000000"/>
                <w:kern w:val="2"/>
                <w:sz w:val="21"/>
                <w:highlight w:val="none"/>
              </w:rPr>
            </w:pPr>
            <w:r>
              <w:rPr>
                <w:rFonts w:hint="eastAsia" w:hAnsi="宋体" w:cs="Courier New"/>
                <w:color w:val="000000"/>
                <w:kern w:val="2"/>
                <w:sz w:val="21"/>
                <w:highlight w:val="none"/>
              </w:rPr>
              <w:t>项号</w:t>
            </w:r>
          </w:p>
        </w:tc>
        <w:tc>
          <w:tcPr>
            <w:tcW w:w="2143" w:type="dxa"/>
            <w:vAlign w:val="center"/>
          </w:tcPr>
          <w:p w14:paraId="2BBDCB93">
            <w:pPr>
              <w:pStyle w:val="26"/>
              <w:spacing w:line="400" w:lineRule="exact"/>
              <w:jc w:val="center"/>
              <w:rPr>
                <w:rFonts w:hAnsi="宋体" w:cs="Courier New"/>
                <w:color w:val="000000"/>
                <w:kern w:val="2"/>
                <w:sz w:val="21"/>
                <w:highlight w:val="none"/>
              </w:rPr>
            </w:pPr>
            <w:r>
              <w:rPr>
                <w:rFonts w:hint="eastAsia" w:hAnsi="宋体" w:cs="Courier New"/>
                <w:color w:val="000000"/>
                <w:kern w:val="2"/>
                <w:sz w:val="21"/>
                <w:highlight w:val="none"/>
              </w:rPr>
              <w:t>标的名称</w:t>
            </w:r>
          </w:p>
        </w:tc>
        <w:tc>
          <w:tcPr>
            <w:tcW w:w="1834" w:type="dxa"/>
            <w:vAlign w:val="center"/>
          </w:tcPr>
          <w:p w14:paraId="703A5861">
            <w:pPr>
              <w:pStyle w:val="26"/>
              <w:spacing w:line="400" w:lineRule="exact"/>
              <w:jc w:val="center"/>
              <w:rPr>
                <w:rFonts w:hAnsi="宋体" w:cs="Courier New"/>
                <w:color w:val="000000"/>
                <w:kern w:val="2"/>
                <w:sz w:val="21"/>
                <w:highlight w:val="none"/>
              </w:rPr>
            </w:pPr>
            <w:r>
              <w:rPr>
                <w:rFonts w:hint="eastAsia" w:hAnsi="宋体" w:cs="Courier New"/>
                <w:color w:val="000000"/>
                <w:kern w:val="2"/>
                <w:sz w:val="21"/>
                <w:highlight w:val="none"/>
              </w:rPr>
              <w:t>技术要求</w:t>
            </w:r>
          </w:p>
        </w:tc>
        <w:tc>
          <w:tcPr>
            <w:tcW w:w="2181" w:type="dxa"/>
            <w:vAlign w:val="center"/>
          </w:tcPr>
          <w:p w14:paraId="05208B92">
            <w:pPr>
              <w:pStyle w:val="26"/>
              <w:spacing w:line="400" w:lineRule="exact"/>
              <w:jc w:val="center"/>
              <w:rPr>
                <w:rFonts w:hAnsi="宋体" w:cs="Courier New"/>
                <w:color w:val="000000"/>
                <w:kern w:val="2"/>
                <w:sz w:val="21"/>
                <w:highlight w:val="none"/>
              </w:rPr>
            </w:pPr>
            <w:r>
              <w:rPr>
                <w:rFonts w:hint="eastAsia" w:hAnsi="宋体" w:cs="Courier New"/>
                <w:color w:val="000000"/>
                <w:kern w:val="2"/>
                <w:sz w:val="21"/>
                <w:highlight w:val="none"/>
              </w:rPr>
              <w:t>投标响应</w:t>
            </w:r>
          </w:p>
        </w:tc>
        <w:tc>
          <w:tcPr>
            <w:tcW w:w="1934" w:type="dxa"/>
            <w:vAlign w:val="center"/>
          </w:tcPr>
          <w:p w14:paraId="7A4BB3B9">
            <w:pPr>
              <w:pStyle w:val="26"/>
              <w:spacing w:line="400" w:lineRule="exact"/>
              <w:jc w:val="center"/>
              <w:rPr>
                <w:rFonts w:hAnsi="宋体" w:cs="Courier New"/>
                <w:color w:val="000000"/>
                <w:kern w:val="2"/>
                <w:sz w:val="21"/>
                <w:highlight w:val="none"/>
              </w:rPr>
            </w:pPr>
            <w:r>
              <w:rPr>
                <w:rFonts w:hint="eastAsia" w:hAnsi="宋体" w:cs="Courier New"/>
                <w:color w:val="000000"/>
                <w:kern w:val="2"/>
                <w:sz w:val="21"/>
                <w:highlight w:val="none"/>
              </w:rPr>
              <w:t>偏离说明</w:t>
            </w:r>
          </w:p>
        </w:tc>
      </w:tr>
      <w:tr w14:paraId="4CC2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3B911B">
            <w:pPr>
              <w:pStyle w:val="26"/>
              <w:spacing w:line="600" w:lineRule="exact"/>
              <w:jc w:val="center"/>
              <w:rPr>
                <w:rFonts w:hAnsi="宋体" w:cs="Courier New"/>
                <w:color w:val="000000"/>
                <w:kern w:val="2"/>
                <w:sz w:val="21"/>
                <w:highlight w:val="none"/>
              </w:rPr>
            </w:pPr>
          </w:p>
        </w:tc>
        <w:tc>
          <w:tcPr>
            <w:tcW w:w="2143" w:type="dxa"/>
            <w:vAlign w:val="center"/>
          </w:tcPr>
          <w:p w14:paraId="60328C56">
            <w:pPr>
              <w:pStyle w:val="26"/>
              <w:spacing w:line="600" w:lineRule="exact"/>
              <w:jc w:val="center"/>
              <w:rPr>
                <w:rFonts w:hAnsi="宋体" w:cs="Courier New"/>
                <w:color w:val="000000"/>
                <w:kern w:val="2"/>
                <w:sz w:val="21"/>
                <w:highlight w:val="none"/>
              </w:rPr>
            </w:pPr>
          </w:p>
        </w:tc>
        <w:tc>
          <w:tcPr>
            <w:tcW w:w="1834" w:type="dxa"/>
            <w:vAlign w:val="center"/>
          </w:tcPr>
          <w:p w14:paraId="1C664018">
            <w:pPr>
              <w:pStyle w:val="26"/>
              <w:spacing w:line="600" w:lineRule="exact"/>
              <w:jc w:val="center"/>
              <w:rPr>
                <w:rFonts w:hAnsi="宋体" w:cs="Courier New"/>
                <w:color w:val="000000"/>
                <w:kern w:val="2"/>
                <w:sz w:val="21"/>
                <w:highlight w:val="none"/>
              </w:rPr>
            </w:pPr>
          </w:p>
        </w:tc>
        <w:tc>
          <w:tcPr>
            <w:tcW w:w="2181" w:type="dxa"/>
            <w:vAlign w:val="center"/>
          </w:tcPr>
          <w:p w14:paraId="0F5C3E7F">
            <w:pPr>
              <w:pStyle w:val="26"/>
              <w:spacing w:line="600" w:lineRule="exact"/>
              <w:jc w:val="center"/>
              <w:rPr>
                <w:rFonts w:hAnsi="宋体" w:cs="Courier New"/>
                <w:color w:val="000000"/>
                <w:kern w:val="2"/>
                <w:sz w:val="21"/>
                <w:highlight w:val="none"/>
              </w:rPr>
            </w:pPr>
          </w:p>
        </w:tc>
        <w:tc>
          <w:tcPr>
            <w:tcW w:w="1934" w:type="dxa"/>
            <w:vAlign w:val="center"/>
          </w:tcPr>
          <w:p w14:paraId="06AC5498">
            <w:pPr>
              <w:pStyle w:val="26"/>
              <w:spacing w:line="600" w:lineRule="exact"/>
              <w:jc w:val="center"/>
              <w:rPr>
                <w:rFonts w:hAnsi="宋体" w:cs="Courier New"/>
                <w:color w:val="000000"/>
                <w:kern w:val="2"/>
                <w:sz w:val="21"/>
                <w:highlight w:val="none"/>
              </w:rPr>
            </w:pPr>
          </w:p>
        </w:tc>
      </w:tr>
      <w:tr w14:paraId="5FF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08510EC">
            <w:pPr>
              <w:pStyle w:val="26"/>
              <w:spacing w:line="600" w:lineRule="exact"/>
              <w:rPr>
                <w:rFonts w:hAnsi="宋体" w:cs="Courier New"/>
                <w:color w:val="000000"/>
                <w:kern w:val="2"/>
                <w:sz w:val="21"/>
                <w:highlight w:val="none"/>
              </w:rPr>
            </w:pPr>
          </w:p>
        </w:tc>
        <w:tc>
          <w:tcPr>
            <w:tcW w:w="2143" w:type="dxa"/>
          </w:tcPr>
          <w:p w14:paraId="7C625949">
            <w:pPr>
              <w:pStyle w:val="26"/>
              <w:spacing w:line="600" w:lineRule="exact"/>
              <w:rPr>
                <w:rFonts w:hAnsi="宋体" w:cs="Courier New"/>
                <w:color w:val="000000"/>
                <w:kern w:val="2"/>
                <w:sz w:val="21"/>
                <w:highlight w:val="none"/>
              </w:rPr>
            </w:pPr>
          </w:p>
        </w:tc>
        <w:tc>
          <w:tcPr>
            <w:tcW w:w="1834" w:type="dxa"/>
          </w:tcPr>
          <w:p w14:paraId="1AE51F93">
            <w:pPr>
              <w:pStyle w:val="26"/>
              <w:spacing w:line="600" w:lineRule="exact"/>
              <w:rPr>
                <w:rFonts w:hAnsi="宋体" w:cs="Courier New"/>
                <w:color w:val="000000"/>
                <w:kern w:val="2"/>
                <w:sz w:val="21"/>
                <w:highlight w:val="none"/>
              </w:rPr>
            </w:pPr>
          </w:p>
        </w:tc>
        <w:tc>
          <w:tcPr>
            <w:tcW w:w="2181" w:type="dxa"/>
          </w:tcPr>
          <w:p w14:paraId="2880F0DF">
            <w:pPr>
              <w:pStyle w:val="26"/>
              <w:spacing w:line="600" w:lineRule="exact"/>
              <w:rPr>
                <w:rFonts w:hAnsi="宋体" w:cs="Courier New"/>
                <w:color w:val="000000"/>
                <w:kern w:val="2"/>
                <w:sz w:val="21"/>
                <w:highlight w:val="none"/>
              </w:rPr>
            </w:pPr>
          </w:p>
        </w:tc>
        <w:tc>
          <w:tcPr>
            <w:tcW w:w="1934" w:type="dxa"/>
          </w:tcPr>
          <w:p w14:paraId="4D1AB814">
            <w:pPr>
              <w:pStyle w:val="26"/>
              <w:spacing w:line="600" w:lineRule="exact"/>
              <w:rPr>
                <w:rFonts w:hAnsi="宋体" w:cs="Courier New"/>
                <w:color w:val="000000"/>
                <w:kern w:val="2"/>
                <w:sz w:val="21"/>
                <w:highlight w:val="none"/>
              </w:rPr>
            </w:pPr>
          </w:p>
        </w:tc>
      </w:tr>
      <w:tr w14:paraId="0DE3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D20F318">
            <w:pPr>
              <w:pStyle w:val="26"/>
              <w:spacing w:line="600" w:lineRule="exact"/>
              <w:rPr>
                <w:rFonts w:hAnsi="宋体" w:cs="Courier New"/>
                <w:color w:val="000000"/>
                <w:kern w:val="2"/>
                <w:sz w:val="21"/>
                <w:highlight w:val="none"/>
              </w:rPr>
            </w:pPr>
          </w:p>
        </w:tc>
        <w:tc>
          <w:tcPr>
            <w:tcW w:w="2143" w:type="dxa"/>
          </w:tcPr>
          <w:p w14:paraId="198AF109">
            <w:pPr>
              <w:pStyle w:val="26"/>
              <w:spacing w:line="600" w:lineRule="exact"/>
              <w:rPr>
                <w:rFonts w:hAnsi="宋体" w:cs="Courier New"/>
                <w:color w:val="000000"/>
                <w:kern w:val="2"/>
                <w:sz w:val="21"/>
                <w:highlight w:val="none"/>
              </w:rPr>
            </w:pPr>
          </w:p>
        </w:tc>
        <w:tc>
          <w:tcPr>
            <w:tcW w:w="1834" w:type="dxa"/>
          </w:tcPr>
          <w:p w14:paraId="5A3C1649">
            <w:pPr>
              <w:pStyle w:val="26"/>
              <w:spacing w:line="600" w:lineRule="exact"/>
              <w:rPr>
                <w:rFonts w:hAnsi="宋体" w:cs="Courier New"/>
                <w:color w:val="000000"/>
                <w:kern w:val="2"/>
                <w:sz w:val="21"/>
                <w:highlight w:val="none"/>
              </w:rPr>
            </w:pPr>
          </w:p>
        </w:tc>
        <w:tc>
          <w:tcPr>
            <w:tcW w:w="2181" w:type="dxa"/>
          </w:tcPr>
          <w:p w14:paraId="3AF23E7A">
            <w:pPr>
              <w:pStyle w:val="26"/>
              <w:spacing w:line="600" w:lineRule="exact"/>
              <w:rPr>
                <w:rFonts w:hAnsi="宋体" w:cs="Courier New"/>
                <w:color w:val="000000"/>
                <w:kern w:val="2"/>
                <w:sz w:val="21"/>
                <w:highlight w:val="none"/>
              </w:rPr>
            </w:pPr>
          </w:p>
        </w:tc>
        <w:tc>
          <w:tcPr>
            <w:tcW w:w="1934" w:type="dxa"/>
          </w:tcPr>
          <w:p w14:paraId="593AB877">
            <w:pPr>
              <w:pStyle w:val="26"/>
              <w:spacing w:line="600" w:lineRule="exact"/>
              <w:rPr>
                <w:rFonts w:hAnsi="宋体" w:cs="Courier New"/>
                <w:color w:val="000000"/>
                <w:kern w:val="2"/>
                <w:sz w:val="21"/>
                <w:highlight w:val="none"/>
              </w:rPr>
            </w:pPr>
          </w:p>
        </w:tc>
      </w:tr>
      <w:tr w14:paraId="42C3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1FD695">
            <w:pPr>
              <w:pStyle w:val="26"/>
              <w:spacing w:line="600" w:lineRule="exact"/>
              <w:rPr>
                <w:rFonts w:hAnsi="宋体" w:cs="Courier New"/>
                <w:color w:val="000000"/>
                <w:kern w:val="2"/>
                <w:sz w:val="21"/>
                <w:highlight w:val="none"/>
              </w:rPr>
            </w:pPr>
          </w:p>
        </w:tc>
        <w:tc>
          <w:tcPr>
            <w:tcW w:w="2143" w:type="dxa"/>
          </w:tcPr>
          <w:p w14:paraId="4479291C">
            <w:pPr>
              <w:pStyle w:val="26"/>
              <w:spacing w:line="600" w:lineRule="exact"/>
              <w:rPr>
                <w:rFonts w:hAnsi="宋体" w:cs="Courier New"/>
                <w:color w:val="000000"/>
                <w:kern w:val="2"/>
                <w:sz w:val="21"/>
                <w:highlight w:val="none"/>
              </w:rPr>
            </w:pPr>
          </w:p>
        </w:tc>
        <w:tc>
          <w:tcPr>
            <w:tcW w:w="1834" w:type="dxa"/>
          </w:tcPr>
          <w:p w14:paraId="3DF62D93">
            <w:pPr>
              <w:pStyle w:val="26"/>
              <w:spacing w:line="600" w:lineRule="exact"/>
              <w:rPr>
                <w:rFonts w:hAnsi="宋体" w:cs="Courier New"/>
                <w:color w:val="000000"/>
                <w:kern w:val="2"/>
                <w:sz w:val="21"/>
                <w:highlight w:val="none"/>
              </w:rPr>
            </w:pPr>
          </w:p>
        </w:tc>
        <w:tc>
          <w:tcPr>
            <w:tcW w:w="2181" w:type="dxa"/>
          </w:tcPr>
          <w:p w14:paraId="4B5BEFC4">
            <w:pPr>
              <w:pStyle w:val="26"/>
              <w:spacing w:line="600" w:lineRule="exact"/>
              <w:rPr>
                <w:rFonts w:hAnsi="宋体" w:cs="Courier New"/>
                <w:color w:val="000000"/>
                <w:kern w:val="2"/>
                <w:sz w:val="21"/>
                <w:highlight w:val="none"/>
              </w:rPr>
            </w:pPr>
          </w:p>
        </w:tc>
        <w:tc>
          <w:tcPr>
            <w:tcW w:w="1934" w:type="dxa"/>
          </w:tcPr>
          <w:p w14:paraId="16BEDD3D">
            <w:pPr>
              <w:pStyle w:val="26"/>
              <w:spacing w:line="600" w:lineRule="exact"/>
              <w:rPr>
                <w:rFonts w:hAnsi="宋体" w:cs="Courier New"/>
                <w:color w:val="000000"/>
                <w:kern w:val="2"/>
                <w:sz w:val="21"/>
                <w:highlight w:val="none"/>
              </w:rPr>
            </w:pPr>
          </w:p>
        </w:tc>
      </w:tr>
      <w:tr w14:paraId="2167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AC3E43">
            <w:pPr>
              <w:pStyle w:val="26"/>
              <w:spacing w:line="600" w:lineRule="exact"/>
              <w:rPr>
                <w:rFonts w:hAnsi="宋体" w:cs="Courier New"/>
                <w:color w:val="000000"/>
                <w:kern w:val="2"/>
                <w:sz w:val="21"/>
                <w:highlight w:val="none"/>
              </w:rPr>
            </w:pPr>
          </w:p>
        </w:tc>
        <w:tc>
          <w:tcPr>
            <w:tcW w:w="2143" w:type="dxa"/>
          </w:tcPr>
          <w:p w14:paraId="0E2D0615">
            <w:pPr>
              <w:pStyle w:val="26"/>
              <w:spacing w:line="600" w:lineRule="exact"/>
              <w:rPr>
                <w:rFonts w:hAnsi="宋体" w:cs="Courier New"/>
                <w:color w:val="000000"/>
                <w:kern w:val="2"/>
                <w:sz w:val="21"/>
                <w:highlight w:val="none"/>
              </w:rPr>
            </w:pPr>
          </w:p>
        </w:tc>
        <w:tc>
          <w:tcPr>
            <w:tcW w:w="1834" w:type="dxa"/>
          </w:tcPr>
          <w:p w14:paraId="68C0855B">
            <w:pPr>
              <w:pStyle w:val="26"/>
              <w:spacing w:line="600" w:lineRule="exact"/>
              <w:rPr>
                <w:rFonts w:hAnsi="宋体" w:cs="Courier New"/>
                <w:color w:val="000000"/>
                <w:kern w:val="2"/>
                <w:sz w:val="21"/>
                <w:highlight w:val="none"/>
              </w:rPr>
            </w:pPr>
          </w:p>
        </w:tc>
        <w:tc>
          <w:tcPr>
            <w:tcW w:w="2181" w:type="dxa"/>
          </w:tcPr>
          <w:p w14:paraId="0D60F18F">
            <w:pPr>
              <w:pStyle w:val="26"/>
              <w:spacing w:line="600" w:lineRule="exact"/>
              <w:rPr>
                <w:rFonts w:hAnsi="宋体" w:cs="Courier New"/>
                <w:color w:val="000000"/>
                <w:kern w:val="2"/>
                <w:sz w:val="21"/>
                <w:highlight w:val="none"/>
              </w:rPr>
            </w:pPr>
          </w:p>
        </w:tc>
        <w:tc>
          <w:tcPr>
            <w:tcW w:w="1934" w:type="dxa"/>
          </w:tcPr>
          <w:p w14:paraId="21000842">
            <w:pPr>
              <w:pStyle w:val="26"/>
              <w:spacing w:line="600" w:lineRule="exact"/>
              <w:rPr>
                <w:rFonts w:hAnsi="宋体" w:cs="Courier New"/>
                <w:color w:val="000000"/>
                <w:kern w:val="2"/>
                <w:sz w:val="21"/>
                <w:highlight w:val="none"/>
              </w:rPr>
            </w:pPr>
          </w:p>
        </w:tc>
      </w:tr>
      <w:tr w14:paraId="4D97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FD73144">
            <w:pPr>
              <w:pStyle w:val="26"/>
              <w:spacing w:line="600" w:lineRule="exact"/>
              <w:rPr>
                <w:rFonts w:hAnsi="宋体" w:cs="Courier New"/>
                <w:color w:val="000000"/>
                <w:kern w:val="2"/>
                <w:sz w:val="21"/>
                <w:highlight w:val="none"/>
              </w:rPr>
            </w:pPr>
          </w:p>
        </w:tc>
        <w:tc>
          <w:tcPr>
            <w:tcW w:w="2143" w:type="dxa"/>
          </w:tcPr>
          <w:p w14:paraId="045AAEC5">
            <w:pPr>
              <w:pStyle w:val="26"/>
              <w:spacing w:line="600" w:lineRule="exact"/>
              <w:rPr>
                <w:rFonts w:hAnsi="宋体" w:cs="Courier New"/>
                <w:color w:val="000000"/>
                <w:kern w:val="2"/>
                <w:sz w:val="21"/>
                <w:highlight w:val="none"/>
              </w:rPr>
            </w:pPr>
          </w:p>
        </w:tc>
        <w:tc>
          <w:tcPr>
            <w:tcW w:w="1834" w:type="dxa"/>
          </w:tcPr>
          <w:p w14:paraId="0AFC7734">
            <w:pPr>
              <w:pStyle w:val="26"/>
              <w:spacing w:line="600" w:lineRule="exact"/>
              <w:rPr>
                <w:rFonts w:hAnsi="宋体" w:cs="Courier New"/>
                <w:color w:val="000000"/>
                <w:kern w:val="2"/>
                <w:sz w:val="21"/>
                <w:highlight w:val="none"/>
              </w:rPr>
            </w:pPr>
          </w:p>
        </w:tc>
        <w:tc>
          <w:tcPr>
            <w:tcW w:w="2181" w:type="dxa"/>
          </w:tcPr>
          <w:p w14:paraId="1766F69A">
            <w:pPr>
              <w:pStyle w:val="26"/>
              <w:spacing w:line="600" w:lineRule="exact"/>
              <w:rPr>
                <w:rFonts w:hAnsi="宋体" w:cs="Courier New"/>
                <w:color w:val="000000"/>
                <w:kern w:val="2"/>
                <w:sz w:val="21"/>
                <w:highlight w:val="none"/>
              </w:rPr>
            </w:pPr>
          </w:p>
        </w:tc>
        <w:tc>
          <w:tcPr>
            <w:tcW w:w="1934" w:type="dxa"/>
          </w:tcPr>
          <w:p w14:paraId="13DC7C94">
            <w:pPr>
              <w:pStyle w:val="26"/>
              <w:spacing w:line="600" w:lineRule="exact"/>
              <w:rPr>
                <w:rFonts w:hAnsi="宋体" w:cs="Courier New"/>
                <w:color w:val="000000"/>
                <w:kern w:val="2"/>
                <w:sz w:val="21"/>
                <w:highlight w:val="none"/>
              </w:rPr>
            </w:pPr>
          </w:p>
        </w:tc>
      </w:tr>
    </w:tbl>
    <w:p w14:paraId="6584F772">
      <w:pPr>
        <w:pStyle w:val="18"/>
        <w:rPr>
          <w:rFonts w:ascii="宋体" w:hAnsi="宋体"/>
          <w:color w:val="000000"/>
          <w:sz w:val="21"/>
          <w:szCs w:val="21"/>
          <w:highlight w:val="none"/>
        </w:rPr>
      </w:pPr>
      <w:r>
        <w:rPr>
          <w:rFonts w:hint="eastAsia" w:ascii="宋体" w:hAnsi="宋体"/>
          <w:color w:val="000000"/>
          <w:sz w:val="21"/>
          <w:szCs w:val="21"/>
          <w:highlight w:val="none"/>
        </w:rPr>
        <w:t>注：</w:t>
      </w:r>
    </w:p>
    <w:p w14:paraId="1F2EFC36">
      <w:pPr>
        <w:pStyle w:val="21"/>
        <w:spacing w:line="360" w:lineRule="auto"/>
        <w:ind w:firstLine="0" w:firstLineChars="0"/>
        <w:rPr>
          <w:rFonts w:hAnsi="仿宋_GB2312" w:cs="仿宋_GB2312"/>
          <w:color w:val="000000"/>
          <w:sz w:val="21"/>
          <w:szCs w:val="21"/>
          <w:highlight w:val="none"/>
        </w:rPr>
      </w:pPr>
      <w:r>
        <w:rPr>
          <w:rFonts w:hint="eastAsia" w:ascii="宋体" w:hAnsi="宋体" w:eastAsia="宋体"/>
          <w:color w:val="000000"/>
          <w:sz w:val="21"/>
          <w:szCs w:val="21"/>
          <w:highlight w:val="none"/>
        </w:rPr>
        <w:t>1. 说明：应对照招标文件“第二章 采购需求”中的“技术要求”逐条作明确的投标响应，并作出偏离说明。</w:t>
      </w:r>
    </w:p>
    <w:p w14:paraId="01D7230C">
      <w:pPr>
        <w:pStyle w:val="18"/>
        <w:spacing w:line="360" w:lineRule="auto"/>
        <w:rPr>
          <w:rFonts w:ascii="宋体" w:hAnsi="宋体"/>
          <w:b w:val="0"/>
          <w:bCs w:val="0"/>
          <w:color w:val="000000"/>
          <w:sz w:val="21"/>
          <w:szCs w:val="21"/>
          <w:highlight w:val="none"/>
        </w:rPr>
      </w:pPr>
      <w:r>
        <w:rPr>
          <w:rFonts w:ascii="宋体" w:hAnsi="宋体"/>
          <w:b w:val="0"/>
          <w:bCs w:val="0"/>
          <w:color w:val="000000"/>
          <w:sz w:val="21"/>
          <w:szCs w:val="21"/>
          <w:highlight w:val="none"/>
        </w:rPr>
        <w:t>2.</w:t>
      </w:r>
      <w:r>
        <w:rPr>
          <w:rFonts w:hint="eastAsia" w:ascii="宋体" w:hAnsi="宋体"/>
          <w:b w:val="0"/>
          <w:bCs w:val="0"/>
          <w:color w:val="000000"/>
          <w:sz w:val="21"/>
          <w:szCs w:val="21"/>
          <w:highlight w:val="none"/>
        </w:rPr>
        <w:t>投标人根据投标货物的性能指标，对照招标文件技术要求，在“偏离说明”中注明“</w:t>
      </w:r>
      <w:r>
        <w:rPr>
          <w:rFonts w:hint="eastAsia" w:ascii="宋体" w:hAnsi="宋体"/>
          <w:color w:val="000000"/>
          <w:sz w:val="21"/>
          <w:szCs w:val="21"/>
          <w:highlight w:val="none"/>
        </w:rPr>
        <w:t>正偏离</w:t>
      </w:r>
      <w:r>
        <w:rPr>
          <w:rFonts w:hint="eastAsia" w:ascii="宋体" w:hAnsi="宋体"/>
          <w:b w:val="0"/>
          <w:bCs w:val="0"/>
          <w:color w:val="000000"/>
          <w:sz w:val="21"/>
          <w:szCs w:val="21"/>
          <w:highlight w:val="none"/>
        </w:rPr>
        <w:t>”、“</w:t>
      </w:r>
      <w:r>
        <w:rPr>
          <w:rFonts w:hint="eastAsia" w:ascii="宋体" w:hAnsi="宋体"/>
          <w:color w:val="000000"/>
          <w:sz w:val="21"/>
          <w:szCs w:val="21"/>
          <w:highlight w:val="none"/>
        </w:rPr>
        <w:t>负偏离</w:t>
      </w:r>
      <w:r>
        <w:rPr>
          <w:rFonts w:hint="eastAsia" w:ascii="宋体" w:hAnsi="宋体"/>
          <w:b w:val="0"/>
          <w:bCs w:val="0"/>
          <w:color w:val="000000"/>
          <w:sz w:val="21"/>
          <w:szCs w:val="21"/>
          <w:highlight w:val="none"/>
        </w:rPr>
        <w:t>”或者“</w:t>
      </w:r>
      <w:r>
        <w:rPr>
          <w:rFonts w:hint="eastAsia" w:ascii="宋体" w:hAnsi="宋体"/>
          <w:color w:val="000000"/>
          <w:sz w:val="21"/>
          <w:szCs w:val="21"/>
          <w:highlight w:val="none"/>
        </w:rPr>
        <w:t>无偏离</w:t>
      </w:r>
      <w:r>
        <w:rPr>
          <w:rFonts w:hint="eastAsia" w:ascii="宋体" w:hAnsi="宋体"/>
          <w:b w:val="0"/>
          <w:bCs w:val="0"/>
          <w:color w:val="000000"/>
          <w:sz w:val="21"/>
          <w:szCs w:val="21"/>
          <w:highlight w:val="none"/>
        </w:rPr>
        <w:t>”。既不属于“</w:t>
      </w:r>
      <w:r>
        <w:rPr>
          <w:rFonts w:hint="eastAsia" w:ascii="宋体" w:hAnsi="宋体"/>
          <w:color w:val="000000"/>
          <w:sz w:val="21"/>
          <w:szCs w:val="21"/>
          <w:highlight w:val="none"/>
        </w:rPr>
        <w:t>正偏离</w:t>
      </w:r>
      <w:r>
        <w:rPr>
          <w:rFonts w:hint="eastAsia" w:ascii="宋体" w:hAnsi="宋体"/>
          <w:b w:val="0"/>
          <w:bCs w:val="0"/>
          <w:color w:val="000000"/>
          <w:sz w:val="21"/>
          <w:szCs w:val="21"/>
          <w:highlight w:val="none"/>
        </w:rPr>
        <w:t>”也不属于“</w:t>
      </w:r>
      <w:r>
        <w:rPr>
          <w:rFonts w:hint="eastAsia" w:ascii="宋体" w:hAnsi="宋体"/>
          <w:color w:val="000000"/>
          <w:sz w:val="21"/>
          <w:szCs w:val="21"/>
          <w:highlight w:val="none"/>
        </w:rPr>
        <w:t>负偏离</w:t>
      </w:r>
      <w:r>
        <w:rPr>
          <w:rFonts w:hint="eastAsia" w:ascii="宋体" w:hAnsi="宋体"/>
          <w:b w:val="0"/>
          <w:bCs w:val="0"/>
          <w:color w:val="000000"/>
          <w:sz w:val="21"/>
          <w:szCs w:val="21"/>
          <w:highlight w:val="none"/>
        </w:rPr>
        <w:t>”即为“</w:t>
      </w:r>
      <w:r>
        <w:rPr>
          <w:rFonts w:hint="eastAsia" w:ascii="宋体" w:hAnsi="宋体"/>
          <w:color w:val="000000"/>
          <w:sz w:val="21"/>
          <w:szCs w:val="21"/>
          <w:highlight w:val="none"/>
        </w:rPr>
        <w:t>无偏离</w:t>
      </w:r>
      <w:r>
        <w:rPr>
          <w:rFonts w:hint="eastAsia" w:ascii="宋体" w:hAnsi="宋体"/>
          <w:b w:val="0"/>
          <w:bCs w:val="0"/>
          <w:color w:val="000000"/>
          <w:sz w:val="21"/>
          <w:szCs w:val="21"/>
          <w:highlight w:val="none"/>
        </w:rPr>
        <w:t>”。</w:t>
      </w:r>
    </w:p>
    <w:p w14:paraId="7346FB08">
      <w:pPr>
        <w:pStyle w:val="21"/>
        <w:spacing w:line="360" w:lineRule="auto"/>
        <w:ind w:firstLine="0" w:firstLineChars="0"/>
        <w:rPr>
          <w:rFonts w:ascii="宋体" w:hAnsi="宋体" w:eastAsia="宋体"/>
          <w:color w:val="000000"/>
          <w:sz w:val="21"/>
          <w:szCs w:val="21"/>
          <w:highlight w:val="none"/>
        </w:rPr>
      </w:pPr>
      <w:r>
        <w:rPr>
          <w:rFonts w:hint="eastAsia" w:ascii="宋体" w:hAnsi="宋体" w:eastAsia="宋体"/>
          <w:color w:val="000000"/>
          <w:sz w:val="21"/>
          <w:szCs w:val="21"/>
          <w:highlight w:val="none"/>
        </w:rPr>
        <w:t>3.如技术要求偏离表中的投标响应与佐证材料不一致的，以佐证材料为准。</w:t>
      </w:r>
    </w:p>
    <w:p w14:paraId="23037B6C">
      <w:pPr>
        <w:pStyle w:val="21"/>
        <w:spacing w:line="360" w:lineRule="auto"/>
        <w:ind w:firstLine="0" w:firstLineChars="0"/>
        <w:rPr>
          <w:rFonts w:ascii="宋体" w:hAnsi="宋体" w:eastAsia="宋体"/>
          <w:color w:val="000000"/>
          <w:sz w:val="21"/>
          <w:szCs w:val="21"/>
          <w:highlight w:val="none"/>
        </w:rPr>
      </w:pPr>
      <w:r>
        <w:rPr>
          <w:rFonts w:hint="eastAsia" w:ascii="宋体" w:hAnsi="宋体" w:eastAsia="宋体"/>
          <w:color w:val="000000"/>
          <w:sz w:val="21"/>
          <w:szCs w:val="21"/>
          <w:highlight w:val="none"/>
        </w:rPr>
        <w:t>4.不按照要求填写响应内容的或者仅填写“满足或者响应”的，均按无效投标处理。</w:t>
      </w:r>
    </w:p>
    <w:p w14:paraId="689BC4DD">
      <w:pPr>
        <w:snapToGrid w:val="0"/>
        <w:spacing w:before="50" w:after="50" w:line="360" w:lineRule="auto"/>
        <w:rPr>
          <w:rFonts w:ascii="宋体" w:hAnsi="宋体"/>
          <w:color w:val="000000"/>
          <w:szCs w:val="21"/>
          <w:highlight w:val="none"/>
        </w:rPr>
      </w:pPr>
    </w:p>
    <w:p w14:paraId="7D6DBEAB">
      <w:pPr>
        <w:snapToGrid w:val="0"/>
        <w:spacing w:before="50" w:after="50" w:line="360" w:lineRule="auto"/>
        <w:rPr>
          <w:rFonts w:ascii="宋体" w:hAnsi="宋体"/>
          <w:color w:val="000000"/>
          <w:spacing w:val="20"/>
          <w:szCs w:val="21"/>
          <w:highlight w:val="none"/>
          <w:u w:val="single"/>
        </w:rPr>
      </w:pPr>
      <w:r>
        <w:rPr>
          <w:rFonts w:hint="eastAsia" w:ascii="宋体" w:hAnsi="宋体"/>
          <w:color w:val="000000"/>
          <w:szCs w:val="21"/>
          <w:highlight w:val="none"/>
        </w:rPr>
        <w:t>法定代表人（或负责人）或者委托代理人（签字或电子签名）</w:t>
      </w:r>
      <w:r>
        <w:rPr>
          <w:rFonts w:hint="eastAsia" w:ascii="宋体" w:hAnsi="宋体"/>
          <w:color w:val="000000"/>
          <w:spacing w:val="20"/>
          <w:szCs w:val="21"/>
          <w:highlight w:val="none"/>
        </w:rPr>
        <w:t>：</w:t>
      </w:r>
      <w:r>
        <w:rPr>
          <w:rFonts w:hint="eastAsia" w:ascii="宋体" w:hAnsi="宋体"/>
          <w:color w:val="000000"/>
          <w:spacing w:val="20"/>
          <w:szCs w:val="21"/>
          <w:highlight w:val="none"/>
          <w:u w:val="single"/>
        </w:rPr>
        <w:t xml:space="preserve">        </w:t>
      </w:r>
    </w:p>
    <w:p w14:paraId="3D4738A7">
      <w:pPr>
        <w:snapToGrid w:val="0"/>
        <w:spacing w:before="50" w:after="50" w:line="360" w:lineRule="auto"/>
        <w:rPr>
          <w:rFonts w:ascii="宋体" w:hAnsi="宋体"/>
          <w:color w:val="000000"/>
          <w:spacing w:val="20"/>
          <w:szCs w:val="21"/>
          <w:highlight w:val="none"/>
        </w:rPr>
      </w:pPr>
      <w:r>
        <w:rPr>
          <w:rFonts w:hint="eastAsia" w:ascii="宋体" w:hAnsi="宋体"/>
          <w:color w:val="000000"/>
          <w:spacing w:val="20"/>
          <w:szCs w:val="21"/>
          <w:highlight w:val="none"/>
        </w:rPr>
        <w:t>投标人名称（电子签章）：</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rPr>
        <w:t xml:space="preserve">              </w:t>
      </w:r>
    </w:p>
    <w:p w14:paraId="1E79E759">
      <w:pPr>
        <w:snapToGrid w:val="0"/>
        <w:spacing w:before="50" w:after="50" w:line="360" w:lineRule="auto"/>
        <w:rPr>
          <w:rFonts w:ascii="宋体" w:hAnsi="宋体"/>
          <w:color w:val="000000"/>
          <w:spacing w:val="20"/>
          <w:szCs w:val="21"/>
          <w:highlight w:val="none"/>
          <w:u w:val="single"/>
        </w:rPr>
      </w:pPr>
      <w:r>
        <w:rPr>
          <w:rFonts w:hint="eastAsia" w:ascii="宋体" w:hAnsi="宋体"/>
          <w:color w:val="000000"/>
          <w:spacing w:val="20"/>
          <w:szCs w:val="21"/>
          <w:highlight w:val="none"/>
        </w:rPr>
        <w:t>日 期：</w:t>
      </w:r>
      <w:r>
        <w:rPr>
          <w:rFonts w:hint="eastAsia" w:ascii="宋体" w:hAnsi="宋体"/>
          <w:color w:val="000000"/>
          <w:spacing w:val="20"/>
          <w:szCs w:val="21"/>
          <w:highlight w:val="none"/>
          <w:u w:val="single"/>
        </w:rPr>
        <w:t xml:space="preserve">        </w:t>
      </w:r>
    </w:p>
    <w:p w14:paraId="1C056361">
      <w:pPr>
        <w:snapToGrid w:val="0"/>
        <w:spacing w:before="50" w:after="50" w:line="360" w:lineRule="auto"/>
        <w:rPr>
          <w:rFonts w:ascii="宋体" w:hAnsi="宋体"/>
          <w:color w:val="000000"/>
          <w:sz w:val="24"/>
          <w:szCs w:val="20"/>
          <w:highlight w:val="none"/>
        </w:rPr>
      </w:pPr>
    </w:p>
    <w:p w14:paraId="353D0BF4">
      <w:pPr>
        <w:snapToGrid w:val="0"/>
        <w:spacing w:before="120" w:beforeLines="50" w:after="50"/>
        <w:ind w:left="142"/>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5. 项目实施人员一览表格式</w:t>
      </w:r>
    </w:p>
    <w:p w14:paraId="40E57B29">
      <w:pPr>
        <w:snapToGrid w:val="0"/>
        <w:spacing w:before="120" w:beforeLines="50" w:after="50"/>
        <w:ind w:left="142"/>
        <w:jc w:val="left"/>
        <w:rPr>
          <w:rFonts w:ascii="宋体" w:hAnsi="宋体"/>
          <w:b/>
          <w:color w:val="000000"/>
          <w:sz w:val="24"/>
          <w:highlight w:val="none"/>
        </w:rPr>
      </w:pPr>
    </w:p>
    <w:p w14:paraId="73F1B7A7">
      <w:pPr>
        <w:snapToGrid w:val="0"/>
        <w:spacing w:before="120" w:beforeLines="50" w:after="50"/>
        <w:ind w:left="142"/>
        <w:jc w:val="center"/>
        <w:rPr>
          <w:rFonts w:ascii="宋体" w:hAnsi="宋体"/>
          <w:b/>
          <w:color w:val="000000"/>
          <w:sz w:val="32"/>
          <w:szCs w:val="32"/>
          <w:highlight w:val="none"/>
        </w:rPr>
      </w:pPr>
      <w:r>
        <w:rPr>
          <w:rFonts w:hint="eastAsia" w:ascii="宋体" w:hAnsi="宋体"/>
          <w:b/>
          <w:color w:val="000000"/>
          <w:sz w:val="32"/>
          <w:szCs w:val="32"/>
          <w:highlight w:val="none"/>
        </w:rPr>
        <w:t>项目实施人员一览表</w:t>
      </w:r>
    </w:p>
    <w:p w14:paraId="2D65B849">
      <w:pPr>
        <w:pStyle w:val="26"/>
        <w:rPr>
          <w:color w:val="000000"/>
          <w:sz w:val="21"/>
          <w:highlight w:val="none"/>
        </w:rPr>
      </w:pPr>
      <w:r>
        <w:rPr>
          <w:rFonts w:hint="eastAsia"/>
          <w:color w:val="000000"/>
          <w:sz w:val="21"/>
          <w:highlight w:val="none"/>
        </w:rPr>
        <w:t>所投分标：</w:t>
      </w:r>
      <w:r>
        <w:rPr>
          <w:rFonts w:hint="eastAsia"/>
          <w:color w:val="000000"/>
          <w:sz w:val="21"/>
          <w:highlight w:val="none"/>
          <w:u w:val="single"/>
        </w:rPr>
        <w:t xml:space="preserve">     </w:t>
      </w:r>
      <w:r>
        <w:rPr>
          <w:rFonts w:hint="eastAsia"/>
          <w:color w:val="000000"/>
          <w:sz w:val="21"/>
          <w:highlight w:val="none"/>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C9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48666">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姓名</w:t>
            </w:r>
          </w:p>
        </w:tc>
        <w:tc>
          <w:tcPr>
            <w:tcW w:w="709" w:type="dxa"/>
            <w:vAlign w:val="center"/>
          </w:tcPr>
          <w:p w14:paraId="20084435">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职务</w:t>
            </w:r>
          </w:p>
        </w:tc>
        <w:tc>
          <w:tcPr>
            <w:tcW w:w="1701" w:type="dxa"/>
            <w:vAlign w:val="center"/>
          </w:tcPr>
          <w:p w14:paraId="57F19509">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专业技术资格（职称）或者职业资格或者执业资格证或者其他证书</w:t>
            </w:r>
          </w:p>
        </w:tc>
        <w:tc>
          <w:tcPr>
            <w:tcW w:w="1420" w:type="dxa"/>
            <w:vAlign w:val="center"/>
          </w:tcPr>
          <w:p w14:paraId="34C3EFD0">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证书编号</w:t>
            </w:r>
          </w:p>
        </w:tc>
        <w:tc>
          <w:tcPr>
            <w:tcW w:w="1698" w:type="dxa"/>
            <w:vAlign w:val="center"/>
          </w:tcPr>
          <w:p w14:paraId="590EA756">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参加本单位</w:t>
            </w:r>
          </w:p>
          <w:p w14:paraId="2B3829BF">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工作时间</w:t>
            </w:r>
          </w:p>
        </w:tc>
        <w:tc>
          <w:tcPr>
            <w:tcW w:w="1843" w:type="dxa"/>
            <w:vAlign w:val="center"/>
          </w:tcPr>
          <w:p w14:paraId="0DD3BAAF">
            <w:pPr>
              <w:snapToGrid w:val="0"/>
              <w:spacing w:before="50" w:after="120" w:afterLines="50"/>
              <w:jc w:val="center"/>
              <w:rPr>
                <w:rFonts w:ascii="宋体" w:hAnsi="宋体"/>
                <w:color w:val="000000"/>
                <w:szCs w:val="21"/>
                <w:highlight w:val="none"/>
              </w:rPr>
            </w:pPr>
            <w:r>
              <w:rPr>
                <w:rFonts w:hint="eastAsia" w:ascii="宋体" w:hAnsi="宋体"/>
                <w:color w:val="000000"/>
                <w:szCs w:val="21"/>
                <w:highlight w:val="none"/>
              </w:rPr>
              <w:t>劳动合同编号</w:t>
            </w:r>
          </w:p>
        </w:tc>
      </w:tr>
      <w:tr w14:paraId="4356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AC6C5E">
            <w:pPr>
              <w:snapToGrid w:val="0"/>
              <w:spacing w:before="50" w:after="120" w:afterLines="50"/>
              <w:jc w:val="center"/>
              <w:rPr>
                <w:rFonts w:ascii="宋体" w:hAnsi="宋体"/>
                <w:color w:val="000000"/>
                <w:szCs w:val="21"/>
                <w:highlight w:val="none"/>
              </w:rPr>
            </w:pPr>
          </w:p>
        </w:tc>
        <w:tc>
          <w:tcPr>
            <w:tcW w:w="709" w:type="dxa"/>
            <w:vAlign w:val="center"/>
          </w:tcPr>
          <w:p w14:paraId="2BAFBDCF">
            <w:pPr>
              <w:snapToGrid w:val="0"/>
              <w:spacing w:before="50" w:after="120" w:afterLines="50"/>
              <w:jc w:val="center"/>
              <w:rPr>
                <w:rFonts w:ascii="宋体" w:hAnsi="宋体"/>
                <w:color w:val="000000"/>
                <w:szCs w:val="21"/>
                <w:highlight w:val="none"/>
              </w:rPr>
            </w:pPr>
          </w:p>
        </w:tc>
        <w:tc>
          <w:tcPr>
            <w:tcW w:w="1701" w:type="dxa"/>
            <w:vAlign w:val="center"/>
          </w:tcPr>
          <w:p w14:paraId="6FFB63D1">
            <w:pPr>
              <w:snapToGrid w:val="0"/>
              <w:spacing w:before="50" w:after="120" w:afterLines="50"/>
              <w:jc w:val="center"/>
              <w:rPr>
                <w:rFonts w:ascii="宋体" w:hAnsi="宋体"/>
                <w:color w:val="000000"/>
                <w:szCs w:val="21"/>
                <w:highlight w:val="none"/>
              </w:rPr>
            </w:pPr>
          </w:p>
        </w:tc>
        <w:tc>
          <w:tcPr>
            <w:tcW w:w="1420" w:type="dxa"/>
            <w:vAlign w:val="center"/>
          </w:tcPr>
          <w:p w14:paraId="5BDC3DCC">
            <w:pPr>
              <w:snapToGrid w:val="0"/>
              <w:spacing w:before="50" w:after="120" w:afterLines="50"/>
              <w:jc w:val="center"/>
              <w:rPr>
                <w:rFonts w:ascii="宋体" w:hAnsi="宋体"/>
                <w:color w:val="000000"/>
                <w:szCs w:val="21"/>
                <w:highlight w:val="none"/>
              </w:rPr>
            </w:pPr>
          </w:p>
        </w:tc>
        <w:tc>
          <w:tcPr>
            <w:tcW w:w="1698" w:type="dxa"/>
            <w:vAlign w:val="center"/>
          </w:tcPr>
          <w:p w14:paraId="79A36D0D">
            <w:pPr>
              <w:snapToGrid w:val="0"/>
              <w:spacing w:before="50" w:after="120" w:afterLines="50"/>
              <w:jc w:val="center"/>
              <w:rPr>
                <w:rFonts w:ascii="宋体" w:hAnsi="宋体"/>
                <w:color w:val="000000"/>
                <w:szCs w:val="21"/>
                <w:highlight w:val="none"/>
              </w:rPr>
            </w:pPr>
          </w:p>
        </w:tc>
        <w:tc>
          <w:tcPr>
            <w:tcW w:w="1843" w:type="dxa"/>
            <w:vAlign w:val="center"/>
          </w:tcPr>
          <w:p w14:paraId="5C03E191">
            <w:pPr>
              <w:snapToGrid w:val="0"/>
              <w:spacing w:before="50" w:after="120" w:afterLines="50"/>
              <w:jc w:val="center"/>
              <w:rPr>
                <w:rFonts w:ascii="宋体" w:hAnsi="宋体"/>
                <w:color w:val="000000"/>
                <w:szCs w:val="21"/>
                <w:highlight w:val="none"/>
              </w:rPr>
            </w:pPr>
          </w:p>
        </w:tc>
      </w:tr>
      <w:tr w14:paraId="2776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DE8758">
            <w:pPr>
              <w:snapToGrid w:val="0"/>
              <w:spacing w:before="50" w:after="120" w:afterLines="50"/>
              <w:jc w:val="center"/>
              <w:rPr>
                <w:rFonts w:ascii="宋体" w:hAnsi="宋体"/>
                <w:color w:val="000000"/>
                <w:szCs w:val="21"/>
                <w:highlight w:val="none"/>
              </w:rPr>
            </w:pPr>
          </w:p>
        </w:tc>
        <w:tc>
          <w:tcPr>
            <w:tcW w:w="709" w:type="dxa"/>
            <w:vAlign w:val="center"/>
          </w:tcPr>
          <w:p w14:paraId="7D592D93">
            <w:pPr>
              <w:snapToGrid w:val="0"/>
              <w:spacing w:before="50" w:after="120" w:afterLines="50"/>
              <w:jc w:val="center"/>
              <w:rPr>
                <w:rFonts w:ascii="宋体" w:hAnsi="宋体"/>
                <w:color w:val="000000"/>
                <w:szCs w:val="21"/>
                <w:highlight w:val="none"/>
              </w:rPr>
            </w:pPr>
          </w:p>
        </w:tc>
        <w:tc>
          <w:tcPr>
            <w:tcW w:w="1701" w:type="dxa"/>
            <w:vAlign w:val="center"/>
          </w:tcPr>
          <w:p w14:paraId="201BAE58">
            <w:pPr>
              <w:snapToGrid w:val="0"/>
              <w:spacing w:before="50" w:after="120" w:afterLines="50"/>
              <w:jc w:val="center"/>
              <w:rPr>
                <w:rFonts w:ascii="宋体" w:hAnsi="宋体"/>
                <w:color w:val="000000"/>
                <w:szCs w:val="21"/>
                <w:highlight w:val="none"/>
              </w:rPr>
            </w:pPr>
          </w:p>
        </w:tc>
        <w:tc>
          <w:tcPr>
            <w:tcW w:w="1420" w:type="dxa"/>
            <w:vAlign w:val="center"/>
          </w:tcPr>
          <w:p w14:paraId="0D67F291">
            <w:pPr>
              <w:snapToGrid w:val="0"/>
              <w:spacing w:before="50" w:after="120" w:afterLines="50"/>
              <w:jc w:val="center"/>
              <w:rPr>
                <w:rFonts w:ascii="宋体" w:hAnsi="宋体"/>
                <w:color w:val="000000"/>
                <w:szCs w:val="21"/>
                <w:highlight w:val="none"/>
              </w:rPr>
            </w:pPr>
          </w:p>
        </w:tc>
        <w:tc>
          <w:tcPr>
            <w:tcW w:w="1698" w:type="dxa"/>
            <w:vAlign w:val="center"/>
          </w:tcPr>
          <w:p w14:paraId="38717274">
            <w:pPr>
              <w:snapToGrid w:val="0"/>
              <w:spacing w:before="50" w:after="120" w:afterLines="50"/>
              <w:jc w:val="center"/>
              <w:rPr>
                <w:rFonts w:ascii="宋体" w:hAnsi="宋体"/>
                <w:color w:val="000000"/>
                <w:szCs w:val="21"/>
                <w:highlight w:val="none"/>
              </w:rPr>
            </w:pPr>
          </w:p>
        </w:tc>
        <w:tc>
          <w:tcPr>
            <w:tcW w:w="1843" w:type="dxa"/>
            <w:vAlign w:val="center"/>
          </w:tcPr>
          <w:p w14:paraId="0DFF2728">
            <w:pPr>
              <w:snapToGrid w:val="0"/>
              <w:spacing w:before="50" w:after="120" w:afterLines="50"/>
              <w:jc w:val="center"/>
              <w:rPr>
                <w:rFonts w:ascii="宋体" w:hAnsi="宋体"/>
                <w:color w:val="000000"/>
                <w:szCs w:val="21"/>
                <w:highlight w:val="none"/>
              </w:rPr>
            </w:pPr>
          </w:p>
        </w:tc>
      </w:tr>
      <w:tr w14:paraId="5BBA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DA6016">
            <w:pPr>
              <w:snapToGrid w:val="0"/>
              <w:spacing w:before="50" w:after="120" w:afterLines="50"/>
              <w:jc w:val="center"/>
              <w:rPr>
                <w:rFonts w:ascii="宋体" w:hAnsi="宋体"/>
                <w:color w:val="000000"/>
                <w:szCs w:val="21"/>
                <w:highlight w:val="none"/>
              </w:rPr>
            </w:pPr>
          </w:p>
        </w:tc>
        <w:tc>
          <w:tcPr>
            <w:tcW w:w="709" w:type="dxa"/>
            <w:vAlign w:val="center"/>
          </w:tcPr>
          <w:p w14:paraId="692E89F1">
            <w:pPr>
              <w:snapToGrid w:val="0"/>
              <w:spacing w:before="50" w:after="120" w:afterLines="50"/>
              <w:jc w:val="center"/>
              <w:rPr>
                <w:rFonts w:ascii="宋体" w:hAnsi="宋体"/>
                <w:color w:val="000000"/>
                <w:szCs w:val="21"/>
                <w:highlight w:val="none"/>
              </w:rPr>
            </w:pPr>
          </w:p>
        </w:tc>
        <w:tc>
          <w:tcPr>
            <w:tcW w:w="1701" w:type="dxa"/>
            <w:vAlign w:val="center"/>
          </w:tcPr>
          <w:p w14:paraId="00BA9BA2">
            <w:pPr>
              <w:snapToGrid w:val="0"/>
              <w:spacing w:before="50" w:after="120" w:afterLines="50"/>
              <w:jc w:val="center"/>
              <w:rPr>
                <w:rFonts w:ascii="宋体" w:hAnsi="宋体"/>
                <w:color w:val="000000"/>
                <w:szCs w:val="21"/>
                <w:highlight w:val="none"/>
              </w:rPr>
            </w:pPr>
          </w:p>
        </w:tc>
        <w:tc>
          <w:tcPr>
            <w:tcW w:w="1420" w:type="dxa"/>
            <w:vAlign w:val="center"/>
          </w:tcPr>
          <w:p w14:paraId="0AA20DCE">
            <w:pPr>
              <w:snapToGrid w:val="0"/>
              <w:spacing w:before="50" w:after="120" w:afterLines="50"/>
              <w:jc w:val="center"/>
              <w:rPr>
                <w:rFonts w:ascii="宋体" w:hAnsi="宋体"/>
                <w:color w:val="000000"/>
                <w:szCs w:val="21"/>
                <w:highlight w:val="none"/>
              </w:rPr>
            </w:pPr>
          </w:p>
        </w:tc>
        <w:tc>
          <w:tcPr>
            <w:tcW w:w="1698" w:type="dxa"/>
            <w:vAlign w:val="center"/>
          </w:tcPr>
          <w:p w14:paraId="6B7F62BF">
            <w:pPr>
              <w:snapToGrid w:val="0"/>
              <w:spacing w:before="50" w:after="120" w:afterLines="50"/>
              <w:jc w:val="center"/>
              <w:rPr>
                <w:rFonts w:ascii="宋体" w:hAnsi="宋体"/>
                <w:color w:val="000000"/>
                <w:szCs w:val="21"/>
                <w:highlight w:val="none"/>
              </w:rPr>
            </w:pPr>
          </w:p>
        </w:tc>
        <w:tc>
          <w:tcPr>
            <w:tcW w:w="1843" w:type="dxa"/>
            <w:vAlign w:val="center"/>
          </w:tcPr>
          <w:p w14:paraId="6E096E26">
            <w:pPr>
              <w:snapToGrid w:val="0"/>
              <w:spacing w:before="50" w:after="120" w:afterLines="50"/>
              <w:jc w:val="center"/>
              <w:rPr>
                <w:rFonts w:ascii="宋体" w:hAnsi="宋体"/>
                <w:color w:val="000000"/>
                <w:szCs w:val="21"/>
                <w:highlight w:val="none"/>
              </w:rPr>
            </w:pPr>
          </w:p>
        </w:tc>
      </w:tr>
    </w:tbl>
    <w:p w14:paraId="6ECB871A">
      <w:pPr>
        <w:snapToGrid w:val="0"/>
        <w:spacing w:before="50" w:after="120" w:afterLines="50"/>
        <w:jc w:val="left"/>
        <w:rPr>
          <w:rFonts w:ascii="宋体" w:hAnsi="宋体"/>
          <w:color w:val="000000"/>
          <w:szCs w:val="21"/>
          <w:highlight w:val="none"/>
        </w:rPr>
      </w:pPr>
    </w:p>
    <w:p w14:paraId="5C8113B5">
      <w:pPr>
        <w:spacing w:line="360" w:lineRule="auto"/>
        <w:contextualSpacing/>
        <w:jc w:val="left"/>
        <w:rPr>
          <w:rFonts w:ascii="宋体" w:hAnsi="宋体"/>
          <w:color w:val="000000"/>
          <w:szCs w:val="21"/>
          <w:highlight w:val="none"/>
        </w:rPr>
      </w:pPr>
      <w:r>
        <w:rPr>
          <w:rFonts w:hint="eastAsia" w:ascii="宋体" w:hAnsi="宋体"/>
          <w:color w:val="000000"/>
          <w:szCs w:val="21"/>
          <w:highlight w:val="none"/>
        </w:rPr>
        <w:t>注：</w:t>
      </w:r>
    </w:p>
    <w:p w14:paraId="51D493EA">
      <w:pPr>
        <w:spacing w:line="360" w:lineRule="auto"/>
        <w:contextualSpacing/>
        <w:jc w:val="left"/>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在填写时，如本表格不适合投标单位的实际情况，可根据本表格式自行制表填写。</w:t>
      </w:r>
    </w:p>
    <w:p w14:paraId="0C18457A">
      <w:pPr>
        <w:spacing w:line="360" w:lineRule="auto"/>
        <w:contextualSpacing/>
        <w:jc w:val="left"/>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投标人应当附本表所列证书的复印件并加盖投标人公章。</w:t>
      </w:r>
    </w:p>
    <w:p w14:paraId="128C0D48">
      <w:pPr>
        <w:spacing w:line="360" w:lineRule="auto"/>
        <w:contextualSpacing/>
        <w:jc w:val="left"/>
        <w:rPr>
          <w:rFonts w:ascii="宋体" w:hAnsi="宋体"/>
          <w:color w:val="000000"/>
          <w:szCs w:val="21"/>
          <w:highlight w:val="none"/>
        </w:rPr>
      </w:pPr>
    </w:p>
    <w:p w14:paraId="6E12282D">
      <w:pPr>
        <w:spacing w:line="360" w:lineRule="auto"/>
        <w:contextualSpacing/>
        <w:jc w:val="left"/>
        <w:rPr>
          <w:rFonts w:ascii="宋体" w:hAnsi="宋体"/>
          <w:color w:val="000000"/>
          <w:szCs w:val="21"/>
          <w:highlight w:val="none"/>
        </w:rPr>
      </w:pPr>
    </w:p>
    <w:p w14:paraId="42CB1CE5">
      <w:pPr>
        <w:spacing w:line="360" w:lineRule="auto"/>
        <w:contextualSpacing/>
        <w:rPr>
          <w:rFonts w:ascii="宋体" w:hAnsi="宋体"/>
          <w:color w:val="000000"/>
          <w:spacing w:val="20"/>
          <w:szCs w:val="21"/>
          <w:highlight w:val="none"/>
          <w:u w:val="single"/>
        </w:rPr>
      </w:pPr>
      <w:r>
        <w:rPr>
          <w:rFonts w:hint="eastAsia" w:ascii="宋体" w:hAnsi="宋体"/>
          <w:color w:val="000000"/>
          <w:szCs w:val="21"/>
          <w:highlight w:val="none"/>
        </w:rPr>
        <w:t>法定代表人（或负责人）或者委托代理人（签字或电子签名）</w:t>
      </w:r>
      <w:r>
        <w:rPr>
          <w:rFonts w:hint="eastAsia" w:ascii="宋体" w:hAnsi="宋体"/>
          <w:color w:val="000000"/>
          <w:spacing w:val="20"/>
          <w:szCs w:val="21"/>
          <w:highlight w:val="none"/>
        </w:rPr>
        <w:t>：</w:t>
      </w:r>
      <w:r>
        <w:rPr>
          <w:rFonts w:hint="eastAsia" w:ascii="宋体" w:hAnsi="宋体"/>
          <w:color w:val="000000"/>
          <w:spacing w:val="20"/>
          <w:szCs w:val="21"/>
          <w:highlight w:val="none"/>
          <w:u w:val="single"/>
        </w:rPr>
        <w:t xml:space="preserve">        </w:t>
      </w:r>
    </w:p>
    <w:p w14:paraId="2243DDB9">
      <w:pPr>
        <w:spacing w:line="360" w:lineRule="auto"/>
        <w:contextualSpacing/>
        <w:jc w:val="left"/>
        <w:rPr>
          <w:rFonts w:ascii="宋体" w:hAnsi="宋体"/>
          <w:color w:val="000000"/>
          <w:spacing w:val="20"/>
          <w:szCs w:val="21"/>
          <w:highlight w:val="none"/>
        </w:rPr>
      </w:pPr>
      <w:r>
        <w:rPr>
          <w:rFonts w:hint="eastAsia" w:ascii="宋体" w:hAnsi="宋体"/>
          <w:color w:val="000000"/>
          <w:spacing w:val="20"/>
          <w:szCs w:val="21"/>
          <w:highlight w:val="none"/>
        </w:rPr>
        <w:t>投标人名称（电子签章）：</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rPr>
        <w:t xml:space="preserve">              </w:t>
      </w:r>
    </w:p>
    <w:p w14:paraId="20F2D0A4">
      <w:pPr>
        <w:spacing w:line="360" w:lineRule="auto"/>
        <w:contextualSpacing/>
        <w:jc w:val="left"/>
        <w:rPr>
          <w:rFonts w:ascii="宋体" w:hAnsi="宋体"/>
          <w:color w:val="000000"/>
          <w:szCs w:val="21"/>
          <w:highlight w:val="none"/>
        </w:rPr>
      </w:pPr>
      <w:r>
        <w:rPr>
          <w:rFonts w:hint="eastAsia" w:ascii="宋体" w:hAnsi="宋体"/>
          <w:color w:val="000000"/>
          <w:spacing w:val="20"/>
          <w:szCs w:val="21"/>
          <w:highlight w:val="none"/>
        </w:rPr>
        <w:t>日 期：</w:t>
      </w:r>
      <w:r>
        <w:rPr>
          <w:rFonts w:hint="eastAsia" w:ascii="宋体" w:hAnsi="宋体"/>
          <w:color w:val="000000"/>
          <w:spacing w:val="20"/>
          <w:szCs w:val="21"/>
          <w:highlight w:val="none"/>
          <w:u w:val="single"/>
        </w:rPr>
        <w:t xml:space="preserve">         </w:t>
      </w:r>
    </w:p>
    <w:p w14:paraId="64745795">
      <w:pPr>
        <w:snapToGrid w:val="0"/>
        <w:spacing w:before="50" w:after="120" w:afterLines="50"/>
        <w:jc w:val="left"/>
        <w:rPr>
          <w:rFonts w:ascii="宋体" w:hAnsi="宋体"/>
          <w:color w:val="000000"/>
          <w:sz w:val="24"/>
          <w:szCs w:val="20"/>
          <w:highlight w:val="none"/>
        </w:rPr>
      </w:pPr>
    </w:p>
    <w:p w14:paraId="5B8A5D7C">
      <w:pPr>
        <w:snapToGrid w:val="0"/>
        <w:spacing w:before="120" w:beforeLines="50" w:after="50"/>
        <w:ind w:left="142"/>
        <w:jc w:val="left"/>
        <w:rPr>
          <w:rFonts w:ascii="宋体" w:hAnsi="宋体"/>
          <w:b/>
          <w:color w:val="000000"/>
          <w:sz w:val="24"/>
          <w:highlight w:val="none"/>
        </w:rPr>
      </w:pPr>
      <w:r>
        <w:rPr>
          <w:rFonts w:ascii="宋体" w:hAnsi="宋体"/>
          <w:b/>
          <w:color w:val="000000"/>
          <w:sz w:val="24"/>
          <w:highlight w:val="none"/>
        </w:rPr>
        <w:br w:type="page"/>
      </w:r>
      <w:r>
        <w:rPr>
          <w:rFonts w:hint="eastAsia" w:ascii="宋体" w:hAnsi="宋体"/>
          <w:b/>
          <w:color w:val="000000"/>
          <w:sz w:val="24"/>
          <w:highlight w:val="none"/>
        </w:rPr>
        <w:t>6. 选配件、专用耗材、售后服务优惠表格式（注：按项目需求表具体项目修改）</w:t>
      </w:r>
    </w:p>
    <w:p w14:paraId="6702A5C9">
      <w:pPr>
        <w:snapToGrid w:val="0"/>
        <w:spacing w:before="120" w:beforeLines="50" w:after="50"/>
        <w:ind w:left="142"/>
        <w:jc w:val="left"/>
        <w:rPr>
          <w:rFonts w:ascii="宋体" w:hAnsi="宋体"/>
          <w:b/>
          <w:color w:val="000000"/>
          <w:sz w:val="24"/>
          <w:highlight w:val="none"/>
        </w:rPr>
      </w:pPr>
    </w:p>
    <w:p w14:paraId="6E7E90E6">
      <w:pPr>
        <w:snapToGrid w:val="0"/>
        <w:spacing w:before="120" w:beforeLines="50" w:after="50"/>
        <w:ind w:left="142"/>
        <w:jc w:val="center"/>
        <w:rPr>
          <w:rFonts w:ascii="宋体" w:hAnsi="宋体"/>
          <w:b/>
          <w:color w:val="000000"/>
          <w:sz w:val="32"/>
          <w:szCs w:val="32"/>
          <w:highlight w:val="none"/>
        </w:rPr>
      </w:pPr>
      <w:r>
        <w:rPr>
          <w:rFonts w:hint="eastAsia" w:ascii="宋体" w:hAnsi="宋体"/>
          <w:b/>
          <w:color w:val="000000"/>
          <w:sz w:val="32"/>
          <w:szCs w:val="32"/>
          <w:highlight w:val="none"/>
        </w:rPr>
        <w:t>选配件、专用耗材、售后服务优惠表</w:t>
      </w:r>
    </w:p>
    <w:p w14:paraId="236F287A">
      <w:pPr>
        <w:pStyle w:val="26"/>
        <w:rPr>
          <w:color w:val="000000"/>
          <w:sz w:val="21"/>
          <w:highlight w:val="none"/>
        </w:rPr>
      </w:pPr>
      <w:r>
        <w:rPr>
          <w:rFonts w:hint="eastAsia"/>
          <w:color w:val="000000"/>
          <w:sz w:val="21"/>
          <w:highlight w:val="none"/>
        </w:rPr>
        <w:t>所投分标：</w:t>
      </w:r>
      <w:r>
        <w:rPr>
          <w:rFonts w:hint="eastAsia"/>
          <w:color w:val="000000"/>
          <w:sz w:val="21"/>
          <w:highlight w:val="none"/>
          <w:u w:val="single"/>
        </w:rPr>
        <w:t xml:space="preserve">     </w:t>
      </w:r>
      <w:r>
        <w:rPr>
          <w:rFonts w:hint="eastAsia"/>
          <w:color w:val="000000"/>
          <w:sz w:val="21"/>
          <w:highlight w:val="none"/>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4A4A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8BD80D">
            <w:pPr>
              <w:pStyle w:val="26"/>
              <w:snapToGrid w:val="0"/>
              <w:spacing w:before="295" w:after="295"/>
              <w:jc w:val="center"/>
              <w:rPr>
                <w:rFonts w:hAnsi="宋体" w:cs="Courier New"/>
                <w:color w:val="000000"/>
                <w:kern w:val="2"/>
                <w:sz w:val="21"/>
                <w:highlight w:val="none"/>
              </w:rPr>
            </w:pPr>
            <w:r>
              <w:rPr>
                <w:rFonts w:hint="eastAsia" w:hAnsi="宋体" w:cs="Courier New"/>
                <w:color w:val="000000"/>
                <w:kern w:val="2"/>
                <w:sz w:val="21"/>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F3684C1">
            <w:pPr>
              <w:pStyle w:val="26"/>
              <w:snapToGrid w:val="0"/>
              <w:spacing w:before="295" w:after="295"/>
              <w:jc w:val="center"/>
              <w:rPr>
                <w:rFonts w:hAnsi="宋体" w:cs="Courier New"/>
                <w:color w:val="000000"/>
                <w:kern w:val="2"/>
                <w:sz w:val="21"/>
                <w:highlight w:val="none"/>
              </w:rPr>
            </w:pPr>
            <w:r>
              <w:rPr>
                <w:rFonts w:hint="eastAsia" w:hAnsi="宋体" w:cs="Courier New"/>
                <w:color w:val="000000"/>
                <w:kern w:val="2"/>
                <w:sz w:val="21"/>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0B89DFF1">
            <w:pPr>
              <w:pStyle w:val="26"/>
              <w:snapToGrid w:val="0"/>
              <w:spacing w:before="295" w:after="295"/>
              <w:jc w:val="center"/>
              <w:rPr>
                <w:rFonts w:hAnsi="宋体" w:cs="Courier New"/>
                <w:color w:val="000000"/>
                <w:kern w:val="2"/>
                <w:sz w:val="21"/>
                <w:highlight w:val="none"/>
              </w:rPr>
            </w:pPr>
            <w:r>
              <w:rPr>
                <w:rFonts w:hint="eastAsia" w:hAnsi="宋体" w:cs="Courier New"/>
                <w:color w:val="000000"/>
                <w:kern w:val="2"/>
                <w:sz w:val="21"/>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A97893C">
            <w:pPr>
              <w:pStyle w:val="26"/>
              <w:snapToGrid w:val="0"/>
              <w:spacing w:before="295" w:after="295"/>
              <w:jc w:val="center"/>
              <w:rPr>
                <w:rFonts w:hAnsi="宋体" w:cs="Courier New"/>
                <w:color w:val="000000"/>
                <w:kern w:val="2"/>
                <w:sz w:val="21"/>
                <w:highlight w:val="none"/>
              </w:rPr>
            </w:pPr>
            <w:r>
              <w:rPr>
                <w:rFonts w:hint="eastAsia" w:hAnsi="宋体" w:cs="Courier New"/>
                <w:color w:val="000000"/>
                <w:kern w:val="2"/>
                <w:sz w:val="21"/>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3E31BB68">
            <w:pPr>
              <w:pStyle w:val="26"/>
              <w:snapToGrid w:val="0"/>
              <w:spacing w:before="295" w:after="295"/>
              <w:jc w:val="center"/>
              <w:rPr>
                <w:rFonts w:hAnsi="宋体" w:cs="Courier New"/>
                <w:color w:val="000000"/>
                <w:kern w:val="2"/>
                <w:sz w:val="21"/>
                <w:highlight w:val="none"/>
              </w:rPr>
            </w:pPr>
            <w:r>
              <w:rPr>
                <w:rFonts w:hint="eastAsia" w:hAnsi="宋体" w:cs="Courier New"/>
                <w:color w:val="000000"/>
                <w:kern w:val="2"/>
                <w:sz w:val="21"/>
                <w:highlight w:val="none"/>
              </w:rPr>
              <w:t>比市场价优惠率</w:t>
            </w:r>
          </w:p>
        </w:tc>
      </w:tr>
      <w:tr w14:paraId="47A75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804C284">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1CC1F94B">
            <w:pPr>
              <w:pStyle w:val="26"/>
              <w:snapToGrid w:val="0"/>
              <w:spacing w:before="295" w:after="295"/>
              <w:jc w:val="center"/>
              <w:rPr>
                <w:rFonts w:hAnsi="宋体"/>
                <w:color w:val="000000"/>
                <w:kern w:val="2"/>
                <w:sz w:val="21"/>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21096820">
            <w:pPr>
              <w:pStyle w:val="26"/>
              <w:snapToGrid w:val="0"/>
              <w:spacing w:before="295" w:after="295"/>
              <w:jc w:val="center"/>
              <w:rPr>
                <w:rFonts w:hAnsi="宋体"/>
                <w:color w:val="000000"/>
                <w:kern w:val="2"/>
                <w:sz w:val="21"/>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C4FE8BB">
            <w:pPr>
              <w:pStyle w:val="26"/>
              <w:snapToGrid w:val="0"/>
              <w:spacing w:before="295" w:after="295"/>
              <w:jc w:val="center"/>
              <w:rPr>
                <w:rFonts w:hAnsi="宋体"/>
                <w:color w:val="000000"/>
                <w:kern w:val="2"/>
                <w:sz w:val="21"/>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58036FA1">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 xml:space="preserve"> </w:t>
            </w:r>
            <w:r>
              <w:rPr>
                <w:rFonts w:hint="eastAsia" w:hAnsi="宋体"/>
                <w:color w:val="000000"/>
                <w:kern w:val="2"/>
                <w:sz w:val="21"/>
                <w:highlight w:val="none"/>
                <w:u w:val="single"/>
              </w:rPr>
              <w:t xml:space="preserve">           </w:t>
            </w:r>
            <w:r>
              <w:rPr>
                <w:rFonts w:hint="eastAsia" w:hAnsi="宋体"/>
                <w:color w:val="000000"/>
                <w:kern w:val="2"/>
                <w:sz w:val="21"/>
                <w:highlight w:val="none"/>
              </w:rPr>
              <w:t>%</w:t>
            </w:r>
          </w:p>
        </w:tc>
      </w:tr>
      <w:tr w14:paraId="3E3CA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1A7873E">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0C688A66">
            <w:pPr>
              <w:pStyle w:val="26"/>
              <w:snapToGrid w:val="0"/>
              <w:spacing w:before="295" w:after="295"/>
              <w:jc w:val="center"/>
              <w:rPr>
                <w:rFonts w:hAnsi="宋体"/>
                <w:color w:val="000000"/>
                <w:kern w:val="2"/>
                <w:sz w:val="21"/>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1874FD85">
            <w:pPr>
              <w:pStyle w:val="26"/>
              <w:snapToGrid w:val="0"/>
              <w:spacing w:before="295" w:after="295"/>
              <w:jc w:val="center"/>
              <w:rPr>
                <w:rFonts w:hAnsi="宋体"/>
                <w:color w:val="000000"/>
                <w:kern w:val="2"/>
                <w:sz w:val="21"/>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67AE5C0">
            <w:pPr>
              <w:pStyle w:val="26"/>
              <w:snapToGrid w:val="0"/>
              <w:spacing w:before="295" w:after="295"/>
              <w:jc w:val="center"/>
              <w:rPr>
                <w:rFonts w:hAnsi="宋体"/>
                <w:color w:val="000000"/>
                <w:kern w:val="2"/>
                <w:sz w:val="21"/>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4E2C91A">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 xml:space="preserve"> </w:t>
            </w:r>
            <w:r>
              <w:rPr>
                <w:rFonts w:hint="eastAsia" w:hAnsi="宋体"/>
                <w:color w:val="000000"/>
                <w:kern w:val="2"/>
                <w:sz w:val="21"/>
                <w:highlight w:val="none"/>
                <w:u w:val="single"/>
              </w:rPr>
              <w:t xml:space="preserve">           </w:t>
            </w:r>
            <w:r>
              <w:rPr>
                <w:rFonts w:hint="eastAsia" w:hAnsi="宋体"/>
                <w:color w:val="000000"/>
                <w:kern w:val="2"/>
                <w:sz w:val="21"/>
                <w:highlight w:val="none"/>
              </w:rPr>
              <w:t>%</w:t>
            </w:r>
          </w:p>
        </w:tc>
      </w:tr>
      <w:tr w14:paraId="1A69B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04EB1E">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05F75584">
            <w:pPr>
              <w:pStyle w:val="26"/>
              <w:snapToGrid w:val="0"/>
              <w:spacing w:before="295" w:after="295"/>
              <w:jc w:val="center"/>
              <w:rPr>
                <w:rFonts w:hAnsi="宋体"/>
                <w:color w:val="000000"/>
                <w:kern w:val="2"/>
                <w:sz w:val="21"/>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6A0F4F34">
            <w:pPr>
              <w:pStyle w:val="26"/>
              <w:snapToGrid w:val="0"/>
              <w:spacing w:before="295" w:after="295"/>
              <w:jc w:val="center"/>
              <w:rPr>
                <w:rFonts w:hAnsi="宋体"/>
                <w:color w:val="000000"/>
                <w:kern w:val="2"/>
                <w:sz w:val="21"/>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D94BEE2">
            <w:pPr>
              <w:pStyle w:val="26"/>
              <w:snapToGrid w:val="0"/>
              <w:spacing w:before="295" w:after="295"/>
              <w:jc w:val="center"/>
              <w:rPr>
                <w:rFonts w:hAnsi="宋体"/>
                <w:color w:val="000000"/>
                <w:kern w:val="2"/>
                <w:sz w:val="21"/>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191CABB">
            <w:pPr>
              <w:pStyle w:val="26"/>
              <w:snapToGrid w:val="0"/>
              <w:spacing w:before="295" w:after="295"/>
              <w:jc w:val="center"/>
              <w:rPr>
                <w:rFonts w:hAnsi="宋体"/>
                <w:color w:val="000000"/>
                <w:kern w:val="2"/>
                <w:sz w:val="21"/>
                <w:highlight w:val="none"/>
              </w:rPr>
            </w:pPr>
            <w:r>
              <w:rPr>
                <w:rFonts w:hint="eastAsia" w:hAnsi="宋体"/>
                <w:color w:val="000000"/>
                <w:kern w:val="2"/>
                <w:sz w:val="21"/>
                <w:highlight w:val="none"/>
              </w:rPr>
              <w:t xml:space="preserve"> </w:t>
            </w:r>
            <w:r>
              <w:rPr>
                <w:rFonts w:hint="eastAsia" w:hAnsi="宋体"/>
                <w:color w:val="000000"/>
                <w:kern w:val="2"/>
                <w:sz w:val="21"/>
                <w:highlight w:val="none"/>
                <w:u w:val="single"/>
              </w:rPr>
              <w:t xml:space="preserve">           </w:t>
            </w:r>
            <w:r>
              <w:rPr>
                <w:rFonts w:hint="eastAsia" w:hAnsi="宋体"/>
                <w:color w:val="000000"/>
                <w:kern w:val="2"/>
                <w:sz w:val="21"/>
                <w:highlight w:val="none"/>
              </w:rPr>
              <w:t>%</w:t>
            </w:r>
          </w:p>
        </w:tc>
      </w:tr>
    </w:tbl>
    <w:p w14:paraId="5E8BDA52">
      <w:pPr>
        <w:spacing w:line="360" w:lineRule="auto"/>
        <w:contextualSpacing/>
        <w:rPr>
          <w:rFonts w:ascii="宋体" w:hAnsi="宋体"/>
          <w:color w:val="000000"/>
          <w:szCs w:val="21"/>
          <w:highlight w:val="none"/>
        </w:rPr>
      </w:pPr>
    </w:p>
    <w:p w14:paraId="0BEE96E7">
      <w:pPr>
        <w:spacing w:line="360" w:lineRule="auto"/>
        <w:contextualSpacing/>
        <w:rPr>
          <w:rFonts w:ascii="宋体" w:hAnsi="宋体"/>
          <w:color w:val="000000"/>
          <w:spacing w:val="20"/>
          <w:szCs w:val="21"/>
          <w:highlight w:val="none"/>
          <w:u w:val="single"/>
        </w:rPr>
      </w:pPr>
      <w:r>
        <w:rPr>
          <w:rFonts w:hint="eastAsia" w:ascii="宋体" w:hAnsi="宋体"/>
          <w:color w:val="000000"/>
          <w:szCs w:val="21"/>
          <w:highlight w:val="none"/>
        </w:rPr>
        <w:t>法定代表人（或负责人）或者委托代理人（签字或电子签名）</w:t>
      </w:r>
      <w:r>
        <w:rPr>
          <w:rFonts w:hint="eastAsia" w:ascii="宋体" w:hAnsi="宋体"/>
          <w:color w:val="000000"/>
          <w:spacing w:val="20"/>
          <w:szCs w:val="21"/>
          <w:highlight w:val="none"/>
        </w:rPr>
        <w:t>：</w:t>
      </w:r>
      <w:r>
        <w:rPr>
          <w:rFonts w:hint="eastAsia" w:ascii="宋体" w:hAnsi="宋体"/>
          <w:color w:val="000000"/>
          <w:spacing w:val="20"/>
          <w:szCs w:val="21"/>
          <w:highlight w:val="none"/>
          <w:u w:val="single"/>
        </w:rPr>
        <w:t xml:space="preserve">        </w:t>
      </w:r>
    </w:p>
    <w:p w14:paraId="3C6C9F42">
      <w:pPr>
        <w:spacing w:line="360" w:lineRule="auto"/>
        <w:contextualSpacing/>
        <w:jc w:val="left"/>
        <w:rPr>
          <w:rFonts w:ascii="宋体" w:hAnsi="宋体"/>
          <w:color w:val="000000"/>
          <w:spacing w:val="20"/>
          <w:szCs w:val="21"/>
          <w:highlight w:val="none"/>
        </w:rPr>
      </w:pPr>
      <w:r>
        <w:rPr>
          <w:rFonts w:hint="eastAsia" w:ascii="宋体" w:hAnsi="宋体"/>
          <w:color w:val="000000"/>
          <w:spacing w:val="20"/>
          <w:szCs w:val="21"/>
          <w:highlight w:val="none"/>
        </w:rPr>
        <w:t>投标人名称（电子签章）：</w:t>
      </w:r>
      <w:r>
        <w:rPr>
          <w:rFonts w:hint="eastAsia" w:ascii="宋体" w:hAnsi="宋体"/>
          <w:color w:val="000000"/>
          <w:spacing w:val="20"/>
          <w:szCs w:val="21"/>
          <w:highlight w:val="none"/>
          <w:u w:val="single"/>
        </w:rPr>
        <w:t xml:space="preserve">            </w:t>
      </w:r>
      <w:r>
        <w:rPr>
          <w:rFonts w:hint="eastAsia" w:ascii="宋体" w:hAnsi="宋体"/>
          <w:color w:val="000000"/>
          <w:spacing w:val="20"/>
          <w:szCs w:val="21"/>
          <w:highlight w:val="none"/>
        </w:rPr>
        <w:t xml:space="preserve">              </w:t>
      </w:r>
    </w:p>
    <w:p w14:paraId="3295CE43">
      <w:pPr>
        <w:spacing w:line="360" w:lineRule="auto"/>
        <w:contextualSpacing/>
        <w:jc w:val="left"/>
        <w:rPr>
          <w:rFonts w:ascii="宋体" w:hAnsi="宋体"/>
          <w:color w:val="000000"/>
          <w:szCs w:val="21"/>
          <w:highlight w:val="none"/>
        </w:rPr>
      </w:pPr>
      <w:r>
        <w:rPr>
          <w:rFonts w:hint="eastAsia" w:ascii="宋体" w:hAnsi="宋体"/>
          <w:color w:val="000000"/>
          <w:spacing w:val="20"/>
          <w:szCs w:val="21"/>
          <w:highlight w:val="none"/>
        </w:rPr>
        <w:t>日 期：</w:t>
      </w:r>
      <w:r>
        <w:rPr>
          <w:rFonts w:hint="eastAsia" w:ascii="宋体" w:hAnsi="宋体"/>
          <w:color w:val="000000"/>
          <w:spacing w:val="20"/>
          <w:szCs w:val="21"/>
          <w:highlight w:val="none"/>
          <w:u w:val="single"/>
        </w:rPr>
        <w:t xml:space="preserve">            </w:t>
      </w:r>
    </w:p>
    <w:p w14:paraId="6BB6B68E">
      <w:pPr>
        <w:snapToGrid w:val="0"/>
        <w:spacing w:before="50" w:after="120" w:afterLines="50"/>
        <w:jc w:val="left"/>
        <w:rPr>
          <w:rFonts w:ascii="宋体" w:hAnsi="宋体"/>
          <w:color w:val="000000"/>
          <w:sz w:val="24"/>
          <w:szCs w:val="20"/>
          <w:highlight w:val="none"/>
        </w:rPr>
      </w:pPr>
    </w:p>
    <w:p w14:paraId="26BE96C6">
      <w:pPr>
        <w:rPr>
          <w:b/>
          <w:color w:val="000000"/>
          <w:sz w:val="28"/>
          <w:szCs w:val="28"/>
          <w:highlight w:val="none"/>
        </w:rPr>
      </w:pPr>
      <w:r>
        <w:rPr>
          <w:rFonts w:ascii="宋体" w:hAnsi="宋体"/>
          <w:b/>
          <w:bCs/>
          <w:color w:val="000000"/>
          <w:sz w:val="24"/>
          <w:highlight w:val="none"/>
        </w:rPr>
        <w:br w:type="page"/>
      </w:r>
      <w:r>
        <w:rPr>
          <w:rFonts w:hint="eastAsia"/>
          <w:b/>
          <w:color w:val="000000"/>
          <w:sz w:val="28"/>
          <w:szCs w:val="28"/>
          <w:highlight w:val="none"/>
        </w:rPr>
        <w:t>五、其他文书、文件格式</w:t>
      </w:r>
    </w:p>
    <w:p w14:paraId="0D0B6064">
      <w:pPr>
        <w:snapToGrid w:val="0"/>
        <w:spacing w:before="120" w:beforeLines="50" w:after="50"/>
        <w:jc w:val="left"/>
        <w:rPr>
          <w:color w:val="000000"/>
          <w:highlight w:val="none"/>
        </w:rPr>
      </w:pPr>
      <w:r>
        <w:rPr>
          <w:rFonts w:hint="eastAsia" w:ascii="宋体" w:hAnsi="宋体"/>
          <w:b/>
          <w:color w:val="000000"/>
          <w:sz w:val="24"/>
          <w:highlight w:val="none"/>
        </w:rPr>
        <w:t>1.中小企业声明函格式</w:t>
      </w:r>
    </w:p>
    <w:p w14:paraId="274AFD7F">
      <w:pPr>
        <w:rPr>
          <w:color w:val="000000"/>
          <w:highlight w:val="none"/>
        </w:rPr>
      </w:pPr>
    </w:p>
    <w:p w14:paraId="660A7DC8">
      <w:pPr>
        <w:jc w:val="center"/>
        <w:rPr>
          <w:rFonts w:ascii="仿宋" w:hAnsi="仿宋" w:eastAsia="仿宋" w:cs="仿宋"/>
          <w:color w:val="000000"/>
          <w:sz w:val="44"/>
          <w:szCs w:val="44"/>
          <w:highlight w:val="none"/>
        </w:rPr>
      </w:pPr>
      <w:r>
        <w:rPr>
          <w:rFonts w:hint="eastAsia" w:ascii="仿宋" w:hAnsi="仿宋" w:eastAsia="仿宋" w:cs="仿宋"/>
          <w:color w:val="000000"/>
          <w:sz w:val="44"/>
          <w:szCs w:val="44"/>
          <w:highlight w:val="none"/>
        </w:rPr>
        <w:t>中小企业声明函（货物）</w:t>
      </w:r>
    </w:p>
    <w:p w14:paraId="7B317863">
      <w:pPr>
        <w:spacing w:before="2" w:line="500" w:lineRule="exact"/>
        <w:rPr>
          <w:rFonts w:ascii="宋体" w:hAnsi="宋体" w:cs="宋体"/>
          <w:b/>
          <w:bCs/>
          <w:color w:val="000000"/>
          <w:sz w:val="27"/>
          <w:szCs w:val="27"/>
          <w:highlight w:val="none"/>
        </w:rPr>
      </w:pPr>
    </w:p>
    <w:p w14:paraId="37D1DFBC">
      <w:pPr>
        <w:pStyle w:val="19"/>
        <w:spacing w:line="360" w:lineRule="auto"/>
        <w:ind w:left="-426" w:leftChars="-203" w:right="142" w:firstLine="420" w:firstLineChars="200"/>
        <w:contextualSpacing/>
        <w:rPr>
          <w:rFonts w:ascii="宋体" w:hAnsi="宋体"/>
          <w:color w:val="000000"/>
          <w:kern w:val="24"/>
          <w:sz w:val="21"/>
          <w:szCs w:val="21"/>
          <w:highlight w:val="none"/>
        </w:rPr>
      </w:pPr>
      <w:r>
        <w:rPr>
          <w:rFonts w:ascii="宋体" w:hAnsi="宋体"/>
          <w:color w:val="000000"/>
          <w:kern w:val="24"/>
          <w:sz w:val="21"/>
          <w:szCs w:val="21"/>
          <w:highlight w:val="none"/>
        </w:rPr>
        <w:t>本公司（联合体）郑重声明，根据《政府采购促进中小企业发展管理办法》（财库﹝2020﹞46号）的规定，本公司（联合体）参加</w:t>
      </w:r>
      <w:r>
        <w:rPr>
          <w:rFonts w:ascii="宋体" w:hAnsi="宋体"/>
          <w:color w:val="000000"/>
          <w:kern w:val="24"/>
          <w:sz w:val="21"/>
          <w:szCs w:val="21"/>
          <w:highlight w:val="none"/>
          <w:u w:val="single"/>
        </w:rPr>
        <w:t>（单位名称）</w:t>
      </w:r>
      <w:r>
        <w:rPr>
          <w:rFonts w:ascii="宋体" w:hAnsi="宋体"/>
          <w:color w:val="000000"/>
          <w:kern w:val="24"/>
          <w:sz w:val="21"/>
          <w:szCs w:val="21"/>
          <w:highlight w:val="none"/>
        </w:rPr>
        <w:t>的</w:t>
      </w:r>
      <w:r>
        <w:rPr>
          <w:rFonts w:ascii="宋体" w:hAnsi="宋体"/>
          <w:color w:val="000000"/>
          <w:kern w:val="24"/>
          <w:sz w:val="21"/>
          <w:szCs w:val="21"/>
          <w:highlight w:val="none"/>
          <w:u w:val="single"/>
        </w:rPr>
        <w:t>（项目名称）</w:t>
      </w:r>
      <w:r>
        <w:rPr>
          <w:rFonts w:ascii="宋体" w:hAnsi="宋体"/>
          <w:color w:val="000000"/>
          <w:kern w:val="24"/>
          <w:sz w:val="21"/>
          <w:szCs w:val="21"/>
          <w:highlight w:val="none"/>
        </w:rPr>
        <w:t>采购活动，提供的货物全部由符合政策要求的中小企业制造。相关企业（含联合体中的中小企业、签订分包意向协议的中小企业）的具体情况如下：</w:t>
      </w:r>
    </w:p>
    <w:p w14:paraId="1318F74B">
      <w:pPr>
        <w:tabs>
          <w:tab w:val="left" w:pos="1384"/>
          <w:tab w:val="left" w:pos="4562"/>
          <w:tab w:val="left" w:pos="6803"/>
        </w:tabs>
        <w:spacing w:line="360" w:lineRule="auto"/>
        <w:ind w:left="-426" w:right="-58" w:firstLine="655"/>
        <w:contextualSpacing/>
        <w:rPr>
          <w:rFonts w:ascii="宋体" w:hAnsi="宋体"/>
          <w:color w:val="000000"/>
          <w:kern w:val="24"/>
          <w:szCs w:val="21"/>
          <w:highlight w:val="none"/>
        </w:rPr>
      </w:pPr>
      <w:r>
        <w:rPr>
          <w:rFonts w:ascii="宋体" w:hAnsi="宋体"/>
          <w:color w:val="000000"/>
          <w:kern w:val="24"/>
          <w:szCs w:val="21"/>
          <w:highlight w:val="none"/>
        </w:rPr>
        <w:t>1.</w:t>
      </w:r>
      <w:r>
        <w:rPr>
          <w:rFonts w:ascii="宋体" w:hAnsi="宋体"/>
          <w:color w:val="000000"/>
          <w:kern w:val="24"/>
          <w:szCs w:val="21"/>
          <w:highlight w:val="none"/>
          <w:u w:val="single"/>
        </w:rPr>
        <w:t>（标的名称）</w:t>
      </w:r>
      <w:r>
        <w:rPr>
          <w:rFonts w:ascii="宋体" w:hAnsi="宋体"/>
          <w:color w:val="000000"/>
          <w:kern w:val="24"/>
          <w:szCs w:val="21"/>
          <w:highlight w:val="none"/>
        </w:rPr>
        <w:t>，属于</w:t>
      </w:r>
      <w:r>
        <w:rPr>
          <w:rFonts w:ascii="宋体" w:hAnsi="宋体"/>
          <w:color w:val="000000"/>
          <w:kern w:val="24"/>
          <w:szCs w:val="21"/>
          <w:highlight w:val="none"/>
          <w:u w:val="single"/>
        </w:rPr>
        <w:t>（采购文件中明确的所属行业）</w:t>
      </w:r>
      <w:r>
        <w:rPr>
          <w:rFonts w:ascii="宋体" w:hAnsi="宋体"/>
          <w:color w:val="000000"/>
          <w:kern w:val="24"/>
          <w:szCs w:val="21"/>
          <w:highlight w:val="none"/>
        </w:rPr>
        <w:t>行业；制造商为</w:t>
      </w:r>
      <w:r>
        <w:rPr>
          <w:rFonts w:ascii="宋体" w:hAnsi="宋体"/>
          <w:color w:val="000000"/>
          <w:kern w:val="24"/>
          <w:szCs w:val="21"/>
          <w:highlight w:val="none"/>
          <w:u w:val="single"/>
        </w:rPr>
        <w:t>（企业名称）</w:t>
      </w:r>
      <w:r>
        <w:rPr>
          <w:rFonts w:ascii="宋体" w:hAnsi="宋体"/>
          <w:color w:val="000000"/>
          <w:kern w:val="24"/>
          <w:szCs w:val="21"/>
          <w:highlight w:val="none"/>
        </w:rPr>
        <w:t>，从业人员</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人，营业收入为</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万元，资产总额为</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万元，属于</w:t>
      </w:r>
      <w:r>
        <w:rPr>
          <w:rFonts w:ascii="宋体" w:hAnsi="宋体"/>
          <w:color w:val="000000"/>
          <w:kern w:val="24"/>
          <w:szCs w:val="21"/>
          <w:highlight w:val="none"/>
          <w:u w:val="single"/>
        </w:rPr>
        <w:t>（中型企业、小型企业、微型企业）</w:t>
      </w:r>
      <w:r>
        <w:rPr>
          <w:rFonts w:ascii="宋体" w:hAnsi="宋体"/>
          <w:color w:val="000000"/>
          <w:kern w:val="24"/>
          <w:szCs w:val="21"/>
          <w:highlight w:val="none"/>
        </w:rPr>
        <w:t>；</w:t>
      </w:r>
    </w:p>
    <w:p w14:paraId="59D68944">
      <w:pPr>
        <w:tabs>
          <w:tab w:val="left" w:pos="1065"/>
          <w:tab w:val="left" w:pos="6477"/>
        </w:tabs>
        <w:spacing w:line="360" w:lineRule="auto"/>
        <w:ind w:left="-426" w:right="-58" w:firstLine="655"/>
        <w:contextualSpacing/>
        <w:rPr>
          <w:rFonts w:ascii="宋体" w:hAnsi="宋体"/>
          <w:color w:val="000000"/>
          <w:kern w:val="24"/>
          <w:szCs w:val="21"/>
          <w:highlight w:val="none"/>
        </w:rPr>
      </w:pPr>
      <w:r>
        <w:rPr>
          <w:rFonts w:ascii="宋体" w:hAnsi="宋体"/>
          <w:color w:val="000000"/>
          <w:kern w:val="24"/>
          <w:szCs w:val="21"/>
          <w:highlight w:val="none"/>
        </w:rPr>
        <w:t>2.</w:t>
      </w:r>
      <w:r>
        <w:rPr>
          <w:rFonts w:ascii="宋体" w:hAnsi="宋体"/>
          <w:color w:val="000000"/>
          <w:kern w:val="24"/>
          <w:szCs w:val="21"/>
          <w:highlight w:val="none"/>
          <w:u w:val="single"/>
        </w:rPr>
        <w:t>（标的名称）</w:t>
      </w:r>
      <w:r>
        <w:rPr>
          <w:rFonts w:ascii="宋体" w:hAnsi="宋体"/>
          <w:color w:val="000000"/>
          <w:kern w:val="24"/>
          <w:szCs w:val="21"/>
          <w:highlight w:val="none"/>
        </w:rPr>
        <w:t>，属于</w:t>
      </w:r>
      <w:r>
        <w:rPr>
          <w:rFonts w:ascii="宋体" w:hAnsi="宋体"/>
          <w:color w:val="000000"/>
          <w:kern w:val="24"/>
          <w:szCs w:val="21"/>
          <w:highlight w:val="none"/>
          <w:u w:val="single"/>
        </w:rPr>
        <w:t>（采购文件中明确的所属行业）</w:t>
      </w:r>
      <w:r>
        <w:rPr>
          <w:rFonts w:ascii="宋体" w:hAnsi="宋体"/>
          <w:color w:val="000000"/>
          <w:kern w:val="24"/>
          <w:szCs w:val="21"/>
          <w:highlight w:val="none"/>
        </w:rPr>
        <w:t>行业；制造商为</w:t>
      </w:r>
      <w:r>
        <w:rPr>
          <w:rFonts w:ascii="宋体" w:hAnsi="宋体"/>
          <w:color w:val="000000"/>
          <w:kern w:val="24"/>
          <w:szCs w:val="21"/>
          <w:highlight w:val="none"/>
          <w:u w:val="single"/>
        </w:rPr>
        <w:t>（企业名称）</w:t>
      </w:r>
      <w:r>
        <w:rPr>
          <w:rFonts w:ascii="宋体" w:hAnsi="宋体"/>
          <w:color w:val="000000"/>
          <w:kern w:val="24"/>
          <w:szCs w:val="21"/>
          <w:highlight w:val="none"/>
        </w:rPr>
        <w:t>，从业人员</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人，营业收入为</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万元，资产总额为</w:t>
      </w:r>
      <w:r>
        <w:rPr>
          <w:rFonts w:hint="eastAsia" w:ascii="宋体" w:hAnsi="宋体"/>
          <w:color w:val="000000"/>
          <w:kern w:val="24"/>
          <w:szCs w:val="21"/>
          <w:highlight w:val="none"/>
          <w:u w:val="single"/>
        </w:rPr>
        <w:t xml:space="preserve"> </w:t>
      </w:r>
      <w:r>
        <w:rPr>
          <w:rFonts w:ascii="宋体" w:hAnsi="宋体"/>
          <w:color w:val="000000"/>
          <w:kern w:val="24"/>
          <w:szCs w:val="21"/>
          <w:highlight w:val="none"/>
          <w:u w:val="single"/>
        </w:rPr>
        <w:t xml:space="preserve">     </w:t>
      </w:r>
      <w:r>
        <w:rPr>
          <w:rFonts w:ascii="宋体" w:hAnsi="宋体"/>
          <w:color w:val="000000"/>
          <w:kern w:val="24"/>
          <w:szCs w:val="21"/>
          <w:highlight w:val="none"/>
        </w:rPr>
        <w:t>万元，属于</w:t>
      </w:r>
      <w:r>
        <w:rPr>
          <w:rFonts w:ascii="宋体" w:hAnsi="宋体"/>
          <w:color w:val="000000"/>
          <w:kern w:val="24"/>
          <w:szCs w:val="21"/>
          <w:highlight w:val="none"/>
          <w:u w:val="single"/>
        </w:rPr>
        <w:t>（中型企业、小型企业、微型企业）</w:t>
      </w:r>
      <w:r>
        <w:rPr>
          <w:rFonts w:ascii="宋体" w:hAnsi="宋体"/>
          <w:color w:val="000000"/>
          <w:kern w:val="24"/>
          <w:szCs w:val="21"/>
          <w:highlight w:val="none"/>
        </w:rPr>
        <w:t>；</w:t>
      </w:r>
    </w:p>
    <w:p w14:paraId="3C93BE05">
      <w:pPr>
        <w:pStyle w:val="19"/>
        <w:spacing w:line="360" w:lineRule="auto"/>
        <w:ind w:left="142" w:right="142"/>
        <w:contextualSpacing/>
        <w:rPr>
          <w:rFonts w:ascii="宋体" w:hAnsi="宋体"/>
          <w:color w:val="000000"/>
          <w:kern w:val="24"/>
          <w:sz w:val="21"/>
          <w:szCs w:val="21"/>
          <w:highlight w:val="none"/>
        </w:rPr>
      </w:pPr>
      <w:r>
        <w:rPr>
          <w:rFonts w:ascii="宋体" w:hAnsi="宋体"/>
          <w:color w:val="000000"/>
          <w:kern w:val="24"/>
          <w:sz w:val="21"/>
          <w:szCs w:val="21"/>
          <w:highlight w:val="none"/>
        </w:rPr>
        <w:t xml:space="preserve">…… </w:t>
      </w:r>
    </w:p>
    <w:p w14:paraId="4652F5E3">
      <w:pPr>
        <w:pStyle w:val="19"/>
        <w:spacing w:line="360" w:lineRule="auto"/>
        <w:ind w:left="-405" w:leftChars="-193" w:right="142" w:firstLine="396" w:firstLineChars="189"/>
        <w:contextualSpacing/>
        <w:rPr>
          <w:rFonts w:ascii="宋体" w:hAnsi="宋体"/>
          <w:color w:val="000000"/>
          <w:kern w:val="24"/>
          <w:sz w:val="21"/>
          <w:szCs w:val="21"/>
          <w:highlight w:val="none"/>
        </w:rPr>
      </w:pPr>
      <w:r>
        <w:rPr>
          <w:rFonts w:ascii="宋体" w:hAnsi="宋体"/>
          <w:color w:val="000000"/>
          <w:kern w:val="24"/>
          <w:sz w:val="21"/>
          <w:szCs w:val="21"/>
          <w:highlight w:val="none"/>
        </w:rPr>
        <w:t>以上企业，不属于大企业的分支机构，不存在控股股东为大企业的情形，也不存在与大企业的负责人为同一人的情形。</w:t>
      </w:r>
    </w:p>
    <w:p w14:paraId="19A1B7B2">
      <w:pPr>
        <w:pStyle w:val="19"/>
        <w:spacing w:line="360" w:lineRule="auto"/>
        <w:ind w:left="-426" w:right="142" w:firstLine="567"/>
        <w:contextualSpacing/>
        <w:rPr>
          <w:rFonts w:ascii="宋体" w:hAnsi="宋体"/>
          <w:color w:val="000000"/>
          <w:kern w:val="24"/>
          <w:sz w:val="21"/>
          <w:szCs w:val="21"/>
          <w:highlight w:val="none"/>
        </w:rPr>
      </w:pPr>
      <w:r>
        <w:rPr>
          <w:rFonts w:ascii="宋体" w:hAnsi="宋体"/>
          <w:color w:val="000000"/>
          <w:kern w:val="24"/>
          <w:sz w:val="21"/>
          <w:szCs w:val="21"/>
          <w:highlight w:val="none"/>
        </w:rPr>
        <w:t>本企业对上述声明内容的真实性负责。如有虚假，将依法承担相应责任。</w:t>
      </w:r>
    </w:p>
    <w:p w14:paraId="419ED93C">
      <w:pPr>
        <w:pStyle w:val="19"/>
        <w:spacing w:line="360" w:lineRule="auto"/>
        <w:ind w:left="3960" w:right="1808"/>
        <w:contextualSpacing/>
        <w:rPr>
          <w:rFonts w:ascii="宋体" w:hAnsi="宋体"/>
          <w:color w:val="000000"/>
          <w:kern w:val="24"/>
          <w:sz w:val="21"/>
          <w:szCs w:val="21"/>
          <w:highlight w:val="none"/>
        </w:rPr>
      </w:pPr>
    </w:p>
    <w:p w14:paraId="3AC5F70E">
      <w:pPr>
        <w:pStyle w:val="19"/>
        <w:spacing w:line="360" w:lineRule="auto"/>
        <w:ind w:left="3960" w:right="1808"/>
        <w:contextualSpacing/>
        <w:rPr>
          <w:rFonts w:ascii="宋体" w:hAnsi="宋体"/>
          <w:color w:val="000000"/>
          <w:kern w:val="24"/>
          <w:sz w:val="21"/>
          <w:szCs w:val="21"/>
          <w:highlight w:val="none"/>
        </w:rPr>
      </w:pPr>
      <w:r>
        <w:rPr>
          <w:rFonts w:ascii="宋体" w:hAnsi="宋体"/>
          <w:color w:val="000000"/>
          <w:kern w:val="24"/>
          <w:sz w:val="21"/>
          <w:szCs w:val="21"/>
          <w:highlight w:val="none"/>
        </w:rPr>
        <w:t>企业名称（</w:t>
      </w:r>
      <w:r>
        <w:rPr>
          <w:rFonts w:hint="eastAsia" w:ascii="宋体" w:hAnsi="宋体"/>
          <w:color w:val="000000"/>
          <w:kern w:val="24"/>
          <w:sz w:val="21"/>
          <w:szCs w:val="21"/>
          <w:highlight w:val="none"/>
        </w:rPr>
        <w:t>电子签章</w:t>
      </w:r>
      <w:r>
        <w:rPr>
          <w:rFonts w:ascii="宋体" w:hAnsi="宋体"/>
          <w:color w:val="000000"/>
          <w:kern w:val="24"/>
          <w:sz w:val="21"/>
          <w:szCs w:val="21"/>
          <w:highlight w:val="none"/>
        </w:rPr>
        <w:t xml:space="preserve">）： </w:t>
      </w:r>
    </w:p>
    <w:p w14:paraId="5012A497">
      <w:pPr>
        <w:pStyle w:val="19"/>
        <w:spacing w:line="360" w:lineRule="auto"/>
        <w:ind w:left="3960" w:right="1808"/>
        <w:contextualSpacing/>
        <w:rPr>
          <w:rFonts w:ascii="宋体" w:hAnsi="宋体"/>
          <w:color w:val="000000"/>
          <w:kern w:val="24"/>
          <w:sz w:val="21"/>
          <w:szCs w:val="21"/>
          <w:highlight w:val="none"/>
        </w:rPr>
      </w:pPr>
      <w:r>
        <w:rPr>
          <w:rFonts w:ascii="宋体" w:hAnsi="宋体"/>
          <w:color w:val="000000"/>
          <w:kern w:val="24"/>
          <w:sz w:val="21"/>
          <w:szCs w:val="21"/>
          <w:highlight w:val="none"/>
        </w:rPr>
        <w:t>日</w:t>
      </w:r>
      <w:r>
        <w:rPr>
          <w:rFonts w:hint="eastAsia" w:ascii="宋体" w:hAnsi="宋体"/>
          <w:color w:val="000000"/>
          <w:kern w:val="24"/>
          <w:sz w:val="21"/>
          <w:szCs w:val="21"/>
          <w:highlight w:val="none"/>
        </w:rPr>
        <w:t xml:space="preserve"> </w:t>
      </w:r>
      <w:r>
        <w:rPr>
          <w:rFonts w:ascii="宋体" w:hAnsi="宋体"/>
          <w:color w:val="000000"/>
          <w:kern w:val="24"/>
          <w:sz w:val="21"/>
          <w:szCs w:val="21"/>
          <w:highlight w:val="none"/>
        </w:rPr>
        <w:t>期：</w:t>
      </w:r>
    </w:p>
    <w:p w14:paraId="1E62CE36">
      <w:pPr>
        <w:pStyle w:val="19"/>
        <w:spacing w:line="360" w:lineRule="auto"/>
        <w:ind w:left="3960" w:right="1808"/>
        <w:contextualSpacing/>
        <w:rPr>
          <w:rFonts w:ascii="宋体" w:hAnsi="宋体"/>
          <w:color w:val="000000"/>
          <w:kern w:val="24"/>
          <w:sz w:val="21"/>
          <w:szCs w:val="21"/>
          <w:highlight w:val="none"/>
        </w:rPr>
      </w:pPr>
    </w:p>
    <w:p w14:paraId="6A1860A9">
      <w:pPr>
        <w:pStyle w:val="19"/>
        <w:spacing w:line="360" w:lineRule="auto"/>
        <w:ind w:left="3960" w:right="1808"/>
        <w:contextualSpacing/>
        <w:rPr>
          <w:rFonts w:ascii="宋体" w:hAnsi="宋体"/>
          <w:color w:val="000000"/>
          <w:kern w:val="24"/>
          <w:sz w:val="21"/>
          <w:szCs w:val="21"/>
          <w:highlight w:val="none"/>
        </w:rPr>
      </w:pPr>
    </w:p>
    <w:p w14:paraId="4CCD4CCC">
      <w:pPr>
        <w:pStyle w:val="19"/>
        <w:spacing w:line="360" w:lineRule="auto"/>
        <w:ind w:left="-426" w:right="142" w:firstLine="567"/>
        <w:contextualSpacing/>
        <w:rPr>
          <w:rFonts w:ascii="宋体" w:hAnsi="宋体"/>
          <w:color w:val="000000"/>
          <w:kern w:val="24"/>
          <w:sz w:val="21"/>
          <w:szCs w:val="21"/>
          <w:highlight w:val="none"/>
        </w:rPr>
      </w:pPr>
      <w:r>
        <w:rPr>
          <w:rFonts w:hint="eastAsia" w:ascii="宋体" w:hAnsi="宋体"/>
          <w:color w:val="000000"/>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B3DEFCA">
      <w:pPr>
        <w:snapToGrid w:val="0"/>
        <w:spacing w:before="120" w:beforeLines="50" w:after="50"/>
        <w:ind w:left="142"/>
        <w:jc w:val="left"/>
        <w:rPr>
          <w:rFonts w:ascii="宋体" w:hAnsi="宋体"/>
          <w:b/>
          <w:color w:val="000000"/>
          <w:sz w:val="24"/>
          <w:highlight w:val="none"/>
        </w:rPr>
      </w:pPr>
      <w:r>
        <w:rPr>
          <w:rFonts w:ascii="宋体" w:hAnsi="宋体"/>
          <w:b/>
          <w:color w:val="000000"/>
          <w:szCs w:val="21"/>
          <w:highlight w:val="none"/>
        </w:rPr>
        <w:br w:type="page"/>
      </w:r>
      <w:r>
        <w:rPr>
          <w:rFonts w:hint="eastAsia" w:ascii="宋体" w:hAnsi="宋体"/>
          <w:b/>
          <w:color w:val="000000"/>
          <w:sz w:val="24"/>
          <w:highlight w:val="none"/>
        </w:rPr>
        <w:t>2.残疾人福利性单位声明函格式</w:t>
      </w:r>
    </w:p>
    <w:p w14:paraId="5B076428">
      <w:pPr>
        <w:spacing w:line="588" w:lineRule="exact"/>
        <w:jc w:val="center"/>
        <w:rPr>
          <w:rFonts w:ascii="仿宋_GB2312" w:eastAsia="仿宋_GB2312"/>
          <w:b/>
          <w:color w:val="000000"/>
          <w:spacing w:val="6"/>
          <w:sz w:val="32"/>
          <w:szCs w:val="32"/>
          <w:highlight w:val="none"/>
        </w:rPr>
      </w:pPr>
    </w:p>
    <w:p w14:paraId="3875A1FF">
      <w:pPr>
        <w:spacing w:line="588" w:lineRule="exact"/>
        <w:jc w:val="center"/>
        <w:rPr>
          <w:rFonts w:ascii="仿宋" w:hAnsi="仿宋" w:eastAsia="仿宋" w:cs="仿宋"/>
          <w:bCs/>
          <w:color w:val="000000"/>
          <w:spacing w:val="6"/>
          <w:sz w:val="44"/>
          <w:szCs w:val="44"/>
          <w:highlight w:val="none"/>
        </w:rPr>
      </w:pPr>
      <w:r>
        <w:rPr>
          <w:rFonts w:hint="eastAsia" w:ascii="仿宋" w:hAnsi="仿宋" w:eastAsia="仿宋" w:cs="仿宋"/>
          <w:bCs/>
          <w:color w:val="000000"/>
          <w:spacing w:val="6"/>
          <w:sz w:val="44"/>
          <w:szCs w:val="44"/>
          <w:highlight w:val="none"/>
        </w:rPr>
        <w:t>残疾人福利性单位声明函</w:t>
      </w:r>
    </w:p>
    <w:p w14:paraId="73F0D61E">
      <w:pPr>
        <w:spacing w:line="360" w:lineRule="auto"/>
        <w:contextualSpacing/>
        <w:rPr>
          <w:rFonts w:ascii="仿宋_GB2312" w:eastAsia="仿宋_GB2312"/>
          <w:bCs/>
          <w:color w:val="000000"/>
          <w:spacing w:val="6"/>
          <w:sz w:val="30"/>
          <w:szCs w:val="30"/>
          <w:highlight w:val="none"/>
        </w:rPr>
      </w:pPr>
    </w:p>
    <w:p w14:paraId="5CAF909B">
      <w:pPr>
        <w:spacing w:line="360" w:lineRule="auto"/>
        <w:ind w:firstLine="444" w:firstLineChars="200"/>
        <w:contextualSpacing/>
        <w:rPr>
          <w:rFonts w:ascii="宋体" w:hAnsi="宋体"/>
          <w:color w:val="000000"/>
          <w:spacing w:val="6"/>
          <w:szCs w:val="21"/>
          <w:highlight w:val="none"/>
        </w:rPr>
      </w:pPr>
      <w:r>
        <w:rPr>
          <w:rFonts w:hint="eastAsia" w:ascii="宋体" w:hAnsi="宋体"/>
          <w:color w:val="000000"/>
          <w:spacing w:val="6"/>
          <w:szCs w:val="21"/>
          <w:highlight w:val="none"/>
        </w:rPr>
        <w:t>本单位郑重声明，根据《财政部 民政部 中国残疾人联合会关于促进残疾人就业政府采购政策的通知》（财库</w:t>
      </w:r>
      <w:r>
        <w:rPr>
          <w:rFonts w:hint="eastAsia" w:ascii="宋体" w:hAnsi="宋体"/>
          <w:color w:val="000000"/>
          <w:szCs w:val="21"/>
          <w:highlight w:val="none"/>
        </w:rPr>
        <w:t>〔2017〕 141</w:t>
      </w:r>
      <w:r>
        <w:rPr>
          <w:rFonts w:hint="eastAsia" w:ascii="宋体" w:hAnsi="宋体"/>
          <w:color w:val="000000"/>
          <w:spacing w:val="6"/>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Cs w:val="21"/>
          <w:highlight w:val="none"/>
        </w:rPr>
        <w:t>疾人福利性单位制造的货物（不包括使用非残疾人福利性单位注册商标的货物）。</w:t>
      </w:r>
    </w:p>
    <w:p w14:paraId="03F062CC">
      <w:pPr>
        <w:spacing w:line="360" w:lineRule="auto"/>
        <w:ind w:firstLine="444" w:firstLineChars="200"/>
        <w:contextualSpacing/>
        <w:rPr>
          <w:rFonts w:ascii="宋体" w:hAnsi="宋体"/>
          <w:color w:val="000000"/>
          <w:spacing w:val="6"/>
          <w:szCs w:val="21"/>
          <w:highlight w:val="none"/>
        </w:rPr>
      </w:pPr>
      <w:r>
        <w:rPr>
          <w:rFonts w:hint="eastAsia" w:ascii="宋体" w:hAnsi="宋体"/>
          <w:color w:val="000000"/>
          <w:spacing w:val="6"/>
          <w:szCs w:val="21"/>
          <w:highlight w:val="none"/>
        </w:rPr>
        <w:t>本单位对上述声明的真实性负责。如有虚假，将依法承担相应责任。</w:t>
      </w:r>
    </w:p>
    <w:p w14:paraId="4168BBC4">
      <w:pPr>
        <w:spacing w:line="360" w:lineRule="auto"/>
        <w:ind w:firstLine="444" w:firstLineChars="200"/>
        <w:contextualSpacing/>
        <w:rPr>
          <w:rFonts w:ascii="宋体" w:hAnsi="宋体"/>
          <w:color w:val="000000"/>
          <w:spacing w:val="6"/>
          <w:szCs w:val="21"/>
          <w:highlight w:val="none"/>
        </w:rPr>
      </w:pPr>
    </w:p>
    <w:p w14:paraId="39849A53">
      <w:pPr>
        <w:spacing w:line="360" w:lineRule="auto"/>
        <w:ind w:firstLine="444" w:firstLineChars="200"/>
        <w:contextualSpacing/>
        <w:rPr>
          <w:rFonts w:ascii="宋体" w:hAnsi="宋体"/>
          <w:color w:val="000000"/>
          <w:spacing w:val="6"/>
          <w:szCs w:val="21"/>
          <w:highlight w:val="none"/>
        </w:rPr>
      </w:pPr>
    </w:p>
    <w:p w14:paraId="5FABAF4C">
      <w:pPr>
        <w:tabs>
          <w:tab w:val="left" w:pos="4860"/>
        </w:tabs>
        <w:spacing w:line="360" w:lineRule="auto"/>
        <w:ind w:right="1560" w:firstLine="444" w:firstLineChars="200"/>
        <w:contextualSpacing/>
        <w:jc w:val="center"/>
        <w:rPr>
          <w:rFonts w:ascii="宋体" w:hAnsi="宋体"/>
          <w:color w:val="000000"/>
          <w:spacing w:val="6"/>
          <w:szCs w:val="21"/>
          <w:highlight w:val="none"/>
        </w:rPr>
      </w:pPr>
      <w:r>
        <w:rPr>
          <w:rFonts w:hint="eastAsia" w:ascii="宋体" w:hAnsi="宋体"/>
          <w:color w:val="000000"/>
          <w:spacing w:val="6"/>
          <w:szCs w:val="21"/>
          <w:highlight w:val="none"/>
        </w:rPr>
        <w:t>单位名称（电子签章）：</w:t>
      </w:r>
    </w:p>
    <w:p w14:paraId="141587BF">
      <w:pPr>
        <w:tabs>
          <w:tab w:val="left" w:pos="4860"/>
        </w:tabs>
        <w:spacing w:line="360" w:lineRule="auto"/>
        <w:ind w:right="1560" w:firstLine="444" w:firstLineChars="200"/>
        <w:contextualSpacing/>
        <w:jc w:val="center"/>
        <w:rPr>
          <w:rFonts w:ascii="宋体" w:hAnsi="宋体"/>
          <w:color w:val="000000"/>
          <w:spacing w:val="6"/>
          <w:szCs w:val="21"/>
          <w:highlight w:val="none"/>
        </w:rPr>
      </w:pPr>
      <w:r>
        <w:rPr>
          <w:rFonts w:hint="eastAsia" w:ascii="宋体" w:hAnsi="宋体"/>
          <w:color w:val="000000"/>
          <w:spacing w:val="6"/>
          <w:szCs w:val="21"/>
          <w:highlight w:val="none"/>
        </w:rPr>
        <w:t>日  期：</w:t>
      </w:r>
    </w:p>
    <w:p w14:paraId="0C10D9D0">
      <w:pPr>
        <w:spacing w:line="360" w:lineRule="auto"/>
        <w:contextualSpacing/>
        <w:rPr>
          <w:rFonts w:ascii="宋体" w:hAnsi="宋体"/>
          <w:color w:val="000000"/>
          <w:szCs w:val="21"/>
          <w:highlight w:val="none"/>
        </w:rPr>
      </w:pPr>
    </w:p>
    <w:p w14:paraId="2FAC1CC8">
      <w:pPr>
        <w:spacing w:line="360" w:lineRule="auto"/>
        <w:contextualSpacing/>
        <w:rPr>
          <w:rFonts w:ascii="宋体" w:hAnsi="宋体"/>
          <w:color w:val="000000"/>
          <w:sz w:val="24"/>
          <w:highlight w:val="none"/>
        </w:rPr>
      </w:pPr>
    </w:p>
    <w:p w14:paraId="260FE9A1">
      <w:pPr>
        <w:spacing w:line="360" w:lineRule="auto"/>
        <w:contextualSpacing/>
        <w:rPr>
          <w:rFonts w:ascii="宋体" w:hAnsi="宋体"/>
          <w:color w:val="000000"/>
          <w:sz w:val="24"/>
          <w:highlight w:val="none"/>
        </w:rPr>
      </w:pPr>
    </w:p>
    <w:p w14:paraId="5E2EA414">
      <w:pPr>
        <w:spacing w:line="360" w:lineRule="auto"/>
        <w:contextualSpacing/>
        <w:rPr>
          <w:rFonts w:ascii="宋体" w:hAnsi="宋体"/>
          <w:color w:val="000000"/>
          <w:szCs w:val="21"/>
          <w:highlight w:val="none"/>
        </w:rPr>
      </w:pPr>
      <w:r>
        <w:rPr>
          <w:rFonts w:hint="eastAsia" w:ascii="宋体" w:hAnsi="宋体"/>
          <w:color w:val="000000"/>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1F94949">
      <w:pPr>
        <w:spacing w:line="360" w:lineRule="auto"/>
        <w:jc w:val="left"/>
        <w:rPr>
          <w:rFonts w:ascii="宋体" w:hAnsi="宋体"/>
          <w:color w:val="000000"/>
          <w:sz w:val="24"/>
          <w:highlight w:val="none"/>
        </w:rPr>
      </w:pPr>
      <w:r>
        <w:rPr>
          <w:rFonts w:ascii="宋体" w:hAnsi="宋体"/>
          <w:color w:val="000000"/>
          <w:sz w:val="24"/>
          <w:highlight w:val="none"/>
        </w:rPr>
        <w:br w:type="page"/>
      </w:r>
      <w:r>
        <w:rPr>
          <w:rFonts w:hint="eastAsia" w:ascii="宋体" w:hAnsi="宋体"/>
          <w:b/>
          <w:color w:val="000000"/>
          <w:sz w:val="24"/>
          <w:highlight w:val="none"/>
        </w:rPr>
        <w:t>3.质疑函（格式）</w:t>
      </w:r>
    </w:p>
    <w:p w14:paraId="1C300CE2">
      <w:pPr>
        <w:spacing w:line="360" w:lineRule="auto"/>
        <w:jc w:val="center"/>
        <w:rPr>
          <w:rFonts w:ascii="仿宋" w:hAnsi="仿宋" w:eastAsia="仿宋" w:cs="仿宋"/>
          <w:color w:val="000000"/>
          <w:sz w:val="44"/>
          <w:szCs w:val="44"/>
          <w:highlight w:val="none"/>
        </w:rPr>
      </w:pPr>
      <w:r>
        <w:rPr>
          <w:rFonts w:hint="eastAsia" w:ascii="仿宋" w:hAnsi="仿宋" w:eastAsia="仿宋" w:cs="仿宋"/>
          <w:color w:val="000000"/>
          <w:sz w:val="44"/>
          <w:szCs w:val="44"/>
          <w:highlight w:val="none"/>
        </w:rPr>
        <w:t>质疑函（格式）</w:t>
      </w:r>
    </w:p>
    <w:p w14:paraId="68C26701">
      <w:pPr>
        <w:pStyle w:val="26"/>
        <w:snapToGrid w:val="0"/>
        <w:spacing w:line="360" w:lineRule="exact"/>
        <w:ind w:firstLine="422" w:firstLineChars="200"/>
        <w:rPr>
          <w:rFonts w:hAnsi="宋体"/>
          <w:b/>
          <w:bCs/>
          <w:color w:val="000000"/>
          <w:sz w:val="21"/>
          <w:highlight w:val="none"/>
        </w:rPr>
      </w:pPr>
      <w:r>
        <w:rPr>
          <w:rFonts w:hint="eastAsia" w:hAnsi="宋体"/>
          <w:b/>
          <w:bCs/>
          <w:color w:val="000000"/>
          <w:sz w:val="21"/>
          <w:highlight w:val="none"/>
        </w:rPr>
        <w:t>一、质疑供应商基本信息：</w:t>
      </w:r>
    </w:p>
    <w:p w14:paraId="626534AA">
      <w:pPr>
        <w:pStyle w:val="26"/>
        <w:snapToGrid w:val="0"/>
        <w:spacing w:line="360" w:lineRule="exact"/>
        <w:ind w:firstLine="420" w:firstLineChars="200"/>
        <w:rPr>
          <w:rFonts w:hAnsi="宋体"/>
          <w:bCs/>
          <w:color w:val="000000"/>
          <w:sz w:val="21"/>
          <w:highlight w:val="none"/>
          <w:u w:val="single"/>
        </w:rPr>
      </w:pPr>
      <w:r>
        <w:rPr>
          <w:rFonts w:hint="eastAsia" w:hAnsi="宋体"/>
          <w:bCs/>
          <w:color w:val="000000"/>
          <w:sz w:val="21"/>
          <w:highlight w:val="none"/>
        </w:rPr>
        <w:t>质疑供应商：</w:t>
      </w:r>
      <w:r>
        <w:rPr>
          <w:rFonts w:hint="eastAsia" w:hAnsi="宋体"/>
          <w:bCs/>
          <w:color w:val="000000"/>
          <w:sz w:val="21"/>
          <w:highlight w:val="none"/>
          <w:u w:val="single"/>
        </w:rPr>
        <w:t xml:space="preserve">                                       </w:t>
      </w:r>
      <w:r>
        <w:rPr>
          <w:rFonts w:hint="eastAsia" w:hAnsi="宋体"/>
          <w:bCs/>
          <w:color w:val="000000"/>
          <w:sz w:val="21"/>
          <w:highlight w:val="none"/>
        </w:rPr>
        <w:t xml:space="preserve">                 </w:t>
      </w:r>
    </w:p>
    <w:p w14:paraId="2C493AD0">
      <w:pPr>
        <w:pStyle w:val="26"/>
        <w:snapToGrid w:val="0"/>
        <w:spacing w:line="360" w:lineRule="exact"/>
        <w:ind w:firstLine="420" w:firstLineChars="200"/>
        <w:rPr>
          <w:rFonts w:hAnsi="宋体"/>
          <w:bCs/>
          <w:color w:val="000000"/>
          <w:sz w:val="21"/>
          <w:highlight w:val="none"/>
        </w:rPr>
      </w:pPr>
      <w:r>
        <w:rPr>
          <w:rFonts w:hAnsi="宋体"/>
          <w:bCs/>
          <w:color w:val="000000"/>
          <w:sz w:val="21"/>
          <w:highlight w:val="none"/>
        </w:rPr>
        <w:t>地址</w:t>
      </w:r>
      <w:r>
        <w:rPr>
          <w:rFonts w:hint="eastAsia" w:hAnsi="宋体"/>
          <w:bCs/>
          <w:color w:val="000000"/>
          <w:sz w:val="21"/>
          <w:highlight w:val="none"/>
        </w:rPr>
        <w:t>：</w:t>
      </w:r>
      <w:r>
        <w:rPr>
          <w:rFonts w:hint="eastAsia" w:hAnsi="宋体"/>
          <w:bCs/>
          <w:color w:val="000000"/>
          <w:sz w:val="21"/>
          <w:highlight w:val="none"/>
          <w:u w:val="single"/>
        </w:rPr>
        <w:t xml:space="preserve">                                          </w:t>
      </w:r>
      <w:r>
        <w:rPr>
          <w:rFonts w:hAnsi="宋体"/>
          <w:bCs/>
          <w:color w:val="000000"/>
          <w:sz w:val="21"/>
          <w:highlight w:val="none"/>
        </w:rPr>
        <w:t>邮编</w:t>
      </w:r>
      <w:r>
        <w:rPr>
          <w:rFonts w:hint="eastAsia" w:hAnsi="宋体"/>
          <w:bCs/>
          <w:color w:val="000000"/>
          <w:sz w:val="21"/>
          <w:highlight w:val="none"/>
        </w:rPr>
        <w:t>：</w:t>
      </w:r>
      <w:r>
        <w:rPr>
          <w:rFonts w:hint="eastAsia" w:hAnsi="宋体"/>
          <w:bCs/>
          <w:color w:val="000000"/>
          <w:sz w:val="21"/>
          <w:highlight w:val="none"/>
          <w:u w:val="single"/>
        </w:rPr>
        <w:t xml:space="preserve">                  </w:t>
      </w:r>
      <w:r>
        <w:rPr>
          <w:rFonts w:hint="eastAsia" w:hAnsi="宋体"/>
          <w:bCs/>
          <w:color w:val="000000"/>
          <w:sz w:val="21"/>
          <w:highlight w:val="none"/>
        </w:rPr>
        <w:t xml:space="preserve">                 </w:t>
      </w:r>
    </w:p>
    <w:p w14:paraId="0328A7C6">
      <w:pPr>
        <w:pStyle w:val="26"/>
        <w:snapToGrid w:val="0"/>
        <w:spacing w:line="360" w:lineRule="exact"/>
        <w:ind w:firstLine="420" w:firstLineChars="200"/>
        <w:rPr>
          <w:rFonts w:hAnsi="宋体"/>
          <w:bCs/>
          <w:color w:val="000000"/>
          <w:sz w:val="21"/>
          <w:highlight w:val="none"/>
        </w:rPr>
      </w:pPr>
      <w:r>
        <w:rPr>
          <w:rFonts w:hAnsi="宋体"/>
          <w:bCs/>
          <w:color w:val="000000"/>
          <w:sz w:val="21"/>
          <w:highlight w:val="none"/>
        </w:rPr>
        <w:t>联系人</w:t>
      </w:r>
      <w:r>
        <w:rPr>
          <w:rFonts w:hint="eastAsia" w:hAnsi="宋体"/>
          <w:bCs/>
          <w:color w:val="000000"/>
          <w:sz w:val="21"/>
          <w:highlight w:val="none"/>
        </w:rPr>
        <w:t>：</w:t>
      </w:r>
      <w:r>
        <w:rPr>
          <w:rFonts w:hint="eastAsia" w:hAnsi="宋体"/>
          <w:bCs/>
          <w:color w:val="000000"/>
          <w:sz w:val="21"/>
          <w:highlight w:val="none"/>
          <w:u w:val="single"/>
        </w:rPr>
        <w:t xml:space="preserve">                     </w:t>
      </w:r>
      <w:r>
        <w:rPr>
          <w:rFonts w:hAnsi="宋体"/>
          <w:bCs/>
          <w:color w:val="000000"/>
          <w:sz w:val="21"/>
          <w:highlight w:val="none"/>
        </w:rPr>
        <w:t>联系电话</w:t>
      </w:r>
      <w:r>
        <w:rPr>
          <w:rFonts w:hint="eastAsia" w:hAnsi="宋体"/>
          <w:bCs/>
          <w:color w:val="000000"/>
          <w:sz w:val="21"/>
          <w:highlight w:val="none"/>
        </w:rPr>
        <w:t>：</w:t>
      </w:r>
      <w:r>
        <w:rPr>
          <w:rFonts w:hint="eastAsia" w:hAnsi="宋体"/>
          <w:bCs/>
          <w:color w:val="000000"/>
          <w:sz w:val="21"/>
          <w:highlight w:val="none"/>
          <w:u w:val="single"/>
        </w:rPr>
        <w:t xml:space="preserve">                 </w:t>
      </w:r>
    </w:p>
    <w:p w14:paraId="1546D9B5">
      <w:pPr>
        <w:pStyle w:val="26"/>
        <w:snapToGrid w:val="0"/>
        <w:spacing w:line="360" w:lineRule="exact"/>
        <w:ind w:firstLine="420" w:firstLineChars="200"/>
        <w:rPr>
          <w:rFonts w:hAnsi="宋体"/>
          <w:bCs/>
          <w:color w:val="000000"/>
          <w:sz w:val="21"/>
          <w:highlight w:val="none"/>
        </w:rPr>
      </w:pPr>
      <w:r>
        <w:rPr>
          <w:rFonts w:hint="eastAsia" w:hAnsi="宋体"/>
          <w:bCs/>
          <w:color w:val="000000"/>
          <w:sz w:val="21"/>
          <w:highlight w:val="none"/>
        </w:rPr>
        <w:t>授权代表：</w:t>
      </w:r>
      <w:r>
        <w:rPr>
          <w:rFonts w:hint="eastAsia" w:hAnsi="宋体"/>
          <w:bCs/>
          <w:color w:val="000000"/>
          <w:sz w:val="21"/>
          <w:highlight w:val="none"/>
          <w:u w:val="single"/>
        </w:rPr>
        <w:t xml:space="preserve">                      </w:t>
      </w:r>
    </w:p>
    <w:p w14:paraId="74FF6352">
      <w:pPr>
        <w:pStyle w:val="26"/>
        <w:snapToGrid w:val="0"/>
        <w:spacing w:line="360" w:lineRule="exact"/>
        <w:ind w:firstLine="420" w:firstLineChars="200"/>
        <w:rPr>
          <w:rFonts w:hAnsi="宋体"/>
          <w:bCs/>
          <w:color w:val="000000"/>
          <w:sz w:val="21"/>
          <w:highlight w:val="none"/>
          <w:u w:val="single"/>
        </w:rPr>
      </w:pPr>
      <w:r>
        <w:rPr>
          <w:rFonts w:hAnsi="宋体"/>
          <w:bCs/>
          <w:color w:val="000000"/>
          <w:sz w:val="21"/>
          <w:highlight w:val="none"/>
        </w:rPr>
        <w:t>联系</w:t>
      </w:r>
      <w:r>
        <w:rPr>
          <w:rFonts w:hint="eastAsia" w:hAnsi="宋体"/>
          <w:bCs/>
          <w:color w:val="000000"/>
          <w:sz w:val="21"/>
          <w:highlight w:val="none"/>
        </w:rPr>
        <w:t>电话：</w:t>
      </w:r>
      <w:r>
        <w:rPr>
          <w:rFonts w:hint="eastAsia" w:hAnsi="宋体"/>
          <w:bCs/>
          <w:color w:val="000000"/>
          <w:sz w:val="21"/>
          <w:highlight w:val="none"/>
          <w:u w:val="single"/>
        </w:rPr>
        <w:t xml:space="preserve">                      </w:t>
      </w:r>
    </w:p>
    <w:p w14:paraId="723F622D">
      <w:pPr>
        <w:pStyle w:val="26"/>
        <w:snapToGrid w:val="0"/>
        <w:spacing w:line="360" w:lineRule="exact"/>
        <w:ind w:firstLine="420" w:firstLineChars="200"/>
        <w:rPr>
          <w:rFonts w:hAnsi="宋体"/>
          <w:bCs/>
          <w:color w:val="000000"/>
          <w:sz w:val="21"/>
          <w:highlight w:val="none"/>
        </w:rPr>
      </w:pPr>
      <w:r>
        <w:rPr>
          <w:rFonts w:hAnsi="宋体"/>
          <w:bCs/>
          <w:color w:val="000000"/>
          <w:sz w:val="21"/>
          <w:highlight w:val="none"/>
        </w:rPr>
        <w:t>地址</w:t>
      </w:r>
      <w:r>
        <w:rPr>
          <w:rFonts w:hint="eastAsia" w:hAnsi="宋体"/>
          <w:bCs/>
          <w:color w:val="000000"/>
          <w:sz w:val="21"/>
          <w:highlight w:val="none"/>
        </w:rPr>
        <w:t>：</w:t>
      </w:r>
      <w:r>
        <w:rPr>
          <w:rFonts w:hint="eastAsia" w:hAnsi="宋体"/>
          <w:bCs/>
          <w:color w:val="000000"/>
          <w:sz w:val="21"/>
          <w:highlight w:val="none"/>
          <w:u w:val="single"/>
        </w:rPr>
        <w:t xml:space="preserve">                 </w:t>
      </w:r>
      <w:r>
        <w:rPr>
          <w:rFonts w:hAnsi="宋体"/>
          <w:bCs/>
          <w:color w:val="000000"/>
          <w:sz w:val="21"/>
          <w:highlight w:val="none"/>
        </w:rPr>
        <w:t>邮编</w:t>
      </w:r>
      <w:r>
        <w:rPr>
          <w:rFonts w:hint="eastAsia" w:hAnsi="宋体"/>
          <w:bCs/>
          <w:color w:val="000000"/>
          <w:sz w:val="21"/>
          <w:highlight w:val="none"/>
        </w:rPr>
        <w:t>：</w:t>
      </w:r>
      <w:r>
        <w:rPr>
          <w:rFonts w:hint="eastAsia" w:hAnsi="宋体"/>
          <w:bCs/>
          <w:color w:val="000000"/>
          <w:sz w:val="21"/>
          <w:highlight w:val="none"/>
          <w:u w:val="single"/>
        </w:rPr>
        <w:t xml:space="preserve">                  </w:t>
      </w:r>
      <w:r>
        <w:rPr>
          <w:rFonts w:hint="eastAsia" w:hAnsi="宋体"/>
          <w:bCs/>
          <w:color w:val="000000"/>
          <w:sz w:val="21"/>
          <w:highlight w:val="none"/>
        </w:rPr>
        <w:t xml:space="preserve">     </w:t>
      </w:r>
    </w:p>
    <w:p w14:paraId="3765171B">
      <w:pPr>
        <w:pStyle w:val="26"/>
        <w:snapToGrid w:val="0"/>
        <w:spacing w:line="360" w:lineRule="exact"/>
        <w:ind w:firstLine="422" w:firstLineChars="200"/>
        <w:rPr>
          <w:rFonts w:hAnsi="宋体"/>
          <w:b/>
          <w:bCs/>
          <w:color w:val="000000"/>
          <w:sz w:val="21"/>
          <w:highlight w:val="none"/>
        </w:rPr>
      </w:pPr>
      <w:r>
        <w:rPr>
          <w:rFonts w:hint="eastAsia" w:hAnsi="宋体"/>
          <w:b/>
          <w:bCs/>
          <w:color w:val="000000"/>
          <w:sz w:val="21"/>
          <w:highlight w:val="none"/>
        </w:rPr>
        <w:t>二、质疑项目基本情况：</w:t>
      </w:r>
    </w:p>
    <w:p w14:paraId="636FD84D">
      <w:pPr>
        <w:pStyle w:val="26"/>
        <w:spacing w:line="360" w:lineRule="exact"/>
        <w:ind w:firstLine="413" w:firstLineChars="197"/>
        <w:rPr>
          <w:rFonts w:hAnsi="宋体"/>
          <w:color w:val="000000"/>
          <w:sz w:val="21"/>
          <w:highlight w:val="none"/>
        </w:rPr>
      </w:pPr>
      <w:r>
        <w:rPr>
          <w:rFonts w:hint="eastAsia" w:hAnsi="宋体"/>
          <w:bCs/>
          <w:color w:val="000000"/>
          <w:sz w:val="21"/>
          <w:highlight w:val="none"/>
        </w:rPr>
        <w:t>质疑</w:t>
      </w:r>
      <w:r>
        <w:rPr>
          <w:rFonts w:hint="eastAsia" w:hAnsi="宋体"/>
          <w:color w:val="000000"/>
          <w:sz w:val="21"/>
          <w:highlight w:val="none"/>
        </w:rPr>
        <w:t>项目的名称：</w:t>
      </w:r>
      <w:r>
        <w:rPr>
          <w:rFonts w:hint="eastAsia" w:hAnsi="宋体"/>
          <w:bCs/>
          <w:color w:val="000000"/>
          <w:sz w:val="21"/>
          <w:highlight w:val="none"/>
          <w:u w:val="single"/>
        </w:rPr>
        <w:t xml:space="preserve">                                     </w:t>
      </w:r>
    </w:p>
    <w:p w14:paraId="42041895">
      <w:pPr>
        <w:pStyle w:val="26"/>
        <w:spacing w:line="360" w:lineRule="exact"/>
        <w:ind w:firstLine="413" w:firstLineChars="197"/>
        <w:rPr>
          <w:rFonts w:hAnsi="宋体"/>
          <w:color w:val="000000"/>
          <w:sz w:val="21"/>
          <w:highlight w:val="none"/>
        </w:rPr>
      </w:pPr>
      <w:r>
        <w:rPr>
          <w:rFonts w:hint="eastAsia" w:hAnsi="宋体"/>
          <w:bCs/>
          <w:color w:val="000000"/>
          <w:sz w:val="21"/>
          <w:highlight w:val="none"/>
        </w:rPr>
        <w:t>质疑</w:t>
      </w:r>
      <w:r>
        <w:rPr>
          <w:rFonts w:hint="eastAsia" w:hAnsi="宋体"/>
          <w:color w:val="000000"/>
          <w:sz w:val="21"/>
          <w:highlight w:val="none"/>
        </w:rPr>
        <w:t>项目的编号：</w:t>
      </w:r>
      <w:r>
        <w:rPr>
          <w:rFonts w:hint="eastAsia" w:hAnsi="宋体"/>
          <w:bCs/>
          <w:color w:val="000000"/>
          <w:sz w:val="21"/>
          <w:highlight w:val="none"/>
          <w:u w:val="single"/>
        </w:rPr>
        <w:t xml:space="preserve">                                     </w:t>
      </w:r>
    </w:p>
    <w:p w14:paraId="697915BC">
      <w:pPr>
        <w:pStyle w:val="26"/>
        <w:spacing w:line="360" w:lineRule="exact"/>
        <w:ind w:firstLine="413" w:firstLineChars="197"/>
        <w:rPr>
          <w:rFonts w:hAnsi="宋体"/>
          <w:color w:val="000000"/>
          <w:sz w:val="21"/>
          <w:highlight w:val="none"/>
        </w:rPr>
      </w:pPr>
      <w:r>
        <w:rPr>
          <w:rFonts w:hint="eastAsia" w:hAnsi="宋体"/>
          <w:color w:val="000000"/>
          <w:sz w:val="21"/>
          <w:highlight w:val="none"/>
        </w:rPr>
        <w:t>采购人名称：</w:t>
      </w:r>
      <w:r>
        <w:rPr>
          <w:rFonts w:hint="eastAsia" w:hAnsi="宋体"/>
          <w:bCs/>
          <w:color w:val="000000"/>
          <w:sz w:val="21"/>
          <w:highlight w:val="none"/>
          <w:u w:val="single"/>
        </w:rPr>
        <w:t xml:space="preserve">                                         </w:t>
      </w:r>
    </w:p>
    <w:p w14:paraId="466348EE">
      <w:pPr>
        <w:pStyle w:val="26"/>
        <w:spacing w:line="360" w:lineRule="exact"/>
        <w:ind w:firstLine="413" w:firstLineChars="197"/>
        <w:rPr>
          <w:rFonts w:hAnsi="宋体"/>
          <w:color w:val="000000"/>
          <w:sz w:val="21"/>
          <w:highlight w:val="none"/>
        </w:rPr>
      </w:pPr>
      <w:r>
        <w:rPr>
          <w:rFonts w:hint="eastAsia" w:hAnsi="宋体"/>
          <w:color w:val="000000"/>
          <w:sz w:val="21"/>
          <w:highlight w:val="none"/>
        </w:rPr>
        <w:t>质疑事项：</w:t>
      </w:r>
    </w:p>
    <w:p w14:paraId="36F09EE0">
      <w:pPr>
        <w:pStyle w:val="26"/>
        <w:spacing w:line="360" w:lineRule="exact"/>
        <w:ind w:firstLine="308" w:firstLineChars="147"/>
        <w:rPr>
          <w:rFonts w:hAnsi="宋体"/>
          <w:color w:val="000000"/>
          <w:sz w:val="21"/>
          <w:highlight w:val="none"/>
        </w:rPr>
      </w:pPr>
      <w:r>
        <w:rPr>
          <w:rFonts w:hint="eastAsia" w:hAnsi="宋体"/>
          <w:color w:val="000000"/>
          <w:sz w:val="21"/>
          <w:highlight w:val="none"/>
        </w:rPr>
        <w:t>□采购文件   采购文件获取日期：</w:t>
      </w:r>
      <w:r>
        <w:rPr>
          <w:rFonts w:hint="eastAsia" w:hAnsi="宋体"/>
          <w:bCs/>
          <w:color w:val="000000"/>
          <w:sz w:val="21"/>
          <w:highlight w:val="none"/>
          <w:u w:val="single"/>
        </w:rPr>
        <w:t xml:space="preserve">                                   </w:t>
      </w:r>
    </w:p>
    <w:p w14:paraId="77644013">
      <w:pPr>
        <w:pStyle w:val="26"/>
        <w:spacing w:line="360" w:lineRule="exact"/>
        <w:ind w:firstLine="308" w:firstLineChars="147"/>
        <w:rPr>
          <w:rFonts w:hAnsi="宋体"/>
          <w:color w:val="000000"/>
          <w:sz w:val="21"/>
          <w:highlight w:val="none"/>
        </w:rPr>
      </w:pPr>
      <w:r>
        <w:rPr>
          <w:rFonts w:hint="eastAsia" w:hAnsi="宋体"/>
          <w:color w:val="000000"/>
          <w:sz w:val="21"/>
          <w:highlight w:val="none"/>
        </w:rPr>
        <w:t xml:space="preserve">□采购过程   </w:t>
      </w:r>
    </w:p>
    <w:p w14:paraId="1C3FD621">
      <w:pPr>
        <w:pStyle w:val="26"/>
        <w:spacing w:line="360" w:lineRule="exact"/>
        <w:ind w:firstLine="308" w:firstLineChars="147"/>
        <w:rPr>
          <w:rFonts w:hAnsi="宋体"/>
          <w:bCs/>
          <w:color w:val="000000"/>
          <w:sz w:val="21"/>
          <w:highlight w:val="none"/>
          <w:u w:val="single"/>
        </w:rPr>
      </w:pPr>
      <w:r>
        <w:rPr>
          <w:rFonts w:hint="eastAsia" w:hAnsi="宋体"/>
          <w:color w:val="000000"/>
          <w:sz w:val="21"/>
          <w:highlight w:val="none"/>
        </w:rPr>
        <w:t xml:space="preserve">□采购结果   </w:t>
      </w:r>
    </w:p>
    <w:p w14:paraId="7D3FB65B">
      <w:pPr>
        <w:pStyle w:val="26"/>
        <w:spacing w:line="360" w:lineRule="exact"/>
        <w:ind w:firstLine="413" w:firstLineChars="196"/>
        <w:rPr>
          <w:rFonts w:hAnsi="宋体"/>
          <w:b/>
          <w:color w:val="000000"/>
          <w:sz w:val="21"/>
          <w:highlight w:val="none"/>
        </w:rPr>
      </w:pPr>
      <w:r>
        <w:rPr>
          <w:rFonts w:hint="eastAsia" w:hAnsi="宋体"/>
          <w:b/>
          <w:color w:val="000000"/>
          <w:sz w:val="21"/>
          <w:highlight w:val="none"/>
        </w:rPr>
        <w:t>三、质疑事项具体内容</w:t>
      </w:r>
    </w:p>
    <w:p w14:paraId="26AAB946">
      <w:pPr>
        <w:pStyle w:val="26"/>
        <w:spacing w:line="360" w:lineRule="exact"/>
        <w:ind w:firstLine="413" w:firstLineChars="197"/>
        <w:rPr>
          <w:rFonts w:hAnsi="宋体"/>
          <w:color w:val="000000"/>
          <w:sz w:val="21"/>
          <w:highlight w:val="none"/>
        </w:rPr>
      </w:pPr>
      <w:r>
        <w:rPr>
          <w:rFonts w:hint="eastAsia" w:hAnsi="宋体"/>
          <w:color w:val="000000"/>
          <w:sz w:val="21"/>
          <w:highlight w:val="none"/>
        </w:rPr>
        <w:t>质疑事项1：</w:t>
      </w:r>
      <w:r>
        <w:rPr>
          <w:rFonts w:hint="eastAsia" w:hAnsi="宋体"/>
          <w:bCs/>
          <w:color w:val="000000"/>
          <w:sz w:val="21"/>
          <w:highlight w:val="none"/>
          <w:u w:val="single"/>
        </w:rPr>
        <w:t xml:space="preserve">                                                                    </w:t>
      </w:r>
    </w:p>
    <w:p w14:paraId="49F7ED46">
      <w:pPr>
        <w:pStyle w:val="26"/>
        <w:spacing w:line="360" w:lineRule="exact"/>
        <w:ind w:firstLine="413" w:firstLineChars="197"/>
        <w:rPr>
          <w:rFonts w:hAnsi="宋体"/>
          <w:color w:val="000000"/>
          <w:sz w:val="21"/>
          <w:highlight w:val="none"/>
        </w:rPr>
      </w:pPr>
      <w:r>
        <w:rPr>
          <w:rFonts w:hint="eastAsia" w:hAnsi="宋体"/>
          <w:color w:val="000000"/>
          <w:sz w:val="21"/>
          <w:highlight w:val="none"/>
        </w:rPr>
        <w:t>事实依据：</w:t>
      </w:r>
      <w:r>
        <w:rPr>
          <w:rFonts w:hint="eastAsia" w:hAnsi="宋体"/>
          <w:bCs/>
          <w:color w:val="000000"/>
          <w:sz w:val="21"/>
          <w:highlight w:val="none"/>
          <w:u w:val="single"/>
        </w:rPr>
        <w:t xml:space="preserve">                                                                      </w:t>
      </w:r>
    </w:p>
    <w:p w14:paraId="2AE41727">
      <w:pPr>
        <w:pStyle w:val="26"/>
        <w:spacing w:line="360" w:lineRule="exact"/>
        <w:ind w:firstLine="413" w:firstLineChars="197"/>
        <w:rPr>
          <w:rFonts w:hAnsi="宋体"/>
          <w:color w:val="000000"/>
          <w:sz w:val="21"/>
          <w:highlight w:val="none"/>
        </w:rPr>
      </w:pPr>
      <w:r>
        <w:rPr>
          <w:rFonts w:hint="eastAsia" w:hAnsi="宋体"/>
          <w:color w:val="000000"/>
          <w:sz w:val="21"/>
          <w:highlight w:val="none"/>
        </w:rPr>
        <w:t>法律依据：</w:t>
      </w:r>
      <w:r>
        <w:rPr>
          <w:rFonts w:hint="eastAsia" w:hAnsi="宋体"/>
          <w:color w:val="000000"/>
          <w:sz w:val="21"/>
          <w:highlight w:val="none"/>
          <w:u w:val="single"/>
        </w:rPr>
        <w:t xml:space="preserve">                                                        </w:t>
      </w:r>
      <w:r>
        <w:rPr>
          <w:rFonts w:hint="eastAsia" w:hAnsi="宋体"/>
          <w:bCs/>
          <w:color w:val="000000"/>
          <w:sz w:val="21"/>
          <w:highlight w:val="none"/>
          <w:u w:val="single"/>
        </w:rPr>
        <w:t xml:space="preserve">               </w:t>
      </w:r>
    </w:p>
    <w:p w14:paraId="46D7D73F">
      <w:pPr>
        <w:pStyle w:val="26"/>
        <w:spacing w:line="360" w:lineRule="exact"/>
        <w:ind w:firstLine="413" w:firstLineChars="197"/>
        <w:rPr>
          <w:rFonts w:hAnsi="宋体"/>
          <w:color w:val="000000"/>
          <w:sz w:val="21"/>
          <w:highlight w:val="none"/>
        </w:rPr>
      </w:pPr>
      <w:r>
        <w:rPr>
          <w:rFonts w:hint="eastAsia" w:hAnsi="宋体"/>
          <w:color w:val="000000"/>
          <w:sz w:val="21"/>
          <w:highlight w:val="none"/>
        </w:rPr>
        <w:t>质疑事项2</w:t>
      </w:r>
    </w:p>
    <w:p w14:paraId="359A14A7">
      <w:pPr>
        <w:pStyle w:val="26"/>
        <w:spacing w:line="360" w:lineRule="exact"/>
        <w:ind w:firstLine="413" w:firstLineChars="197"/>
        <w:rPr>
          <w:rFonts w:hAnsi="宋体"/>
          <w:color w:val="000000"/>
          <w:sz w:val="21"/>
          <w:highlight w:val="none"/>
        </w:rPr>
      </w:pPr>
      <w:r>
        <w:rPr>
          <w:rFonts w:hAnsi="宋体"/>
          <w:color w:val="000000"/>
          <w:sz w:val="21"/>
          <w:highlight w:val="none"/>
        </w:rPr>
        <w:t>……</w:t>
      </w:r>
    </w:p>
    <w:p w14:paraId="4A17AEB6">
      <w:pPr>
        <w:pStyle w:val="26"/>
        <w:spacing w:line="360" w:lineRule="exact"/>
        <w:ind w:firstLine="413" w:firstLineChars="197"/>
        <w:rPr>
          <w:rFonts w:hAnsi="宋体"/>
          <w:color w:val="000000"/>
          <w:sz w:val="21"/>
          <w:highlight w:val="none"/>
        </w:rPr>
      </w:pPr>
      <w:r>
        <w:rPr>
          <w:rFonts w:hint="eastAsia" w:hAnsi="宋体"/>
          <w:color w:val="000000"/>
          <w:sz w:val="21"/>
          <w:highlight w:val="none"/>
        </w:rPr>
        <w:t>四、与质疑事项相关的质疑请求：</w:t>
      </w:r>
    </w:p>
    <w:p w14:paraId="7F60B110">
      <w:pPr>
        <w:pStyle w:val="26"/>
        <w:spacing w:line="360" w:lineRule="exact"/>
        <w:ind w:firstLine="413" w:firstLineChars="197"/>
        <w:rPr>
          <w:rFonts w:hAnsi="宋体"/>
          <w:color w:val="000000"/>
          <w:sz w:val="21"/>
          <w:highlight w:val="none"/>
        </w:rPr>
      </w:pPr>
      <w:r>
        <w:rPr>
          <w:rFonts w:hint="eastAsia" w:hAnsi="宋体"/>
          <w:color w:val="000000"/>
          <w:sz w:val="21"/>
          <w:highlight w:val="none"/>
        </w:rPr>
        <w:t>请求：</w:t>
      </w:r>
      <w:r>
        <w:rPr>
          <w:rFonts w:hint="eastAsia" w:hAnsi="宋体"/>
          <w:bCs/>
          <w:color w:val="000000"/>
          <w:sz w:val="21"/>
          <w:highlight w:val="none"/>
          <w:u w:val="single"/>
        </w:rPr>
        <w:t xml:space="preserve">                                                                </w:t>
      </w:r>
    </w:p>
    <w:p w14:paraId="1EE32C84">
      <w:pPr>
        <w:pStyle w:val="26"/>
        <w:spacing w:line="360" w:lineRule="exact"/>
        <w:ind w:firstLine="413" w:firstLineChars="197"/>
        <w:rPr>
          <w:rFonts w:hAnsi="宋体"/>
          <w:color w:val="000000"/>
          <w:sz w:val="21"/>
          <w:highlight w:val="none"/>
        </w:rPr>
      </w:pPr>
      <w:r>
        <w:rPr>
          <w:rFonts w:hint="eastAsia" w:hAnsi="宋体"/>
          <w:color w:val="000000"/>
          <w:sz w:val="21"/>
          <w:highlight w:val="none"/>
        </w:rPr>
        <w:t>签字（签章）：                                       公章：</w:t>
      </w:r>
    </w:p>
    <w:p w14:paraId="23CEC1DF">
      <w:pPr>
        <w:pStyle w:val="26"/>
        <w:spacing w:line="360" w:lineRule="exact"/>
        <w:ind w:firstLine="413" w:firstLineChars="197"/>
        <w:rPr>
          <w:rFonts w:hAnsi="宋体"/>
          <w:b/>
          <w:color w:val="000000"/>
          <w:sz w:val="21"/>
          <w:highlight w:val="none"/>
        </w:rPr>
      </w:pPr>
      <w:r>
        <w:rPr>
          <w:rFonts w:hint="eastAsia" w:hAnsi="宋体"/>
          <w:color w:val="000000"/>
          <w:sz w:val="21"/>
          <w:highlight w:val="none"/>
        </w:rPr>
        <w:t>日期：</w:t>
      </w:r>
    </w:p>
    <w:p w14:paraId="6533C419">
      <w:pPr>
        <w:pStyle w:val="26"/>
        <w:snapToGrid w:val="0"/>
        <w:spacing w:line="360" w:lineRule="exact"/>
        <w:rPr>
          <w:rFonts w:hAnsi="宋体"/>
          <w:b/>
          <w:color w:val="000000"/>
          <w:sz w:val="21"/>
          <w:highlight w:val="none"/>
        </w:rPr>
      </w:pPr>
      <w:r>
        <w:rPr>
          <w:rFonts w:hint="eastAsia" w:hAnsi="宋体"/>
          <w:b/>
          <w:color w:val="000000"/>
          <w:sz w:val="21"/>
          <w:highlight w:val="none"/>
        </w:rPr>
        <w:t>说明：</w:t>
      </w:r>
    </w:p>
    <w:p w14:paraId="4CDDB848">
      <w:pPr>
        <w:pStyle w:val="26"/>
        <w:spacing w:line="360" w:lineRule="exact"/>
        <w:ind w:firstLine="310" w:firstLineChars="147"/>
        <w:rPr>
          <w:rFonts w:hAnsi="宋体"/>
          <w:b/>
          <w:bCs/>
          <w:color w:val="000000"/>
          <w:sz w:val="21"/>
          <w:highlight w:val="none"/>
        </w:rPr>
      </w:pPr>
      <w:r>
        <w:rPr>
          <w:rFonts w:hint="eastAsia" w:hAnsi="宋体"/>
          <w:b/>
          <w:color w:val="000000"/>
          <w:sz w:val="21"/>
          <w:highlight w:val="none"/>
        </w:rPr>
        <w:t>1.供应商提出质疑时，应提交质疑函和必要的证明材料</w:t>
      </w:r>
      <w:r>
        <w:rPr>
          <w:rFonts w:hint="eastAsia" w:hAnsi="宋体"/>
          <w:b/>
          <w:bCs/>
          <w:color w:val="000000"/>
          <w:sz w:val="21"/>
          <w:highlight w:val="none"/>
        </w:rPr>
        <w:t>。</w:t>
      </w:r>
    </w:p>
    <w:p w14:paraId="21EA2969">
      <w:pPr>
        <w:pStyle w:val="26"/>
        <w:spacing w:line="360" w:lineRule="exact"/>
        <w:ind w:firstLine="310" w:firstLineChars="147"/>
        <w:rPr>
          <w:rFonts w:hAnsi="宋体"/>
          <w:b/>
          <w:color w:val="000000"/>
          <w:sz w:val="21"/>
          <w:highlight w:val="none"/>
        </w:rPr>
      </w:pPr>
      <w:r>
        <w:rPr>
          <w:rFonts w:hint="eastAsia" w:hAnsi="宋体"/>
          <w:b/>
          <w:color w:val="000000"/>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C9BD2F">
      <w:pPr>
        <w:pStyle w:val="26"/>
        <w:spacing w:line="360" w:lineRule="exact"/>
        <w:ind w:firstLine="310" w:firstLineChars="147"/>
        <w:rPr>
          <w:rFonts w:hAnsi="宋体"/>
          <w:b/>
          <w:color w:val="000000"/>
          <w:sz w:val="21"/>
          <w:highlight w:val="none"/>
        </w:rPr>
      </w:pPr>
      <w:r>
        <w:rPr>
          <w:rFonts w:hint="eastAsia" w:hAnsi="宋体"/>
          <w:b/>
          <w:color w:val="000000"/>
          <w:sz w:val="21"/>
          <w:highlight w:val="none"/>
        </w:rPr>
        <w:t>3.质疑函的质疑事项应具体、明确，并有必要的事实依据和法律依据。</w:t>
      </w:r>
    </w:p>
    <w:p w14:paraId="3F8930AB">
      <w:pPr>
        <w:pStyle w:val="26"/>
        <w:spacing w:line="360" w:lineRule="exact"/>
        <w:ind w:firstLine="310" w:firstLineChars="147"/>
        <w:rPr>
          <w:rFonts w:hAnsi="宋体"/>
          <w:b/>
          <w:color w:val="000000"/>
          <w:sz w:val="21"/>
          <w:highlight w:val="none"/>
        </w:rPr>
      </w:pPr>
      <w:r>
        <w:rPr>
          <w:rFonts w:hint="eastAsia" w:hAnsi="宋体"/>
          <w:b/>
          <w:color w:val="000000"/>
          <w:sz w:val="21"/>
          <w:highlight w:val="none"/>
        </w:rPr>
        <w:t>4.质疑函的质疑请求应与质疑事项相关。</w:t>
      </w:r>
    </w:p>
    <w:p w14:paraId="70ECE978">
      <w:pPr>
        <w:pStyle w:val="26"/>
        <w:spacing w:line="360" w:lineRule="exact"/>
        <w:ind w:firstLine="310" w:firstLineChars="147"/>
        <w:rPr>
          <w:rFonts w:hAnsi="宋体"/>
          <w:b/>
          <w:color w:val="000000"/>
          <w:sz w:val="21"/>
          <w:highlight w:val="none"/>
        </w:rPr>
      </w:pPr>
      <w:r>
        <w:rPr>
          <w:rFonts w:hint="eastAsia" w:hAnsi="宋体"/>
          <w:b/>
          <w:color w:val="000000"/>
          <w:sz w:val="21"/>
          <w:highlight w:val="none"/>
        </w:rPr>
        <w:t>5.质疑供应商为法人或者其他组织的，质疑函应由法定代表人（或负责人）、主要负责人，或者其授权代表签字或者盖章，并加盖公章。</w:t>
      </w:r>
    </w:p>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222781-95C0-410E-BDE2-C1D4E5A0B24F}"/>
  </w:font>
  <w:font w:name="黑体">
    <w:panose1 w:val="02010609060101010101"/>
    <w:charset w:val="86"/>
    <w:family w:val="auto"/>
    <w:pitch w:val="default"/>
    <w:sig w:usb0="800002BF" w:usb1="38CF7CFA" w:usb2="00000016" w:usb3="00000000" w:csb0="00040001" w:csb1="00000000"/>
    <w:embedRegular r:id="rId2" w:fontKey="{449FBC59-259C-46BA-902E-E67FDC0E5C3C}"/>
  </w:font>
  <w:font w:name="Courier New">
    <w:panose1 w:val="02070309020205020404"/>
    <w:charset w:val="01"/>
    <w:family w:val="modern"/>
    <w:pitch w:val="default"/>
    <w:sig w:usb0="E0002EFF" w:usb1="C0007843" w:usb2="00000009" w:usb3="00000000" w:csb0="400001FF" w:csb1="FFFF0000"/>
    <w:embedRegular r:id="rId3" w:fontKey="{16A563AF-B033-4C7E-8248-2D9861EF7D9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9B34FD8-676B-4B5D-9B85-F9DA04AE0052}"/>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embedRegular r:id="rId5" w:fontKey="{A4BD508C-6A61-4259-B441-082891B52291}"/>
  </w:font>
  <w:font w:name="微软雅黑">
    <w:panose1 w:val="020B0503020204020204"/>
    <w:charset w:val="86"/>
    <w:family w:val="swiss"/>
    <w:pitch w:val="default"/>
    <w:sig w:usb0="80000287" w:usb1="2ACF3C50" w:usb2="00000016" w:usb3="00000000" w:csb0="0004001F" w:csb1="00000000"/>
    <w:embedRegular r:id="rId6" w:fontKey="{FBB2E8E1-475F-4179-89DA-D1EF2CB5F0FF}"/>
  </w:font>
  <w:font w:name="Segoe UI Symbol">
    <w:panose1 w:val="020B0502040204020203"/>
    <w:charset w:val="00"/>
    <w:family w:val="swiss"/>
    <w:pitch w:val="default"/>
    <w:sig w:usb0="800001E3" w:usb1="1200FFEF" w:usb2="00040000" w:usb3="04000000" w:csb0="00000001" w:csb1="40000000"/>
    <w:embedRegular r:id="rId7" w:fontKey="{885E971F-03B3-446C-9835-D3037498B924}"/>
  </w:font>
  <w:font w:name="Wingdings 2">
    <w:panose1 w:val="05020102010507070707"/>
    <w:charset w:val="02"/>
    <w:family w:val="roman"/>
    <w:pitch w:val="default"/>
    <w:sig w:usb0="00000000" w:usb1="00000000" w:usb2="00000000" w:usb3="00000000" w:csb0="80000000" w:csb1="00000000"/>
    <w:embedRegular r:id="rId8" w:fontKey="{B475C8D9-9BDD-4C70-9C03-840B8150A7BD}"/>
  </w:font>
  <w:font w:name="Helvetica">
    <w:altName w:val="Arial"/>
    <w:panose1 w:val="020B0604020202020204"/>
    <w:charset w:val="00"/>
    <w:family w:val="swiss"/>
    <w:pitch w:val="default"/>
    <w:sig w:usb0="00000000" w:usb1="00000000" w:usb2="00000009" w:usb3="00000000" w:csb0="000001FF" w:csb1="00000000"/>
    <w:embedRegular r:id="rId9" w:fontKey="{CB5C1DED-9D0E-4230-8338-AF2257747578}"/>
  </w:font>
  <w:font w:name="仿宋">
    <w:panose1 w:val="02010609060101010101"/>
    <w:charset w:val="86"/>
    <w:family w:val="auto"/>
    <w:pitch w:val="default"/>
    <w:sig w:usb0="800002BF" w:usb1="38CF7CFA" w:usb2="00000016" w:usb3="00000000" w:csb0="00040001" w:csb1="00000000"/>
    <w:embedRegular r:id="rId10" w:fontKey="{1A78E0F4-9233-4716-B35B-29EFC25565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0EBE">
    <w:pPr>
      <w:pStyle w:val="32"/>
      <w:framePr w:wrap="around" w:vAnchor="text" w:hAnchor="margin" w:xAlign="center" w:y="1"/>
      <w:rPr>
        <w:rStyle w:val="53"/>
      </w:rPr>
    </w:pPr>
    <w:r>
      <w:fldChar w:fldCharType="begin"/>
    </w:r>
    <w:r>
      <w:rPr>
        <w:rStyle w:val="53"/>
      </w:rPr>
      <w:instrText xml:space="preserve">PAGE  </w:instrText>
    </w:r>
    <w:r>
      <w:fldChar w:fldCharType="end"/>
    </w:r>
  </w:p>
  <w:p w14:paraId="3B821E9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66DB">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7789">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3A482">
    <w:pPr>
      <w:pStyle w:val="32"/>
      <w:jc w:val="center"/>
    </w:pPr>
    <w:r>
      <w:fldChar w:fldCharType="begin"/>
    </w:r>
    <w:r>
      <w:instrText xml:space="preserve">PAGE   \* MERGEFORMAT</w:instrText>
    </w:r>
    <w:r>
      <w:fldChar w:fldCharType="separate"/>
    </w:r>
    <w:r>
      <w:rPr>
        <w:lang w:val="zh-CN"/>
      </w:rPr>
      <w:t>2</w:t>
    </w:r>
    <w:r>
      <w:fldChar w:fldCharType="end"/>
    </w:r>
  </w:p>
  <w:p w14:paraId="52417306">
    <w:pPr>
      <w:pStyle w:val="32"/>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F278">
    <w:pPr>
      <w:pStyle w:val="32"/>
      <w:jc w:val="center"/>
    </w:pPr>
    <w:r>
      <w:fldChar w:fldCharType="begin"/>
    </w:r>
    <w:r>
      <w:instrText xml:space="preserve"> PAGE   \* MERGEFORMAT </w:instrText>
    </w:r>
    <w:r>
      <w:fldChar w:fldCharType="separate"/>
    </w:r>
    <w:r>
      <w:rPr>
        <w:lang w:val="zh-CN"/>
      </w:rPr>
      <w:t>6</w:t>
    </w:r>
    <w:r>
      <w:fldChar w:fldCharType="end"/>
    </w:r>
  </w:p>
  <w:p w14:paraId="49F2F0E9">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6906">
    <w:pPr>
      <w:pStyle w:val="32"/>
      <w:jc w:val="center"/>
    </w:pPr>
    <w:r>
      <w:fldChar w:fldCharType="begin"/>
    </w:r>
    <w:r>
      <w:instrText xml:space="preserve"> PAGE   \* MERGEFORMAT </w:instrText>
    </w:r>
    <w:r>
      <w:fldChar w:fldCharType="separate"/>
    </w:r>
    <w:r>
      <w:rPr>
        <w:lang w:val="zh-CN"/>
      </w:rPr>
      <w:t>177</w:t>
    </w:r>
    <w:r>
      <w:fldChar w:fldCharType="end"/>
    </w:r>
  </w:p>
  <w:p w14:paraId="524B0950">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E227">
    <w:pPr>
      <w:pStyle w:val="32"/>
      <w:framePr w:wrap="around" w:vAnchor="text" w:hAnchor="margin" w:xAlign="center" w:y="1"/>
      <w:rPr>
        <w:rStyle w:val="53"/>
      </w:rPr>
    </w:pPr>
    <w:r>
      <w:fldChar w:fldCharType="begin"/>
    </w:r>
    <w:r>
      <w:rPr>
        <w:rStyle w:val="53"/>
      </w:rPr>
      <w:instrText xml:space="preserve">PAGE  </w:instrText>
    </w:r>
    <w:r>
      <w:fldChar w:fldCharType="end"/>
    </w:r>
  </w:p>
  <w:p w14:paraId="438547D0">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975B">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926E">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8E3E">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19DA0"/>
    <w:multiLevelType w:val="singleLevel"/>
    <w:tmpl w:val="80E19DA0"/>
    <w:lvl w:ilvl="0" w:tentative="0">
      <w:start w:val="1"/>
      <w:numFmt w:val="decimal"/>
      <w:lvlText w:val="%1."/>
      <w:lvlJc w:val="left"/>
      <w:pPr>
        <w:tabs>
          <w:tab w:val="left" w:pos="312"/>
        </w:tabs>
      </w:pPr>
    </w:lvl>
  </w:abstractNum>
  <w:abstractNum w:abstractNumId="1">
    <w:nsid w:val="836543F5"/>
    <w:multiLevelType w:val="singleLevel"/>
    <w:tmpl w:val="836543F5"/>
    <w:lvl w:ilvl="0" w:tentative="0">
      <w:start w:val="1"/>
      <w:numFmt w:val="decimal"/>
      <w:lvlText w:val="%1."/>
      <w:lvlJc w:val="left"/>
      <w:pPr>
        <w:tabs>
          <w:tab w:val="left" w:pos="312"/>
        </w:tabs>
      </w:pPr>
    </w:lvl>
  </w:abstractNum>
  <w:abstractNum w:abstractNumId="2">
    <w:nsid w:val="A9CD7485"/>
    <w:multiLevelType w:val="singleLevel"/>
    <w:tmpl w:val="A9CD7485"/>
    <w:lvl w:ilvl="0" w:tentative="0">
      <w:start w:val="4"/>
      <w:numFmt w:val="decimal"/>
      <w:suff w:val="nothing"/>
      <w:lvlText w:val="（%1）"/>
      <w:lvlJc w:val="left"/>
    </w:lvl>
  </w:abstractNum>
  <w:abstractNum w:abstractNumId="3">
    <w:nsid w:val="D5241ABD"/>
    <w:multiLevelType w:val="singleLevel"/>
    <w:tmpl w:val="D5241ABD"/>
    <w:lvl w:ilvl="0" w:tentative="0">
      <w:start w:val="1"/>
      <w:numFmt w:val="decimal"/>
      <w:lvlText w:val="%1."/>
      <w:lvlJc w:val="left"/>
      <w:pPr>
        <w:tabs>
          <w:tab w:val="left" w:pos="312"/>
        </w:tabs>
      </w:pPr>
    </w:lvl>
  </w:abstractNum>
  <w:abstractNum w:abstractNumId="4">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5">
    <w:nsid w:val="011A3D1A"/>
    <w:multiLevelType w:val="singleLevel"/>
    <w:tmpl w:val="011A3D1A"/>
    <w:lvl w:ilvl="0" w:tentative="0">
      <w:start w:val="1"/>
      <w:numFmt w:val="decimal"/>
      <w:lvlText w:val="%1."/>
      <w:lvlJc w:val="left"/>
      <w:pPr>
        <w:tabs>
          <w:tab w:val="left" w:pos="312"/>
        </w:tabs>
      </w:pPr>
    </w:lvl>
  </w:abstractNum>
  <w:abstractNum w:abstractNumId="6">
    <w:nsid w:val="0C1176CC"/>
    <w:multiLevelType w:val="singleLevel"/>
    <w:tmpl w:val="0C1176CC"/>
    <w:lvl w:ilvl="0" w:tentative="0">
      <w:start w:val="1"/>
      <w:numFmt w:val="decimal"/>
      <w:lvlText w:val="%1."/>
      <w:lvlJc w:val="left"/>
      <w:pPr>
        <w:tabs>
          <w:tab w:val="left" w:pos="312"/>
        </w:tabs>
      </w:pPr>
    </w:lvl>
  </w:abstractNum>
  <w:abstractNum w:abstractNumId="7">
    <w:nsid w:val="3041F763"/>
    <w:multiLevelType w:val="singleLevel"/>
    <w:tmpl w:val="3041F763"/>
    <w:lvl w:ilvl="0" w:tentative="0">
      <w:start w:val="1"/>
      <w:numFmt w:val="decimal"/>
      <w:lvlText w:val="%1."/>
      <w:lvlJc w:val="left"/>
      <w:pPr>
        <w:tabs>
          <w:tab w:val="left" w:pos="312"/>
        </w:tabs>
      </w:p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4C601917"/>
    <w:multiLevelType w:val="singleLevel"/>
    <w:tmpl w:val="4C601917"/>
    <w:lvl w:ilvl="0" w:tentative="0">
      <w:start w:val="1"/>
      <w:numFmt w:val="decimal"/>
      <w:suff w:val="nothing"/>
      <w:lvlText w:val="（%1）"/>
      <w:lvlJc w:val="left"/>
      <w:pPr>
        <w:ind w:left="-2"/>
      </w:pPr>
    </w:lvl>
  </w:abstractNum>
  <w:abstractNum w:abstractNumId="10">
    <w:nsid w:val="4F8EEA9A"/>
    <w:multiLevelType w:val="singleLevel"/>
    <w:tmpl w:val="4F8EEA9A"/>
    <w:lvl w:ilvl="0" w:tentative="0">
      <w:start w:val="1"/>
      <w:numFmt w:val="chineseCounting"/>
      <w:suff w:val="nothing"/>
      <w:lvlText w:val="%1、"/>
      <w:lvlJc w:val="left"/>
      <w:rPr>
        <w:rFonts w:hint="eastAsia"/>
      </w:rPr>
    </w:lvl>
  </w:abstractNum>
  <w:abstractNum w:abstractNumId="11">
    <w:nsid w:val="5FABD14B"/>
    <w:multiLevelType w:val="singleLevel"/>
    <w:tmpl w:val="5FABD14B"/>
    <w:lvl w:ilvl="0" w:tentative="0">
      <w:start w:val="1"/>
      <w:numFmt w:val="decimal"/>
      <w:suff w:val="nothing"/>
      <w:lvlText w:val="（%1）"/>
      <w:lvlJc w:val="left"/>
    </w:lvl>
  </w:abstractNum>
  <w:abstractNum w:abstractNumId="1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8"/>
  </w:num>
  <w:num w:numId="2">
    <w:abstractNumId w:val="4"/>
  </w:num>
  <w:num w:numId="3">
    <w:abstractNumId w:val="0"/>
  </w:num>
  <w:num w:numId="4">
    <w:abstractNumId w:val="7"/>
  </w:num>
  <w:num w:numId="5">
    <w:abstractNumId w:val="6"/>
  </w:num>
  <w:num w:numId="6">
    <w:abstractNumId w:val="1"/>
  </w:num>
  <w:num w:numId="7">
    <w:abstractNumId w:val="3"/>
  </w:num>
  <w:num w:numId="8">
    <w:abstractNumId w:val="2"/>
  </w:num>
  <w:num w:numId="9">
    <w:abstractNumId w:val="5"/>
  </w:num>
  <w:num w:numId="10">
    <w:abstractNumId w:val="1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QxYjgzMDhjODgzM2MxNDAyM2ZlNzI0Y2Y4NDgifQ=="/>
    <w:docVar w:name="KSO_WPS_MARK_KEY" w:val="e814579a-5265-4428-ae59-e5318e80cd07"/>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804EF"/>
    <w:rsid w:val="000804FB"/>
    <w:rsid w:val="00080558"/>
    <w:rsid w:val="00080998"/>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411E"/>
    <w:rsid w:val="000951E7"/>
    <w:rsid w:val="000954F5"/>
    <w:rsid w:val="00095B82"/>
    <w:rsid w:val="00096098"/>
    <w:rsid w:val="000961B2"/>
    <w:rsid w:val="000969D9"/>
    <w:rsid w:val="000969ED"/>
    <w:rsid w:val="00096F37"/>
    <w:rsid w:val="00097FE5"/>
    <w:rsid w:val="000A0354"/>
    <w:rsid w:val="000A091F"/>
    <w:rsid w:val="000A0958"/>
    <w:rsid w:val="000A0A8E"/>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91"/>
    <w:rsid w:val="000C0136"/>
    <w:rsid w:val="000C071C"/>
    <w:rsid w:val="000C0BB4"/>
    <w:rsid w:val="000C0BEE"/>
    <w:rsid w:val="000C0ED0"/>
    <w:rsid w:val="000C1CB9"/>
    <w:rsid w:val="000C1DFC"/>
    <w:rsid w:val="000C2159"/>
    <w:rsid w:val="000C21BB"/>
    <w:rsid w:val="000C289B"/>
    <w:rsid w:val="000C352F"/>
    <w:rsid w:val="000C36AB"/>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88E"/>
    <w:rsid w:val="00116ACD"/>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B2"/>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5F7"/>
    <w:rsid w:val="001A760C"/>
    <w:rsid w:val="001A770F"/>
    <w:rsid w:val="001A7977"/>
    <w:rsid w:val="001A799B"/>
    <w:rsid w:val="001A7AC7"/>
    <w:rsid w:val="001A7C38"/>
    <w:rsid w:val="001B00C5"/>
    <w:rsid w:val="001B02F8"/>
    <w:rsid w:val="001B1CEF"/>
    <w:rsid w:val="001B2104"/>
    <w:rsid w:val="001B2279"/>
    <w:rsid w:val="001B2729"/>
    <w:rsid w:val="001B2866"/>
    <w:rsid w:val="001B2881"/>
    <w:rsid w:val="001B2B73"/>
    <w:rsid w:val="001B3675"/>
    <w:rsid w:val="001B37C8"/>
    <w:rsid w:val="001B48BA"/>
    <w:rsid w:val="001B4B2C"/>
    <w:rsid w:val="001B4F10"/>
    <w:rsid w:val="001B5154"/>
    <w:rsid w:val="001B54BF"/>
    <w:rsid w:val="001B614D"/>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150"/>
    <w:rsid w:val="001D286F"/>
    <w:rsid w:val="001D2C94"/>
    <w:rsid w:val="001D33D9"/>
    <w:rsid w:val="001D36F6"/>
    <w:rsid w:val="001D3BEF"/>
    <w:rsid w:val="001D3DAD"/>
    <w:rsid w:val="001D4303"/>
    <w:rsid w:val="001D45E5"/>
    <w:rsid w:val="001D461A"/>
    <w:rsid w:val="001D4A9D"/>
    <w:rsid w:val="001D4AAD"/>
    <w:rsid w:val="001D5AFA"/>
    <w:rsid w:val="001D652D"/>
    <w:rsid w:val="001D686F"/>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476"/>
    <w:rsid w:val="002549E9"/>
    <w:rsid w:val="00254FF6"/>
    <w:rsid w:val="00255099"/>
    <w:rsid w:val="002555C6"/>
    <w:rsid w:val="00255E14"/>
    <w:rsid w:val="00255FF9"/>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5F23"/>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6B8"/>
    <w:rsid w:val="0027680F"/>
    <w:rsid w:val="002777C0"/>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E20"/>
    <w:rsid w:val="00290721"/>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7D9"/>
    <w:rsid w:val="00295B52"/>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D40"/>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144"/>
    <w:rsid w:val="002B1617"/>
    <w:rsid w:val="002B1A90"/>
    <w:rsid w:val="002B1D11"/>
    <w:rsid w:val="002B2519"/>
    <w:rsid w:val="002B273B"/>
    <w:rsid w:val="002B29AA"/>
    <w:rsid w:val="002B2A7E"/>
    <w:rsid w:val="002B2F1B"/>
    <w:rsid w:val="002B3332"/>
    <w:rsid w:val="002B34C7"/>
    <w:rsid w:val="002B3C17"/>
    <w:rsid w:val="002B5269"/>
    <w:rsid w:val="002B5AFB"/>
    <w:rsid w:val="002B6320"/>
    <w:rsid w:val="002B6499"/>
    <w:rsid w:val="002B66AC"/>
    <w:rsid w:val="002B6852"/>
    <w:rsid w:val="002B77E1"/>
    <w:rsid w:val="002B77EA"/>
    <w:rsid w:val="002B7B20"/>
    <w:rsid w:val="002C0656"/>
    <w:rsid w:val="002C0714"/>
    <w:rsid w:val="002C0A96"/>
    <w:rsid w:val="002C1422"/>
    <w:rsid w:val="002C1697"/>
    <w:rsid w:val="002C1BF4"/>
    <w:rsid w:val="002C1E0D"/>
    <w:rsid w:val="002C2266"/>
    <w:rsid w:val="002C22BB"/>
    <w:rsid w:val="002C2356"/>
    <w:rsid w:val="002C28EB"/>
    <w:rsid w:val="002C316C"/>
    <w:rsid w:val="002C3265"/>
    <w:rsid w:val="002C3AED"/>
    <w:rsid w:val="002C3E56"/>
    <w:rsid w:val="002C414C"/>
    <w:rsid w:val="002C4696"/>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3C6"/>
    <w:rsid w:val="002D24F0"/>
    <w:rsid w:val="002D25EB"/>
    <w:rsid w:val="002D29F3"/>
    <w:rsid w:val="002D3126"/>
    <w:rsid w:val="002D3203"/>
    <w:rsid w:val="002D3529"/>
    <w:rsid w:val="002D3D0A"/>
    <w:rsid w:val="002D3EF0"/>
    <w:rsid w:val="002D478E"/>
    <w:rsid w:val="002D47AE"/>
    <w:rsid w:val="002D4A94"/>
    <w:rsid w:val="002D52B6"/>
    <w:rsid w:val="002D65FF"/>
    <w:rsid w:val="002D6D10"/>
    <w:rsid w:val="002D71E2"/>
    <w:rsid w:val="002D7B6A"/>
    <w:rsid w:val="002E0026"/>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722F"/>
    <w:rsid w:val="0030739C"/>
    <w:rsid w:val="00307A2C"/>
    <w:rsid w:val="00310D51"/>
    <w:rsid w:val="00311B36"/>
    <w:rsid w:val="00311C92"/>
    <w:rsid w:val="00313321"/>
    <w:rsid w:val="003133AE"/>
    <w:rsid w:val="0031371B"/>
    <w:rsid w:val="00314156"/>
    <w:rsid w:val="00314CF8"/>
    <w:rsid w:val="0031535B"/>
    <w:rsid w:val="003154DD"/>
    <w:rsid w:val="00315FEA"/>
    <w:rsid w:val="00316EEC"/>
    <w:rsid w:val="00316F76"/>
    <w:rsid w:val="003170F4"/>
    <w:rsid w:val="0032005E"/>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3040"/>
    <w:rsid w:val="003630B7"/>
    <w:rsid w:val="00363786"/>
    <w:rsid w:val="003638A4"/>
    <w:rsid w:val="003639BF"/>
    <w:rsid w:val="00363E41"/>
    <w:rsid w:val="00363FD2"/>
    <w:rsid w:val="0036447A"/>
    <w:rsid w:val="0036572E"/>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63A"/>
    <w:rsid w:val="003B4754"/>
    <w:rsid w:val="003B4EB0"/>
    <w:rsid w:val="003B5094"/>
    <w:rsid w:val="003B518A"/>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40F"/>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4C"/>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7CC"/>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BD4"/>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3E99"/>
    <w:rsid w:val="0048423C"/>
    <w:rsid w:val="00484449"/>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9A8"/>
    <w:rsid w:val="004A11E0"/>
    <w:rsid w:val="004A1953"/>
    <w:rsid w:val="004A1F11"/>
    <w:rsid w:val="004A1FC5"/>
    <w:rsid w:val="004A2158"/>
    <w:rsid w:val="004A2497"/>
    <w:rsid w:val="004A29A5"/>
    <w:rsid w:val="004A3225"/>
    <w:rsid w:val="004A34A7"/>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A57"/>
    <w:rsid w:val="004D47FF"/>
    <w:rsid w:val="004D4D35"/>
    <w:rsid w:val="004D518F"/>
    <w:rsid w:val="004D5394"/>
    <w:rsid w:val="004D54D7"/>
    <w:rsid w:val="004D5BB7"/>
    <w:rsid w:val="004D6053"/>
    <w:rsid w:val="004D6FA4"/>
    <w:rsid w:val="004D7C23"/>
    <w:rsid w:val="004E01C6"/>
    <w:rsid w:val="004E0212"/>
    <w:rsid w:val="004E0386"/>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172"/>
    <w:rsid w:val="004F62A7"/>
    <w:rsid w:val="004F62F9"/>
    <w:rsid w:val="004F66B3"/>
    <w:rsid w:val="004F6FA7"/>
    <w:rsid w:val="004F7352"/>
    <w:rsid w:val="004F7889"/>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48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535"/>
    <w:rsid w:val="005178CE"/>
    <w:rsid w:val="005205FF"/>
    <w:rsid w:val="00521356"/>
    <w:rsid w:val="00521CAB"/>
    <w:rsid w:val="00521DFB"/>
    <w:rsid w:val="005224EF"/>
    <w:rsid w:val="00522654"/>
    <w:rsid w:val="00522835"/>
    <w:rsid w:val="0052293D"/>
    <w:rsid w:val="00522AF4"/>
    <w:rsid w:val="0052348B"/>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875"/>
    <w:rsid w:val="00535AEA"/>
    <w:rsid w:val="00535F99"/>
    <w:rsid w:val="00536356"/>
    <w:rsid w:val="00536BBB"/>
    <w:rsid w:val="00536CBB"/>
    <w:rsid w:val="00536DDD"/>
    <w:rsid w:val="00537033"/>
    <w:rsid w:val="00537F04"/>
    <w:rsid w:val="00540036"/>
    <w:rsid w:val="00540A37"/>
    <w:rsid w:val="00540B49"/>
    <w:rsid w:val="005410CF"/>
    <w:rsid w:val="00541415"/>
    <w:rsid w:val="005418DB"/>
    <w:rsid w:val="00541B51"/>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822"/>
    <w:rsid w:val="00567BE2"/>
    <w:rsid w:val="00570102"/>
    <w:rsid w:val="00570505"/>
    <w:rsid w:val="00570FDD"/>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75"/>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1B"/>
    <w:rsid w:val="005941E1"/>
    <w:rsid w:val="005943E2"/>
    <w:rsid w:val="00594B8A"/>
    <w:rsid w:val="00595009"/>
    <w:rsid w:val="005954B7"/>
    <w:rsid w:val="005958B6"/>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8F"/>
    <w:rsid w:val="005A2EBF"/>
    <w:rsid w:val="005A380B"/>
    <w:rsid w:val="005A4890"/>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959"/>
    <w:rsid w:val="00610AE7"/>
    <w:rsid w:val="00611178"/>
    <w:rsid w:val="0061148D"/>
    <w:rsid w:val="00611D01"/>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90"/>
    <w:rsid w:val="00647FA3"/>
    <w:rsid w:val="00650067"/>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5A5D"/>
    <w:rsid w:val="006A6B7B"/>
    <w:rsid w:val="006A78F8"/>
    <w:rsid w:val="006A7C26"/>
    <w:rsid w:val="006A7E27"/>
    <w:rsid w:val="006B010E"/>
    <w:rsid w:val="006B03CA"/>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0B4"/>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6FC"/>
    <w:rsid w:val="006F6766"/>
    <w:rsid w:val="006F68C1"/>
    <w:rsid w:val="006F6CE2"/>
    <w:rsid w:val="006F6E10"/>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A6F"/>
    <w:rsid w:val="00761BD1"/>
    <w:rsid w:val="0076218E"/>
    <w:rsid w:val="007627BA"/>
    <w:rsid w:val="0076291E"/>
    <w:rsid w:val="00762C76"/>
    <w:rsid w:val="00762D81"/>
    <w:rsid w:val="0076317B"/>
    <w:rsid w:val="007643D5"/>
    <w:rsid w:val="00764B38"/>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CE6"/>
    <w:rsid w:val="00785F1E"/>
    <w:rsid w:val="00785F4C"/>
    <w:rsid w:val="0078609C"/>
    <w:rsid w:val="00786355"/>
    <w:rsid w:val="00787370"/>
    <w:rsid w:val="007874AE"/>
    <w:rsid w:val="0078750B"/>
    <w:rsid w:val="00787F5E"/>
    <w:rsid w:val="0079024D"/>
    <w:rsid w:val="00790C87"/>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76E"/>
    <w:rsid w:val="007A19BF"/>
    <w:rsid w:val="007A2A69"/>
    <w:rsid w:val="007A2CF1"/>
    <w:rsid w:val="007A384E"/>
    <w:rsid w:val="007A3EDF"/>
    <w:rsid w:val="007A41B5"/>
    <w:rsid w:val="007A4486"/>
    <w:rsid w:val="007A4682"/>
    <w:rsid w:val="007A47EA"/>
    <w:rsid w:val="007A5879"/>
    <w:rsid w:val="007A58A8"/>
    <w:rsid w:val="007A5B11"/>
    <w:rsid w:val="007A5BDC"/>
    <w:rsid w:val="007A629D"/>
    <w:rsid w:val="007A6610"/>
    <w:rsid w:val="007A6D51"/>
    <w:rsid w:val="007A6DD3"/>
    <w:rsid w:val="007A6FF3"/>
    <w:rsid w:val="007A7169"/>
    <w:rsid w:val="007A71DC"/>
    <w:rsid w:val="007A7A04"/>
    <w:rsid w:val="007A7E1F"/>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1B28"/>
    <w:rsid w:val="007D2608"/>
    <w:rsid w:val="007D29A2"/>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874"/>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13B"/>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72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4AE"/>
    <w:rsid w:val="008765E9"/>
    <w:rsid w:val="00876605"/>
    <w:rsid w:val="00876B13"/>
    <w:rsid w:val="00877940"/>
    <w:rsid w:val="00880007"/>
    <w:rsid w:val="00880017"/>
    <w:rsid w:val="00880305"/>
    <w:rsid w:val="0088088A"/>
    <w:rsid w:val="00880A3F"/>
    <w:rsid w:val="00880EE2"/>
    <w:rsid w:val="00881155"/>
    <w:rsid w:val="008813BC"/>
    <w:rsid w:val="00881732"/>
    <w:rsid w:val="008818A2"/>
    <w:rsid w:val="00881FF9"/>
    <w:rsid w:val="00882122"/>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D"/>
    <w:rsid w:val="008C417E"/>
    <w:rsid w:val="008C521B"/>
    <w:rsid w:val="008C5B51"/>
    <w:rsid w:val="008C5F0A"/>
    <w:rsid w:val="008C6105"/>
    <w:rsid w:val="008C6124"/>
    <w:rsid w:val="008C616C"/>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1AAE"/>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615"/>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3F58"/>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B0"/>
    <w:rsid w:val="009B42D2"/>
    <w:rsid w:val="009B4A06"/>
    <w:rsid w:val="009B60EA"/>
    <w:rsid w:val="009B64F6"/>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3AD2"/>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0D0"/>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457"/>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1DE9"/>
    <w:rsid w:val="00A4224E"/>
    <w:rsid w:val="00A4229F"/>
    <w:rsid w:val="00A428A9"/>
    <w:rsid w:val="00A42ACA"/>
    <w:rsid w:val="00A4327C"/>
    <w:rsid w:val="00A43AAB"/>
    <w:rsid w:val="00A43AFE"/>
    <w:rsid w:val="00A43C68"/>
    <w:rsid w:val="00A4404B"/>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63A"/>
    <w:rsid w:val="00A76858"/>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AC0"/>
    <w:rsid w:val="00A83065"/>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B2"/>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2B98"/>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4E93"/>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191F"/>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1CC9"/>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0E7"/>
    <w:rsid w:val="00C6211D"/>
    <w:rsid w:val="00C62537"/>
    <w:rsid w:val="00C62B32"/>
    <w:rsid w:val="00C63DED"/>
    <w:rsid w:val="00C63E88"/>
    <w:rsid w:val="00C6436D"/>
    <w:rsid w:val="00C64F97"/>
    <w:rsid w:val="00C65585"/>
    <w:rsid w:val="00C656EB"/>
    <w:rsid w:val="00C65DF4"/>
    <w:rsid w:val="00C661C6"/>
    <w:rsid w:val="00C676DD"/>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87E30"/>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3D9"/>
    <w:rsid w:val="00CF0829"/>
    <w:rsid w:val="00CF0E74"/>
    <w:rsid w:val="00CF1833"/>
    <w:rsid w:val="00CF1AEA"/>
    <w:rsid w:val="00CF2091"/>
    <w:rsid w:val="00CF21F6"/>
    <w:rsid w:val="00CF2278"/>
    <w:rsid w:val="00CF2C62"/>
    <w:rsid w:val="00CF2F66"/>
    <w:rsid w:val="00CF337B"/>
    <w:rsid w:val="00CF3FE7"/>
    <w:rsid w:val="00CF4416"/>
    <w:rsid w:val="00CF5762"/>
    <w:rsid w:val="00CF6122"/>
    <w:rsid w:val="00CF65B4"/>
    <w:rsid w:val="00CF69B0"/>
    <w:rsid w:val="00CF6C05"/>
    <w:rsid w:val="00CF7485"/>
    <w:rsid w:val="00CF7E56"/>
    <w:rsid w:val="00D01502"/>
    <w:rsid w:val="00D01744"/>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B55"/>
    <w:rsid w:val="00D22C81"/>
    <w:rsid w:val="00D23055"/>
    <w:rsid w:val="00D230AD"/>
    <w:rsid w:val="00D2320E"/>
    <w:rsid w:val="00D2327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1188"/>
    <w:rsid w:val="00D417D3"/>
    <w:rsid w:val="00D418D5"/>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4C"/>
    <w:rsid w:val="00D64613"/>
    <w:rsid w:val="00D64702"/>
    <w:rsid w:val="00D66BFD"/>
    <w:rsid w:val="00D66C91"/>
    <w:rsid w:val="00D674EE"/>
    <w:rsid w:val="00D67535"/>
    <w:rsid w:val="00D67A4D"/>
    <w:rsid w:val="00D67BC9"/>
    <w:rsid w:val="00D67DBC"/>
    <w:rsid w:val="00D704D9"/>
    <w:rsid w:val="00D70934"/>
    <w:rsid w:val="00D70BD2"/>
    <w:rsid w:val="00D713F2"/>
    <w:rsid w:val="00D71CD8"/>
    <w:rsid w:val="00D721B1"/>
    <w:rsid w:val="00D725B4"/>
    <w:rsid w:val="00D726D7"/>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4FF"/>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0CE7"/>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07276"/>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F3A"/>
    <w:rsid w:val="00E55560"/>
    <w:rsid w:val="00E55B28"/>
    <w:rsid w:val="00E5642F"/>
    <w:rsid w:val="00E5699B"/>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20D4"/>
    <w:rsid w:val="00E6357A"/>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20E"/>
    <w:rsid w:val="00E87BD2"/>
    <w:rsid w:val="00E87CDC"/>
    <w:rsid w:val="00E90B33"/>
    <w:rsid w:val="00E911E0"/>
    <w:rsid w:val="00E9227C"/>
    <w:rsid w:val="00E92ED5"/>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07B"/>
    <w:rsid w:val="00EA554F"/>
    <w:rsid w:val="00EA6250"/>
    <w:rsid w:val="00EA66A4"/>
    <w:rsid w:val="00EA6819"/>
    <w:rsid w:val="00EA6A1E"/>
    <w:rsid w:val="00EA75BD"/>
    <w:rsid w:val="00EA7C47"/>
    <w:rsid w:val="00EA7EC8"/>
    <w:rsid w:val="00EB0F0F"/>
    <w:rsid w:val="00EB12A5"/>
    <w:rsid w:val="00EB1DEF"/>
    <w:rsid w:val="00EB24D8"/>
    <w:rsid w:val="00EB277B"/>
    <w:rsid w:val="00EB2F20"/>
    <w:rsid w:val="00EB2F35"/>
    <w:rsid w:val="00EB3186"/>
    <w:rsid w:val="00EB31DB"/>
    <w:rsid w:val="00EB3422"/>
    <w:rsid w:val="00EB3A31"/>
    <w:rsid w:val="00EB4EAF"/>
    <w:rsid w:val="00EB5424"/>
    <w:rsid w:val="00EB548E"/>
    <w:rsid w:val="00EB5C41"/>
    <w:rsid w:val="00EB5F5A"/>
    <w:rsid w:val="00EB656C"/>
    <w:rsid w:val="00EB657E"/>
    <w:rsid w:val="00EB695E"/>
    <w:rsid w:val="00EB69D1"/>
    <w:rsid w:val="00EB69D4"/>
    <w:rsid w:val="00EB6F4B"/>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664"/>
    <w:rsid w:val="00ED28F2"/>
    <w:rsid w:val="00ED3145"/>
    <w:rsid w:val="00ED3281"/>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4BB"/>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A5A"/>
    <w:rsid w:val="00EF2A87"/>
    <w:rsid w:val="00EF3A74"/>
    <w:rsid w:val="00EF3AE9"/>
    <w:rsid w:val="00EF3EA5"/>
    <w:rsid w:val="00EF49FB"/>
    <w:rsid w:val="00EF55D6"/>
    <w:rsid w:val="00EF644D"/>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2F8C"/>
    <w:rsid w:val="00F2343C"/>
    <w:rsid w:val="00F23CFC"/>
    <w:rsid w:val="00F24076"/>
    <w:rsid w:val="00F240CB"/>
    <w:rsid w:val="00F2492F"/>
    <w:rsid w:val="00F2500D"/>
    <w:rsid w:val="00F2596D"/>
    <w:rsid w:val="00F25CAA"/>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4C37"/>
    <w:rsid w:val="00F95182"/>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0"/>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227"/>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DDE"/>
    <w:rsid w:val="00FE6E76"/>
    <w:rsid w:val="00FE6F5A"/>
    <w:rsid w:val="00FF027B"/>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2B61A1"/>
    <w:rsid w:val="01AA2C10"/>
    <w:rsid w:val="02C646E1"/>
    <w:rsid w:val="037738D8"/>
    <w:rsid w:val="03CA2A2C"/>
    <w:rsid w:val="03E312C3"/>
    <w:rsid w:val="04073A28"/>
    <w:rsid w:val="040E4053"/>
    <w:rsid w:val="046E4522"/>
    <w:rsid w:val="04812FB5"/>
    <w:rsid w:val="05145CB2"/>
    <w:rsid w:val="055A2489"/>
    <w:rsid w:val="06097792"/>
    <w:rsid w:val="06124260"/>
    <w:rsid w:val="068955F4"/>
    <w:rsid w:val="06937D52"/>
    <w:rsid w:val="075F0692"/>
    <w:rsid w:val="07DB054A"/>
    <w:rsid w:val="08012A89"/>
    <w:rsid w:val="08057A5A"/>
    <w:rsid w:val="08156836"/>
    <w:rsid w:val="081569AB"/>
    <w:rsid w:val="08242C5A"/>
    <w:rsid w:val="083D2AF4"/>
    <w:rsid w:val="08CD2D13"/>
    <w:rsid w:val="08F53B23"/>
    <w:rsid w:val="099077F7"/>
    <w:rsid w:val="0995305F"/>
    <w:rsid w:val="0A053C89"/>
    <w:rsid w:val="0A070656"/>
    <w:rsid w:val="0A7E6D56"/>
    <w:rsid w:val="0A913ED8"/>
    <w:rsid w:val="0A9850E4"/>
    <w:rsid w:val="0AC05EBA"/>
    <w:rsid w:val="0B24171E"/>
    <w:rsid w:val="0B50743B"/>
    <w:rsid w:val="0B5C3243"/>
    <w:rsid w:val="0BAD59A4"/>
    <w:rsid w:val="0BF42A49"/>
    <w:rsid w:val="0BFC043E"/>
    <w:rsid w:val="0C191D25"/>
    <w:rsid w:val="0C466B45"/>
    <w:rsid w:val="0D584403"/>
    <w:rsid w:val="0D7A2C98"/>
    <w:rsid w:val="0DAA5A92"/>
    <w:rsid w:val="0DEE7765"/>
    <w:rsid w:val="0F051651"/>
    <w:rsid w:val="0F2B5D1F"/>
    <w:rsid w:val="0FA83DE2"/>
    <w:rsid w:val="101C0A97"/>
    <w:rsid w:val="103369EE"/>
    <w:rsid w:val="104A7E5E"/>
    <w:rsid w:val="105F5DE8"/>
    <w:rsid w:val="107E39A7"/>
    <w:rsid w:val="10BE1C7C"/>
    <w:rsid w:val="10F67974"/>
    <w:rsid w:val="111F421F"/>
    <w:rsid w:val="1126248F"/>
    <w:rsid w:val="11A16D2B"/>
    <w:rsid w:val="121E2AC6"/>
    <w:rsid w:val="126441E2"/>
    <w:rsid w:val="12685FCD"/>
    <w:rsid w:val="126A5144"/>
    <w:rsid w:val="13062BC8"/>
    <w:rsid w:val="13767E9F"/>
    <w:rsid w:val="13953DF2"/>
    <w:rsid w:val="145D662C"/>
    <w:rsid w:val="146F2C7A"/>
    <w:rsid w:val="149E4992"/>
    <w:rsid w:val="14D273DE"/>
    <w:rsid w:val="14D7277E"/>
    <w:rsid w:val="15033AD5"/>
    <w:rsid w:val="15C224EE"/>
    <w:rsid w:val="15E11B42"/>
    <w:rsid w:val="15FE0523"/>
    <w:rsid w:val="1644126E"/>
    <w:rsid w:val="16640041"/>
    <w:rsid w:val="169052DA"/>
    <w:rsid w:val="16D27BE2"/>
    <w:rsid w:val="16FB036D"/>
    <w:rsid w:val="170E5D26"/>
    <w:rsid w:val="17BE59A2"/>
    <w:rsid w:val="18077515"/>
    <w:rsid w:val="18095344"/>
    <w:rsid w:val="18185849"/>
    <w:rsid w:val="182D2D36"/>
    <w:rsid w:val="182D6FD9"/>
    <w:rsid w:val="18452ED7"/>
    <w:rsid w:val="185275B0"/>
    <w:rsid w:val="18F51424"/>
    <w:rsid w:val="18F80ECB"/>
    <w:rsid w:val="194D1260"/>
    <w:rsid w:val="198C3F77"/>
    <w:rsid w:val="199B6470"/>
    <w:rsid w:val="1A442DE9"/>
    <w:rsid w:val="1A845156"/>
    <w:rsid w:val="1AEA43CC"/>
    <w:rsid w:val="1AF8344E"/>
    <w:rsid w:val="1B155479"/>
    <w:rsid w:val="1B32556F"/>
    <w:rsid w:val="1B4E330D"/>
    <w:rsid w:val="1B5508A0"/>
    <w:rsid w:val="1B661B3D"/>
    <w:rsid w:val="1B8D0E39"/>
    <w:rsid w:val="1BC305D3"/>
    <w:rsid w:val="1BD614E0"/>
    <w:rsid w:val="1C375D83"/>
    <w:rsid w:val="1C3C3E2C"/>
    <w:rsid w:val="1C806239"/>
    <w:rsid w:val="1CD55680"/>
    <w:rsid w:val="1CEE5B24"/>
    <w:rsid w:val="1D321E13"/>
    <w:rsid w:val="1D49350B"/>
    <w:rsid w:val="1D9E652E"/>
    <w:rsid w:val="1DBC044E"/>
    <w:rsid w:val="1DCF1D47"/>
    <w:rsid w:val="1E713927"/>
    <w:rsid w:val="1E7F3055"/>
    <w:rsid w:val="1EE75CB3"/>
    <w:rsid w:val="1F4849CA"/>
    <w:rsid w:val="1F82714C"/>
    <w:rsid w:val="1F873477"/>
    <w:rsid w:val="1F914614"/>
    <w:rsid w:val="1FD53D5E"/>
    <w:rsid w:val="20311059"/>
    <w:rsid w:val="20B704E4"/>
    <w:rsid w:val="20CC2C4F"/>
    <w:rsid w:val="20F16975"/>
    <w:rsid w:val="211F15FE"/>
    <w:rsid w:val="21455F84"/>
    <w:rsid w:val="217A4BBD"/>
    <w:rsid w:val="21EA1C0A"/>
    <w:rsid w:val="22D5562C"/>
    <w:rsid w:val="231F5A1C"/>
    <w:rsid w:val="2379093F"/>
    <w:rsid w:val="23DF33FD"/>
    <w:rsid w:val="24032E0B"/>
    <w:rsid w:val="24977600"/>
    <w:rsid w:val="24A501A2"/>
    <w:rsid w:val="24B831E2"/>
    <w:rsid w:val="250B120F"/>
    <w:rsid w:val="252C7220"/>
    <w:rsid w:val="2558727E"/>
    <w:rsid w:val="257D2ECD"/>
    <w:rsid w:val="2589761F"/>
    <w:rsid w:val="25F569F6"/>
    <w:rsid w:val="26071ED5"/>
    <w:rsid w:val="2610184F"/>
    <w:rsid w:val="26226B65"/>
    <w:rsid w:val="265A78D3"/>
    <w:rsid w:val="26A12BEB"/>
    <w:rsid w:val="26A50560"/>
    <w:rsid w:val="270F55EE"/>
    <w:rsid w:val="272F1A96"/>
    <w:rsid w:val="27960441"/>
    <w:rsid w:val="27F52753"/>
    <w:rsid w:val="297B0CF7"/>
    <w:rsid w:val="298F3DBD"/>
    <w:rsid w:val="29BF2B7C"/>
    <w:rsid w:val="29CA6C0B"/>
    <w:rsid w:val="2ACF555E"/>
    <w:rsid w:val="2B54022C"/>
    <w:rsid w:val="2B795EE5"/>
    <w:rsid w:val="2B822DA1"/>
    <w:rsid w:val="2B845E1F"/>
    <w:rsid w:val="2BBC0CA9"/>
    <w:rsid w:val="2C1704D9"/>
    <w:rsid w:val="2C491D5B"/>
    <w:rsid w:val="2C541884"/>
    <w:rsid w:val="2D4230C3"/>
    <w:rsid w:val="2D6509E7"/>
    <w:rsid w:val="2DB77433"/>
    <w:rsid w:val="2E027D0C"/>
    <w:rsid w:val="2E3F2370"/>
    <w:rsid w:val="2E743666"/>
    <w:rsid w:val="2E903C71"/>
    <w:rsid w:val="2EA133AF"/>
    <w:rsid w:val="2EDD2DD9"/>
    <w:rsid w:val="2EFB131E"/>
    <w:rsid w:val="2F126434"/>
    <w:rsid w:val="2F364819"/>
    <w:rsid w:val="2F723467"/>
    <w:rsid w:val="30077F63"/>
    <w:rsid w:val="3034062C"/>
    <w:rsid w:val="306835D0"/>
    <w:rsid w:val="309444F8"/>
    <w:rsid w:val="30955C68"/>
    <w:rsid w:val="30991077"/>
    <w:rsid w:val="30B91060"/>
    <w:rsid w:val="30C23E8A"/>
    <w:rsid w:val="320376C4"/>
    <w:rsid w:val="322B6720"/>
    <w:rsid w:val="323E2DAB"/>
    <w:rsid w:val="32A0292F"/>
    <w:rsid w:val="32A02B99"/>
    <w:rsid w:val="32E20814"/>
    <w:rsid w:val="33396D97"/>
    <w:rsid w:val="337D5F7B"/>
    <w:rsid w:val="33D414D0"/>
    <w:rsid w:val="341B2B8A"/>
    <w:rsid w:val="3439368F"/>
    <w:rsid w:val="34603E67"/>
    <w:rsid w:val="34C53F49"/>
    <w:rsid w:val="34D1379B"/>
    <w:rsid w:val="3502693D"/>
    <w:rsid w:val="35826E04"/>
    <w:rsid w:val="35991508"/>
    <w:rsid w:val="35CD358A"/>
    <w:rsid w:val="36232DB0"/>
    <w:rsid w:val="36361985"/>
    <w:rsid w:val="37870D15"/>
    <w:rsid w:val="37E768DB"/>
    <w:rsid w:val="385F359C"/>
    <w:rsid w:val="38A02345"/>
    <w:rsid w:val="39837CD5"/>
    <w:rsid w:val="39A405D1"/>
    <w:rsid w:val="3A074E84"/>
    <w:rsid w:val="3A4517D4"/>
    <w:rsid w:val="3A514476"/>
    <w:rsid w:val="3A7A2FC8"/>
    <w:rsid w:val="3A834A0A"/>
    <w:rsid w:val="3B0D41AC"/>
    <w:rsid w:val="3B553864"/>
    <w:rsid w:val="3B5A188F"/>
    <w:rsid w:val="3BA80B19"/>
    <w:rsid w:val="3BB347AE"/>
    <w:rsid w:val="3BBC0148"/>
    <w:rsid w:val="3BFA4E20"/>
    <w:rsid w:val="3C3C31C3"/>
    <w:rsid w:val="3C402197"/>
    <w:rsid w:val="3C4240EC"/>
    <w:rsid w:val="3C4E0CC8"/>
    <w:rsid w:val="3C6E5973"/>
    <w:rsid w:val="3CDE075A"/>
    <w:rsid w:val="3D1B5521"/>
    <w:rsid w:val="3D284242"/>
    <w:rsid w:val="3D711B40"/>
    <w:rsid w:val="3E1C72D0"/>
    <w:rsid w:val="3E800AA6"/>
    <w:rsid w:val="3F3A1FEB"/>
    <w:rsid w:val="3F4C3465"/>
    <w:rsid w:val="3F7F5BF5"/>
    <w:rsid w:val="3FA65048"/>
    <w:rsid w:val="409018AF"/>
    <w:rsid w:val="40A67243"/>
    <w:rsid w:val="40D12367"/>
    <w:rsid w:val="40DA109A"/>
    <w:rsid w:val="41285F8B"/>
    <w:rsid w:val="41557D0E"/>
    <w:rsid w:val="419F3CB9"/>
    <w:rsid w:val="41E8331B"/>
    <w:rsid w:val="42253D73"/>
    <w:rsid w:val="422A7540"/>
    <w:rsid w:val="42B850ED"/>
    <w:rsid w:val="42DF74EB"/>
    <w:rsid w:val="43814A58"/>
    <w:rsid w:val="4390298C"/>
    <w:rsid w:val="43C0400A"/>
    <w:rsid w:val="43F72556"/>
    <w:rsid w:val="440E034F"/>
    <w:rsid w:val="44592171"/>
    <w:rsid w:val="44641089"/>
    <w:rsid w:val="44961F35"/>
    <w:rsid w:val="449A5EC4"/>
    <w:rsid w:val="44E4602A"/>
    <w:rsid w:val="45041707"/>
    <w:rsid w:val="452704B4"/>
    <w:rsid w:val="4589206F"/>
    <w:rsid w:val="459C6779"/>
    <w:rsid w:val="45B80788"/>
    <w:rsid w:val="462B402A"/>
    <w:rsid w:val="46301D19"/>
    <w:rsid w:val="464949DA"/>
    <w:rsid w:val="46657EC9"/>
    <w:rsid w:val="46E62229"/>
    <w:rsid w:val="46E91D19"/>
    <w:rsid w:val="46FA61CA"/>
    <w:rsid w:val="47283A28"/>
    <w:rsid w:val="475D4571"/>
    <w:rsid w:val="47996410"/>
    <w:rsid w:val="47B7441E"/>
    <w:rsid w:val="47CC34D9"/>
    <w:rsid w:val="47DD7AD0"/>
    <w:rsid w:val="47E9061B"/>
    <w:rsid w:val="47F24BA4"/>
    <w:rsid w:val="484245C7"/>
    <w:rsid w:val="488D7CFE"/>
    <w:rsid w:val="48A2300D"/>
    <w:rsid w:val="49323FD7"/>
    <w:rsid w:val="493A685C"/>
    <w:rsid w:val="496F62BB"/>
    <w:rsid w:val="49E347E6"/>
    <w:rsid w:val="4A09189D"/>
    <w:rsid w:val="4A1946C3"/>
    <w:rsid w:val="4A73237F"/>
    <w:rsid w:val="4B3612A5"/>
    <w:rsid w:val="4B7C5E13"/>
    <w:rsid w:val="4C12409B"/>
    <w:rsid w:val="4C3E2B07"/>
    <w:rsid w:val="4C72305B"/>
    <w:rsid w:val="4D5424CA"/>
    <w:rsid w:val="4D680AB1"/>
    <w:rsid w:val="4D930C30"/>
    <w:rsid w:val="4D9B7742"/>
    <w:rsid w:val="4E213F25"/>
    <w:rsid w:val="4E9B14FE"/>
    <w:rsid w:val="4EAC5711"/>
    <w:rsid w:val="4ED50BCC"/>
    <w:rsid w:val="4EFB7245"/>
    <w:rsid w:val="4F701AF5"/>
    <w:rsid w:val="4FD23497"/>
    <w:rsid w:val="4FF9504E"/>
    <w:rsid w:val="500F43F8"/>
    <w:rsid w:val="502D1A52"/>
    <w:rsid w:val="505F4DFA"/>
    <w:rsid w:val="50C8686E"/>
    <w:rsid w:val="518052E8"/>
    <w:rsid w:val="51B2004B"/>
    <w:rsid w:val="52904232"/>
    <w:rsid w:val="52E3036A"/>
    <w:rsid w:val="53681C82"/>
    <w:rsid w:val="536F7A4A"/>
    <w:rsid w:val="54556AEA"/>
    <w:rsid w:val="549C486F"/>
    <w:rsid w:val="54D02413"/>
    <w:rsid w:val="54D916B7"/>
    <w:rsid w:val="55131A57"/>
    <w:rsid w:val="5560652A"/>
    <w:rsid w:val="55622629"/>
    <w:rsid w:val="56297134"/>
    <w:rsid w:val="56496D78"/>
    <w:rsid w:val="565D1DDC"/>
    <w:rsid w:val="569C1494"/>
    <w:rsid w:val="56DD03EC"/>
    <w:rsid w:val="56F50266"/>
    <w:rsid w:val="577D71D5"/>
    <w:rsid w:val="589B369A"/>
    <w:rsid w:val="59A70A18"/>
    <w:rsid w:val="59D9433B"/>
    <w:rsid w:val="5A3A2DDD"/>
    <w:rsid w:val="5A492DA3"/>
    <w:rsid w:val="5A4C6CD9"/>
    <w:rsid w:val="5A8F7FD7"/>
    <w:rsid w:val="5ACB7C5C"/>
    <w:rsid w:val="5B0913DA"/>
    <w:rsid w:val="5B2335F4"/>
    <w:rsid w:val="5BD3501A"/>
    <w:rsid w:val="5BE77D3E"/>
    <w:rsid w:val="5BF449CD"/>
    <w:rsid w:val="5BF918A2"/>
    <w:rsid w:val="5C2D3718"/>
    <w:rsid w:val="5C8C0313"/>
    <w:rsid w:val="5D7874FB"/>
    <w:rsid w:val="5DA23E07"/>
    <w:rsid w:val="5E772501"/>
    <w:rsid w:val="5E902273"/>
    <w:rsid w:val="5EB24BEC"/>
    <w:rsid w:val="5F1E1BAD"/>
    <w:rsid w:val="5F307916"/>
    <w:rsid w:val="5F610B8F"/>
    <w:rsid w:val="60491F52"/>
    <w:rsid w:val="615F10FE"/>
    <w:rsid w:val="61616C24"/>
    <w:rsid w:val="619C4100"/>
    <w:rsid w:val="61AD0E6A"/>
    <w:rsid w:val="61E635CD"/>
    <w:rsid w:val="61FE0917"/>
    <w:rsid w:val="62093465"/>
    <w:rsid w:val="624C125B"/>
    <w:rsid w:val="627F3286"/>
    <w:rsid w:val="62B8336A"/>
    <w:rsid w:val="635F5CFB"/>
    <w:rsid w:val="64061D04"/>
    <w:rsid w:val="64337579"/>
    <w:rsid w:val="64441196"/>
    <w:rsid w:val="644B0BAF"/>
    <w:rsid w:val="644E03A0"/>
    <w:rsid w:val="644E697D"/>
    <w:rsid w:val="64644513"/>
    <w:rsid w:val="64C37BF6"/>
    <w:rsid w:val="64DF440C"/>
    <w:rsid w:val="65091B75"/>
    <w:rsid w:val="651875E0"/>
    <w:rsid w:val="65442AE4"/>
    <w:rsid w:val="65444892"/>
    <w:rsid w:val="65461FDF"/>
    <w:rsid w:val="6568774A"/>
    <w:rsid w:val="65BC6440"/>
    <w:rsid w:val="65C36E7F"/>
    <w:rsid w:val="65D21A26"/>
    <w:rsid w:val="65FA5E5E"/>
    <w:rsid w:val="661105F0"/>
    <w:rsid w:val="6632293D"/>
    <w:rsid w:val="6632734D"/>
    <w:rsid w:val="663B7430"/>
    <w:rsid w:val="66444A53"/>
    <w:rsid w:val="666B27EE"/>
    <w:rsid w:val="668D4017"/>
    <w:rsid w:val="671E1CA4"/>
    <w:rsid w:val="672A0BC3"/>
    <w:rsid w:val="672F50CE"/>
    <w:rsid w:val="67662831"/>
    <w:rsid w:val="6779083A"/>
    <w:rsid w:val="67EF23C8"/>
    <w:rsid w:val="68386205"/>
    <w:rsid w:val="687775B2"/>
    <w:rsid w:val="68E32CF4"/>
    <w:rsid w:val="69340EAD"/>
    <w:rsid w:val="6A125484"/>
    <w:rsid w:val="6A1B14A7"/>
    <w:rsid w:val="6B241A17"/>
    <w:rsid w:val="6B2A0087"/>
    <w:rsid w:val="6B403B44"/>
    <w:rsid w:val="6BF2198C"/>
    <w:rsid w:val="6C4909E0"/>
    <w:rsid w:val="6CA125CA"/>
    <w:rsid w:val="6CF546C4"/>
    <w:rsid w:val="6D25144D"/>
    <w:rsid w:val="6D344EC4"/>
    <w:rsid w:val="6D545394"/>
    <w:rsid w:val="6D87532F"/>
    <w:rsid w:val="6DA700B4"/>
    <w:rsid w:val="6E0B76B6"/>
    <w:rsid w:val="6E1148C4"/>
    <w:rsid w:val="6E26547D"/>
    <w:rsid w:val="6E2A4841"/>
    <w:rsid w:val="6E2B6677"/>
    <w:rsid w:val="6E914282"/>
    <w:rsid w:val="6E9C0F6F"/>
    <w:rsid w:val="6F0E4EC3"/>
    <w:rsid w:val="6F123A5B"/>
    <w:rsid w:val="6F5F28E5"/>
    <w:rsid w:val="6F9C3A2B"/>
    <w:rsid w:val="70557737"/>
    <w:rsid w:val="70666005"/>
    <w:rsid w:val="70D5361D"/>
    <w:rsid w:val="71AD7318"/>
    <w:rsid w:val="71DD6189"/>
    <w:rsid w:val="72226529"/>
    <w:rsid w:val="725C1742"/>
    <w:rsid w:val="726D70E7"/>
    <w:rsid w:val="726F1A54"/>
    <w:rsid w:val="728E35F1"/>
    <w:rsid w:val="72A63D8F"/>
    <w:rsid w:val="7343331F"/>
    <w:rsid w:val="736E3270"/>
    <w:rsid w:val="73AA6208"/>
    <w:rsid w:val="73F456D6"/>
    <w:rsid w:val="74052CA9"/>
    <w:rsid w:val="7430043E"/>
    <w:rsid w:val="747D74F0"/>
    <w:rsid w:val="74C31ECB"/>
    <w:rsid w:val="74EE0377"/>
    <w:rsid w:val="75383CE8"/>
    <w:rsid w:val="7542383D"/>
    <w:rsid w:val="758F7329"/>
    <w:rsid w:val="75942919"/>
    <w:rsid w:val="75BE2624"/>
    <w:rsid w:val="75BE41ED"/>
    <w:rsid w:val="76250DC2"/>
    <w:rsid w:val="76316B17"/>
    <w:rsid w:val="76356EA7"/>
    <w:rsid w:val="7641171E"/>
    <w:rsid w:val="768371E5"/>
    <w:rsid w:val="77195A27"/>
    <w:rsid w:val="771A18F7"/>
    <w:rsid w:val="774921DC"/>
    <w:rsid w:val="77844FC2"/>
    <w:rsid w:val="77CF2B76"/>
    <w:rsid w:val="77E67A2B"/>
    <w:rsid w:val="7802530A"/>
    <w:rsid w:val="78AC52A2"/>
    <w:rsid w:val="78C673B0"/>
    <w:rsid w:val="791A150E"/>
    <w:rsid w:val="79C124FE"/>
    <w:rsid w:val="79E61F64"/>
    <w:rsid w:val="79F81F6C"/>
    <w:rsid w:val="7A0F14BB"/>
    <w:rsid w:val="7A2945E4"/>
    <w:rsid w:val="7AAA36FF"/>
    <w:rsid w:val="7B1D066B"/>
    <w:rsid w:val="7B524B8D"/>
    <w:rsid w:val="7BC938EC"/>
    <w:rsid w:val="7C184CBA"/>
    <w:rsid w:val="7C926D12"/>
    <w:rsid w:val="7C9C4E59"/>
    <w:rsid w:val="7D1772C6"/>
    <w:rsid w:val="7E092C14"/>
    <w:rsid w:val="7E096221"/>
    <w:rsid w:val="7E2F1D63"/>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6">
    <w:name w:val="heading 5"/>
    <w:basedOn w:val="1"/>
    <w:next w:val="7"/>
    <w:link w:val="6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9"/>
    <w:unhideWhenUsed/>
    <w:qFormat/>
    <w:uiPriority w:val="0"/>
    <w:pPr>
      <w:shd w:val="clear" w:color="auto" w:fill="000080"/>
    </w:pPr>
    <w:rPr>
      <w:rFonts w:hint="eastAsia" w:ascii="宋体" w:hAnsi="宋体"/>
      <w:kern w:val="0"/>
      <w:sz w:val="20"/>
      <w:szCs w:val="20"/>
    </w:rPr>
  </w:style>
  <w:style w:type="paragraph" w:styleId="17">
    <w:name w:val="annotation text"/>
    <w:basedOn w:val="1"/>
    <w:link w:val="70"/>
    <w:unhideWhenUsed/>
    <w:qFormat/>
    <w:uiPriority w:val="0"/>
    <w:pPr>
      <w:jc w:val="left"/>
    </w:pPr>
  </w:style>
  <w:style w:type="paragraph" w:styleId="18">
    <w:name w:val="Body Text 3"/>
    <w:basedOn w:val="1"/>
    <w:link w:val="71"/>
    <w:qFormat/>
    <w:uiPriority w:val="0"/>
    <w:pPr>
      <w:spacing w:line="500" w:lineRule="exact"/>
    </w:pPr>
    <w:rPr>
      <w:b/>
      <w:bCs/>
      <w:kern w:val="0"/>
      <w:sz w:val="24"/>
    </w:rPr>
  </w:style>
  <w:style w:type="paragraph" w:styleId="19">
    <w:name w:val="Body Text"/>
    <w:basedOn w:val="1"/>
    <w:next w:val="20"/>
    <w:link w:val="72"/>
    <w:qFormat/>
    <w:uiPriority w:val="99"/>
    <w:pPr>
      <w:spacing w:line="380" w:lineRule="exact"/>
    </w:pPr>
    <w:rPr>
      <w:kern w:val="0"/>
      <w:sz w:val="24"/>
    </w:rPr>
  </w:style>
  <w:style w:type="paragraph" w:styleId="20">
    <w:name w:val="Body Text First Indent 2"/>
    <w:basedOn w:val="21"/>
    <w:next w:val="1"/>
    <w:unhideWhenUsed/>
    <w:qFormat/>
    <w:uiPriority w:val="0"/>
    <w:pPr>
      <w:ind w:firstLine="420" w:firstLineChars="200"/>
    </w:pPr>
  </w:style>
  <w:style w:type="paragraph" w:styleId="21">
    <w:name w:val="Body Text Indent"/>
    <w:basedOn w:val="1"/>
    <w:link w:val="73"/>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3"/>
    <w:link w:val="74"/>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5"/>
    <w:qFormat/>
    <w:uiPriority w:val="0"/>
    <w:pPr>
      <w:ind w:left="100" w:leftChars="2500"/>
    </w:pPr>
    <w:rPr>
      <w:rFonts w:ascii="宋体" w:hAnsi="Courier New"/>
      <w:kern w:val="0"/>
      <w:sz w:val="20"/>
      <w:szCs w:val="21"/>
    </w:rPr>
  </w:style>
  <w:style w:type="paragraph" w:styleId="29">
    <w:name w:val="Body Text Indent 2"/>
    <w:basedOn w:val="1"/>
    <w:link w:val="76"/>
    <w:qFormat/>
    <w:uiPriority w:val="0"/>
    <w:pPr>
      <w:ind w:firstLine="630"/>
    </w:pPr>
    <w:rPr>
      <w:kern w:val="0"/>
      <w:sz w:val="32"/>
      <w:szCs w:val="20"/>
    </w:rPr>
  </w:style>
  <w:style w:type="paragraph" w:styleId="30">
    <w:name w:val="endnote text"/>
    <w:basedOn w:val="1"/>
    <w:link w:val="77"/>
    <w:unhideWhenUsed/>
    <w:qFormat/>
    <w:uiPriority w:val="99"/>
    <w:pPr>
      <w:snapToGrid w:val="0"/>
      <w:jc w:val="left"/>
    </w:pPr>
  </w:style>
  <w:style w:type="paragraph" w:styleId="31">
    <w:name w:val="Balloon Text"/>
    <w:basedOn w:val="1"/>
    <w:link w:val="78"/>
    <w:semiHidden/>
    <w:qFormat/>
    <w:uiPriority w:val="0"/>
    <w:rPr>
      <w:kern w:val="0"/>
      <w:sz w:val="18"/>
      <w:szCs w:val="18"/>
    </w:rPr>
  </w:style>
  <w:style w:type="paragraph" w:styleId="32">
    <w:name w:val="footer"/>
    <w:basedOn w:val="1"/>
    <w:link w:val="60"/>
    <w:unhideWhenUsed/>
    <w:qFormat/>
    <w:uiPriority w:val="99"/>
    <w:pPr>
      <w:tabs>
        <w:tab w:val="center" w:pos="4153"/>
        <w:tab w:val="right" w:pos="8306"/>
      </w:tabs>
      <w:snapToGrid w:val="0"/>
      <w:jc w:val="left"/>
    </w:pPr>
    <w:rPr>
      <w:kern w:val="0"/>
      <w:sz w:val="18"/>
      <w:szCs w:val="18"/>
    </w:rPr>
  </w:style>
  <w:style w:type="paragraph" w:styleId="33">
    <w:name w:val="header"/>
    <w:basedOn w:val="1"/>
    <w:link w:val="79"/>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80"/>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82"/>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link w:val="83"/>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4"/>
    <w:unhideWhenUsed/>
    <w:qFormat/>
    <w:uiPriority w:val="99"/>
    <w:rPr>
      <w:b/>
      <w:bCs/>
    </w:rPr>
  </w:style>
  <w:style w:type="paragraph" w:styleId="47">
    <w:name w:val="Body Text First Indent"/>
    <w:basedOn w:val="19"/>
    <w:unhideWhenUsed/>
    <w:qFormat/>
    <w:uiPriority w:val="0"/>
    <w:pPr>
      <w:tabs>
        <w:tab w:val="left" w:pos="987"/>
      </w:tabs>
      <w:spacing w:line="240" w:lineRule="auto"/>
      <w:ind w:firstLine="420" w:firstLineChars="100"/>
    </w:pPr>
    <w:rPr>
      <w:kern w:val="2"/>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basedOn w:val="50"/>
    <w:qFormat/>
    <w:uiPriority w:val="20"/>
    <w:rPr>
      <w:i/>
    </w:rPr>
  </w:style>
  <w:style w:type="character" w:styleId="56">
    <w:name w:val="Hyperlink"/>
    <w:qFormat/>
    <w:uiPriority w:val="99"/>
    <w:rPr>
      <w:color w:val="0000FF"/>
      <w:u w:val="single"/>
    </w:rPr>
  </w:style>
  <w:style w:type="character" w:styleId="57">
    <w:name w:val="annotation reference"/>
    <w:basedOn w:val="50"/>
    <w:unhideWhenUsed/>
    <w:qFormat/>
    <w:uiPriority w:val="0"/>
    <w:rPr>
      <w:sz w:val="21"/>
      <w:szCs w:val="21"/>
    </w:rPr>
  </w:style>
  <w:style w:type="character" w:styleId="58">
    <w:name w:val="footnote reference"/>
    <w:unhideWhenUsed/>
    <w:qFormat/>
    <w:uiPriority w:val="99"/>
    <w:rPr>
      <w:vertAlign w:val="superscript"/>
    </w:rPr>
  </w:style>
  <w:style w:type="paragraph" w:customStyle="1" w:styleId="5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0">
    <w:name w:val="页脚 字符1"/>
    <w:link w:val="32"/>
    <w:qFormat/>
    <w:uiPriority w:val="99"/>
    <w:rPr>
      <w:sz w:val="18"/>
      <w:szCs w:val="18"/>
    </w:rPr>
  </w:style>
  <w:style w:type="character" w:customStyle="1" w:styleId="61">
    <w:name w:val="标题 1 字符1"/>
    <w:link w:val="2"/>
    <w:qFormat/>
    <w:uiPriority w:val="0"/>
    <w:rPr>
      <w:rFonts w:ascii="Times New Roman" w:hAnsi="Times New Roman" w:eastAsia="宋体" w:cs="Times New Roman"/>
      <w:b/>
      <w:bCs/>
      <w:kern w:val="44"/>
      <w:sz w:val="44"/>
      <w:szCs w:val="44"/>
    </w:rPr>
  </w:style>
  <w:style w:type="character" w:customStyle="1" w:styleId="62">
    <w:name w:val="标题 2 字符"/>
    <w:link w:val="3"/>
    <w:qFormat/>
    <w:uiPriority w:val="0"/>
    <w:rPr>
      <w:rFonts w:ascii="Arial" w:hAnsi="Arial" w:eastAsia="黑体" w:cs="Times New Roman"/>
      <w:b/>
      <w:bCs/>
      <w:sz w:val="32"/>
      <w:szCs w:val="32"/>
    </w:rPr>
  </w:style>
  <w:style w:type="character" w:customStyle="1" w:styleId="63">
    <w:name w:val="标题 3 字符"/>
    <w:link w:val="4"/>
    <w:qFormat/>
    <w:uiPriority w:val="0"/>
    <w:rPr>
      <w:rFonts w:ascii="Times New Roman" w:hAnsi="Times New Roman" w:eastAsia="宋体" w:cs="Times New Roman"/>
      <w:b/>
      <w:bCs/>
      <w:sz w:val="32"/>
      <w:szCs w:val="32"/>
    </w:rPr>
  </w:style>
  <w:style w:type="character" w:customStyle="1" w:styleId="64">
    <w:name w:val="标题 5 字符"/>
    <w:link w:val="6"/>
    <w:qFormat/>
    <w:uiPriority w:val="0"/>
    <w:rPr>
      <w:b/>
      <w:kern w:val="2"/>
      <w:sz w:val="28"/>
      <w:szCs w:val="24"/>
    </w:rPr>
  </w:style>
  <w:style w:type="character" w:customStyle="1" w:styleId="65">
    <w:name w:val="标题 6 字符"/>
    <w:link w:val="8"/>
    <w:qFormat/>
    <w:uiPriority w:val="0"/>
    <w:rPr>
      <w:rFonts w:ascii="Arial" w:hAnsi="Arial" w:eastAsia="黑体"/>
      <w:b/>
      <w:kern w:val="2"/>
      <w:sz w:val="24"/>
      <w:szCs w:val="24"/>
    </w:rPr>
  </w:style>
  <w:style w:type="character" w:customStyle="1" w:styleId="66">
    <w:name w:val="标题 7 字符"/>
    <w:link w:val="9"/>
    <w:qFormat/>
    <w:uiPriority w:val="0"/>
    <w:rPr>
      <w:rFonts w:ascii="Times New Roman" w:hAnsi="Times New Roman"/>
      <w:b/>
      <w:kern w:val="2"/>
      <w:sz w:val="24"/>
      <w:szCs w:val="24"/>
    </w:rPr>
  </w:style>
  <w:style w:type="character" w:customStyle="1" w:styleId="67">
    <w:name w:val="标题 8 字符"/>
    <w:link w:val="10"/>
    <w:qFormat/>
    <w:uiPriority w:val="0"/>
    <w:rPr>
      <w:rFonts w:ascii="Arial" w:hAnsi="Arial" w:eastAsia="黑体"/>
      <w:kern w:val="2"/>
      <w:sz w:val="24"/>
      <w:szCs w:val="24"/>
    </w:rPr>
  </w:style>
  <w:style w:type="character" w:customStyle="1" w:styleId="68">
    <w:name w:val="标题 9 字符"/>
    <w:link w:val="11"/>
    <w:qFormat/>
    <w:uiPriority w:val="0"/>
    <w:rPr>
      <w:rFonts w:ascii="Arial" w:hAnsi="Arial" w:eastAsia="黑体"/>
      <w:kern w:val="2"/>
      <w:sz w:val="21"/>
      <w:szCs w:val="24"/>
    </w:rPr>
  </w:style>
  <w:style w:type="character" w:customStyle="1" w:styleId="69">
    <w:name w:val="文档结构图 字符"/>
    <w:link w:val="16"/>
    <w:qFormat/>
    <w:uiPriority w:val="0"/>
    <w:rPr>
      <w:rFonts w:hint="eastAsia" w:ascii="宋体" w:hAnsi="宋体" w:eastAsia="宋体" w:cs="宋体"/>
    </w:rPr>
  </w:style>
  <w:style w:type="character" w:customStyle="1" w:styleId="70">
    <w:name w:val="批注文字 字符2"/>
    <w:link w:val="17"/>
    <w:qFormat/>
    <w:uiPriority w:val="0"/>
    <w:rPr>
      <w:rFonts w:ascii="Times New Roman" w:hAnsi="Times New Roman"/>
      <w:kern w:val="2"/>
      <w:sz w:val="21"/>
      <w:szCs w:val="24"/>
    </w:rPr>
  </w:style>
  <w:style w:type="character" w:customStyle="1" w:styleId="71">
    <w:name w:val="正文文本 3 字符"/>
    <w:link w:val="18"/>
    <w:qFormat/>
    <w:uiPriority w:val="0"/>
    <w:rPr>
      <w:rFonts w:ascii="Times New Roman" w:hAnsi="Times New Roman" w:eastAsia="宋体" w:cs="Times New Roman"/>
      <w:b/>
      <w:bCs/>
      <w:sz w:val="24"/>
      <w:szCs w:val="24"/>
    </w:rPr>
  </w:style>
  <w:style w:type="character" w:customStyle="1" w:styleId="72">
    <w:name w:val="正文文本 字符"/>
    <w:link w:val="19"/>
    <w:qFormat/>
    <w:uiPriority w:val="99"/>
    <w:rPr>
      <w:rFonts w:ascii="Times New Roman" w:hAnsi="Times New Roman" w:eastAsia="宋体" w:cs="Times New Roman"/>
      <w:sz w:val="24"/>
      <w:szCs w:val="24"/>
    </w:rPr>
  </w:style>
  <w:style w:type="character" w:customStyle="1" w:styleId="73">
    <w:name w:val="正文文本缩进 字符1"/>
    <w:link w:val="21"/>
    <w:qFormat/>
    <w:uiPriority w:val="0"/>
    <w:rPr>
      <w:rFonts w:ascii="仿宋_GB2312" w:hAnsi="Times New Roman" w:eastAsia="仿宋_GB2312" w:cs="Times New Roman"/>
      <w:sz w:val="32"/>
      <w:szCs w:val="20"/>
    </w:rPr>
  </w:style>
  <w:style w:type="character" w:customStyle="1" w:styleId="74">
    <w:name w:val="纯文本 字符2"/>
    <w:link w:val="26"/>
    <w:qFormat/>
    <w:uiPriority w:val="0"/>
    <w:rPr>
      <w:rFonts w:ascii="宋体" w:hAnsi="Courier New" w:eastAsia="宋体" w:cs="Courier New"/>
      <w:szCs w:val="21"/>
    </w:rPr>
  </w:style>
  <w:style w:type="character" w:customStyle="1" w:styleId="75">
    <w:name w:val="日期 字符"/>
    <w:link w:val="28"/>
    <w:qFormat/>
    <w:uiPriority w:val="0"/>
    <w:rPr>
      <w:rFonts w:ascii="宋体" w:hAnsi="Courier New" w:eastAsia="宋体" w:cs="Courier New"/>
      <w:szCs w:val="21"/>
    </w:rPr>
  </w:style>
  <w:style w:type="character" w:customStyle="1" w:styleId="76">
    <w:name w:val="正文文本缩进 2 字符"/>
    <w:link w:val="29"/>
    <w:qFormat/>
    <w:uiPriority w:val="0"/>
    <w:rPr>
      <w:rFonts w:ascii="Times New Roman" w:hAnsi="Times New Roman" w:eastAsia="宋体" w:cs="Times New Roman"/>
      <w:sz w:val="32"/>
      <w:szCs w:val="20"/>
    </w:rPr>
  </w:style>
  <w:style w:type="character" w:customStyle="1" w:styleId="77">
    <w:name w:val="尾注文本 字符"/>
    <w:link w:val="30"/>
    <w:semiHidden/>
    <w:qFormat/>
    <w:uiPriority w:val="99"/>
    <w:rPr>
      <w:rFonts w:ascii="Times New Roman" w:hAnsi="Times New Roman"/>
      <w:kern w:val="2"/>
      <w:sz w:val="21"/>
      <w:szCs w:val="24"/>
    </w:rPr>
  </w:style>
  <w:style w:type="character" w:customStyle="1" w:styleId="78">
    <w:name w:val="批注框文本 字符"/>
    <w:link w:val="31"/>
    <w:semiHidden/>
    <w:qFormat/>
    <w:uiPriority w:val="0"/>
    <w:rPr>
      <w:rFonts w:ascii="Times New Roman" w:hAnsi="Times New Roman" w:eastAsia="宋体" w:cs="Times New Roman"/>
      <w:sz w:val="18"/>
      <w:szCs w:val="18"/>
    </w:rPr>
  </w:style>
  <w:style w:type="character" w:customStyle="1" w:styleId="79">
    <w:name w:val="页眉 字符"/>
    <w:link w:val="33"/>
    <w:qFormat/>
    <w:uiPriority w:val="99"/>
    <w:rPr>
      <w:rFonts w:ascii="Times New Roman" w:hAnsi="Times New Roman"/>
      <w:kern w:val="2"/>
      <w:sz w:val="18"/>
      <w:szCs w:val="18"/>
    </w:rPr>
  </w:style>
  <w:style w:type="character" w:customStyle="1" w:styleId="80">
    <w:name w:val="脚注文本 字符"/>
    <w:link w:val="37"/>
    <w:semiHidden/>
    <w:qFormat/>
    <w:uiPriority w:val="99"/>
    <w:rPr>
      <w:rFonts w:ascii="Times New Roman" w:hAnsi="Times New Roman"/>
      <w:kern w:val="2"/>
      <w:sz w:val="18"/>
      <w:szCs w:val="18"/>
    </w:rPr>
  </w:style>
  <w:style w:type="character" w:customStyle="1" w:styleId="81">
    <w:name w:val="正文文本缩进 3 字符"/>
    <w:link w:val="39"/>
    <w:qFormat/>
    <w:uiPriority w:val="0"/>
    <w:rPr>
      <w:rFonts w:ascii="Times New Roman" w:hAnsi="Times New Roman" w:eastAsia="宋体" w:cs="Times New Roman"/>
      <w:sz w:val="16"/>
      <w:szCs w:val="16"/>
    </w:rPr>
  </w:style>
  <w:style w:type="character" w:customStyle="1" w:styleId="82">
    <w:name w:val="正文文本 2 字符"/>
    <w:link w:val="42"/>
    <w:qFormat/>
    <w:uiPriority w:val="0"/>
    <w:rPr>
      <w:rFonts w:ascii="Times New Roman" w:hAnsi="Times New Roman" w:eastAsia="宋体" w:cs="Times New Roman"/>
      <w:szCs w:val="24"/>
    </w:rPr>
  </w:style>
  <w:style w:type="character" w:customStyle="1" w:styleId="83">
    <w:name w:val="标题 字符"/>
    <w:link w:val="45"/>
    <w:qFormat/>
    <w:uiPriority w:val="10"/>
    <w:rPr>
      <w:rFonts w:ascii="Cambria" w:hAnsi="Cambria" w:cs="Times New Roman"/>
      <w:b/>
      <w:bCs/>
      <w:kern w:val="2"/>
      <w:sz w:val="32"/>
      <w:szCs w:val="32"/>
    </w:rPr>
  </w:style>
  <w:style w:type="character" w:customStyle="1" w:styleId="84">
    <w:name w:val="批注主题 字符"/>
    <w:link w:val="46"/>
    <w:semiHidden/>
    <w:qFormat/>
    <w:uiPriority w:val="99"/>
    <w:rPr>
      <w:rFonts w:ascii="Times New Roman" w:hAnsi="Times New Roman"/>
      <w:b/>
      <w:bCs/>
      <w:kern w:val="2"/>
      <w:sz w:val="21"/>
      <w:szCs w:val="24"/>
    </w:rPr>
  </w:style>
  <w:style w:type="paragraph" w:customStyle="1" w:styleId="85">
    <w:name w:val="表格文字115"/>
    <w:basedOn w:val="1"/>
    <w:qFormat/>
    <w:uiPriority w:val="0"/>
    <w:pPr>
      <w:spacing w:before="25" w:after="25"/>
      <w:jc w:val="left"/>
    </w:pPr>
    <w:rPr>
      <w:bCs/>
      <w:spacing w:val="10"/>
      <w:kern w:val="0"/>
      <w:sz w:val="24"/>
    </w:rPr>
  </w:style>
  <w:style w:type="character" w:customStyle="1" w:styleId="86">
    <w:name w:val="页脚 字符"/>
    <w:qFormat/>
    <w:uiPriority w:val="99"/>
  </w:style>
  <w:style w:type="character" w:customStyle="1" w:styleId="87">
    <w:name w:val="纯文本 字符"/>
    <w:qFormat/>
    <w:uiPriority w:val="0"/>
    <w:rPr>
      <w:rFonts w:ascii="宋体" w:hAnsi="Courier New" w:eastAsia="宋体" w:cs="Courier New"/>
      <w:szCs w:val="21"/>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font41"/>
    <w:basedOn w:val="50"/>
    <w:qFormat/>
    <w:uiPriority w:val="0"/>
    <w:rPr>
      <w:rFonts w:hint="eastAsia" w:ascii="宋体" w:hAnsi="宋体" w:eastAsia="宋体" w:cs="宋体"/>
      <w:color w:val="000000"/>
      <w:sz w:val="20"/>
      <w:szCs w:val="20"/>
      <w:u w:val="none"/>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批注文字 字符"/>
    <w:qFormat/>
    <w:uiPriority w:val="0"/>
    <w:rPr>
      <w:rFonts w:ascii="Times New Roman" w:hAnsi="Times New Roman"/>
      <w:kern w:val="2"/>
      <w:sz w:val="21"/>
      <w:szCs w:val="24"/>
    </w:rPr>
  </w:style>
  <w:style w:type="character" w:customStyle="1" w:styleId="92">
    <w:name w:val="case31"/>
    <w:qFormat/>
    <w:uiPriority w:val="0"/>
    <w:rPr>
      <w:rFonts w:hint="default" w:ascii="_x000B__x000C_" w:hAnsi="_x000B__x000C_"/>
      <w:sz w:val="21"/>
      <w:szCs w:val="21"/>
    </w:rPr>
  </w:style>
  <w:style w:type="character" w:customStyle="1" w:styleId="93">
    <w:name w:val="标题 5 Char"/>
    <w:qFormat/>
    <w:uiPriority w:val="0"/>
    <w:rPr>
      <w:b/>
      <w:kern w:val="2"/>
      <w:sz w:val="28"/>
      <w:szCs w:val="24"/>
    </w:rPr>
  </w:style>
  <w:style w:type="character" w:customStyle="1" w:styleId="94">
    <w:name w:val="正文2 Char Char"/>
    <w:link w:val="95"/>
    <w:qFormat/>
    <w:uiPriority w:val="0"/>
    <w:rPr>
      <w:kern w:val="2"/>
      <w:sz w:val="24"/>
    </w:rPr>
  </w:style>
  <w:style w:type="paragraph" w:customStyle="1" w:styleId="95">
    <w:name w:val="正文2"/>
    <w:basedOn w:val="1"/>
    <w:link w:val="94"/>
    <w:qFormat/>
    <w:uiPriority w:val="0"/>
    <w:pPr>
      <w:adjustRightInd w:val="0"/>
      <w:spacing w:before="156" w:line="360" w:lineRule="auto"/>
      <w:ind w:firstLine="510" w:firstLineChars="200"/>
    </w:pPr>
    <w:rPr>
      <w:sz w:val="24"/>
      <w:szCs w:val="20"/>
    </w:rPr>
  </w:style>
  <w:style w:type="character" w:customStyle="1" w:styleId="96">
    <w:name w:val="纯文本 字符1"/>
    <w:qFormat/>
    <w:uiPriority w:val="0"/>
    <w:rPr>
      <w:rFonts w:ascii="宋体" w:hAnsi="Courier New"/>
    </w:rPr>
  </w:style>
  <w:style w:type="character" w:customStyle="1" w:styleId="97">
    <w:name w:val="正文文本缩进 字符"/>
    <w:qFormat/>
    <w:uiPriority w:val="0"/>
    <w:rPr>
      <w:rFonts w:ascii="仿宋_GB2312" w:hAnsi="Times New Roman" w:eastAsia="仿宋_GB2312" w:cs="Times New Roman"/>
      <w:sz w:val="32"/>
      <w:szCs w:val="20"/>
    </w:rPr>
  </w:style>
  <w:style w:type="character" w:customStyle="1" w:styleId="98">
    <w:name w:val="批注文字 Char"/>
    <w:qFormat/>
    <w:uiPriority w:val="0"/>
    <w:rPr>
      <w:rFonts w:ascii="Times New Roman" w:hAnsi="Times New Roman"/>
      <w:kern w:val="2"/>
      <w:sz w:val="21"/>
      <w:szCs w:val="24"/>
    </w:rPr>
  </w:style>
  <w:style w:type="character" w:customStyle="1" w:styleId="99">
    <w:name w:val="批注文字 Char1"/>
    <w:semiHidden/>
    <w:qFormat/>
    <w:locked/>
    <w:uiPriority w:val="0"/>
    <w:rPr>
      <w:rFonts w:ascii="Times New Roman" w:hAnsi="Times New Roman"/>
      <w:kern w:val="2"/>
      <w:sz w:val="21"/>
      <w:szCs w:val="24"/>
    </w:rPr>
  </w:style>
  <w:style w:type="character" w:customStyle="1" w:styleId="100">
    <w:name w:val="纯文本 Char3"/>
    <w:qFormat/>
    <w:uiPriority w:val="0"/>
    <w:rPr>
      <w:rFonts w:ascii="宋体" w:hAnsi="Courier New" w:eastAsia="宋体" w:cs="Courier New"/>
      <w:szCs w:val="21"/>
    </w:rPr>
  </w:style>
  <w:style w:type="character" w:customStyle="1" w:styleId="101">
    <w:name w:val="headline-content4"/>
    <w:qFormat/>
    <w:uiPriority w:val="0"/>
  </w:style>
  <w:style w:type="character" w:customStyle="1" w:styleId="102">
    <w:name w:val="普通文字 Char Char2"/>
    <w:qFormat/>
    <w:uiPriority w:val="0"/>
    <w:rPr>
      <w:rFonts w:ascii="宋体" w:hAnsi="Courier New" w:eastAsia="宋体"/>
      <w:kern w:val="2"/>
      <w:sz w:val="21"/>
      <w:lang w:val="en-US" w:eastAsia="zh-CN" w:bidi="ar-SA"/>
    </w:rPr>
  </w:style>
  <w:style w:type="character" w:customStyle="1" w:styleId="103">
    <w:name w:val="textcontents"/>
    <w:qFormat/>
    <w:uiPriority w:val="0"/>
  </w:style>
  <w:style w:type="character" w:customStyle="1" w:styleId="104">
    <w:name w:val="正文文本 Char1"/>
    <w:semiHidden/>
    <w:qFormat/>
    <w:locked/>
    <w:uiPriority w:val="99"/>
    <w:rPr>
      <w:sz w:val="24"/>
      <w:szCs w:val="24"/>
    </w:rPr>
  </w:style>
  <w:style w:type="character" w:customStyle="1" w:styleId="105">
    <w:name w:val="纯文本 Char"/>
    <w:qFormat/>
    <w:uiPriority w:val="0"/>
    <w:rPr>
      <w:rFonts w:ascii="宋体" w:hAnsi="Courier New" w:eastAsia="宋体"/>
      <w:kern w:val="2"/>
      <w:sz w:val="21"/>
      <w:lang w:val="en-US" w:eastAsia="zh-CN" w:bidi="ar-SA"/>
    </w:rPr>
  </w:style>
  <w:style w:type="character" w:customStyle="1" w:styleId="106">
    <w:name w:val="apple-style-span"/>
    <w:qFormat/>
    <w:uiPriority w:val="0"/>
  </w:style>
  <w:style w:type="character" w:customStyle="1" w:styleId="10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8">
    <w:name w:val="font61"/>
    <w:basedOn w:val="50"/>
    <w:qFormat/>
    <w:uiPriority w:val="0"/>
    <w:rPr>
      <w:rFonts w:ascii="Arial" w:hAnsi="Arial" w:cs="Arial"/>
      <w:color w:val="000000"/>
      <w:sz w:val="20"/>
      <w:szCs w:val="20"/>
      <w:u w:val="none"/>
    </w:rPr>
  </w:style>
  <w:style w:type="character" w:customStyle="1" w:styleId="109">
    <w:name w:val="font71"/>
    <w:basedOn w:val="50"/>
    <w:qFormat/>
    <w:uiPriority w:val="0"/>
    <w:rPr>
      <w:rFonts w:hint="eastAsia" w:ascii="宋体" w:hAnsi="宋体" w:eastAsia="宋体" w:cs="宋体"/>
      <w:b/>
      <w:color w:val="000000"/>
      <w:sz w:val="20"/>
      <w:szCs w:val="20"/>
      <w:u w:val="none"/>
    </w:rPr>
  </w:style>
  <w:style w:type="paragraph" w:customStyle="1" w:styleId="110">
    <w:name w:val="标题3"/>
    <w:basedOn w:val="4"/>
    <w:next w:val="1"/>
    <w:qFormat/>
    <w:uiPriority w:val="0"/>
    <w:pPr>
      <w:spacing w:before="200" w:after="200" w:line="360" w:lineRule="auto"/>
    </w:pPr>
    <w:rPr>
      <w:rFonts w:ascii="黑体" w:hAnsi="黑体" w:eastAsia="黑体"/>
      <w:bCs w:val="0"/>
      <w:sz w:val="24"/>
      <w:szCs w:val="24"/>
    </w:rPr>
  </w:style>
  <w:style w:type="paragraph" w:customStyle="1" w:styleId="111">
    <w:name w:val="目录 81"/>
    <w:basedOn w:val="1"/>
    <w:next w:val="1"/>
    <w:qFormat/>
    <w:uiPriority w:val="0"/>
    <w:pPr>
      <w:ind w:left="1470"/>
    </w:pPr>
    <w:rPr>
      <w:sz w:val="18"/>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纯文本1"/>
    <w:basedOn w:val="1"/>
    <w:qFormat/>
    <w:uiPriority w:val="0"/>
    <w:rPr>
      <w:rFonts w:ascii="宋体" w:hAnsi="Courier New" w:cs="Century"/>
      <w:szCs w:val="21"/>
    </w:r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表格"/>
    <w:basedOn w:val="1"/>
    <w:qFormat/>
    <w:uiPriority w:val="0"/>
    <w:pPr>
      <w:spacing w:line="400" w:lineRule="exact"/>
    </w:pPr>
    <w:rPr>
      <w:sz w:val="24"/>
    </w:rPr>
  </w:style>
  <w:style w:type="paragraph" w:customStyle="1" w:styleId="117">
    <w:name w:val="样式 首行缩进:  2 字符"/>
    <w:basedOn w:val="1"/>
    <w:qFormat/>
    <w:uiPriority w:val="0"/>
    <w:pPr>
      <w:spacing w:line="400" w:lineRule="exact"/>
      <w:ind w:firstLine="200" w:firstLineChars="200"/>
    </w:pPr>
    <w:rPr>
      <w:rFonts w:cs="宋体"/>
      <w:sz w:val="24"/>
    </w:rPr>
  </w:style>
  <w:style w:type="paragraph" w:customStyle="1" w:styleId="11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9">
    <w:name w:val="Char1"/>
    <w:basedOn w:val="1"/>
    <w:qFormat/>
    <w:uiPriority w:val="0"/>
    <w:rPr>
      <w:szCs w:val="21"/>
    </w:rPr>
  </w:style>
  <w:style w:type="paragraph" w:customStyle="1" w:styleId="120">
    <w:name w:val="Table Paragraph"/>
    <w:basedOn w:val="1"/>
    <w:qFormat/>
    <w:uiPriority w:val="1"/>
    <w:pPr>
      <w:jc w:val="left"/>
    </w:pPr>
    <w:rPr>
      <w:rFonts w:ascii="Calibri" w:hAnsi="Calibri"/>
      <w:kern w:val="0"/>
      <w:sz w:val="22"/>
      <w:szCs w:val="22"/>
      <w:lang w:eastAsia="en-US"/>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正文段"/>
    <w:basedOn w:val="1"/>
    <w:qFormat/>
    <w:uiPriority w:val="0"/>
    <w:pPr>
      <w:widowControl/>
      <w:snapToGrid w:val="0"/>
      <w:spacing w:after="50" w:afterLines="50"/>
      <w:ind w:firstLine="200" w:firstLineChars="200"/>
    </w:pPr>
    <w:rPr>
      <w:kern w:val="0"/>
      <w:sz w:val="24"/>
      <w:szCs w:val="20"/>
    </w:rPr>
  </w:style>
  <w:style w:type="paragraph" w:customStyle="1" w:styleId="123">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12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25">
    <w:name w:val="List Paragraph"/>
    <w:basedOn w:val="1"/>
    <w:qFormat/>
    <w:uiPriority w:val="34"/>
    <w:pPr>
      <w:ind w:firstLine="420" w:firstLineChars="200"/>
    </w:pPr>
  </w:style>
  <w:style w:type="paragraph" w:customStyle="1" w:styleId="126">
    <w:name w:val="_Style 121"/>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8">
    <w:name w:val="标题3（投标须知）"/>
    <w:basedOn w:val="110"/>
    <w:next w:val="129"/>
    <w:qFormat/>
    <w:uiPriority w:val="0"/>
    <w:pPr>
      <w:spacing w:line="240" w:lineRule="auto"/>
      <w:jc w:val="center"/>
    </w:pPr>
    <w:rPr>
      <w:bCs/>
      <w:sz w:val="30"/>
    </w:rPr>
  </w:style>
  <w:style w:type="paragraph" w:customStyle="1" w:styleId="129">
    <w:name w:val="标题4"/>
    <w:basedOn w:val="1"/>
    <w:next w:val="1"/>
    <w:qFormat/>
    <w:uiPriority w:val="0"/>
    <w:pPr>
      <w:ind w:firstLine="176" w:firstLineChars="176"/>
      <w:outlineLvl w:val="3"/>
    </w:pPr>
    <w:rPr>
      <w:rFonts w:ascii="黑体" w:hAnsi="黑体" w:eastAsia="黑体"/>
      <w:b/>
      <w:bCs/>
      <w:sz w:val="24"/>
    </w:rPr>
  </w:style>
  <w:style w:type="paragraph" w:customStyle="1" w:styleId="130">
    <w:name w:val="List Paragraph1"/>
    <w:basedOn w:val="1"/>
    <w:qFormat/>
    <w:uiPriority w:val="99"/>
    <w:rPr>
      <w:sz w:val="20"/>
    </w:rPr>
  </w:style>
  <w:style w:type="paragraph" w:customStyle="1" w:styleId="131">
    <w:name w:val="p15"/>
    <w:basedOn w:val="1"/>
    <w:qFormat/>
    <w:uiPriority w:val="0"/>
    <w:pPr>
      <w:widowControl/>
    </w:pPr>
    <w:rPr>
      <w:rFonts w:ascii="宋体" w:hAnsi="宋体" w:cs="宋体"/>
      <w:kern w:val="0"/>
      <w:szCs w:val="21"/>
    </w:rPr>
  </w:style>
  <w:style w:type="table" w:customStyle="1" w:styleId="13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3">
    <w:name w:val="font51"/>
    <w:basedOn w:val="50"/>
    <w:qFormat/>
    <w:uiPriority w:val="0"/>
    <w:rPr>
      <w:rFonts w:hint="eastAsia" w:ascii="宋体" w:hAnsi="宋体" w:eastAsia="宋体" w:cs="宋体"/>
      <w:color w:val="000000"/>
      <w:sz w:val="20"/>
      <w:szCs w:val="20"/>
      <w:u w:val="none"/>
    </w:rPr>
  </w:style>
  <w:style w:type="character" w:customStyle="1" w:styleId="134">
    <w:name w:val="font101"/>
    <w:basedOn w:val="50"/>
    <w:qFormat/>
    <w:uiPriority w:val="0"/>
    <w:rPr>
      <w:rFonts w:hint="eastAsia" w:ascii="宋体" w:hAnsi="宋体" w:eastAsia="宋体" w:cs="宋体"/>
      <w:color w:val="000000"/>
      <w:sz w:val="18"/>
      <w:szCs w:val="18"/>
      <w:u w:val="none"/>
    </w:rPr>
  </w:style>
  <w:style w:type="character" w:customStyle="1" w:styleId="135">
    <w:name w:val="font11"/>
    <w:basedOn w:val="5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187</Pages>
  <Words>12879</Words>
  <Characters>15725</Characters>
  <Lines>960</Lines>
  <Paragraphs>270</Paragraphs>
  <TotalTime>92</TotalTime>
  <ScaleCrop>false</ScaleCrop>
  <LinksUpToDate>false</LinksUpToDate>
  <CharactersWithSpaces>16136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2021-12-31T07:57:00Z</dcterms:created>
  <dc:creator>番茄花园</dc:creator>
  <cp:lastModifiedBy>QXL</cp:lastModifiedBy>
  <cp:lastPrinted>2019-09-27T01:36:00Z</cp:lastPrinted>
  <dcterms:modified xsi:type="dcterms:W3CDTF">2025-05-26T15:05:07Z</dcterms:modified>
  <dc:title>公开招标采购文件范本</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5424E23B76DB425C81CDFC6BA7B990DD_13</vt:lpwstr>
  </property>
  <property fmtid="{D5CDD505-2E9C-101B-9397-08002B2CF9AE}" pid="4" name="KSOTemplateDocerSaveRecord">
    <vt:lpwstr>eyJoZGlkIjoiZDliZGE4ZjhmMjNkNWY5MDA0ZTljNDUyOWY3YmEyMWMiLCJ1c2VySWQiOiI5Njg0NDYzNDQifQ==</vt:lpwstr>
  </property>
</Properties>
</file>