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BDFC2">
      <w:pPr>
        <w:pStyle w:val="17"/>
        <w:jc w:val="center"/>
        <w:rPr>
          <w:rFonts w:hint="eastAsia" w:hAnsi="宋体" w:cs="宋体"/>
          <w:bCs/>
          <w:sz w:val="64"/>
          <w:szCs w:val="64"/>
        </w:rPr>
      </w:pPr>
      <w:r>
        <w:rPr>
          <w:rFonts w:hint="eastAsia" w:hAnsi="宋体" w:cs="宋体"/>
          <w:bCs/>
          <w:sz w:val="64"/>
          <w:szCs w:val="64"/>
        </w:rPr>
        <w:t>广西正海招标有限公司</w:t>
      </w:r>
    </w:p>
    <w:p w14:paraId="33ADE78C"/>
    <w:p w14:paraId="3EEC55B4">
      <w:pPr>
        <w:ind w:firstLine="420"/>
        <w:rPr>
          <w:rFonts w:hint="eastAsia" w:ascii="宋体" w:hAnsi="宋体" w:cs="宋体"/>
        </w:rPr>
      </w:pPr>
    </w:p>
    <w:p w14:paraId="126F3601">
      <w:pPr>
        <w:pStyle w:val="17"/>
        <w:jc w:val="center"/>
        <w:rPr>
          <w:rFonts w:hint="eastAsia" w:hAnsi="宋体" w:cs="宋体"/>
          <w:b/>
          <w:sz w:val="72"/>
          <w:szCs w:val="72"/>
        </w:rPr>
      </w:pPr>
    </w:p>
    <w:p w14:paraId="448B3CD9">
      <w:pPr>
        <w:pStyle w:val="17"/>
        <w:jc w:val="center"/>
        <w:rPr>
          <w:rFonts w:hint="eastAsia" w:hAnsi="宋体" w:cs="宋体"/>
          <w:b/>
          <w:sz w:val="72"/>
          <w:szCs w:val="72"/>
        </w:rPr>
      </w:pPr>
      <w:r>
        <w:rPr>
          <w:rFonts w:hint="eastAsia" w:hAnsi="宋体" w:cs="宋体"/>
          <w:b/>
          <w:sz w:val="72"/>
          <w:szCs w:val="72"/>
        </w:rPr>
        <w:t>竞争性谈判文件</w:t>
      </w:r>
    </w:p>
    <w:p w14:paraId="5699A18D">
      <w:pPr>
        <w:pStyle w:val="17"/>
        <w:ind w:firstLine="402"/>
        <w:rPr>
          <w:rFonts w:hint="eastAsia" w:hAnsi="宋体" w:cs="宋体"/>
          <w:b/>
        </w:rPr>
      </w:pPr>
    </w:p>
    <w:p w14:paraId="65B1C2F3">
      <w:pPr>
        <w:pStyle w:val="17"/>
        <w:ind w:firstLine="402"/>
        <w:rPr>
          <w:rFonts w:hint="eastAsia" w:hAnsi="宋体" w:cs="宋体"/>
          <w:b/>
        </w:rPr>
      </w:pPr>
    </w:p>
    <w:p w14:paraId="63A074D2">
      <w:pPr>
        <w:snapToGrid w:val="0"/>
        <w:spacing w:before="156" w:beforeLines="50"/>
        <w:jc w:val="center"/>
        <w:rPr>
          <w:rFonts w:hint="eastAsia" w:ascii="宋体" w:hAnsi="宋体" w:cs="宋体"/>
          <w:b/>
          <w:sz w:val="36"/>
          <w:szCs w:val="36"/>
        </w:rPr>
      </w:pPr>
      <w:r>
        <w:rPr>
          <w:rFonts w:hint="eastAsia" w:ascii="宋体" w:hAnsi="宋体" w:cs="宋体"/>
          <w:b/>
          <w:sz w:val="36"/>
          <w:szCs w:val="36"/>
        </w:rPr>
        <w:t>（全流程电子化采购）</w:t>
      </w:r>
    </w:p>
    <w:p w14:paraId="06F25AF7">
      <w:pPr>
        <w:pStyle w:val="17"/>
        <w:ind w:firstLine="402"/>
        <w:rPr>
          <w:rFonts w:hint="eastAsia" w:hAnsi="宋体" w:cs="宋体"/>
          <w:b/>
        </w:rPr>
      </w:pPr>
    </w:p>
    <w:p w14:paraId="0E2D2B9C">
      <w:pPr>
        <w:pStyle w:val="20"/>
        <w:rPr>
          <w:rFonts w:hint="eastAsia" w:ascii="宋体" w:hAnsi="宋体" w:cs="宋体"/>
          <w:b/>
        </w:rPr>
      </w:pPr>
    </w:p>
    <w:p w14:paraId="60BA3BD1">
      <w:pPr>
        <w:pStyle w:val="20"/>
        <w:rPr>
          <w:rFonts w:hint="eastAsia" w:ascii="宋体" w:hAnsi="宋体" w:cs="宋体"/>
          <w:b/>
        </w:rPr>
      </w:pPr>
    </w:p>
    <w:p w14:paraId="1F0A253B">
      <w:pPr>
        <w:pStyle w:val="17"/>
        <w:ind w:firstLine="402"/>
        <w:rPr>
          <w:rFonts w:hint="eastAsia" w:hAnsi="宋体" w:cs="宋体"/>
          <w:b/>
        </w:rPr>
      </w:pPr>
    </w:p>
    <w:p w14:paraId="7961F318">
      <w:pPr>
        <w:pStyle w:val="17"/>
        <w:ind w:firstLine="402"/>
        <w:rPr>
          <w:rFonts w:hint="eastAsia" w:hAnsi="宋体" w:cs="宋体"/>
          <w:b/>
        </w:rPr>
      </w:pPr>
    </w:p>
    <w:p w14:paraId="0EC6477A">
      <w:pPr>
        <w:pStyle w:val="17"/>
        <w:spacing w:line="360" w:lineRule="auto"/>
        <w:ind w:firstLine="1205" w:firstLineChars="400"/>
        <w:rPr>
          <w:rFonts w:hint="eastAsia" w:hAnsi="宋体" w:cs="宋体"/>
          <w:b/>
          <w:sz w:val="30"/>
          <w:szCs w:val="72"/>
        </w:rPr>
      </w:pPr>
      <w:r>
        <w:rPr>
          <w:rFonts w:hint="eastAsia" w:hAnsi="宋体" w:cs="宋体"/>
          <w:b/>
          <w:sz w:val="30"/>
          <w:szCs w:val="72"/>
        </w:rPr>
        <w:t>项目名称：康复楼多功能康养用房设备购置项目</w:t>
      </w:r>
    </w:p>
    <w:p w14:paraId="245D7F01">
      <w:pPr>
        <w:pStyle w:val="17"/>
        <w:ind w:firstLine="1205" w:firstLineChars="400"/>
        <w:rPr>
          <w:rFonts w:hint="eastAsia" w:hAnsi="宋体" w:cs="宋体"/>
          <w:b/>
          <w:sz w:val="30"/>
          <w:szCs w:val="72"/>
        </w:rPr>
      </w:pPr>
    </w:p>
    <w:p w14:paraId="1BFC5948">
      <w:pPr>
        <w:pStyle w:val="17"/>
        <w:ind w:firstLine="1205" w:firstLineChars="400"/>
        <w:rPr>
          <w:rFonts w:hint="eastAsia" w:hAnsi="宋体" w:eastAsia="宋体" w:cs="宋体"/>
          <w:b/>
          <w:sz w:val="30"/>
          <w:szCs w:val="72"/>
          <w:lang w:eastAsia="zh-CN"/>
        </w:rPr>
      </w:pPr>
      <w:r>
        <w:rPr>
          <w:rFonts w:hint="eastAsia" w:hAnsi="宋体" w:cs="宋体"/>
          <w:b/>
          <w:sz w:val="30"/>
          <w:szCs w:val="72"/>
        </w:rPr>
        <w:t>项目编号：</w:t>
      </w:r>
      <w:r>
        <w:rPr>
          <w:rFonts w:hint="eastAsia" w:hAnsi="宋体" w:cs="宋体"/>
          <w:b/>
          <w:sz w:val="30"/>
          <w:szCs w:val="72"/>
          <w:lang w:eastAsia="zh-CN"/>
        </w:rPr>
        <w:t>GXZC2025-J1-003307-ZHZB</w:t>
      </w:r>
    </w:p>
    <w:p w14:paraId="5485E641">
      <w:pPr>
        <w:pStyle w:val="17"/>
        <w:ind w:firstLine="1958" w:firstLineChars="650"/>
        <w:rPr>
          <w:rFonts w:hint="eastAsia" w:hAnsi="宋体" w:cs="宋体"/>
          <w:b/>
          <w:sz w:val="30"/>
          <w:szCs w:val="72"/>
        </w:rPr>
      </w:pPr>
    </w:p>
    <w:p w14:paraId="67C61530">
      <w:pPr>
        <w:rPr>
          <w:b/>
        </w:rPr>
      </w:pPr>
    </w:p>
    <w:p w14:paraId="15A1C44A">
      <w:pPr>
        <w:pStyle w:val="17"/>
        <w:ind w:firstLine="1205" w:firstLineChars="400"/>
        <w:rPr>
          <w:rFonts w:hint="eastAsia" w:hAnsi="宋体" w:cs="宋体"/>
          <w:b/>
          <w:sz w:val="30"/>
          <w:szCs w:val="72"/>
        </w:rPr>
      </w:pPr>
      <w:r>
        <w:rPr>
          <w:rFonts w:hint="eastAsia" w:hAnsi="宋体" w:cs="宋体"/>
          <w:b/>
          <w:sz w:val="30"/>
          <w:szCs w:val="72"/>
        </w:rPr>
        <w:t>采购人：</w:t>
      </w:r>
      <w:r>
        <w:rPr>
          <w:rFonts w:hAnsi="宋体" w:cs="宋体"/>
          <w:b/>
          <w:spacing w:val="-6"/>
          <w:sz w:val="30"/>
          <w:szCs w:val="72"/>
        </w:rPr>
        <w:t>广西壮族自治区退役军人康复中心</w:t>
      </w:r>
    </w:p>
    <w:p w14:paraId="3BBDB004">
      <w:pPr>
        <w:pStyle w:val="17"/>
        <w:ind w:firstLine="1205" w:firstLineChars="400"/>
        <w:rPr>
          <w:rFonts w:hint="eastAsia" w:hAnsi="宋体" w:cs="宋体"/>
          <w:b/>
          <w:sz w:val="30"/>
          <w:szCs w:val="72"/>
        </w:rPr>
      </w:pPr>
    </w:p>
    <w:p w14:paraId="3BF3EAAE">
      <w:pPr>
        <w:pStyle w:val="17"/>
        <w:ind w:firstLine="1205" w:firstLineChars="400"/>
        <w:rPr>
          <w:rFonts w:hint="eastAsia" w:hAnsi="宋体" w:cs="宋体"/>
          <w:b/>
          <w:sz w:val="30"/>
          <w:szCs w:val="72"/>
        </w:rPr>
      </w:pPr>
      <w:r>
        <w:rPr>
          <w:rFonts w:hint="eastAsia" w:hAnsi="宋体" w:cs="宋体"/>
          <w:b/>
          <w:sz w:val="30"/>
          <w:szCs w:val="72"/>
        </w:rPr>
        <w:t>采购代理机构：广西正海招标有限公司</w:t>
      </w:r>
    </w:p>
    <w:p w14:paraId="457A4FFE">
      <w:pPr>
        <w:pStyle w:val="17"/>
        <w:ind w:firstLine="3300" w:firstLineChars="1100"/>
        <w:rPr>
          <w:rFonts w:hint="eastAsia" w:hAnsi="宋体" w:cs="宋体"/>
          <w:bCs/>
          <w:sz w:val="30"/>
          <w:szCs w:val="72"/>
        </w:rPr>
      </w:pPr>
    </w:p>
    <w:p w14:paraId="735E1387">
      <w:pPr>
        <w:pStyle w:val="17"/>
        <w:ind w:firstLine="3313" w:firstLineChars="1100"/>
        <w:rPr>
          <w:rFonts w:hint="eastAsia" w:hAnsi="宋体" w:cs="宋体"/>
          <w:b/>
          <w:sz w:val="30"/>
          <w:szCs w:val="72"/>
        </w:rPr>
      </w:pPr>
      <w:r>
        <w:rPr>
          <w:rFonts w:hint="eastAsia" w:hAnsi="宋体" w:cs="宋体"/>
          <w:b/>
          <w:sz w:val="30"/>
          <w:szCs w:val="72"/>
        </w:rPr>
        <w:t>202</w:t>
      </w:r>
      <w:r>
        <w:rPr>
          <w:rFonts w:hAnsi="宋体" w:cs="宋体"/>
          <w:b/>
          <w:sz w:val="30"/>
          <w:szCs w:val="72"/>
        </w:rPr>
        <w:t>5</w:t>
      </w:r>
      <w:r>
        <w:rPr>
          <w:rFonts w:hint="eastAsia" w:hAnsi="宋体" w:cs="宋体"/>
          <w:b/>
          <w:sz w:val="30"/>
          <w:szCs w:val="72"/>
        </w:rPr>
        <w:t>年</w:t>
      </w:r>
      <w:r>
        <w:rPr>
          <w:rFonts w:hint="eastAsia" w:hAnsi="宋体" w:cs="宋体"/>
          <w:b/>
          <w:sz w:val="30"/>
          <w:szCs w:val="72"/>
          <w:lang w:val="en-US" w:eastAsia="zh-CN"/>
        </w:rPr>
        <w:t>11</w:t>
      </w:r>
      <w:r>
        <w:rPr>
          <w:rFonts w:hint="eastAsia" w:hAnsi="宋体" w:cs="宋体"/>
          <w:b/>
          <w:sz w:val="30"/>
          <w:szCs w:val="72"/>
        </w:rPr>
        <w:t>月</w:t>
      </w:r>
    </w:p>
    <w:p w14:paraId="4038F2FD">
      <w:pPr>
        <w:ind w:firstLine="574"/>
        <w:rPr>
          <w:rFonts w:hint="eastAsia" w:ascii="宋体" w:hAnsi="宋体" w:cs="宋体"/>
          <w:b/>
          <w:bCs/>
          <w:w w:val="95"/>
          <w:kern w:val="0"/>
          <w:sz w:val="30"/>
          <w:szCs w:val="30"/>
          <w:lang w:val="zh-CN"/>
        </w:rPr>
        <w:sectPr>
          <w:headerReference r:id="rId4" w:type="first"/>
          <w:footerReference r:id="rId7" w:type="first"/>
          <w:footerReference r:id="rId5" w:type="default"/>
          <w:headerReference r:id="rId3" w:type="even"/>
          <w:footerReference r:id="rId6" w:type="even"/>
          <w:pgSz w:w="11906" w:h="16838"/>
          <w:pgMar w:top="1701" w:right="1701" w:bottom="1701" w:left="1701" w:header="851" w:footer="992" w:gutter="0"/>
          <w:cols w:space="720" w:num="1"/>
          <w:docGrid w:type="lines" w:linePitch="312" w:charSpace="0"/>
        </w:sectPr>
      </w:pPr>
    </w:p>
    <w:p w14:paraId="48826B1C">
      <w:pPr>
        <w:spacing w:line="360" w:lineRule="auto"/>
        <w:jc w:val="center"/>
        <w:rPr>
          <w:rFonts w:hint="eastAsia" w:ascii="宋体" w:hAnsi="宋体"/>
          <w:b/>
          <w:sz w:val="44"/>
          <w:szCs w:val="44"/>
        </w:rPr>
      </w:pPr>
      <w:r>
        <w:rPr>
          <w:rFonts w:hint="eastAsia" w:ascii="宋体" w:hAnsi="宋体"/>
          <w:b/>
          <w:sz w:val="44"/>
          <w:szCs w:val="44"/>
        </w:rPr>
        <w:t>目  录</w:t>
      </w:r>
    </w:p>
    <w:p w14:paraId="792556BE">
      <w:pPr>
        <w:spacing w:line="400" w:lineRule="exact"/>
        <w:jc w:val="center"/>
        <w:rPr>
          <w:rFonts w:hint="eastAsia" w:ascii="宋体" w:hAnsi="宋体"/>
          <w:b/>
          <w:sz w:val="44"/>
          <w:szCs w:val="44"/>
        </w:rPr>
      </w:pPr>
    </w:p>
    <w:p w14:paraId="38C445B4">
      <w:pPr>
        <w:pStyle w:val="22"/>
        <w:tabs>
          <w:tab w:val="right" w:leader="dot" w:pos="8879"/>
        </w:tabs>
        <w:spacing w:line="360" w:lineRule="auto"/>
        <w:rPr>
          <w:rFonts w:hint="eastAsia" w:ascii="宋体" w:hAnsi="宋体" w:cs="宋体"/>
          <w:sz w:val="28"/>
          <w:szCs w:val="28"/>
        </w:rPr>
      </w:pPr>
      <w:r>
        <w:rPr>
          <w:rFonts w:hint="eastAsia" w:ascii="宋体" w:hAnsi="宋体" w:cs="宋体"/>
          <w:b/>
          <w:sz w:val="28"/>
          <w:szCs w:val="28"/>
        </w:rPr>
        <w:fldChar w:fldCharType="begin"/>
      </w:r>
      <w:r>
        <w:rPr>
          <w:rFonts w:hint="eastAsia" w:ascii="宋体" w:hAnsi="宋体" w:cs="宋体"/>
          <w:b/>
          <w:sz w:val="28"/>
          <w:szCs w:val="28"/>
        </w:rPr>
        <w:instrText xml:space="preserve"> TOC \o "1-3" \h \z \u </w:instrText>
      </w:r>
      <w:r>
        <w:rPr>
          <w:rFonts w:hint="eastAsia" w:ascii="宋体" w:hAnsi="宋体" w:cs="宋体"/>
          <w:b/>
          <w:sz w:val="28"/>
          <w:szCs w:val="28"/>
        </w:rPr>
        <w:fldChar w:fldCharType="separate"/>
      </w:r>
      <w:r>
        <w:fldChar w:fldCharType="begin"/>
      </w:r>
      <w:r>
        <w:instrText xml:space="preserve"> HYPERLINK \l "_Toc3095" </w:instrText>
      </w:r>
      <w:r>
        <w:fldChar w:fldCharType="separate"/>
      </w:r>
      <w:r>
        <w:rPr>
          <w:rFonts w:hint="eastAsia" w:ascii="宋体" w:hAnsi="宋体" w:cs="宋体"/>
          <w:sz w:val="28"/>
          <w:szCs w:val="28"/>
        </w:rPr>
        <w:t>第一章 竞争性谈判公告</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_Toc3095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fldChar w:fldCharType="end"/>
      </w:r>
    </w:p>
    <w:p w14:paraId="214296FB">
      <w:pPr>
        <w:pStyle w:val="22"/>
        <w:tabs>
          <w:tab w:val="right" w:leader="dot" w:pos="8879"/>
        </w:tabs>
        <w:spacing w:line="360" w:lineRule="auto"/>
        <w:rPr>
          <w:rFonts w:hint="eastAsia" w:ascii="宋体" w:hAnsi="宋体" w:cs="宋体"/>
          <w:sz w:val="28"/>
          <w:szCs w:val="28"/>
        </w:rPr>
      </w:pPr>
      <w:r>
        <w:fldChar w:fldCharType="begin"/>
      </w:r>
      <w:r>
        <w:instrText xml:space="preserve"> HYPERLINK \l "_Toc13252" </w:instrText>
      </w:r>
      <w:r>
        <w:fldChar w:fldCharType="separate"/>
      </w:r>
      <w:r>
        <w:rPr>
          <w:rFonts w:hint="eastAsia" w:ascii="宋体" w:hAnsi="宋体" w:cs="宋体"/>
          <w:sz w:val="28"/>
          <w:szCs w:val="28"/>
        </w:rPr>
        <w:t>第二章 供应商须知</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_Toc13252 \h </w:instrText>
      </w:r>
      <w:r>
        <w:rPr>
          <w:rFonts w:hint="eastAsia" w:ascii="宋体" w:hAnsi="宋体" w:cs="宋体"/>
          <w:sz w:val="28"/>
          <w:szCs w:val="28"/>
        </w:rPr>
        <w:fldChar w:fldCharType="separate"/>
      </w:r>
      <w:r>
        <w:rPr>
          <w:rFonts w:hint="eastAsia" w:ascii="宋体" w:hAnsi="宋体" w:cs="宋体"/>
          <w:sz w:val="28"/>
          <w:szCs w:val="28"/>
        </w:rPr>
        <w:t>5</w:t>
      </w:r>
      <w:r>
        <w:rPr>
          <w:rFonts w:hint="eastAsia" w:ascii="宋体" w:hAnsi="宋体" w:cs="宋体"/>
          <w:sz w:val="28"/>
          <w:szCs w:val="28"/>
        </w:rPr>
        <w:fldChar w:fldCharType="end"/>
      </w:r>
      <w:r>
        <w:rPr>
          <w:rFonts w:hint="eastAsia" w:ascii="宋体" w:hAnsi="宋体" w:cs="宋体"/>
          <w:sz w:val="28"/>
          <w:szCs w:val="28"/>
        </w:rPr>
        <w:fldChar w:fldCharType="end"/>
      </w:r>
    </w:p>
    <w:p w14:paraId="5AA0F2F1">
      <w:pPr>
        <w:pStyle w:val="22"/>
        <w:tabs>
          <w:tab w:val="right" w:leader="dot" w:pos="8879"/>
        </w:tabs>
        <w:spacing w:line="360" w:lineRule="auto"/>
        <w:rPr>
          <w:rFonts w:hint="eastAsia" w:ascii="宋体" w:hAnsi="宋体" w:cs="宋体"/>
          <w:sz w:val="28"/>
          <w:szCs w:val="28"/>
        </w:rPr>
      </w:pPr>
      <w:r>
        <w:fldChar w:fldCharType="begin"/>
      </w:r>
      <w:r>
        <w:instrText xml:space="preserve"> HYPERLINK \l "_Toc3636" </w:instrText>
      </w:r>
      <w:r>
        <w:fldChar w:fldCharType="separate"/>
      </w:r>
      <w:r>
        <w:rPr>
          <w:rFonts w:hint="eastAsia" w:ascii="宋体" w:hAnsi="宋体" w:cs="宋体"/>
          <w:sz w:val="28"/>
          <w:szCs w:val="28"/>
        </w:rPr>
        <w:t>第三章 采购需求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_Toc3636 \h </w:instrText>
      </w:r>
      <w:r>
        <w:rPr>
          <w:rFonts w:hint="eastAsia" w:ascii="宋体" w:hAnsi="宋体" w:cs="宋体"/>
          <w:sz w:val="28"/>
          <w:szCs w:val="28"/>
        </w:rPr>
        <w:fldChar w:fldCharType="separate"/>
      </w:r>
      <w:r>
        <w:rPr>
          <w:rFonts w:hint="eastAsia" w:ascii="宋体" w:hAnsi="宋体" w:cs="宋体"/>
          <w:sz w:val="28"/>
          <w:szCs w:val="28"/>
        </w:rPr>
        <w:t>27</w:t>
      </w:r>
      <w:r>
        <w:rPr>
          <w:rFonts w:hint="eastAsia" w:ascii="宋体" w:hAnsi="宋体" w:cs="宋体"/>
          <w:sz w:val="28"/>
          <w:szCs w:val="28"/>
        </w:rPr>
        <w:fldChar w:fldCharType="end"/>
      </w:r>
      <w:r>
        <w:rPr>
          <w:rFonts w:hint="eastAsia" w:ascii="宋体" w:hAnsi="宋体" w:cs="宋体"/>
          <w:sz w:val="28"/>
          <w:szCs w:val="28"/>
        </w:rPr>
        <w:fldChar w:fldCharType="end"/>
      </w:r>
    </w:p>
    <w:p w14:paraId="19AC0932">
      <w:pPr>
        <w:pStyle w:val="22"/>
        <w:tabs>
          <w:tab w:val="right" w:leader="dot" w:pos="8879"/>
        </w:tabs>
        <w:spacing w:line="360" w:lineRule="auto"/>
        <w:rPr>
          <w:rFonts w:hint="eastAsia" w:ascii="宋体" w:hAnsi="宋体" w:cs="宋体"/>
          <w:sz w:val="28"/>
          <w:szCs w:val="28"/>
        </w:rPr>
      </w:pPr>
      <w:r>
        <w:fldChar w:fldCharType="begin"/>
      </w:r>
      <w:r>
        <w:instrText xml:space="preserve"> HYPERLINK \l "_Toc27246" </w:instrText>
      </w:r>
      <w:r>
        <w:fldChar w:fldCharType="separate"/>
      </w:r>
      <w:r>
        <w:rPr>
          <w:rFonts w:hint="eastAsia" w:ascii="宋体" w:hAnsi="宋体" w:cs="宋体"/>
          <w:sz w:val="28"/>
          <w:szCs w:val="28"/>
        </w:rPr>
        <w:t>第四章 评审程序和评定成交的标准</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_Toc27246 \h </w:instrText>
      </w:r>
      <w:r>
        <w:rPr>
          <w:rFonts w:hint="eastAsia" w:ascii="宋体" w:hAnsi="宋体" w:cs="宋体"/>
          <w:sz w:val="28"/>
          <w:szCs w:val="28"/>
        </w:rPr>
        <w:fldChar w:fldCharType="separate"/>
      </w:r>
      <w:r>
        <w:rPr>
          <w:rFonts w:hint="eastAsia" w:ascii="宋体" w:hAnsi="宋体" w:cs="宋体"/>
          <w:sz w:val="28"/>
          <w:szCs w:val="28"/>
        </w:rPr>
        <w:t>62</w:t>
      </w:r>
      <w:r>
        <w:rPr>
          <w:rFonts w:hint="eastAsia" w:ascii="宋体" w:hAnsi="宋体" w:cs="宋体"/>
          <w:sz w:val="28"/>
          <w:szCs w:val="28"/>
        </w:rPr>
        <w:fldChar w:fldCharType="end"/>
      </w:r>
      <w:r>
        <w:rPr>
          <w:rFonts w:hint="eastAsia" w:ascii="宋体" w:hAnsi="宋体" w:cs="宋体"/>
          <w:sz w:val="28"/>
          <w:szCs w:val="28"/>
        </w:rPr>
        <w:fldChar w:fldCharType="end"/>
      </w:r>
    </w:p>
    <w:p w14:paraId="3552F23D">
      <w:pPr>
        <w:pStyle w:val="22"/>
        <w:tabs>
          <w:tab w:val="right" w:leader="dot" w:pos="8879"/>
        </w:tabs>
        <w:spacing w:line="360" w:lineRule="auto"/>
        <w:rPr>
          <w:rFonts w:hint="eastAsia" w:ascii="宋体" w:hAnsi="宋体" w:cs="宋体"/>
          <w:sz w:val="28"/>
          <w:szCs w:val="28"/>
        </w:rPr>
      </w:pPr>
      <w:r>
        <w:fldChar w:fldCharType="begin"/>
      </w:r>
      <w:r>
        <w:instrText xml:space="preserve"> HYPERLINK \l "_Toc13136" </w:instrText>
      </w:r>
      <w:r>
        <w:fldChar w:fldCharType="separate"/>
      </w:r>
      <w:r>
        <w:rPr>
          <w:rFonts w:hint="eastAsia" w:ascii="宋体" w:hAnsi="宋体" w:cs="宋体"/>
          <w:sz w:val="28"/>
          <w:szCs w:val="28"/>
        </w:rPr>
        <w:t>第五章 响应文件格式</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_Toc13136 \h </w:instrText>
      </w:r>
      <w:r>
        <w:rPr>
          <w:rFonts w:hint="eastAsia" w:ascii="宋体" w:hAnsi="宋体" w:cs="宋体"/>
          <w:sz w:val="28"/>
          <w:szCs w:val="28"/>
        </w:rPr>
        <w:fldChar w:fldCharType="separate"/>
      </w:r>
      <w:r>
        <w:rPr>
          <w:rFonts w:hint="eastAsia" w:ascii="宋体" w:hAnsi="宋体" w:cs="宋体"/>
          <w:sz w:val="28"/>
          <w:szCs w:val="28"/>
        </w:rPr>
        <w:t>68</w:t>
      </w:r>
      <w:r>
        <w:rPr>
          <w:rFonts w:hint="eastAsia" w:ascii="宋体" w:hAnsi="宋体" w:cs="宋体"/>
          <w:sz w:val="28"/>
          <w:szCs w:val="28"/>
        </w:rPr>
        <w:fldChar w:fldCharType="end"/>
      </w:r>
      <w:r>
        <w:rPr>
          <w:rFonts w:hint="eastAsia" w:ascii="宋体" w:hAnsi="宋体" w:cs="宋体"/>
          <w:sz w:val="28"/>
          <w:szCs w:val="28"/>
        </w:rPr>
        <w:fldChar w:fldCharType="end"/>
      </w:r>
    </w:p>
    <w:p w14:paraId="24A3A7C9">
      <w:pPr>
        <w:pStyle w:val="22"/>
        <w:tabs>
          <w:tab w:val="right" w:leader="dot" w:pos="8879"/>
        </w:tabs>
        <w:spacing w:line="360" w:lineRule="auto"/>
        <w:rPr>
          <w:rFonts w:hint="eastAsia" w:ascii="宋体" w:hAnsi="宋体" w:cs="宋体"/>
          <w:sz w:val="28"/>
          <w:szCs w:val="28"/>
        </w:rPr>
      </w:pPr>
      <w:r>
        <w:fldChar w:fldCharType="begin"/>
      </w:r>
      <w:r>
        <w:instrText xml:space="preserve"> HYPERLINK \l "_Toc10392" </w:instrText>
      </w:r>
      <w:r>
        <w:fldChar w:fldCharType="separate"/>
      </w:r>
      <w:r>
        <w:rPr>
          <w:rFonts w:hint="eastAsia" w:ascii="宋体" w:hAnsi="宋体" w:cs="宋体"/>
          <w:sz w:val="28"/>
          <w:szCs w:val="28"/>
        </w:rPr>
        <w:t>第六章 合同文本</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_Toc10392 \h </w:instrText>
      </w:r>
      <w:r>
        <w:rPr>
          <w:rFonts w:hint="eastAsia" w:ascii="宋体" w:hAnsi="宋体" w:cs="宋体"/>
          <w:sz w:val="28"/>
          <w:szCs w:val="28"/>
        </w:rPr>
        <w:fldChar w:fldCharType="separate"/>
      </w:r>
      <w:r>
        <w:rPr>
          <w:rFonts w:hint="eastAsia" w:ascii="宋体" w:hAnsi="宋体" w:cs="宋体"/>
          <w:sz w:val="28"/>
          <w:szCs w:val="28"/>
        </w:rPr>
        <w:t>100</w:t>
      </w:r>
      <w:r>
        <w:rPr>
          <w:rFonts w:hint="eastAsia" w:ascii="宋体" w:hAnsi="宋体" w:cs="宋体"/>
          <w:sz w:val="28"/>
          <w:szCs w:val="28"/>
        </w:rPr>
        <w:fldChar w:fldCharType="end"/>
      </w:r>
      <w:r>
        <w:rPr>
          <w:rFonts w:hint="eastAsia" w:ascii="宋体" w:hAnsi="宋体" w:cs="宋体"/>
          <w:sz w:val="28"/>
          <w:szCs w:val="28"/>
        </w:rPr>
        <w:fldChar w:fldCharType="end"/>
      </w:r>
    </w:p>
    <w:p w14:paraId="146DA57B">
      <w:pPr>
        <w:pStyle w:val="16"/>
        <w:tabs>
          <w:tab w:val="right" w:leader="dot" w:pos="8879"/>
        </w:tabs>
      </w:pPr>
    </w:p>
    <w:p w14:paraId="62A9CC44">
      <w:pPr>
        <w:pStyle w:val="12"/>
        <w:tabs>
          <w:tab w:val="right" w:leader="dot" w:pos="8931"/>
          <w:tab w:val="clear" w:pos="8296"/>
        </w:tabs>
        <w:snapToGrid w:val="0"/>
        <w:spacing w:line="500" w:lineRule="atLeast"/>
        <w:ind w:left="0" w:leftChars="0"/>
        <w:rPr>
          <w:rFonts w:hint="eastAsia" w:ascii="宋体" w:hAnsi="宋体"/>
          <w:b/>
          <w:sz w:val="24"/>
        </w:rPr>
      </w:pPr>
      <w:r>
        <w:rPr>
          <w:rFonts w:hint="eastAsia" w:ascii="宋体" w:hAnsi="宋体" w:cs="宋体"/>
          <w:szCs w:val="28"/>
        </w:rPr>
        <w:fldChar w:fldCharType="end"/>
      </w:r>
    </w:p>
    <w:p w14:paraId="2A36A48E">
      <w:pPr>
        <w:spacing w:line="400" w:lineRule="exact"/>
        <w:jc w:val="left"/>
        <w:rPr>
          <w:rFonts w:hint="eastAsia" w:ascii="宋体" w:hAnsi="宋体"/>
          <w:b/>
          <w:sz w:val="32"/>
          <w:szCs w:val="32"/>
        </w:rPr>
      </w:pPr>
    </w:p>
    <w:p w14:paraId="58464174">
      <w:pPr>
        <w:spacing w:line="400" w:lineRule="exact"/>
        <w:jc w:val="center"/>
        <w:rPr>
          <w:rFonts w:hint="eastAsia" w:ascii="宋体" w:hAnsi="宋体"/>
          <w:b/>
          <w:sz w:val="32"/>
          <w:szCs w:val="32"/>
        </w:rPr>
      </w:pPr>
    </w:p>
    <w:p w14:paraId="4E512EB7">
      <w:pPr>
        <w:spacing w:line="400" w:lineRule="exact"/>
        <w:jc w:val="center"/>
        <w:rPr>
          <w:rFonts w:hint="eastAsia" w:ascii="宋体" w:hAnsi="宋体"/>
          <w:b/>
          <w:sz w:val="32"/>
          <w:szCs w:val="32"/>
        </w:rPr>
      </w:pPr>
    </w:p>
    <w:p w14:paraId="5CEF4FE2">
      <w:pPr>
        <w:spacing w:line="400" w:lineRule="exact"/>
        <w:jc w:val="center"/>
        <w:rPr>
          <w:rFonts w:hint="eastAsia" w:ascii="宋体" w:hAnsi="宋体"/>
          <w:b/>
          <w:sz w:val="32"/>
          <w:szCs w:val="32"/>
        </w:rPr>
      </w:pPr>
    </w:p>
    <w:p w14:paraId="64D4A424">
      <w:pPr>
        <w:spacing w:line="400" w:lineRule="exact"/>
        <w:jc w:val="center"/>
        <w:rPr>
          <w:rFonts w:hint="eastAsia" w:ascii="宋体" w:hAnsi="宋体"/>
          <w:b/>
          <w:sz w:val="32"/>
          <w:szCs w:val="32"/>
        </w:rPr>
      </w:pPr>
    </w:p>
    <w:p w14:paraId="6CC1FDB9">
      <w:pPr>
        <w:spacing w:line="400" w:lineRule="exact"/>
        <w:rPr>
          <w:rFonts w:hint="eastAsia" w:ascii="宋体" w:hAnsi="宋体"/>
          <w:b/>
          <w:sz w:val="32"/>
          <w:szCs w:val="32"/>
        </w:rPr>
        <w:sectPr>
          <w:headerReference r:id="rId8" w:type="default"/>
          <w:footerReference r:id="rId9" w:type="default"/>
          <w:pgSz w:w="11906" w:h="16838"/>
          <w:pgMar w:top="1440" w:right="1440" w:bottom="1440" w:left="1587" w:header="851" w:footer="992" w:gutter="0"/>
          <w:pgNumType w:start="0"/>
          <w:cols w:space="720" w:num="1"/>
          <w:titlePg/>
          <w:docGrid w:type="lines" w:linePitch="312" w:charSpace="0"/>
        </w:sectPr>
      </w:pPr>
    </w:p>
    <w:p w14:paraId="1D9AA001">
      <w:pPr>
        <w:pStyle w:val="3"/>
        <w:spacing w:after="100" w:line="480" w:lineRule="auto"/>
        <w:jc w:val="center"/>
      </w:pPr>
      <w:bookmarkStart w:id="0" w:name="_Toc3095"/>
      <w:r>
        <w:rPr>
          <w:rFonts w:hint="eastAsia"/>
        </w:rPr>
        <w:t>第一章 竞争性谈判公告</w:t>
      </w:r>
      <w:bookmarkEnd w:id="0"/>
    </w:p>
    <w:p w14:paraId="17374060">
      <w:pPr>
        <w:spacing w:line="400" w:lineRule="exact"/>
        <w:jc w:val="center"/>
        <w:rPr>
          <w:rFonts w:hint="eastAsia" w:ascii="宋体" w:hAnsi="宋体"/>
          <w:b/>
          <w:bCs/>
          <w:sz w:val="24"/>
        </w:rPr>
      </w:pPr>
      <w:r>
        <w:rPr>
          <w:rFonts w:hint="eastAsia" w:ascii="宋体" w:hAnsi="宋体"/>
          <w:b/>
          <w:bCs/>
          <w:sz w:val="24"/>
        </w:rPr>
        <w:t>广西正海招标有限公司关于</w:t>
      </w:r>
      <w:r>
        <w:rPr>
          <w:rFonts w:ascii="宋体" w:hAnsi="宋体"/>
          <w:b/>
          <w:bCs/>
          <w:sz w:val="24"/>
        </w:rPr>
        <w:t>康复楼多功能康养用房设备购置项目</w:t>
      </w:r>
      <w:r>
        <w:rPr>
          <w:rFonts w:hint="eastAsia" w:ascii="宋体" w:hAnsi="宋体"/>
          <w:b/>
          <w:bCs/>
          <w:sz w:val="24"/>
        </w:rPr>
        <w:t>（</w:t>
      </w:r>
      <w:r>
        <w:rPr>
          <w:rFonts w:hint="eastAsia" w:ascii="宋体" w:hAnsi="宋体"/>
          <w:b/>
          <w:bCs/>
          <w:sz w:val="24"/>
          <w:lang w:eastAsia="zh-CN"/>
        </w:rPr>
        <w:t>GXZC2025-J1-003307-ZHZB</w:t>
      </w:r>
      <w:r>
        <w:rPr>
          <w:rFonts w:hint="eastAsia" w:ascii="宋体" w:hAnsi="宋体"/>
          <w:b/>
          <w:bCs/>
          <w:sz w:val="24"/>
        </w:rPr>
        <w:t>）的竞争性谈判公告</w:t>
      </w:r>
    </w:p>
    <w:p w14:paraId="2DB9683C">
      <w:pPr>
        <w:spacing w:line="360" w:lineRule="auto"/>
        <w:rPr>
          <w:rFonts w:hint="eastAsia" w:ascii="宋体" w:hAnsi="宋体"/>
          <w:szCs w:val="21"/>
        </w:rPr>
      </w:pPr>
    </w:p>
    <w:p w14:paraId="399E322C">
      <w:pPr>
        <w:pBdr>
          <w:top w:val="single" w:color="auto" w:sz="4" w:space="1"/>
          <w:left w:val="single" w:color="auto" w:sz="4" w:space="4"/>
          <w:bottom w:val="single" w:color="auto" w:sz="4" w:space="1"/>
          <w:right w:val="single" w:color="auto" w:sz="4" w:space="4"/>
        </w:pBdr>
        <w:spacing w:line="360" w:lineRule="auto"/>
        <w:rPr>
          <w:rFonts w:hint="eastAsia" w:ascii="宋体" w:hAnsi="宋体"/>
          <w:szCs w:val="21"/>
        </w:rPr>
      </w:pPr>
      <w:bookmarkStart w:id="1" w:name="_Hlk37430271"/>
      <w:r>
        <w:rPr>
          <w:rFonts w:hint="eastAsia" w:ascii="宋体" w:hAnsi="宋体"/>
          <w:szCs w:val="21"/>
        </w:rPr>
        <w:t>项目概况</w:t>
      </w:r>
    </w:p>
    <w:p w14:paraId="44A60264">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szCs w:val="21"/>
        </w:rPr>
      </w:pPr>
      <w:r>
        <w:rPr>
          <w:rFonts w:ascii="宋体" w:hAnsi="宋体"/>
          <w:szCs w:val="21"/>
          <w:u w:val="single"/>
        </w:rPr>
        <w:t>康复楼多功能康养用房设备购置项目</w:t>
      </w:r>
      <w:r>
        <w:rPr>
          <w:rFonts w:ascii="宋体" w:hAnsi="宋体"/>
          <w:szCs w:val="21"/>
        </w:rPr>
        <w:t>采购项目</w:t>
      </w:r>
      <w:r>
        <w:rPr>
          <w:rFonts w:hint="eastAsia" w:ascii="宋体" w:hAnsi="宋体"/>
          <w:szCs w:val="21"/>
        </w:rPr>
        <w:t>的潜在供应商应在广西政府采购云平台（https://www.gcy.zfcg.gxzf.gov.cn/）获取（下载）竞争性谈判文件，并于</w:t>
      </w:r>
      <w:bookmarkStart w:id="327" w:name="_GoBack"/>
      <w:bookmarkEnd w:id="327"/>
      <w:r>
        <w:rPr>
          <w:rFonts w:hint="eastAsia" w:ascii="宋体" w:hAnsi="宋体"/>
          <w:szCs w:val="21"/>
          <w:u w:val="single"/>
        </w:rPr>
        <w:t>20</w:t>
      </w:r>
      <w:r>
        <w:rPr>
          <w:rFonts w:ascii="宋体" w:hAnsi="宋体"/>
          <w:szCs w:val="21"/>
          <w:u w:val="single"/>
        </w:rPr>
        <w:t>25</w:t>
      </w:r>
      <w:r>
        <w:rPr>
          <w:rFonts w:hint="eastAsia" w:ascii="宋体" w:hAnsi="宋体"/>
          <w:szCs w:val="21"/>
          <w:u w:val="single"/>
        </w:rPr>
        <w:t>年</w:t>
      </w:r>
      <w:r>
        <w:rPr>
          <w:rFonts w:hint="eastAsia" w:ascii="宋体" w:hAnsi="宋体"/>
          <w:szCs w:val="21"/>
          <w:u w:val="single"/>
          <w:lang w:val="en-US" w:eastAsia="zh-CN"/>
        </w:rPr>
        <w:t>11</w:t>
      </w:r>
      <w:r>
        <w:rPr>
          <w:rFonts w:hint="eastAsia" w:ascii="宋体" w:hAnsi="宋体"/>
          <w:szCs w:val="21"/>
          <w:u w:val="single"/>
        </w:rPr>
        <w:t>月</w:t>
      </w:r>
      <w:r>
        <w:rPr>
          <w:rFonts w:hint="eastAsia" w:ascii="宋体" w:hAnsi="宋体"/>
          <w:szCs w:val="21"/>
          <w:u w:val="single"/>
          <w:lang w:val="en-US" w:eastAsia="zh-CN"/>
        </w:rPr>
        <w:t>10</w:t>
      </w:r>
      <w:r>
        <w:rPr>
          <w:rFonts w:hint="eastAsia" w:ascii="宋体" w:hAnsi="宋体"/>
          <w:szCs w:val="21"/>
          <w:u w:val="single"/>
        </w:rPr>
        <w:t>日</w:t>
      </w:r>
      <w:r>
        <w:rPr>
          <w:rFonts w:hint="eastAsia" w:ascii="宋体" w:hAnsi="宋体"/>
          <w:bCs/>
          <w:szCs w:val="21"/>
          <w:u w:val="single"/>
        </w:rPr>
        <w:t>9时</w:t>
      </w:r>
      <w:r>
        <w:rPr>
          <w:rFonts w:ascii="宋体" w:hAnsi="宋体"/>
          <w:bCs/>
          <w:szCs w:val="21"/>
          <w:u w:val="single"/>
        </w:rPr>
        <w:t>00</w:t>
      </w:r>
      <w:r>
        <w:rPr>
          <w:rFonts w:hint="eastAsia" w:ascii="宋体" w:hAnsi="宋体"/>
          <w:bCs/>
          <w:szCs w:val="21"/>
          <w:u w:val="single"/>
        </w:rPr>
        <w:t>分（</w:t>
      </w:r>
      <w:r>
        <w:rPr>
          <w:rFonts w:hint="eastAsia" w:ascii="宋体" w:hAnsi="宋体"/>
          <w:bCs/>
          <w:szCs w:val="21"/>
        </w:rPr>
        <w:t>北京时间）前提交（上传）</w:t>
      </w:r>
      <w:r>
        <w:rPr>
          <w:rFonts w:hint="eastAsia" w:ascii="宋体" w:hAnsi="宋体"/>
          <w:szCs w:val="21"/>
        </w:rPr>
        <w:t>响应</w:t>
      </w:r>
      <w:r>
        <w:rPr>
          <w:rFonts w:ascii="宋体" w:hAnsi="宋体"/>
          <w:bCs/>
          <w:szCs w:val="21"/>
        </w:rPr>
        <w:t>文件</w:t>
      </w:r>
      <w:r>
        <w:rPr>
          <w:rFonts w:hint="eastAsia" w:ascii="宋体" w:hAnsi="宋体"/>
          <w:szCs w:val="21"/>
        </w:rPr>
        <w:t>。</w:t>
      </w:r>
    </w:p>
    <w:p w14:paraId="3CD5B214">
      <w:pPr>
        <w:spacing w:line="440" w:lineRule="exact"/>
        <w:ind w:firstLine="360" w:firstLineChars="150"/>
        <w:rPr>
          <w:rFonts w:hint="eastAsia" w:ascii="黑体" w:hAnsi="黑体" w:eastAsia="黑体"/>
          <w:sz w:val="24"/>
        </w:rPr>
      </w:pPr>
      <w:bookmarkStart w:id="2" w:name="_Toc35393629"/>
      <w:bookmarkStart w:id="3" w:name="_Toc28359012"/>
      <w:bookmarkStart w:id="4" w:name="_Toc71365362"/>
      <w:bookmarkStart w:id="5" w:name="_Toc71366040"/>
      <w:bookmarkStart w:id="6" w:name="_Toc28359089"/>
      <w:bookmarkStart w:id="7" w:name="_Toc35393798"/>
      <w:r>
        <w:rPr>
          <w:rFonts w:hint="eastAsia" w:ascii="黑体" w:hAnsi="黑体" w:eastAsia="黑体"/>
          <w:sz w:val="24"/>
        </w:rPr>
        <w:t>一、项目基本情况</w:t>
      </w:r>
      <w:bookmarkEnd w:id="2"/>
      <w:bookmarkEnd w:id="3"/>
      <w:bookmarkEnd w:id="4"/>
      <w:bookmarkEnd w:id="5"/>
      <w:bookmarkEnd w:id="6"/>
      <w:bookmarkEnd w:id="7"/>
    </w:p>
    <w:p w14:paraId="5D1F30E9">
      <w:pPr>
        <w:spacing w:line="440" w:lineRule="exact"/>
        <w:ind w:firstLine="420" w:firstLineChars="200"/>
        <w:rPr>
          <w:rFonts w:hint="eastAsia" w:ascii="宋体" w:hAnsi="宋体" w:eastAsia="宋体"/>
          <w:szCs w:val="21"/>
          <w:lang w:eastAsia="zh-CN"/>
        </w:rPr>
      </w:pPr>
      <w:r>
        <w:rPr>
          <w:rFonts w:hint="eastAsia" w:ascii="宋体" w:hAnsi="宋体"/>
          <w:szCs w:val="21"/>
        </w:rPr>
        <w:t>项目编号：</w:t>
      </w:r>
      <w:r>
        <w:rPr>
          <w:rFonts w:hint="eastAsia" w:ascii="宋体" w:hAnsi="宋体"/>
          <w:szCs w:val="21"/>
          <w:lang w:eastAsia="zh-CN"/>
        </w:rPr>
        <w:t>GXZC2025-J1-003307-ZHZB</w:t>
      </w:r>
    </w:p>
    <w:p w14:paraId="0B7647A7">
      <w:pPr>
        <w:spacing w:line="440" w:lineRule="exact"/>
        <w:ind w:firstLine="420" w:firstLineChars="200"/>
        <w:rPr>
          <w:rFonts w:hint="eastAsia" w:ascii="宋体" w:hAnsi="宋体"/>
          <w:szCs w:val="21"/>
          <w:highlight w:val="none"/>
        </w:rPr>
      </w:pPr>
      <w:r>
        <w:rPr>
          <w:rFonts w:hint="eastAsia" w:ascii="宋体" w:hAnsi="宋体"/>
          <w:szCs w:val="21"/>
          <w:highlight w:val="none"/>
        </w:rPr>
        <w:t>采购计划编号：</w:t>
      </w:r>
      <w:r>
        <w:rPr>
          <w:rFonts w:hint="eastAsia" w:ascii="宋体" w:hAnsi="宋体"/>
          <w:szCs w:val="21"/>
          <w:highlight w:val="none"/>
        </w:rPr>
        <w:fldChar w:fldCharType="begin"/>
      </w:r>
      <w:r>
        <w:rPr>
          <w:rFonts w:hint="eastAsia" w:ascii="宋体" w:hAnsi="宋体"/>
          <w:szCs w:val="21"/>
          <w:highlight w:val="none"/>
        </w:rPr>
        <w:instrText xml:space="preserve"> HYPERLINK "https://pay.gcy.zfcg.gxzf.gov.cn/purchaseplan_front/" \l "/plan/list/view?id=1000000000025869728&amp;_app_=zcy.procurement" \t "https://www.gcy.zfcg.gxzf.gov.cn/delegation-order/_procurement_/order/_blank" </w:instrText>
      </w:r>
      <w:r>
        <w:rPr>
          <w:rFonts w:hint="eastAsia" w:ascii="宋体" w:hAnsi="宋体"/>
          <w:szCs w:val="21"/>
          <w:highlight w:val="none"/>
        </w:rPr>
        <w:fldChar w:fldCharType="separate"/>
      </w:r>
      <w:r>
        <w:rPr>
          <w:rFonts w:hint="eastAsia" w:ascii="宋体" w:hAnsi="宋体"/>
          <w:szCs w:val="21"/>
          <w:highlight w:val="none"/>
        </w:rPr>
        <w:t>广西政采[2025]20135号-001</w:t>
      </w:r>
      <w:r>
        <w:rPr>
          <w:rFonts w:hint="eastAsia" w:ascii="宋体" w:hAnsi="宋体"/>
          <w:szCs w:val="21"/>
          <w:highlight w:val="none"/>
        </w:rPr>
        <w:fldChar w:fldCharType="end"/>
      </w:r>
      <w:r>
        <w:rPr>
          <w:rFonts w:hint="eastAsia" w:ascii="宋体" w:hAnsi="宋体"/>
          <w:szCs w:val="21"/>
          <w:highlight w:val="none"/>
        </w:rPr>
        <w:t>～</w:t>
      </w:r>
      <w:r>
        <w:rPr>
          <w:rFonts w:hint="eastAsia" w:ascii="宋体" w:hAnsi="宋体"/>
          <w:szCs w:val="21"/>
          <w:highlight w:val="none"/>
        </w:rPr>
        <w:fldChar w:fldCharType="begin"/>
      </w:r>
      <w:r>
        <w:rPr>
          <w:rFonts w:hint="eastAsia" w:ascii="宋体" w:hAnsi="宋体"/>
          <w:szCs w:val="21"/>
          <w:highlight w:val="none"/>
        </w:rPr>
        <w:instrText xml:space="preserve"> HYPERLINK "https://pay.gcy.zfcg.gxzf.gov.cn/purchaseplan_front/" \l "/plan/list/view?id=1000000000025869714&amp;_app_=zcy.procurement" \t "https://www.gcy.zfcg.gxzf.gov.cn/delegation-order/_procurement_/order/_blank" </w:instrText>
      </w:r>
      <w:r>
        <w:rPr>
          <w:rFonts w:hint="eastAsia" w:ascii="宋体" w:hAnsi="宋体"/>
          <w:szCs w:val="21"/>
          <w:highlight w:val="none"/>
        </w:rPr>
        <w:fldChar w:fldCharType="separate"/>
      </w:r>
      <w:r>
        <w:rPr>
          <w:rFonts w:hint="eastAsia" w:ascii="宋体" w:hAnsi="宋体"/>
          <w:szCs w:val="21"/>
          <w:highlight w:val="none"/>
        </w:rPr>
        <w:t>广西政采[2025]20135号-015</w:t>
      </w:r>
      <w:r>
        <w:rPr>
          <w:rFonts w:hint="eastAsia" w:ascii="宋体" w:hAnsi="宋体"/>
          <w:szCs w:val="21"/>
          <w:highlight w:val="none"/>
        </w:rPr>
        <w:fldChar w:fldCharType="end"/>
      </w:r>
      <w:r>
        <w:rPr>
          <w:rFonts w:hint="eastAsia" w:ascii="宋体" w:hAnsi="宋体"/>
          <w:szCs w:val="21"/>
          <w:highlight w:val="none"/>
        </w:rPr>
        <w:t xml:space="preserve">  </w:t>
      </w:r>
      <w:bookmarkStart w:id="8" w:name="OLE_LINK3"/>
    </w:p>
    <w:bookmarkEnd w:id="8"/>
    <w:p w14:paraId="59EBC952">
      <w:pPr>
        <w:spacing w:line="440" w:lineRule="exact"/>
        <w:ind w:firstLine="420" w:firstLineChars="200"/>
        <w:rPr>
          <w:rFonts w:hint="eastAsia" w:ascii="宋体" w:hAnsi="宋体"/>
          <w:szCs w:val="21"/>
          <w:u w:val="single"/>
        </w:rPr>
      </w:pPr>
      <w:r>
        <w:rPr>
          <w:rFonts w:hint="eastAsia" w:ascii="宋体" w:hAnsi="宋体"/>
          <w:szCs w:val="21"/>
        </w:rPr>
        <w:t>项目名称：</w:t>
      </w:r>
      <w:r>
        <w:rPr>
          <w:rFonts w:ascii="宋体" w:hAnsi="宋体"/>
          <w:szCs w:val="21"/>
        </w:rPr>
        <w:t>康复楼多功能康养用房设备购置项目</w:t>
      </w:r>
    </w:p>
    <w:p w14:paraId="1109404A">
      <w:pPr>
        <w:spacing w:line="440" w:lineRule="exact"/>
        <w:ind w:firstLine="420" w:firstLineChars="200"/>
        <w:rPr>
          <w:rFonts w:hint="eastAsia" w:ascii="宋体" w:hAnsi="宋体"/>
          <w:szCs w:val="21"/>
        </w:rPr>
      </w:pPr>
      <w:r>
        <w:rPr>
          <w:rFonts w:hint="eastAsia" w:ascii="宋体" w:hAnsi="宋体"/>
          <w:szCs w:val="21"/>
        </w:rPr>
        <w:t>采购方式：竞争性谈判</w:t>
      </w:r>
    </w:p>
    <w:p w14:paraId="1B6A382A">
      <w:pPr>
        <w:spacing w:line="440" w:lineRule="exact"/>
        <w:ind w:firstLine="420" w:firstLineChars="200"/>
        <w:rPr>
          <w:rFonts w:hint="eastAsia" w:ascii="宋体" w:hAnsi="宋体"/>
          <w:szCs w:val="21"/>
          <w:highlight w:val="none"/>
        </w:rPr>
      </w:pPr>
      <w:r>
        <w:rPr>
          <w:rFonts w:hint="eastAsia" w:ascii="宋体" w:hAnsi="宋体"/>
          <w:szCs w:val="21"/>
          <w:highlight w:val="none"/>
        </w:rPr>
        <w:t>预算金额：</w:t>
      </w:r>
      <w:r>
        <w:rPr>
          <w:rFonts w:hint="eastAsia" w:ascii="宋体" w:hAnsi="宋体"/>
          <w:szCs w:val="21"/>
          <w:highlight w:val="none"/>
          <w:lang w:eastAsia="zh-CN"/>
        </w:rPr>
        <w:t>壹佰壹拾肆万肆仟捌佰玖拾壹元贰角伍分</w:t>
      </w:r>
      <w:r>
        <w:rPr>
          <w:rFonts w:hint="eastAsia" w:ascii="宋体" w:hAnsi="宋体"/>
          <w:szCs w:val="21"/>
          <w:highlight w:val="none"/>
        </w:rPr>
        <w:t>（</w:t>
      </w:r>
      <w:r>
        <w:rPr>
          <w:rFonts w:ascii="Arial" w:hAnsi="Arial" w:cs="Arial"/>
          <w:szCs w:val="21"/>
          <w:highlight w:val="none"/>
        </w:rPr>
        <w:t>¥</w:t>
      </w:r>
      <w:r>
        <w:rPr>
          <w:rFonts w:hint="eastAsia" w:ascii="宋体" w:hAnsi="宋体"/>
          <w:szCs w:val="21"/>
          <w:highlight w:val="none"/>
          <w:lang w:val="en-US" w:eastAsia="zh-CN"/>
        </w:rPr>
        <w:t>1144891.25</w:t>
      </w:r>
      <w:r>
        <w:rPr>
          <w:rFonts w:hint="eastAsia" w:ascii="宋体" w:hAnsi="宋体"/>
          <w:szCs w:val="21"/>
          <w:highlight w:val="none"/>
        </w:rPr>
        <w:t>）</w:t>
      </w:r>
      <w:r>
        <w:rPr>
          <w:rFonts w:hint="eastAsia" w:ascii="宋体" w:hAnsi="宋体"/>
          <w:iCs/>
          <w:szCs w:val="21"/>
          <w:highlight w:val="none"/>
        </w:rPr>
        <w:t>，其中A分标：陆拾伍万叁仟叁佰壹拾贰元整（</w:t>
      </w:r>
      <w:r>
        <w:rPr>
          <w:rFonts w:ascii="Arial" w:hAnsi="Arial" w:cs="Arial"/>
          <w:szCs w:val="21"/>
          <w:highlight w:val="none"/>
        </w:rPr>
        <w:t>¥</w:t>
      </w:r>
      <w:r>
        <w:rPr>
          <w:rFonts w:hint="eastAsia" w:ascii="宋体" w:hAnsi="宋体"/>
          <w:iCs/>
          <w:szCs w:val="21"/>
          <w:highlight w:val="none"/>
        </w:rPr>
        <w:t>653312.00）；B分标：</w:t>
      </w:r>
      <w:r>
        <w:rPr>
          <w:rFonts w:hint="eastAsia" w:ascii="宋体" w:hAnsi="宋体"/>
          <w:iCs/>
          <w:szCs w:val="21"/>
          <w:highlight w:val="none"/>
          <w:lang w:eastAsia="zh-CN"/>
        </w:rPr>
        <w:t>肆拾玖万壹仟伍佰柒拾玖元贰角伍分</w:t>
      </w:r>
      <w:r>
        <w:rPr>
          <w:rFonts w:hint="eastAsia" w:ascii="宋体" w:hAnsi="宋体"/>
          <w:iCs/>
          <w:szCs w:val="21"/>
          <w:highlight w:val="none"/>
        </w:rPr>
        <w:t>（</w:t>
      </w:r>
      <w:r>
        <w:rPr>
          <w:rFonts w:hint="eastAsia" w:ascii="宋体" w:hAnsi="宋体" w:cs="宋体"/>
          <w:szCs w:val="21"/>
          <w:highlight w:val="none"/>
        </w:rPr>
        <w:t>¥</w:t>
      </w:r>
      <w:r>
        <w:rPr>
          <w:rFonts w:hint="eastAsia" w:ascii="宋体" w:hAnsi="宋体" w:cs="宋体"/>
          <w:szCs w:val="21"/>
          <w:highlight w:val="none"/>
          <w:lang w:val="en-US" w:eastAsia="zh-CN"/>
        </w:rPr>
        <w:t>491579.25</w:t>
      </w:r>
      <w:r>
        <w:rPr>
          <w:rFonts w:hint="eastAsia" w:ascii="宋体" w:hAnsi="宋体"/>
          <w:iCs/>
          <w:szCs w:val="21"/>
          <w:highlight w:val="none"/>
        </w:rPr>
        <w:t>）。</w:t>
      </w:r>
    </w:p>
    <w:p w14:paraId="2A2E838A">
      <w:pPr>
        <w:spacing w:line="440" w:lineRule="exact"/>
        <w:ind w:firstLine="420" w:firstLineChars="200"/>
        <w:rPr>
          <w:rFonts w:hint="eastAsia" w:ascii="宋体" w:hAnsi="宋体"/>
          <w:szCs w:val="21"/>
          <w:highlight w:val="none"/>
        </w:rPr>
      </w:pPr>
      <w:r>
        <w:rPr>
          <w:rFonts w:hint="eastAsia" w:ascii="宋体" w:hAnsi="宋体"/>
          <w:szCs w:val="21"/>
          <w:highlight w:val="none"/>
        </w:rPr>
        <w:t>最高限价：</w:t>
      </w:r>
      <w:r>
        <w:rPr>
          <w:rFonts w:hint="eastAsia" w:ascii="宋体" w:hAnsi="宋体"/>
          <w:szCs w:val="21"/>
          <w:highlight w:val="none"/>
          <w:lang w:eastAsia="zh-CN"/>
        </w:rPr>
        <w:t>壹佰壹拾肆万肆仟陆佰捌拾捌元壹角壹分</w:t>
      </w:r>
      <w:r>
        <w:rPr>
          <w:rFonts w:hint="eastAsia" w:ascii="宋体" w:hAnsi="宋体"/>
          <w:szCs w:val="21"/>
          <w:highlight w:val="none"/>
        </w:rPr>
        <w:t>（</w:t>
      </w:r>
      <w:r>
        <w:rPr>
          <w:rFonts w:ascii="Arial" w:hAnsi="Arial" w:cs="Arial"/>
          <w:szCs w:val="21"/>
          <w:highlight w:val="none"/>
        </w:rPr>
        <w:t>¥</w:t>
      </w:r>
      <w:r>
        <w:rPr>
          <w:rFonts w:hint="eastAsia" w:ascii="宋体" w:hAnsi="宋体"/>
          <w:szCs w:val="21"/>
          <w:highlight w:val="none"/>
          <w:lang w:val="en-US" w:eastAsia="zh-CN"/>
        </w:rPr>
        <w:t>1144688.11</w:t>
      </w:r>
      <w:r>
        <w:rPr>
          <w:rFonts w:hint="eastAsia" w:ascii="宋体" w:hAnsi="宋体"/>
          <w:szCs w:val="21"/>
          <w:highlight w:val="none"/>
        </w:rPr>
        <w:t>）</w:t>
      </w:r>
      <w:r>
        <w:rPr>
          <w:rFonts w:hint="eastAsia" w:ascii="宋体" w:hAnsi="宋体"/>
          <w:iCs/>
          <w:szCs w:val="21"/>
          <w:highlight w:val="none"/>
        </w:rPr>
        <w:t>，其中A分标：陆拾伍万叁仟叁佰壹拾贰元整（</w:t>
      </w:r>
      <w:r>
        <w:rPr>
          <w:rFonts w:ascii="Arial" w:hAnsi="Arial" w:cs="Arial"/>
          <w:szCs w:val="21"/>
          <w:highlight w:val="none"/>
        </w:rPr>
        <w:t>¥</w:t>
      </w:r>
      <w:r>
        <w:rPr>
          <w:rFonts w:hint="eastAsia" w:ascii="宋体" w:hAnsi="宋体"/>
          <w:iCs/>
          <w:szCs w:val="21"/>
          <w:highlight w:val="none"/>
        </w:rPr>
        <w:t>653312.00）；B分标：</w:t>
      </w:r>
      <w:r>
        <w:rPr>
          <w:rFonts w:hint="eastAsia" w:ascii="宋体" w:hAnsi="宋体"/>
          <w:iCs/>
          <w:szCs w:val="21"/>
          <w:highlight w:val="none"/>
          <w:lang w:eastAsia="zh-CN"/>
        </w:rPr>
        <w:t>肆拾玖万壹仟叁佰柒拾陆元壹角壹分</w:t>
      </w:r>
      <w:r>
        <w:rPr>
          <w:rFonts w:hint="eastAsia" w:ascii="宋体" w:hAnsi="宋体"/>
          <w:iCs/>
          <w:szCs w:val="21"/>
          <w:highlight w:val="none"/>
        </w:rPr>
        <w:t>（</w:t>
      </w:r>
      <w:r>
        <w:rPr>
          <w:rFonts w:hint="eastAsia" w:ascii="宋体" w:hAnsi="宋体" w:cs="宋体"/>
          <w:szCs w:val="21"/>
          <w:highlight w:val="none"/>
        </w:rPr>
        <w:t>¥</w:t>
      </w:r>
      <w:r>
        <w:rPr>
          <w:rFonts w:hint="eastAsia" w:ascii="宋体" w:hAnsi="宋体" w:cs="宋体"/>
          <w:szCs w:val="21"/>
          <w:highlight w:val="none"/>
          <w:lang w:val="en-US" w:eastAsia="zh-CN"/>
        </w:rPr>
        <w:t>491376.11</w:t>
      </w:r>
      <w:r>
        <w:rPr>
          <w:rFonts w:hint="eastAsia" w:ascii="宋体" w:hAnsi="宋体"/>
          <w:iCs/>
          <w:szCs w:val="21"/>
          <w:highlight w:val="none"/>
        </w:rPr>
        <w:t>）。</w:t>
      </w:r>
    </w:p>
    <w:p w14:paraId="6310F700">
      <w:pPr>
        <w:spacing w:line="440" w:lineRule="exact"/>
        <w:ind w:firstLine="420" w:firstLineChars="200"/>
        <w:rPr>
          <w:rFonts w:hint="eastAsia" w:ascii="宋体" w:hAnsi="宋体"/>
          <w:szCs w:val="21"/>
          <w:highlight w:val="none"/>
        </w:rPr>
      </w:pPr>
      <w:r>
        <w:rPr>
          <w:rFonts w:hint="eastAsia" w:ascii="宋体" w:hAnsi="宋体"/>
          <w:szCs w:val="21"/>
          <w:highlight w:val="none"/>
        </w:rPr>
        <w:t>采购需求：</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15"/>
        <w:gridCol w:w="2490"/>
        <w:gridCol w:w="1485"/>
        <w:gridCol w:w="3390"/>
      </w:tblGrid>
      <w:tr w14:paraId="4664B3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15" w:type="dxa"/>
            <w:tcBorders>
              <w:top w:val="single" w:color="auto" w:sz="4" w:space="0"/>
              <w:left w:val="single" w:color="auto" w:sz="4" w:space="0"/>
              <w:bottom w:val="single" w:color="auto" w:sz="4" w:space="0"/>
              <w:right w:val="single" w:color="auto" w:sz="4" w:space="0"/>
            </w:tcBorders>
            <w:vAlign w:val="center"/>
          </w:tcPr>
          <w:p w14:paraId="0A934010">
            <w:pPr>
              <w:snapToGrid w:val="0"/>
              <w:spacing w:line="440" w:lineRule="exact"/>
              <w:jc w:val="center"/>
              <w:rPr>
                <w:rFonts w:hint="eastAsia" w:ascii="宋体" w:hAnsi="宋体"/>
                <w:szCs w:val="21"/>
                <w:highlight w:val="none"/>
              </w:rPr>
            </w:pPr>
            <w:r>
              <w:rPr>
                <w:rFonts w:hint="eastAsia" w:ascii="宋体" w:hAnsi="宋体"/>
                <w:szCs w:val="21"/>
                <w:highlight w:val="none"/>
              </w:rPr>
              <w:t>序号</w:t>
            </w:r>
          </w:p>
        </w:tc>
        <w:tc>
          <w:tcPr>
            <w:tcW w:w="2490" w:type="dxa"/>
            <w:tcBorders>
              <w:top w:val="single" w:color="auto" w:sz="4" w:space="0"/>
              <w:left w:val="single" w:color="auto" w:sz="4" w:space="0"/>
              <w:bottom w:val="single" w:color="auto" w:sz="4" w:space="0"/>
              <w:right w:val="single" w:color="auto" w:sz="4" w:space="0"/>
            </w:tcBorders>
            <w:vAlign w:val="center"/>
          </w:tcPr>
          <w:p w14:paraId="275555B0">
            <w:pPr>
              <w:snapToGrid w:val="0"/>
              <w:spacing w:line="440" w:lineRule="exact"/>
              <w:jc w:val="center"/>
              <w:rPr>
                <w:rFonts w:hint="eastAsia" w:ascii="宋体" w:hAnsi="宋体"/>
                <w:szCs w:val="21"/>
                <w:highlight w:val="none"/>
              </w:rPr>
            </w:pPr>
            <w:r>
              <w:rPr>
                <w:rFonts w:hint="eastAsia" w:ascii="宋体" w:hAnsi="宋体"/>
                <w:szCs w:val="21"/>
                <w:highlight w:val="none"/>
              </w:rPr>
              <w:t>标的名称</w:t>
            </w:r>
          </w:p>
        </w:tc>
        <w:tc>
          <w:tcPr>
            <w:tcW w:w="1485" w:type="dxa"/>
            <w:tcBorders>
              <w:top w:val="single" w:color="auto" w:sz="4" w:space="0"/>
              <w:left w:val="single" w:color="auto" w:sz="4" w:space="0"/>
              <w:bottom w:val="single" w:color="auto" w:sz="4" w:space="0"/>
              <w:right w:val="single" w:color="auto" w:sz="4" w:space="0"/>
            </w:tcBorders>
            <w:vAlign w:val="center"/>
          </w:tcPr>
          <w:p w14:paraId="546587D7">
            <w:pPr>
              <w:snapToGrid w:val="0"/>
              <w:spacing w:line="440" w:lineRule="exact"/>
              <w:jc w:val="center"/>
              <w:rPr>
                <w:rFonts w:hint="eastAsia" w:ascii="宋体" w:hAnsi="宋体"/>
                <w:szCs w:val="21"/>
                <w:highlight w:val="none"/>
              </w:rPr>
            </w:pPr>
            <w:r>
              <w:rPr>
                <w:rFonts w:hint="eastAsia" w:ascii="宋体" w:hAnsi="宋体"/>
                <w:szCs w:val="21"/>
                <w:highlight w:val="none"/>
              </w:rPr>
              <w:t>数量及单位</w:t>
            </w:r>
          </w:p>
        </w:tc>
        <w:tc>
          <w:tcPr>
            <w:tcW w:w="3390" w:type="dxa"/>
            <w:tcBorders>
              <w:top w:val="single" w:color="auto" w:sz="4" w:space="0"/>
              <w:left w:val="single" w:color="auto" w:sz="4" w:space="0"/>
              <w:bottom w:val="single" w:color="auto" w:sz="4" w:space="0"/>
              <w:right w:val="single" w:color="auto" w:sz="4" w:space="0"/>
            </w:tcBorders>
            <w:vAlign w:val="center"/>
          </w:tcPr>
          <w:p w14:paraId="643483D2">
            <w:pPr>
              <w:snapToGrid w:val="0"/>
              <w:spacing w:line="440" w:lineRule="exact"/>
              <w:jc w:val="center"/>
              <w:rPr>
                <w:rFonts w:hint="eastAsia" w:ascii="宋体" w:hAnsi="宋体"/>
                <w:szCs w:val="21"/>
                <w:highlight w:val="none"/>
              </w:rPr>
            </w:pPr>
            <w:r>
              <w:rPr>
                <w:rFonts w:hint="eastAsia" w:ascii="宋体" w:hAnsi="宋体"/>
                <w:szCs w:val="21"/>
                <w:highlight w:val="none"/>
              </w:rPr>
              <w:t>技术参数要求</w:t>
            </w:r>
          </w:p>
        </w:tc>
      </w:tr>
      <w:tr w14:paraId="62F5C4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480" w:type="dxa"/>
            <w:gridSpan w:val="4"/>
            <w:tcBorders>
              <w:top w:val="single" w:color="auto" w:sz="4" w:space="0"/>
              <w:left w:val="single" w:color="auto" w:sz="4" w:space="0"/>
              <w:bottom w:val="single" w:color="auto" w:sz="4" w:space="0"/>
              <w:right w:val="single" w:color="auto" w:sz="4" w:space="0"/>
            </w:tcBorders>
            <w:vAlign w:val="center"/>
          </w:tcPr>
          <w:p w14:paraId="2D482284">
            <w:pPr>
              <w:snapToGrid w:val="0"/>
              <w:spacing w:line="440" w:lineRule="exact"/>
              <w:rPr>
                <w:rFonts w:hint="eastAsia" w:ascii="宋体" w:hAnsi="宋体"/>
                <w:szCs w:val="21"/>
                <w:highlight w:val="none"/>
              </w:rPr>
            </w:pPr>
            <w:r>
              <w:rPr>
                <w:rFonts w:hint="eastAsia" w:ascii="宋体" w:hAnsi="宋体"/>
                <w:szCs w:val="21"/>
                <w:highlight w:val="none"/>
              </w:rPr>
              <w:t>A分标：</w:t>
            </w:r>
            <w:r>
              <w:rPr>
                <w:rFonts w:ascii="宋体" w:hAnsi="宋体"/>
                <w:szCs w:val="21"/>
                <w:highlight w:val="none"/>
              </w:rPr>
              <w:t>康复楼多功能康养用房设备购置项目</w:t>
            </w:r>
            <w:r>
              <w:rPr>
                <w:rFonts w:hint="eastAsia" w:ascii="宋体" w:hAnsi="宋体"/>
                <w:szCs w:val="21"/>
                <w:highlight w:val="none"/>
              </w:rPr>
              <w:t>（设备部分）</w:t>
            </w:r>
          </w:p>
        </w:tc>
      </w:tr>
      <w:tr w14:paraId="71C869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15" w:type="dxa"/>
            <w:tcBorders>
              <w:top w:val="single" w:color="auto" w:sz="4" w:space="0"/>
              <w:left w:val="single" w:color="auto" w:sz="4" w:space="0"/>
              <w:bottom w:val="single" w:color="auto" w:sz="4" w:space="0"/>
              <w:right w:val="single" w:color="auto" w:sz="4" w:space="0"/>
            </w:tcBorders>
            <w:vAlign w:val="center"/>
          </w:tcPr>
          <w:p w14:paraId="3FF933ED">
            <w:pPr>
              <w:snapToGrid w:val="0"/>
              <w:spacing w:line="440" w:lineRule="exact"/>
              <w:jc w:val="center"/>
              <w:rPr>
                <w:rFonts w:hint="eastAsia" w:ascii="宋体" w:hAnsi="宋体"/>
                <w:szCs w:val="21"/>
                <w:highlight w:val="none"/>
              </w:rPr>
            </w:pPr>
            <w:r>
              <w:rPr>
                <w:rFonts w:hint="eastAsia" w:ascii="宋体" w:hAnsi="宋体"/>
                <w:szCs w:val="21"/>
                <w:highlight w:val="none"/>
              </w:rPr>
              <w:t>1</w:t>
            </w:r>
          </w:p>
        </w:tc>
        <w:tc>
          <w:tcPr>
            <w:tcW w:w="2490" w:type="dxa"/>
            <w:tcBorders>
              <w:top w:val="single" w:color="auto" w:sz="4" w:space="0"/>
              <w:left w:val="single" w:color="auto" w:sz="4" w:space="0"/>
              <w:bottom w:val="single" w:color="auto" w:sz="4" w:space="0"/>
              <w:right w:val="single" w:color="auto" w:sz="4" w:space="0"/>
            </w:tcBorders>
            <w:vAlign w:val="center"/>
          </w:tcPr>
          <w:p w14:paraId="31CD9BC3">
            <w:pPr>
              <w:spacing w:line="440" w:lineRule="exact"/>
              <w:jc w:val="center"/>
              <w:rPr>
                <w:rFonts w:hint="eastAsia" w:ascii="宋体" w:hAnsi="宋体" w:cs="宋体"/>
                <w:szCs w:val="21"/>
                <w:highlight w:val="none"/>
              </w:rPr>
            </w:pPr>
            <w:r>
              <w:rPr>
                <w:rFonts w:hint="eastAsia" w:ascii="宋体" w:hAnsi="宋体" w:cs="宋体"/>
                <w:color w:val="000000"/>
                <w:kern w:val="0"/>
                <w:szCs w:val="21"/>
                <w:highlight w:val="none"/>
                <w:lang w:bidi="ar"/>
              </w:rPr>
              <w:t>飞机灯</w:t>
            </w:r>
          </w:p>
        </w:tc>
        <w:tc>
          <w:tcPr>
            <w:tcW w:w="1485" w:type="dxa"/>
            <w:tcBorders>
              <w:top w:val="single" w:color="auto" w:sz="4" w:space="0"/>
              <w:left w:val="single" w:color="auto" w:sz="4" w:space="0"/>
              <w:bottom w:val="single" w:color="auto" w:sz="4" w:space="0"/>
              <w:right w:val="single" w:color="auto" w:sz="4" w:space="0"/>
            </w:tcBorders>
            <w:vAlign w:val="center"/>
          </w:tcPr>
          <w:p w14:paraId="241C175A">
            <w:pPr>
              <w:spacing w:line="440" w:lineRule="exact"/>
              <w:jc w:val="center"/>
              <w:rPr>
                <w:rFonts w:hint="eastAsia" w:ascii="宋体" w:hAnsi="宋体" w:cs="宋体"/>
                <w:szCs w:val="21"/>
                <w:highlight w:val="none"/>
              </w:rPr>
            </w:pPr>
            <w:r>
              <w:rPr>
                <w:rFonts w:hint="eastAsia" w:ascii="宋体" w:hAnsi="宋体" w:cs="宋体"/>
                <w:szCs w:val="21"/>
                <w:highlight w:val="none"/>
              </w:rPr>
              <w:t>16</w:t>
            </w:r>
            <w:r>
              <w:rPr>
                <w:rFonts w:hint="eastAsia" w:ascii="宋体" w:hAnsi="宋体" w:cs="宋体"/>
                <w:color w:val="000000"/>
                <w:kern w:val="0"/>
                <w:szCs w:val="21"/>
                <w:highlight w:val="none"/>
                <w:lang w:bidi="ar"/>
              </w:rPr>
              <w:t>盏</w:t>
            </w:r>
          </w:p>
        </w:tc>
        <w:tc>
          <w:tcPr>
            <w:tcW w:w="3390" w:type="dxa"/>
            <w:tcBorders>
              <w:top w:val="single" w:color="auto" w:sz="4" w:space="0"/>
              <w:left w:val="single" w:color="auto" w:sz="4" w:space="0"/>
              <w:bottom w:val="single" w:color="auto" w:sz="4" w:space="0"/>
              <w:right w:val="single" w:color="auto" w:sz="4" w:space="0"/>
            </w:tcBorders>
            <w:vAlign w:val="center"/>
          </w:tcPr>
          <w:p w14:paraId="5AB74341">
            <w:pPr>
              <w:snapToGrid w:val="0"/>
              <w:spacing w:line="440" w:lineRule="exact"/>
              <w:jc w:val="center"/>
              <w:rPr>
                <w:rFonts w:hint="eastAsia" w:ascii="宋体" w:hAnsi="宋体"/>
                <w:szCs w:val="21"/>
                <w:highlight w:val="none"/>
              </w:rPr>
            </w:pPr>
            <w:r>
              <w:rPr>
                <w:rFonts w:hint="eastAsia" w:ascii="宋体" w:hAnsi="宋体"/>
                <w:szCs w:val="21"/>
                <w:highlight w:val="none"/>
              </w:rPr>
              <w:t>详见《采购需求》</w:t>
            </w:r>
          </w:p>
        </w:tc>
      </w:tr>
      <w:tr w14:paraId="3066C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15" w:type="dxa"/>
            <w:tcBorders>
              <w:top w:val="single" w:color="auto" w:sz="4" w:space="0"/>
              <w:left w:val="single" w:color="auto" w:sz="4" w:space="0"/>
              <w:bottom w:val="single" w:color="auto" w:sz="4" w:space="0"/>
              <w:right w:val="single" w:color="auto" w:sz="4" w:space="0"/>
            </w:tcBorders>
            <w:vAlign w:val="center"/>
          </w:tcPr>
          <w:p w14:paraId="759B5109">
            <w:pPr>
              <w:snapToGrid w:val="0"/>
              <w:spacing w:line="440" w:lineRule="exact"/>
              <w:jc w:val="center"/>
              <w:rPr>
                <w:rFonts w:hint="eastAsia" w:ascii="宋体" w:hAnsi="宋体"/>
                <w:szCs w:val="21"/>
                <w:highlight w:val="none"/>
              </w:rPr>
            </w:pPr>
            <w:r>
              <w:rPr>
                <w:rFonts w:hint="eastAsia" w:ascii="宋体" w:hAnsi="宋体"/>
                <w:szCs w:val="21"/>
                <w:highlight w:val="none"/>
              </w:rPr>
              <w:t>……</w:t>
            </w:r>
          </w:p>
        </w:tc>
        <w:tc>
          <w:tcPr>
            <w:tcW w:w="2490" w:type="dxa"/>
            <w:tcBorders>
              <w:top w:val="single" w:color="auto" w:sz="4" w:space="0"/>
              <w:left w:val="single" w:color="auto" w:sz="4" w:space="0"/>
              <w:bottom w:val="single" w:color="auto" w:sz="4" w:space="0"/>
              <w:right w:val="single" w:color="auto" w:sz="4" w:space="0"/>
            </w:tcBorders>
            <w:vAlign w:val="center"/>
          </w:tcPr>
          <w:p w14:paraId="64664787">
            <w:pPr>
              <w:spacing w:line="440" w:lineRule="exact"/>
              <w:jc w:val="center"/>
              <w:rPr>
                <w:rFonts w:hint="eastAsia" w:ascii="宋体" w:hAnsi="宋体" w:cs="宋体"/>
                <w:szCs w:val="21"/>
                <w:highlight w:val="none"/>
              </w:rPr>
            </w:pPr>
            <w:r>
              <w:rPr>
                <w:rFonts w:hint="eastAsia" w:ascii="宋体" w:hAnsi="宋体" w:cs="宋体"/>
                <w:szCs w:val="21"/>
                <w:highlight w:val="none"/>
              </w:rPr>
              <w:t>……</w:t>
            </w:r>
          </w:p>
        </w:tc>
        <w:tc>
          <w:tcPr>
            <w:tcW w:w="1485" w:type="dxa"/>
            <w:tcBorders>
              <w:top w:val="single" w:color="auto" w:sz="4" w:space="0"/>
              <w:left w:val="single" w:color="auto" w:sz="4" w:space="0"/>
              <w:bottom w:val="single" w:color="auto" w:sz="4" w:space="0"/>
              <w:right w:val="single" w:color="auto" w:sz="4" w:space="0"/>
            </w:tcBorders>
            <w:vAlign w:val="center"/>
          </w:tcPr>
          <w:p w14:paraId="756A2786">
            <w:pPr>
              <w:spacing w:line="440" w:lineRule="exact"/>
              <w:jc w:val="center"/>
              <w:rPr>
                <w:rFonts w:hint="eastAsia" w:ascii="宋体" w:hAnsi="宋体" w:cs="宋体"/>
                <w:szCs w:val="21"/>
                <w:highlight w:val="none"/>
              </w:rPr>
            </w:pPr>
            <w:r>
              <w:rPr>
                <w:rFonts w:hint="eastAsia" w:ascii="宋体" w:hAnsi="宋体" w:cs="宋体"/>
                <w:szCs w:val="21"/>
                <w:highlight w:val="none"/>
              </w:rPr>
              <w:t>……</w:t>
            </w:r>
          </w:p>
        </w:tc>
        <w:tc>
          <w:tcPr>
            <w:tcW w:w="3390" w:type="dxa"/>
            <w:tcBorders>
              <w:top w:val="single" w:color="auto" w:sz="4" w:space="0"/>
              <w:left w:val="single" w:color="auto" w:sz="4" w:space="0"/>
              <w:bottom w:val="single" w:color="auto" w:sz="4" w:space="0"/>
              <w:right w:val="single" w:color="auto" w:sz="4" w:space="0"/>
            </w:tcBorders>
            <w:vAlign w:val="center"/>
          </w:tcPr>
          <w:p w14:paraId="4760FEF8">
            <w:pPr>
              <w:snapToGrid w:val="0"/>
              <w:spacing w:line="440" w:lineRule="exact"/>
              <w:jc w:val="center"/>
              <w:rPr>
                <w:rFonts w:hint="eastAsia" w:ascii="宋体" w:hAnsi="宋体"/>
                <w:szCs w:val="21"/>
                <w:highlight w:val="none"/>
              </w:rPr>
            </w:pPr>
            <w:r>
              <w:rPr>
                <w:rFonts w:hint="eastAsia" w:ascii="宋体" w:hAnsi="宋体"/>
                <w:szCs w:val="21"/>
                <w:highlight w:val="none"/>
              </w:rPr>
              <w:t>……</w:t>
            </w:r>
          </w:p>
        </w:tc>
      </w:tr>
      <w:tr w14:paraId="371103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480" w:type="dxa"/>
            <w:gridSpan w:val="4"/>
            <w:tcBorders>
              <w:top w:val="single" w:color="auto" w:sz="4" w:space="0"/>
              <w:left w:val="single" w:color="auto" w:sz="4" w:space="0"/>
              <w:bottom w:val="single" w:color="auto" w:sz="4" w:space="0"/>
              <w:right w:val="single" w:color="auto" w:sz="4" w:space="0"/>
            </w:tcBorders>
            <w:vAlign w:val="center"/>
          </w:tcPr>
          <w:p w14:paraId="7AA60BEF">
            <w:pPr>
              <w:spacing w:line="440" w:lineRule="exact"/>
              <w:rPr>
                <w:rFonts w:hint="eastAsia" w:ascii="宋体" w:hAnsi="宋体"/>
                <w:szCs w:val="21"/>
                <w:highlight w:val="none"/>
              </w:rPr>
            </w:pPr>
            <w:r>
              <w:rPr>
                <w:rFonts w:hint="eastAsia" w:ascii="宋体" w:hAnsi="宋体"/>
                <w:szCs w:val="21"/>
                <w:highlight w:val="none"/>
              </w:rPr>
              <w:t>合同履行期限：自签订合同之日起20日历日内全部交货安装完成并验收合格</w:t>
            </w:r>
            <w:r>
              <w:rPr>
                <w:rFonts w:hint="eastAsia" w:ascii="宋体" w:hAnsi="宋体" w:cs="宋体"/>
                <w:szCs w:val="21"/>
                <w:highlight w:val="none"/>
              </w:rPr>
              <w:t>。</w:t>
            </w:r>
          </w:p>
        </w:tc>
      </w:tr>
      <w:tr w14:paraId="4C28C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480" w:type="dxa"/>
            <w:gridSpan w:val="4"/>
            <w:tcBorders>
              <w:top w:val="single" w:color="auto" w:sz="4" w:space="0"/>
              <w:left w:val="single" w:color="auto" w:sz="4" w:space="0"/>
              <w:bottom w:val="single" w:color="auto" w:sz="4" w:space="0"/>
              <w:right w:val="single" w:color="auto" w:sz="4" w:space="0"/>
            </w:tcBorders>
            <w:vAlign w:val="center"/>
          </w:tcPr>
          <w:p w14:paraId="7A087816">
            <w:pPr>
              <w:snapToGrid w:val="0"/>
              <w:spacing w:line="440" w:lineRule="exact"/>
              <w:rPr>
                <w:rFonts w:hint="eastAsia" w:ascii="宋体" w:hAnsi="宋体"/>
                <w:szCs w:val="21"/>
                <w:highlight w:val="none"/>
              </w:rPr>
            </w:pPr>
            <w:r>
              <w:rPr>
                <w:rFonts w:hint="eastAsia" w:ascii="宋体" w:hAnsi="宋体"/>
                <w:szCs w:val="21"/>
                <w:highlight w:val="none"/>
              </w:rPr>
              <w:t>B分标：</w:t>
            </w:r>
            <w:r>
              <w:rPr>
                <w:rFonts w:ascii="宋体" w:hAnsi="宋体"/>
                <w:szCs w:val="21"/>
                <w:highlight w:val="none"/>
              </w:rPr>
              <w:t>康复楼多功能康养用房设备购置项目</w:t>
            </w:r>
            <w:r>
              <w:rPr>
                <w:rFonts w:hint="eastAsia" w:ascii="宋体" w:hAnsi="宋体"/>
                <w:szCs w:val="21"/>
                <w:highlight w:val="none"/>
              </w:rPr>
              <w:t>（装饰工程部分）</w:t>
            </w:r>
          </w:p>
        </w:tc>
      </w:tr>
      <w:tr w14:paraId="54C16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15" w:type="dxa"/>
            <w:tcBorders>
              <w:top w:val="single" w:color="auto" w:sz="4" w:space="0"/>
              <w:left w:val="single" w:color="auto" w:sz="4" w:space="0"/>
              <w:bottom w:val="single" w:color="auto" w:sz="4" w:space="0"/>
              <w:right w:val="single" w:color="auto" w:sz="4" w:space="0"/>
            </w:tcBorders>
            <w:vAlign w:val="center"/>
          </w:tcPr>
          <w:p w14:paraId="04BCC1EC">
            <w:pPr>
              <w:snapToGrid w:val="0"/>
              <w:spacing w:line="440" w:lineRule="exact"/>
              <w:jc w:val="center"/>
              <w:rPr>
                <w:rFonts w:hint="eastAsia" w:ascii="宋体" w:hAnsi="宋体"/>
                <w:szCs w:val="21"/>
                <w:highlight w:val="none"/>
              </w:rPr>
            </w:pPr>
            <w:r>
              <w:rPr>
                <w:rFonts w:hint="eastAsia" w:ascii="宋体" w:hAnsi="宋体"/>
                <w:szCs w:val="21"/>
                <w:highlight w:val="none"/>
              </w:rPr>
              <w:t>1</w:t>
            </w:r>
          </w:p>
        </w:tc>
        <w:tc>
          <w:tcPr>
            <w:tcW w:w="2490" w:type="dxa"/>
            <w:tcBorders>
              <w:top w:val="single" w:color="auto" w:sz="4" w:space="0"/>
              <w:left w:val="single" w:color="auto" w:sz="4" w:space="0"/>
              <w:bottom w:val="single" w:color="auto" w:sz="4" w:space="0"/>
              <w:right w:val="single" w:color="auto" w:sz="4" w:space="0"/>
            </w:tcBorders>
            <w:vAlign w:val="center"/>
          </w:tcPr>
          <w:p w14:paraId="52DCA3CD">
            <w:pPr>
              <w:spacing w:line="440" w:lineRule="exact"/>
              <w:jc w:val="center"/>
              <w:rPr>
                <w:rFonts w:hint="eastAsia" w:ascii="宋体" w:hAnsi="宋体" w:cs="宋体"/>
                <w:szCs w:val="21"/>
                <w:highlight w:val="none"/>
              </w:rPr>
            </w:pPr>
            <w:r>
              <w:rPr>
                <w:rFonts w:ascii="宋体" w:hAnsi="宋体"/>
                <w:szCs w:val="21"/>
                <w:highlight w:val="none"/>
              </w:rPr>
              <w:t>康复楼多功能康养用房设备购置项目</w:t>
            </w:r>
            <w:r>
              <w:rPr>
                <w:rFonts w:hint="eastAsia" w:ascii="宋体" w:hAnsi="宋体"/>
                <w:szCs w:val="21"/>
                <w:highlight w:val="none"/>
              </w:rPr>
              <w:t>（装饰工程部分）</w:t>
            </w:r>
          </w:p>
        </w:tc>
        <w:tc>
          <w:tcPr>
            <w:tcW w:w="1485" w:type="dxa"/>
            <w:tcBorders>
              <w:top w:val="single" w:color="auto" w:sz="4" w:space="0"/>
              <w:left w:val="single" w:color="auto" w:sz="4" w:space="0"/>
              <w:bottom w:val="single" w:color="auto" w:sz="4" w:space="0"/>
              <w:right w:val="single" w:color="auto" w:sz="4" w:space="0"/>
            </w:tcBorders>
            <w:vAlign w:val="center"/>
          </w:tcPr>
          <w:p w14:paraId="772725BC">
            <w:pPr>
              <w:spacing w:line="440" w:lineRule="exact"/>
              <w:jc w:val="center"/>
              <w:rPr>
                <w:rFonts w:hint="eastAsia" w:ascii="宋体" w:hAnsi="宋体" w:cs="宋体"/>
                <w:szCs w:val="21"/>
                <w:highlight w:val="none"/>
              </w:rPr>
            </w:pPr>
            <w:r>
              <w:rPr>
                <w:rFonts w:hint="eastAsia" w:ascii="宋体" w:hAnsi="宋体" w:cs="宋体"/>
                <w:szCs w:val="21"/>
                <w:highlight w:val="none"/>
              </w:rPr>
              <w:t>1项</w:t>
            </w:r>
          </w:p>
        </w:tc>
        <w:tc>
          <w:tcPr>
            <w:tcW w:w="3390" w:type="dxa"/>
            <w:tcBorders>
              <w:top w:val="single" w:color="auto" w:sz="4" w:space="0"/>
              <w:left w:val="single" w:color="auto" w:sz="4" w:space="0"/>
              <w:bottom w:val="single" w:color="auto" w:sz="4" w:space="0"/>
              <w:right w:val="single" w:color="auto" w:sz="4" w:space="0"/>
            </w:tcBorders>
            <w:vAlign w:val="center"/>
          </w:tcPr>
          <w:p w14:paraId="6F6726B7">
            <w:pPr>
              <w:snapToGrid w:val="0"/>
              <w:spacing w:line="440" w:lineRule="exact"/>
              <w:jc w:val="center"/>
              <w:rPr>
                <w:rFonts w:hint="eastAsia" w:ascii="宋体" w:hAnsi="宋体"/>
                <w:szCs w:val="21"/>
                <w:highlight w:val="none"/>
              </w:rPr>
            </w:pPr>
            <w:r>
              <w:rPr>
                <w:rFonts w:hint="eastAsia" w:ascii="宋体" w:hAnsi="宋体"/>
                <w:szCs w:val="21"/>
                <w:highlight w:val="none"/>
              </w:rPr>
              <w:t>详见《采购需求》、工程量清单及图纸。</w:t>
            </w:r>
          </w:p>
        </w:tc>
      </w:tr>
      <w:tr w14:paraId="57726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480" w:type="dxa"/>
            <w:gridSpan w:val="4"/>
            <w:tcBorders>
              <w:top w:val="single" w:color="auto" w:sz="4" w:space="0"/>
              <w:left w:val="single" w:color="auto" w:sz="4" w:space="0"/>
              <w:bottom w:val="single" w:color="auto" w:sz="4" w:space="0"/>
              <w:right w:val="single" w:color="auto" w:sz="4" w:space="0"/>
            </w:tcBorders>
            <w:vAlign w:val="center"/>
          </w:tcPr>
          <w:p w14:paraId="4F477128">
            <w:pPr>
              <w:spacing w:line="440" w:lineRule="exact"/>
              <w:rPr>
                <w:rFonts w:hint="eastAsia" w:ascii="宋体" w:hAnsi="宋体"/>
                <w:szCs w:val="21"/>
                <w:highlight w:val="none"/>
              </w:rPr>
            </w:pPr>
            <w:r>
              <w:rPr>
                <w:rFonts w:hint="eastAsia" w:ascii="宋体" w:hAnsi="宋体"/>
                <w:szCs w:val="21"/>
                <w:highlight w:val="none"/>
              </w:rPr>
              <w:t>合同履行期限：</w:t>
            </w:r>
            <w:r>
              <w:rPr>
                <w:rFonts w:hint="eastAsia" w:ascii="宋体" w:hAnsi="宋体" w:cs="宋体"/>
                <w:szCs w:val="21"/>
                <w:highlight w:val="none"/>
              </w:rPr>
              <w:t>自签订合同之日起30日历日完成所有施工并验收合格。</w:t>
            </w:r>
          </w:p>
        </w:tc>
      </w:tr>
    </w:tbl>
    <w:p w14:paraId="5567371E">
      <w:pPr>
        <w:spacing w:line="440" w:lineRule="exact"/>
        <w:ind w:firstLine="420" w:firstLineChars="200"/>
        <w:rPr>
          <w:rFonts w:hint="eastAsia" w:ascii="宋体" w:hAnsi="宋体"/>
          <w:szCs w:val="21"/>
          <w:highlight w:val="none"/>
        </w:rPr>
      </w:pPr>
      <w:r>
        <w:rPr>
          <w:rFonts w:hint="eastAsia" w:ascii="宋体" w:hAnsi="宋体"/>
          <w:szCs w:val="21"/>
          <w:highlight w:val="none"/>
        </w:rPr>
        <w:t>本项目不接受联合体。</w:t>
      </w:r>
    </w:p>
    <w:p w14:paraId="2D3743DF">
      <w:pPr>
        <w:spacing w:line="440" w:lineRule="exact"/>
        <w:ind w:firstLine="480" w:firstLineChars="200"/>
        <w:rPr>
          <w:rFonts w:hint="eastAsia" w:ascii="黑体" w:hAnsi="黑体" w:eastAsia="黑体"/>
          <w:sz w:val="24"/>
          <w:highlight w:val="none"/>
        </w:rPr>
      </w:pPr>
      <w:bookmarkStart w:id="9" w:name="_Toc71366041"/>
      <w:bookmarkStart w:id="10" w:name="_Toc28359013"/>
      <w:bookmarkStart w:id="11" w:name="_Toc71365363"/>
      <w:bookmarkStart w:id="12" w:name="_Toc35393799"/>
      <w:bookmarkStart w:id="13" w:name="_Toc35393630"/>
      <w:bookmarkStart w:id="14" w:name="_Toc28359090"/>
      <w:r>
        <w:rPr>
          <w:rFonts w:hint="eastAsia" w:ascii="黑体" w:hAnsi="黑体" w:eastAsia="黑体"/>
          <w:sz w:val="24"/>
          <w:highlight w:val="none"/>
        </w:rPr>
        <w:t>二、供应商的资格条件：</w:t>
      </w:r>
      <w:bookmarkEnd w:id="9"/>
      <w:bookmarkEnd w:id="10"/>
      <w:bookmarkEnd w:id="11"/>
      <w:bookmarkEnd w:id="12"/>
      <w:bookmarkEnd w:id="13"/>
      <w:bookmarkEnd w:id="14"/>
    </w:p>
    <w:p w14:paraId="75EB7AE0">
      <w:pPr>
        <w:spacing w:line="440" w:lineRule="exact"/>
        <w:ind w:firstLine="420" w:firstLineChars="200"/>
        <w:rPr>
          <w:rFonts w:hint="eastAsia" w:ascii="宋体" w:hAnsi="宋体"/>
          <w:szCs w:val="21"/>
          <w:highlight w:val="none"/>
        </w:rPr>
      </w:pPr>
      <w:bookmarkStart w:id="15" w:name="_Toc28359091"/>
      <w:bookmarkStart w:id="16" w:name="_Toc28359014"/>
      <w:r>
        <w:rPr>
          <w:rFonts w:hint="eastAsia" w:ascii="宋体" w:hAnsi="宋体"/>
          <w:szCs w:val="21"/>
          <w:highlight w:val="none"/>
        </w:rPr>
        <w:t>1.满足《中华人民共和国政府采购法》第二十二条规定；</w:t>
      </w:r>
    </w:p>
    <w:p w14:paraId="6462DC2A">
      <w:pPr>
        <w:spacing w:line="440" w:lineRule="exact"/>
        <w:ind w:firstLine="420" w:firstLineChars="200"/>
        <w:rPr>
          <w:rFonts w:hint="eastAsia" w:ascii="宋体" w:hAnsi="宋体"/>
          <w:szCs w:val="21"/>
          <w:highlight w:val="none"/>
        </w:rPr>
      </w:pPr>
      <w:r>
        <w:rPr>
          <w:rFonts w:ascii="宋体" w:hAnsi="宋体"/>
          <w:szCs w:val="21"/>
          <w:highlight w:val="none"/>
        </w:rPr>
        <w:t>2</w:t>
      </w:r>
      <w:r>
        <w:rPr>
          <w:rFonts w:hint="eastAsia" w:ascii="宋体" w:hAnsi="宋体"/>
          <w:szCs w:val="21"/>
          <w:highlight w:val="none"/>
        </w:rPr>
        <w:t>.落实政府采购政策需满足的资格要求：</w:t>
      </w:r>
    </w:p>
    <w:p w14:paraId="6949DD65">
      <w:pPr>
        <w:spacing w:line="440" w:lineRule="exact"/>
        <w:ind w:firstLine="420" w:firstLineChars="200"/>
        <w:rPr>
          <w:rFonts w:hint="eastAsia" w:ascii="宋体" w:hAnsi="宋体" w:cs="宋体"/>
          <w:szCs w:val="21"/>
          <w:highlight w:val="none"/>
          <w:lang w:val="en-US" w:eastAsia="zh-CN"/>
        </w:rPr>
      </w:pPr>
      <w:r>
        <w:rPr>
          <w:rFonts w:hint="eastAsia" w:ascii="宋体" w:hAnsi="宋体" w:eastAsia="宋体" w:cs="宋体"/>
          <w:szCs w:val="21"/>
          <w:highlight w:val="none"/>
          <w:lang w:val="en-US" w:eastAsia="zh-CN"/>
        </w:rPr>
        <w:t xml:space="preserve"> A分标：本分标专门面向中小企业采购</w:t>
      </w:r>
      <w:r>
        <w:rPr>
          <w:rFonts w:hint="eastAsia" w:ascii="宋体" w:hAnsi="宋体" w:cs="宋体"/>
          <w:szCs w:val="21"/>
          <w:highlight w:val="none"/>
          <w:lang w:val="en-US" w:eastAsia="zh-CN"/>
        </w:rPr>
        <w:t>，所竞产品</w:t>
      </w:r>
      <w:r>
        <w:rPr>
          <w:rFonts w:hint="eastAsia" w:ascii="宋体" w:hAnsi="宋体" w:eastAsia="宋体" w:cs="宋体"/>
          <w:szCs w:val="21"/>
          <w:highlight w:val="none"/>
          <w:lang w:val="en-US" w:eastAsia="zh-CN"/>
        </w:rPr>
        <w:t>货物制造商必须是中型/小型/微型企业或监狱企业或残疾人福利性单位</w:t>
      </w:r>
      <w:r>
        <w:rPr>
          <w:rFonts w:hint="eastAsia" w:ascii="宋体" w:hAnsi="宋体" w:cs="宋体"/>
          <w:szCs w:val="21"/>
          <w:highlight w:val="none"/>
          <w:lang w:val="en-US" w:eastAsia="zh-CN"/>
        </w:rPr>
        <w:t>。</w:t>
      </w:r>
    </w:p>
    <w:p w14:paraId="12760C4B">
      <w:pPr>
        <w:spacing w:line="440" w:lineRule="exact"/>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 B分标：本分标</w:t>
      </w:r>
      <w:r>
        <w:rPr>
          <w:rFonts w:hint="eastAsia" w:ascii="宋体" w:hAnsi="宋体" w:eastAsia="宋体" w:cs="宋体"/>
          <w:color w:val="auto"/>
          <w:szCs w:val="21"/>
          <w:highlight w:val="none"/>
        </w:rPr>
        <w:t>专门面向中小企业采购</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承接</w:t>
      </w:r>
      <w:r>
        <w:rPr>
          <w:rFonts w:hint="eastAsia" w:ascii="宋体" w:hAnsi="宋体" w:eastAsia="宋体" w:cs="宋体"/>
          <w:color w:val="auto"/>
          <w:szCs w:val="21"/>
          <w:highlight w:val="none"/>
        </w:rPr>
        <w:t>供应商应为</w:t>
      </w:r>
      <w:r>
        <w:rPr>
          <w:rFonts w:hint="eastAsia" w:ascii="宋体" w:hAnsi="宋体" w:eastAsia="宋体" w:cs="宋体"/>
          <w:szCs w:val="21"/>
          <w:highlight w:val="none"/>
          <w:lang w:val="en-US" w:eastAsia="zh-CN"/>
        </w:rPr>
        <w:t>中型/小型/微型企业</w:t>
      </w:r>
      <w:r>
        <w:rPr>
          <w:rFonts w:hint="eastAsia" w:ascii="宋体" w:hAnsi="宋体" w:eastAsia="宋体" w:cs="宋体"/>
          <w:color w:val="auto"/>
          <w:szCs w:val="21"/>
          <w:highlight w:val="none"/>
        </w:rPr>
        <w:t>或监狱企业或残疾人福利性单位。</w:t>
      </w:r>
    </w:p>
    <w:p w14:paraId="6F284157">
      <w:pPr>
        <w:spacing w:line="440" w:lineRule="exact"/>
        <w:ind w:firstLine="420" w:firstLineChars="200"/>
        <w:rPr>
          <w:rFonts w:hint="eastAsia" w:ascii="宋体" w:hAnsi="宋体"/>
          <w:szCs w:val="21"/>
          <w:highlight w:val="none"/>
        </w:rPr>
      </w:pPr>
      <w:r>
        <w:rPr>
          <w:rFonts w:hint="eastAsia" w:ascii="宋体" w:hAnsi="宋体"/>
          <w:szCs w:val="21"/>
          <w:highlight w:val="none"/>
        </w:rPr>
        <w:t>3.本项目的特定资格要求：</w:t>
      </w:r>
    </w:p>
    <w:p w14:paraId="08AFCA03">
      <w:pPr>
        <w:pStyle w:val="27"/>
        <w:ind w:firstLine="210"/>
        <w:rPr>
          <w:rFonts w:hint="eastAsia" w:ascii="宋体" w:hAnsi="宋体" w:cs="宋体"/>
          <w:highlight w:val="none"/>
        </w:rPr>
      </w:pPr>
      <w:r>
        <w:rPr>
          <w:rFonts w:hint="eastAsia"/>
          <w:highlight w:val="none"/>
        </w:rPr>
        <w:t xml:space="preserve">  </w:t>
      </w:r>
      <w:r>
        <w:rPr>
          <w:rFonts w:hint="eastAsia" w:ascii="宋体" w:hAnsi="宋体"/>
          <w:szCs w:val="21"/>
          <w:highlight w:val="none"/>
        </w:rPr>
        <w:t xml:space="preserve"> </w:t>
      </w:r>
      <w:r>
        <w:rPr>
          <w:rFonts w:hint="eastAsia" w:ascii="宋体" w:hAnsi="宋体" w:cs="宋体"/>
          <w:szCs w:val="21"/>
          <w:highlight w:val="none"/>
        </w:rPr>
        <w:t xml:space="preserve"> 3.1A分标：无。</w:t>
      </w:r>
    </w:p>
    <w:p w14:paraId="648CADE2">
      <w:pPr>
        <w:spacing w:line="360" w:lineRule="auto"/>
        <w:ind w:firstLine="420" w:firstLineChars="200"/>
        <w:rPr>
          <w:rFonts w:hint="eastAsia" w:ascii="宋体" w:hAnsi="宋体" w:cs="宋体"/>
          <w:highlight w:val="none"/>
        </w:rPr>
      </w:pPr>
      <w:r>
        <w:rPr>
          <w:rFonts w:hint="eastAsia" w:ascii="宋体" w:hAnsi="宋体" w:cs="宋体"/>
          <w:highlight w:val="none"/>
        </w:rPr>
        <w:t xml:space="preserve">  3.2B分标：</w:t>
      </w:r>
    </w:p>
    <w:p w14:paraId="12265D9E">
      <w:pPr>
        <w:spacing w:line="360" w:lineRule="auto"/>
        <w:ind w:firstLine="630" w:firstLineChars="300"/>
        <w:rPr>
          <w:rFonts w:hint="eastAsia" w:ascii="宋体" w:hAnsi="宋体" w:cs="宋体"/>
          <w:szCs w:val="21"/>
        </w:rPr>
      </w:pPr>
      <w:bookmarkStart w:id="17" w:name="_Toc71365364"/>
      <w:bookmarkStart w:id="18" w:name="_Toc35393800"/>
      <w:bookmarkStart w:id="19" w:name="_Toc71366042"/>
      <w:bookmarkStart w:id="20" w:name="_Toc35393631"/>
      <w:r>
        <w:rPr>
          <w:rFonts w:hint="eastAsia" w:ascii="宋体" w:hAnsi="宋体" w:cs="宋体"/>
          <w:szCs w:val="21"/>
        </w:rPr>
        <w:t>3.2.1供应商须具备</w:t>
      </w:r>
      <w:r>
        <w:rPr>
          <w:rFonts w:hint="eastAsia" w:ascii="宋体" w:hAnsi="宋体" w:cs="宋体"/>
        </w:rPr>
        <w:t>行业主管部门颁发的</w:t>
      </w:r>
      <w:r>
        <w:rPr>
          <w:rFonts w:hint="eastAsia" w:ascii="宋体" w:hAnsi="宋体" w:cs="宋体"/>
          <w:szCs w:val="21"/>
        </w:rPr>
        <w:t>有效的建筑装修装饰工程专业承包二级（含）以上资质及有效的安全生产许可证；</w:t>
      </w:r>
    </w:p>
    <w:p w14:paraId="19200677">
      <w:pPr>
        <w:spacing w:line="360" w:lineRule="auto"/>
        <w:ind w:firstLine="630" w:firstLineChars="300"/>
        <w:rPr>
          <w:rFonts w:hint="eastAsia" w:ascii="宋体" w:hAnsi="宋体" w:cs="宋体"/>
          <w:szCs w:val="21"/>
        </w:rPr>
      </w:pPr>
      <w:r>
        <w:rPr>
          <w:rFonts w:hint="eastAsia" w:ascii="宋体" w:hAnsi="宋体" w:cs="宋体"/>
          <w:szCs w:val="21"/>
        </w:rPr>
        <w:t>3.2.2项目经理要求：拟投入的项目经理须具备有效的建筑工程专业二级（含）以上注册建造师执业资格，具备有效的安全生产考核合格证书（B类）。本项目不接受有在建、已中标未开工或已列为其他项目中标候选人第一名的建造师作为项目经理（符合《广西壮族自治区建筑市场诚信卡管理暂行办法》第十六条第一款及桂建管﹝2016﹞70号、桂建管〔2019〕26号和桂建管〔2020〕11号文除外）；</w:t>
      </w:r>
    </w:p>
    <w:p w14:paraId="4959745C">
      <w:pPr>
        <w:spacing w:line="440" w:lineRule="exact"/>
        <w:ind w:firstLine="630" w:firstLineChars="300"/>
        <w:rPr>
          <w:rFonts w:hint="eastAsia" w:ascii="宋体" w:hAnsi="宋体" w:cs="宋体"/>
        </w:rPr>
      </w:pPr>
      <w:r>
        <w:rPr>
          <w:rFonts w:hint="eastAsia" w:ascii="宋体" w:hAnsi="宋体" w:cs="宋体"/>
          <w:szCs w:val="21"/>
        </w:rPr>
        <w:t>3.2.3</w:t>
      </w:r>
      <w:r>
        <w:rPr>
          <w:rFonts w:hint="eastAsia" w:ascii="宋体" w:hAnsi="宋体" w:cs="宋体"/>
        </w:rPr>
        <w:t>专职安全生产管理人员要求：拟投入的专职安全生产管理人员须具备有效的安全生产考核合格证书（C类）。</w:t>
      </w:r>
    </w:p>
    <w:p w14:paraId="48B07C14">
      <w:pPr>
        <w:spacing w:line="440" w:lineRule="exact"/>
        <w:ind w:firstLine="480" w:firstLineChars="200"/>
        <w:rPr>
          <w:rFonts w:hint="eastAsia" w:ascii="黑体" w:hAnsi="黑体" w:eastAsia="黑体"/>
          <w:sz w:val="24"/>
        </w:rPr>
      </w:pPr>
      <w:r>
        <w:rPr>
          <w:rFonts w:hint="eastAsia" w:ascii="黑体" w:hAnsi="黑体" w:eastAsia="黑体"/>
          <w:sz w:val="24"/>
        </w:rPr>
        <w:t>三、获取竞争性谈判文件</w:t>
      </w:r>
      <w:bookmarkEnd w:id="15"/>
      <w:bookmarkEnd w:id="16"/>
      <w:bookmarkEnd w:id="17"/>
      <w:bookmarkEnd w:id="18"/>
      <w:bookmarkEnd w:id="19"/>
      <w:bookmarkEnd w:id="20"/>
    </w:p>
    <w:p w14:paraId="01054FAD">
      <w:pPr>
        <w:widowControl/>
        <w:spacing w:line="440" w:lineRule="exact"/>
        <w:ind w:firstLine="420" w:firstLineChars="200"/>
        <w:jc w:val="left"/>
        <w:rPr>
          <w:rFonts w:hint="eastAsia" w:ascii="宋体" w:hAnsi="宋体" w:cs="宋体"/>
          <w:szCs w:val="21"/>
        </w:rPr>
      </w:pPr>
      <w:bookmarkStart w:id="21" w:name="_Toc28359015"/>
      <w:bookmarkStart w:id="22" w:name="_Toc35393632"/>
      <w:bookmarkStart w:id="23" w:name="_Toc35393801"/>
      <w:bookmarkStart w:id="24" w:name="_Toc28359092"/>
      <w:bookmarkStart w:id="25" w:name="_Toc71366043"/>
      <w:bookmarkStart w:id="26" w:name="_Toc71365365"/>
      <w:r>
        <w:rPr>
          <w:rFonts w:hint="eastAsia" w:ascii="宋体" w:hAnsi="宋体" w:cs="宋体"/>
          <w:szCs w:val="21"/>
        </w:rPr>
        <w:t>时间：2025年</w:t>
      </w:r>
      <w:r>
        <w:rPr>
          <w:rFonts w:hint="eastAsia" w:ascii="宋体" w:hAnsi="宋体" w:cs="宋体"/>
          <w:szCs w:val="21"/>
          <w:lang w:val="en-US" w:eastAsia="zh-CN"/>
        </w:rPr>
        <w:t>11</w:t>
      </w:r>
      <w:r>
        <w:rPr>
          <w:rFonts w:hint="eastAsia" w:ascii="宋体" w:hAnsi="宋体" w:cs="宋体"/>
          <w:szCs w:val="21"/>
        </w:rPr>
        <w:t>月</w:t>
      </w:r>
      <w:r>
        <w:rPr>
          <w:rFonts w:hint="eastAsia" w:ascii="宋体" w:hAnsi="宋体" w:cs="宋体"/>
          <w:szCs w:val="21"/>
          <w:lang w:val="en-US" w:eastAsia="zh-CN"/>
        </w:rPr>
        <w:t>4</w:t>
      </w:r>
      <w:r>
        <w:rPr>
          <w:rFonts w:hint="eastAsia" w:ascii="宋体" w:hAnsi="宋体" w:cs="宋体"/>
          <w:szCs w:val="21"/>
        </w:rPr>
        <w:t>日至2025年</w:t>
      </w:r>
      <w:r>
        <w:rPr>
          <w:rFonts w:hint="eastAsia" w:ascii="宋体" w:hAnsi="宋体" w:cs="宋体"/>
          <w:szCs w:val="21"/>
          <w:lang w:val="en-US" w:eastAsia="zh-CN"/>
        </w:rPr>
        <w:t>11</w:t>
      </w:r>
      <w:r>
        <w:rPr>
          <w:rFonts w:hint="eastAsia" w:ascii="宋体" w:hAnsi="宋体" w:cs="宋体"/>
          <w:szCs w:val="21"/>
        </w:rPr>
        <w:t>月</w:t>
      </w:r>
      <w:r>
        <w:rPr>
          <w:rFonts w:hint="eastAsia" w:ascii="宋体" w:hAnsi="宋体" w:cs="宋体"/>
          <w:szCs w:val="21"/>
          <w:lang w:val="en-US" w:eastAsia="zh-CN"/>
        </w:rPr>
        <w:t>7</w:t>
      </w:r>
      <w:r>
        <w:rPr>
          <w:rFonts w:hint="eastAsia" w:ascii="宋体" w:hAnsi="宋体" w:cs="宋体"/>
          <w:szCs w:val="21"/>
        </w:rPr>
        <w:t>日，每天上午00:00至11:59，下午12:00至23:59（北京时间，法定节假日除外）</w:t>
      </w:r>
    </w:p>
    <w:p w14:paraId="0EB32C11">
      <w:pPr>
        <w:widowControl/>
        <w:spacing w:line="440" w:lineRule="exact"/>
        <w:ind w:firstLine="420" w:firstLineChars="200"/>
        <w:jc w:val="left"/>
        <w:rPr>
          <w:rFonts w:hint="eastAsia" w:ascii="宋体" w:hAnsi="宋体" w:cs="宋体"/>
          <w:szCs w:val="21"/>
        </w:rPr>
      </w:pPr>
      <w:r>
        <w:rPr>
          <w:rFonts w:hint="eastAsia" w:ascii="宋体" w:hAnsi="宋体" w:cs="宋体"/>
          <w:szCs w:val="21"/>
        </w:rPr>
        <w:t xml:space="preserve">地点（网址）：广西政府采购云平台（https://www.gcy.zfcg.gxzf.gov.cn/）                                                                                                                                                                                                            </w:t>
      </w:r>
    </w:p>
    <w:p w14:paraId="768317B9">
      <w:pPr>
        <w:widowControl/>
        <w:spacing w:line="440" w:lineRule="exact"/>
        <w:ind w:firstLine="420" w:firstLineChars="200"/>
        <w:jc w:val="left"/>
        <w:rPr>
          <w:rFonts w:hint="eastAsia" w:ascii="宋体" w:hAnsi="宋体" w:cs="宋体"/>
          <w:szCs w:val="21"/>
        </w:rPr>
      </w:pPr>
      <w:r>
        <w:rPr>
          <w:rFonts w:hint="eastAsia" w:ascii="宋体" w:hAnsi="宋体" w:cs="宋体"/>
          <w:szCs w:val="21"/>
        </w:rPr>
        <w:t>方式：网上下载。本项目不提供纸质文件，潜在供应商需在广西政府采购云平台（https://www.gcy.zfcg.gxzf.gov.cn/）-进入“项目采购”应用，在获取采购文件菜单中选择项目，获取竞争性谈判文件。电子响应文件制作需要基于广西政府采购云平台获取的谈判文件编制，通过其他方式获取谈判文件的，将有可能导致供应商无法在广西政府采购云平台编制及上传响应文件。</w:t>
      </w:r>
    </w:p>
    <w:p w14:paraId="7F74DAB5">
      <w:pPr>
        <w:widowControl/>
        <w:spacing w:line="440" w:lineRule="exact"/>
        <w:ind w:firstLine="420" w:firstLineChars="200"/>
        <w:jc w:val="left"/>
        <w:rPr>
          <w:rFonts w:hint="eastAsia" w:ascii="宋体" w:hAnsi="宋体" w:cs="宋体"/>
          <w:szCs w:val="21"/>
        </w:rPr>
      </w:pPr>
      <w:r>
        <w:rPr>
          <w:rFonts w:hint="eastAsia" w:ascii="宋体" w:hAnsi="宋体" w:cs="宋体"/>
          <w:szCs w:val="21"/>
        </w:rPr>
        <w:t>售价：0元</w:t>
      </w:r>
    </w:p>
    <w:p w14:paraId="67292848">
      <w:pPr>
        <w:spacing w:line="440" w:lineRule="exact"/>
        <w:ind w:firstLine="360" w:firstLineChars="150"/>
        <w:rPr>
          <w:rFonts w:hint="eastAsia" w:ascii="黑体" w:hAnsi="黑体" w:eastAsia="黑体"/>
          <w:sz w:val="24"/>
        </w:rPr>
      </w:pPr>
      <w:r>
        <w:rPr>
          <w:rFonts w:hint="eastAsia" w:ascii="黑体" w:hAnsi="黑体" w:eastAsia="黑体"/>
          <w:sz w:val="24"/>
        </w:rPr>
        <w:t>四、响应文件提交</w:t>
      </w:r>
      <w:bookmarkEnd w:id="21"/>
      <w:bookmarkEnd w:id="22"/>
      <w:bookmarkEnd w:id="23"/>
      <w:bookmarkEnd w:id="24"/>
      <w:bookmarkEnd w:id="25"/>
      <w:bookmarkEnd w:id="26"/>
    </w:p>
    <w:p w14:paraId="51D69BD1">
      <w:pPr>
        <w:spacing w:line="440" w:lineRule="exact"/>
        <w:ind w:firstLine="420" w:firstLineChars="200"/>
        <w:rPr>
          <w:rFonts w:hint="eastAsia" w:ascii="宋体" w:hAnsi="宋体"/>
          <w:bCs/>
          <w:szCs w:val="21"/>
          <w:u w:val="single"/>
        </w:rPr>
      </w:pPr>
      <w:r>
        <w:rPr>
          <w:rFonts w:hint="eastAsia" w:ascii="宋体" w:hAnsi="宋体"/>
          <w:szCs w:val="21"/>
        </w:rPr>
        <w:t>截止时间：</w:t>
      </w:r>
      <w:r>
        <w:rPr>
          <w:rFonts w:hint="eastAsia" w:ascii="宋体" w:hAnsi="宋体"/>
          <w:bCs/>
          <w:szCs w:val="21"/>
          <w:u w:val="single"/>
        </w:rPr>
        <w:t>2025年</w:t>
      </w:r>
      <w:r>
        <w:rPr>
          <w:rFonts w:hint="eastAsia" w:ascii="宋体" w:hAnsi="宋体"/>
          <w:bCs/>
          <w:szCs w:val="21"/>
          <w:u w:val="single"/>
          <w:lang w:val="en-US" w:eastAsia="zh-CN"/>
        </w:rPr>
        <w:t>11</w:t>
      </w:r>
      <w:r>
        <w:rPr>
          <w:rFonts w:hint="eastAsia" w:ascii="宋体" w:hAnsi="宋体"/>
          <w:bCs/>
          <w:szCs w:val="21"/>
          <w:u w:val="single"/>
        </w:rPr>
        <w:t>月</w:t>
      </w:r>
      <w:r>
        <w:rPr>
          <w:rFonts w:hint="eastAsia" w:ascii="宋体" w:hAnsi="宋体"/>
          <w:bCs/>
          <w:szCs w:val="21"/>
          <w:u w:val="single"/>
          <w:lang w:val="en-US" w:eastAsia="zh-CN"/>
        </w:rPr>
        <w:t>10</w:t>
      </w:r>
      <w:r>
        <w:rPr>
          <w:rFonts w:hint="eastAsia" w:ascii="宋体" w:hAnsi="宋体"/>
          <w:bCs/>
          <w:szCs w:val="21"/>
          <w:u w:val="single"/>
        </w:rPr>
        <w:t>日9点</w:t>
      </w:r>
      <w:r>
        <w:rPr>
          <w:rFonts w:ascii="宋体" w:hAnsi="宋体"/>
          <w:bCs/>
          <w:szCs w:val="21"/>
          <w:u w:val="single"/>
        </w:rPr>
        <w:t>00</w:t>
      </w:r>
      <w:r>
        <w:rPr>
          <w:rFonts w:hint="eastAsia" w:ascii="宋体" w:hAnsi="宋体"/>
          <w:bCs/>
          <w:szCs w:val="21"/>
          <w:u w:val="single"/>
        </w:rPr>
        <w:t>分</w:t>
      </w:r>
      <w:r>
        <w:rPr>
          <w:rFonts w:hint="eastAsia" w:ascii="宋体" w:hAnsi="宋体"/>
          <w:bCs/>
          <w:szCs w:val="21"/>
        </w:rPr>
        <w:t>（北京时间）</w:t>
      </w:r>
    </w:p>
    <w:p w14:paraId="10346E20">
      <w:pPr>
        <w:spacing w:line="440" w:lineRule="exact"/>
        <w:ind w:left="422"/>
        <w:rPr>
          <w:rFonts w:hint="eastAsia" w:ascii="宋体" w:hAnsi="宋体"/>
          <w:bCs/>
          <w:szCs w:val="21"/>
          <w:u w:val="single"/>
        </w:rPr>
      </w:pPr>
      <w:r>
        <w:rPr>
          <w:rFonts w:hint="eastAsia" w:ascii="宋体" w:hAnsi="宋体"/>
          <w:szCs w:val="21"/>
        </w:rPr>
        <w:t>地点：广西政府采购云平台</w:t>
      </w:r>
      <w:r>
        <w:rPr>
          <w:rFonts w:hint="eastAsia" w:ascii="宋体" w:hAnsi="宋体" w:cs="宋体"/>
          <w:bCs/>
          <w:kern w:val="0"/>
          <w:szCs w:val="21"/>
        </w:rPr>
        <w:t>（https://www.gcy.zfcg.gxzf.gov.cn/）</w:t>
      </w:r>
    </w:p>
    <w:p w14:paraId="0A326F7C">
      <w:pPr>
        <w:spacing w:line="440" w:lineRule="exact"/>
        <w:ind w:firstLine="360" w:firstLineChars="150"/>
        <w:rPr>
          <w:rFonts w:hint="eastAsia" w:ascii="黑体" w:hAnsi="黑体" w:eastAsia="黑体"/>
          <w:sz w:val="24"/>
        </w:rPr>
      </w:pPr>
      <w:bookmarkStart w:id="27" w:name="_Toc28359016"/>
      <w:bookmarkStart w:id="28" w:name="_Toc71365366"/>
      <w:bookmarkStart w:id="29" w:name="_Toc35393633"/>
      <w:bookmarkStart w:id="30" w:name="_Toc35393802"/>
      <w:bookmarkStart w:id="31" w:name="_Toc71366044"/>
      <w:bookmarkStart w:id="32" w:name="_Toc28359093"/>
      <w:r>
        <w:rPr>
          <w:rFonts w:hint="eastAsia" w:ascii="黑体" w:hAnsi="黑体" w:eastAsia="黑体"/>
          <w:sz w:val="24"/>
        </w:rPr>
        <w:t>五、开启</w:t>
      </w:r>
      <w:bookmarkEnd w:id="27"/>
      <w:bookmarkEnd w:id="28"/>
      <w:bookmarkEnd w:id="29"/>
      <w:bookmarkEnd w:id="30"/>
      <w:bookmarkEnd w:id="31"/>
      <w:bookmarkEnd w:id="32"/>
    </w:p>
    <w:p w14:paraId="43D7FBC5">
      <w:pPr>
        <w:spacing w:line="440" w:lineRule="exact"/>
        <w:ind w:firstLine="420" w:firstLineChars="200"/>
        <w:rPr>
          <w:rFonts w:hint="eastAsia" w:ascii="宋体" w:hAnsi="宋体"/>
          <w:bCs/>
          <w:szCs w:val="21"/>
          <w:u w:val="single"/>
        </w:rPr>
      </w:pPr>
      <w:r>
        <w:rPr>
          <w:rFonts w:hint="eastAsia" w:ascii="宋体" w:hAnsi="宋体"/>
          <w:szCs w:val="21"/>
        </w:rPr>
        <w:t>时间：</w:t>
      </w:r>
      <w:r>
        <w:rPr>
          <w:rFonts w:hint="eastAsia" w:ascii="宋体" w:hAnsi="宋体"/>
          <w:szCs w:val="21"/>
          <w:u w:val="single"/>
        </w:rPr>
        <w:t>2025年</w:t>
      </w:r>
      <w:r>
        <w:rPr>
          <w:rFonts w:hint="eastAsia" w:ascii="宋体" w:hAnsi="宋体"/>
          <w:szCs w:val="21"/>
          <w:u w:val="single"/>
          <w:lang w:val="en-US" w:eastAsia="zh-CN"/>
        </w:rPr>
        <w:t>11</w:t>
      </w:r>
      <w:r>
        <w:rPr>
          <w:rFonts w:hint="eastAsia" w:ascii="宋体" w:hAnsi="宋体"/>
          <w:szCs w:val="21"/>
          <w:u w:val="single"/>
        </w:rPr>
        <w:t>月</w:t>
      </w:r>
      <w:r>
        <w:rPr>
          <w:rFonts w:hint="eastAsia" w:ascii="宋体" w:hAnsi="宋体"/>
          <w:szCs w:val="21"/>
          <w:u w:val="single"/>
          <w:lang w:val="en-US" w:eastAsia="zh-CN"/>
        </w:rPr>
        <w:t>10</w:t>
      </w:r>
      <w:r>
        <w:rPr>
          <w:rFonts w:hint="eastAsia" w:ascii="宋体" w:hAnsi="宋体"/>
          <w:szCs w:val="21"/>
          <w:u w:val="single"/>
        </w:rPr>
        <w:t>日</w:t>
      </w:r>
      <w:r>
        <w:rPr>
          <w:rFonts w:hint="eastAsia" w:ascii="宋体" w:hAnsi="宋体"/>
          <w:bCs/>
          <w:szCs w:val="21"/>
          <w:u w:val="single"/>
        </w:rPr>
        <w:t>9点</w:t>
      </w:r>
      <w:r>
        <w:rPr>
          <w:rFonts w:ascii="宋体" w:hAnsi="宋体"/>
          <w:bCs/>
          <w:szCs w:val="21"/>
          <w:u w:val="single"/>
        </w:rPr>
        <w:t>00</w:t>
      </w:r>
      <w:r>
        <w:rPr>
          <w:rFonts w:hint="eastAsia" w:ascii="宋体" w:hAnsi="宋体"/>
          <w:bCs/>
          <w:szCs w:val="21"/>
          <w:u w:val="single"/>
        </w:rPr>
        <w:t>分（北京时间）</w:t>
      </w:r>
    </w:p>
    <w:p w14:paraId="5F29E95C">
      <w:pPr>
        <w:spacing w:line="440" w:lineRule="exact"/>
        <w:ind w:firstLine="420" w:firstLineChars="200"/>
        <w:rPr>
          <w:rFonts w:hint="eastAsia" w:ascii="宋体" w:hAnsi="宋体"/>
          <w:bCs/>
          <w:szCs w:val="21"/>
          <w:u w:val="single"/>
        </w:rPr>
      </w:pPr>
      <w:r>
        <w:rPr>
          <w:rFonts w:hint="eastAsia" w:ascii="宋体" w:hAnsi="宋体"/>
          <w:szCs w:val="21"/>
        </w:rPr>
        <w:t>地点：广西政府采购云平台</w:t>
      </w:r>
      <w:r>
        <w:rPr>
          <w:rFonts w:hint="eastAsia" w:ascii="宋体" w:hAnsi="宋体" w:cs="宋体"/>
          <w:bCs/>
          <w:kern w:val="0"/>
          <w:szCs w:val="21"/>
        </w:rPr>
        <w:t>（https://www.gcy.zfcg.gxzf.gov.cn/）</w:t>
      </w:r>
    </w:p>
    <w:p w14:paraId="7A16979A">
      <w:pPr>
        <w:spacing w:line="440" w:lineRule="exact"/>
        <w:ind w:firstLine="360" w:firstLineChars="150"/>
        <w:rPr>
          <w:rFonts w:hint="eastAsia" w:ascii="黑体" w:hAnsi="黑体" w:eastAsia="黑体"/>
          <w:sz w:val="24"/>
        </w:rPr>
      </w:pPr>
      <w:bookmarkStart w:id="33" w:name="_Toc28359094"/>
      <w:bookmarkStart w:id="34" w:name="_Toc71365367"/>
      <w:bookmarkStart w:id="35" w:name="_Toc35393634"/>
      <w:bookmarkStart w:id="36" w:name="_Toc71366045"/>
      <w:bookmarkStart w:id="37" w:name="_Toc28359017"/>
      <w:bookmarkStart w:id="38" w:name="_Toc35393803"/>
      <w:r>
        <w:rPr>
          <w:rFonts w:hint="eastAsia" w:ascii="黑体" w:hAnsi="黑体" w:eastAsia="黑体"/>
          <w:sz w:val="24"/>
        </w:rPr>
        <w:t>六、公告期限</w:t>
      </w:r>
      <w:bookmarkEnd w:id="33"/>
      <w:bookmarkEnd w:id="34"/>
      <w:bookmarkEnd w:id="35"/>
      <w:bookmarkEnd w:id="36"/>
      <w:bookmarkEnd w:id="37"/>
      <w:bookmarkEnd w:id="38"/>
    </w:p>
    <w:p w14:paraId="15F9DA91">
      <w:pPr>
        <w:spacing w:line="440" w:lineRule="exact"/>
        <w:ind w:firstLine="420" w:firstLineChars="200"/>
        <w:rPr>
          <w:rFonts w:hint="eastAsia" w:ascii="宋体" w:hAnsi="宋体" w:cs="宋体"/>
          <w:kern w:val="0"/>
          <w:szCs w:val="21"/>
        </w:rPr>
      </w:pPr>
      <w:r>
        <w:rPr>
          <w:rFonts w:hint="eastAsia" w:ascii="宋体" w:hAnsi="宋体" w:cs="宋体"/>
          <w:kern w:val="0"/>
          <w:szCs w:val="21"/>
        </w:rPr>
        <w:t>自本公告发布之日起3个工作日。</w:t>
      </w:r>
    </w:p>
    <w:p w14:paraId="63B4472F">
      <w:pPr>
        <w:spacing w:line="440" w:lineRule="exact"/>
        <w:ind w:firstLine="360" w:firstLineChars="150"/>
        <w:rPr>
          <w:rFonts w:hint="eastAsia" w:ascii="黑体" w:hAnsi="黑体" w:eastAsia="黑体"/>
          <w:sz w:val="24"/>
        </w:rPr>
      </w:pPr>
      <w:bookmarkStart w:id="39" w:name="_Toc35393804"/>
      <w:bookmarkStart w:id="40" w:name="_Toc71365368"/>
      <w:bookmarkStart w:id="41" w:name="_Toc35393635"/>
      <w:bookmarkStart w:id="42" w:name="_Toc71366046"/>
      <w:r>
        <w:rPr>
          <w:rFonts w:hint="eastAsia" w:ascii="黑体" w:hAnsi="黑体" w:eastAsia="黑体"/>
          <w:sz w:val="24"/>
        </w:rPr>
        <w:t>七、其他补充事宜</w:t>
      </w:r>
      <w:bookmarkEnd w:id="39"/>
      <w:bookmarkEnd w:id="40"/>
      <w:bookmarkEnd w:id="41"/>
      <w:bookmarkEnd w:id="42"/>
    </w:p>
    <w:p w14:paraId="4392ED6A">
      <w:pPr>
        <w:spacing w:line="440" w:lineRule="exact"/>
        <w:ind w:firstLine="420" w:firstLineChars="20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网上查询地址</w:t>
      </w:r>
    </w:p>
    <w:p w14:paraId="4B26ECE6">
      <w:pPr>
        <w:spacing w:line="440" w:lineRule="exact"/>
        <w:ind w:firstLine="420" w:firstLineChars="200"/>
        <w:rPr>
          <w:rFonts w:hint="eastAsia" w:ascii="宋体" w:hAnsi="宋体" w:cs="宋体"/>
          <w:kern w:val="0"/>
          <w:szCs w:val="21"/>
        </w:rPr>
      </w:pPr>
      <w:bookmarkStart w:id="43" w:name="_Hlk37429674"/>
      <w:bookmarkStart w:id="44" w:name="_Toc28359018"/>
      <w:bookmarkStart w:id="45" w:name="_Toc71365369"/>
      <w:bookmarkStart w:id="46" w:name="_Toc71366047"/>
      <w:bookmarkStart w:id="47" w:name="_Toc28359095"/>
      <w:bookmarkStart w:id="48" w:name="_Toc35393805"/>
      <w:bookmarkStart w:id="49" w:name="_Toc35393636"/>
      <w:r>
        <w:rPr>
          <w:rFonts w:hint="eastAsia" w:ascii="宋体" w:hAnsi="宋体" w:cs="宋体"/>
          <w:kern w:val="0"/>
          <w:szCs w:val="21"/>
        </w:rPr>
        <w:t>中国政府采购网、广西壮族自治区政府采购网、广西正海招标有限公司网</w:t>
      </w:r>
    </w:p>
    <w:p w14:paraId="4B697709">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2.本项目需要落实的政府采购政策</w:t>
      </w:r>
    </w:p>
    <w:p w14:paraId="558B8C79">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（1）政府采购促进中小企业发展。</w:t>
      </w:r>
    </w:p>
    <w:p w14:paraId="39B18224">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（2）政府采购支持采用本国产品的政策。</w:t>
      </w:r>
    </w:p>
    <w:p w14:paraId="6107CDB4">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（3）强制采购节能产品；优先采购节能产品、环境标志产品。</w:t>
      </w:r>
    </w:p>
    <w:p w14:paraId="791CFC91">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（4）政府采购促进残疾人就业政策。</w:t>
      </w:r>
    </w:p>
    <w:p w14:paraId="6AB5FDF1">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（5）政府采购支持监狱企业发展。</w:t>
      </w:r>
    </w:p>
    <w:bookmarkEnd w:id="43"/>
    <w:p w14:paraId="60422691">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3.供应商竞标注意事项</w:t>
      </w:r>
    </w:p>
    <w:p w14:paraId="7D4373BB">
      <w:pPr>
        <w:tabs>
          <w:tab w:val="left" w:pos="639"/>
        </w:tabs>
        <w:spacing w:line="440" w:lineRule="exact"/>
        <w:jc w:val="left"/>
        <w:rPr>
          <w:rFonts w:hint="eastAsia" w:ascii="宋体" w:hAnsi="宋体" w:cs="宋体"/>
          <w:bCs/>
          <w:szCs w:val="21"/>
        </w:rPr>
      </w:pPr>
      <w:r>
        <w:rPr>
          <w:rFonts w:hint="eastAsia"/>
        </w:rPr>
        <w:tab/>
      </w:r>
      <w:r>
        <w:rPr>
          <w:rFonts w:hint="eastAsia" w:ascii="宋体" w:hAnsi="宋体" w:cs="宋体"/>
          <w:bCs/>
          <w:szCs w:val="21"/>
        </w:rPr>
        <w:t>（1）本项目为全流程电子化采购项目，通过广西政府采购云平台（https://www.gcy.zfcg.gxzf.gov.cn/）实行在线电子竞标，供应商应按照本项目竞争性谈判文件和广西政府采购云平台 的要求编制、加密后在提交响应文件截止时间前通过网络上传至 广西政府采购云平台 （加密的电子响应文件是指后缀名为“jmbs”的文件），供应商在广西政府采购云平台 提交电子响应文件时，请填写参加远程采购活动经办人联系方式。供应商登录广西政府采购云平台 ，依次进入“服务中心-项目采购-操作流程-电子招投标-政府采购项目电子交易管理操作指南-供应商”查看电子竞标具体操作流程。</w:t>
      </w:r>
    </w:p>
    <w:p w14:paraId="1F30FE15">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 ，依次进入“服务中心-入驻与配置”中查看CA数字证书办理操作流程。如在操作过程中遇到问题或者需要技术支持，请致电桂采云客服热线：95763）。</w:t>
      </w:r>
    </w:p>
    <w:p w14:paraId="05BEF6FF">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（3）CA证书在线解密：首次响应文件开启时，需携带制作响应文件时用来加密的有效数字证书（CA认证）登录广西政府采购云平台 电子开标大厅现场按规定时间对加密的响应文件进行解密，否则后果自负。</w:t>
      </w:r>
    </w:p>
    <w:p w14:paraId="17ECEF95">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178E41C9">
      <w:pPr>
        <w:keepLines/>
        <w:spacing w:line="440" w:lineRule="exact"/>
        <w:ind w:firstLine="420" w:firstLineChars="200"/>
        <w:jc w:val="left"/>
        <w:rPr>
          <w:rFonts w:hint="eastAsia" w:ascii="宋体" w:hAnsi="宋体" w:cs="宋体"/>
          <w:bCs/>
          <w:szCs w:val="21"/>
        </w:rPr>
      </w:pPr>
      <w:r>
        <w:rPr>
          <w:rFonts w:hint="eastAsia" w:ascii="宋体" w:hAnsi="宋体" w:cs="宋体"/>
          <w:bCs/>
          <w:szCs w:val="21"/>
        </w:rPr>
        <w:t>（4）供应商需要在具备有摄像头及语音功能且互联网网络状况良好的电脑登录广西政府采购云平台 远程开标大厅参与本次谈判，否则后果自负。</w:t>
      </w:r>
    </w:p>
    <w:p w14:paraId="435AB2D1">
      <w:pPr>
        <w:spacing w:line="440" w:lineRule="exact"/>
        <w:ind w:firstLine="315" w:firstLineChars="150"/>
        <w:rPr>
          <w:rFonts w:hint="eastAsia" w:ascii="宋体" w:hAnsi="宋体" w:cs="宋体"/>
          <w:szCs w:val="21"/>
        </w:rPr>
      </w:pPr>
      <w:r>
        <w:rPr>
          <w:rFonts w:hint="eastAsia" w:ascii="宋体" w:hAnsi="宋体" w:cs="宋体"/>
          <w:szCs w:val="21"/>
        </w:rPr>
        <w:t>八、凡对本次采购提出询问，请按以下方式联系。</w:t>
      </w:r>
      <w:bookmarkEnd w:id="44"/>
      <w:bookmarkEnd w:id="45"/>
      <w:bookmarkEnd w:id="46"/>
      <w:bookmarkEnd w:id="47"/>
      <w:bookmarkEnd w:id="48"/>
      <w:bookmarkEnd w:id="49"/>
    </w:p>
    <w:p w14:paraId="43E47643">
      <w:pPr>
        <w:spacing w:line="440" w:lineRule="exact"/>
        <w:ind w:firstLine="420" w:firstLineChars="200"/>
        <w:rPr>
          <w:rFonts w:hint="eastAsia" w:ascii="宋体" w:hAnsi="宋体" w:cs="宋体"/>
          <w:kern w:val="0"/>
          <w:szCs w:val="21"/>
        </w:rPr>
      </w:pPr>
      <w:bookmarkStart w:id="50" w:name="_Toc35393637"/>
      <w:bookmarkStart w:id="51" w:name="_Toc35393806"/>
      <w:bookmarkStart w:id="52" w:name="_Toc28359019"/>
      <w:bookmarkStart w:id="53" w:name="_Toc28359096"/>
      <w:r>
        <w:rPr>
          <w:rFonts w:hint="eastAsia" w:ascii="宋体" w:hAnsi="宋体" w:cs="宋体"/>
          <w:kern w:val="0"/>
          <w:szCs w:val="21"/>
        </w:rPr>
        <w:t>1.采购人信息</w:t>
      </w:r>
      <w:bookmarkEnd w:id="50"/>
      <w:bookmarkEnd w:id="51"/>
      <w:bookmarkEnd w:id="52"/>
      <w:bookmarkEnd w:id="53"/>
    </w:p>
    <w:p w14:paraId="6517004F">
      <w:pPr>
        <w:spacing w:line="440" w:lineRule="exact"/>
        <w:ind w:firstLine="420" w:firstLineChars="200"/>
        <w:rPr>
          <w:rFonts w:hint="eastAsia" w:ascii="宋体" w:hAnsi="宋体" w:cs="宋体"/>
          <w:szCs w:val="21"/>
        </w:rPr>
      </w:pPr>
      <w:bookmarkStart w:id="54" w:name="_Toc35393638"/>
      <w:bookmarkStart w:id="55" w:name="_Toc28359097"/>
      <w:bookmarkStart w:id="56" w:name="_Toc35393807"/>
      <w:bookmarkStart w:id="57" w:name="_Toc28359020"/>
      <w:r>
        <w:rPr>
          <w:rFonts w:hint="eastAsia" w:ascii="宋体" w:hAnsi="宋体" w:cs="宋体"/>
          <w:szCs w:val="21"/>
        </w:rPr>
        <w:t>名    称：</w:t>
      </w:r>
      <w:r>
        <w:rPr>
          <w:rFonts w:ascii="宋体" w:hAnsi="宋体" w:cs="宋体"/>
          <w:szCs w:val="21"/>
        </w:rPr>
        <w:t>广西壮族自治区退役军人康复中心</w:t>
      </w:r>
    </w:p>
    <w:p w14:paraId="09795231">
      <w:pPr>
        <w:spacing w:line="440" w:lineRule="exact"/>
        <w:ind w:firstLine="420" w:firstLineChars="200"/>
        <w:rPr>
          <w:rFonts w:hint="eastAsia" w:ascii="宋体" w:hAnsi="宋体" w:cs="宋体"/>
          <w:szCs w:val="21"/>
        </w:rPr>
      </w:pPr>
      <w:r>
        <w:rPr>
          <w:rFonts w:hint="eastAsia" w:ascii="宋体" w:hAnsi="宋体" w:cs="宋体"/>
          <w:szCs w:val="21"/>
        </w:rPr>
        <w:t>地    址：南宁市青秀区厢竹大道48—1号</w:t>
      </w:r>
    </w:p>
    <w:p w14:paraId="4FA87B91">
      <w:pPr>
        <w:spacing w:line="440" w:lineRule="exact"/>
        <w:ind w:firstLine="420" w:firstLineChars="200"/>
        <w:rPr>
          <w:rFonts w:hint="eastAsia" w:ascii="宋体" w:hAnsi="宋体" w:cs="宋体"/>
          <w:szCs w:val="21"/>
        </w:rPr>
      </w:pPr>
      <w:r>
        <w:rPr>
          <w:rFonts w:hint="eastAsia" w:ascii="宋体" w:hAnsi="宋体" w:cs="宋体"/>
          <w:szCs w:val="21"/>
        </w:rPr>
        <w:t>联系方式：伍女士  0771-2869059 </w:t>
      </w:r>
    </w:p>
    <w:p w14:paraId="35FF9745">
      <w:pPr>
        <w:spacing w:line="440" w:lineRule="exact"/>
        <w:ind w:firstLine="420" w:firstLineChars="200"/>
        <w:rPr>
          <w:rFonts w:hint="eastAsia" w:ascii="宋体" w:hAnsi="宋体" w:cs="宋体"/>
          <w:szCs w:val="21"/>
        </w:rPr>
      </w:pPr>
      <w:r>
        <w:rPr>
          <w:rFonts w:hint="eastAsia" w:ascii="宋体" w:hAnsi="宋体" w:cs="宋体"/>
          <w:szCs w:val="21"/>
        </w:rPr>
        <w:t>2.采购代理机构信息</w:t>
      </w:r>
      <w:bookmarkEnd w:id="54"/>
      <w:bookmarkEnd w:id="55"/>
      <w:bookmarkEnd w:id="56"/>
      <w:bookmarkEnd w:id="57"/>
    </w:p>
    <w:bookmarkEnd w:id="1"/>
    <w:p w14:paraId="203FE6AA">
      <w:pPr>
        <w:spacing w:line="440" w:lineRule="exact"/>
        <w:ind w:firstLine="420" w:firstLineChars="200"/>
        <w:rPr>
          <w:rFonts w:hint="eastAsia" w:ascii="宋体" w:hAnsi="宋体" w:cs="宋体"/>
          <w:szCs w:val="21"/>
        </w:rPr>
      </w:pPr>
      <w:r>
        <w:rPr>
          <w:rFonts w:hint="eastAsia" w:ascii="宋体" w:hAnsi="宋体" w:cs="宋体"/>
          <w:szCs w:val="21"/>
        </w:rPr>
        <w:t>名    称：广西正海招标有限公司　　　　　　　　　　　　</w:t>
      </w:r>
    </w:p>
    <w:p w14:paraId="38E6AA45">
      <w:pPr>
        <w:spacing w:line="440" w:lineRule="exact"/>
        <w:ind w:firstLine="420" w:firstLineChars="200"/>
        <w:rPr>
          <w:rFonts w:hint="eastAsia" w:ascii="宋体" w:hAnsi="宋体" w:cs="宋体"/>
          <w:szCs w:val="21"/>
        </w:rPr>
      </w:pPr>
      <w:r>
        <w:rPr>
          <w:rFonts w:hint="eastAsia" w:ascii="宋体" w:hAnsi="宋体" w:cs="宋体"/>
          <w:szCs w:val="21"/>
        </w:rPr>
        <w:t>地　　址：南宁市青秀区茅桥路2号习艺基地A栋1号电梯3楼　　　　　　　　　　　　</w:t>
      </w:r>
    </w:p>
    <w:p w14:paraId="33E605EA">
      <w:pPr>
        <w:spacing w:line="440" w:lineRule="exact"/>
        <w:ind w:firstLine="420" w:firstLineChars="200"/>
        <w:rPr>
          <w:rFonts w:hint="eastAsia" w:ascii="宋体" w:hAnsi="宋体" w:cs="宋体"/>
          <w:szCs w:val="21"/>
        </w:rPr>
      </w:pPr>
      <w:r>
        <w:rPr>
          <w:rFonts w:hint="eastAsia" w:ascii="宋体" w:hAnsi="宋体" w:cs="宋体"/>
          <w:szCs w:val="21"/>
        </w:rPr>
        <w:t>联系方式： 0771-2865989       传真：0771-5650199　　　　　　　　　　</w:t>
      </w:r>
    </w:p>
    <w:p w14:paraId="4A756135">
      <w:pPr>
        <w:spacing w:line="440" w:lineRule="exact"/>
        <w:ind w:firstLine="420" w:firstLineChars="200"/>
        <w:rPr>
          <w:rFonts w:hint="eastAsia" w:ascii="宋体" w:hAnsi="宋体" w:cs="宋体"/>
          <w:szCs w:val="21"/>
        </w:rPr>
      </w:pPr>
      <w:r>
        <w:rPr>
          <w:rFonts w:hint="eastAsia" w:ascii="宋体" w:hAnsi="宋体" w:cs="宋体"/>
          <w:szCs w:val="21"/>
        </w:rPr>
        <w:t>3.项目联系方式</w:t>
      </w:r>
    </w:p>
    <w:p w14:paraId="084E77B4">
      <w:pPr>
        <w:spacing w:line="440" w:lineRule="exact"/>
        <w:ind w:firstLine="420" w:firstLineChars="200"/>
        <w:rPr>
          <w:rFonts w:hint="eastAsia" w:ascii="宋体" w:hAnsi="宋体" w:cs="宋体"/>
          <w:szCs w:val="21"/>
        </w:rPr>
      </w:pPr>
      <w:r>
        <w:rPr>
          <w:rFonts w:hint="eastAsia" w:ascii="宋体" w:hAnsi="宋体" w:cs="宋体"/>
          <w:szCs w:val="21"/>
        </w:rPr>
        <w:t xml:space="preserve">项目联系人：覃旭理、王玉娇   </w:t>
      </w:r>
    </w:p>
    <w:p w14:paraId="5C50C753">
      <w:pPr>
        <w:spacing w:line="440" w:lineRule="exact"/>
        <w:ind w:firstLine="420" w:firstLineChars="200"/>
        <w:rPr>
          <w:rFonts w:hint="eastAsia" w:ascii="宋体" w:hAnsi="宋体" w:cs="宋体"/>
          <w:szCs w:val="21"/>
        </w:rPr>
      </w:pPr>
      <w:r>
        <w:rPr>
          <w:rFonts w:hint="eastAsia" w:ascii="宋体" w:hAnsi="宋体" w:cs="宋体"/>
          <w:szCs w:val="21"/>
        </w:rPr>
        <w:t>联系电话：0771-2865989</w:t>
      </w:r>
    </w:p>
    <w:p w14:paraId="72CB8C43">
      <w:pPr>
        <w:spacing w:line="440" w:lineRule="exact"/>
        <w:jc w:val="center"/>
        <w:rPr>
          <w:rFonts w:hint="eastAsia" w:ascii="宋体" w:hAnsi="宋体" w:cs="宋体"/>
          <w:szCs w:val="21"/>
        </w:rPr>
      </w:pPr>
      <w:r>
        <w:rPr>
          <w:rFonts w:hint="eastAsia" w:ascii="宋体" w:hAnsi="宋体" w:cs="宋体"/>
          <w:szCs w:val="21"/>
        </w:rPr>
        <w:t xml:space="preserve">                                                   广西正海招标有限公司</w:t>
      </w:r>
    </w:p>
    <w:p w14:paraId="3772C479">
      <w:pPr>
        <w:spacing w:line="440" w:lineRule="exact"/>
        <w:jc w:val="center"/>
        <w:rPr>
          <w:rFonts w:hint="eastAsia" w:ascii="宋体" w:hAnsi="宋体" w:cs="宋体"/>
          <w:szCs w:val="21"/>
        </w:rPr>
      </w:pPr>
      <w:r>
        <w:rPr>
          <w:rFonts w:hint="eastAsia" w:ascii="宋体" w:hAnsi="宋体" w:cs="宋体"/>
          <w:szCs w:val="21"/>
        </w:rPr>
        <w:t xml:space="preserve">                                                    2025年</w:t>
      </w:r>
      <w:r>
        <w:rPr>
          <w:rFonts w:hint="eastAsia" w:ascii="宋体" w:hAnsi="宋体" w:cs="宋体"/>
          <w:szCs w:val="21"/>
          <w:lang w:val="en-US" w:eastAsia="zh-CN"/>
        </w:rPr>
        <w:t>11</w:t>
      </w:r>
      <w:r>
        <w:rPr>
          <w:rFonts w:hint="eastAsia" w:ascii="宋体" w:hAnsi="宋体" w:cs="宋体"/>
          <w:szCs w:val="21"/>
        </w:rPr>
        <w:t>月</w:t>
      </w:r>
      <w:r>
        <w:rPr>
          <w:rFonts w:hint="eastAsia" w:ascii="宋体" w:hAnsi="宋体" w:cs="宋体"/>
          <w:szCs w:val="21"/>
          <w:lang w:val="en-US" w:eastAsia="zh-CN"/>
        </w:rPr>
        <w:t>4</w:t>
      </w:r>
      <w:r>
        <w:rPr>
          <w:rFonts w:hint="eastAsia" w:ascii="宋体" w:hAnsi="宋体" w:cs="宋体"/>
          <w:szCs w:val="21"/>
        </w:rPr>
        <w:t>日</w:t>
      </w:r>
    </w:p>
    <w:p w14:paraId="6ADC4BBA">
      <w:pPr>
        <w:spacing w:line="360" w:lineRule="auto"/>
        <w:ind w:firstLine="880" w:firstLineChars="200"/>
      </w:pPr>
      <w:r>
        <w:rPr>
          <w:rFonts w:ascii="方正小标宋简体" w:hAnsi="方正小标宋简体" w:eastAsia="方正小标宋简体" w:cs="方正小标宋简体"/>
          <w:bCs/>
          <w:sz w:val="44"/>
          <w:szCs w:val="44"/>
        </w:rPr>
        <w:br w:type="page"/>
      </w:r>
    </w:p>
    <w:p w14:paraId="66CF916C">
      <w:pPr>
        <w:pStyle w:val="3"/>
        <w:jc w:val="center"/>
      </w:pPr>
      <w:bookmarkStart w:id="58" w:name="_Toc13252"/>
      <w:r>
        <w:rPr>
          <w:rFonts w:hint="eastAsia"/>
        </w:rPr>
        <w:t>第二章 供应商须知</w:t>
      </w:r>
      <w:bookmarkEnd w:id="58"/>
    </w:p>
    <w:p w14:paraId="040A0EFA">
      <w:pPr>
        <w:spacing w:line="400" w:lineRule="exact"/>
        <w:jc w:val="center"/>
        <w:rPr>
          <w:rFonts w:hint="eastAsia" w:ascii="宋体" w:hAnsi="宋体"/>
          <w:b/>
          <w:sz w:val="32"/>
          <w:szCs w:val="32"/>
        </w:rPr>
      </w:pPr>
      <w:r>
        <w:rPr>
          <w:rFonts w:hint="eastAsia" w:ascii="宋体" w:hAnsi="宋体"/>
          <w:b/>
          <w:sz w:val="32"/>
          <w:szCs w:val="32"/>
        </w:rPr>
        <w:t>供应商须知前附表</w:t>
      </w:r>
    </w:p>
    <w:p w14:paraId="40BE2AA8">
      <w:pPr>
        <w:spacing w:line="400" w:lineRule="exact"/>
        <w:jc w:val="center"/>
        <w:rPr>
          <w:rFonts w:hint="eastAsia" w:ascii="宋体" w:hAnsi="宋体"/>
          <w:b/>
          <w:sz w:val="32"/>
          <w:szCs w:val="32"/>
        </w:rPr>
      </w:pPr>
    </w:p>
    <w:tbl>
      <w:tblPr>
        <w:tblStyle w:val="29"/>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370C8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2E038A09">
            <w:pPr>
              <w:spacing w:line="440" w:lineRule="exact"/>
              <w:jc w:val="center"/>
              <w:rPr>
                <w:rFonts w:hint="eastAsia" w:ascii="宋体" w:hAnsi="宋体" w:cs="宋体"/>
                <w:b/>
                <w:szCs w:val="21"/>
              </w:rPr>
            </w:pPr>
            <w:r>
              <w:rPr>
                <w:rFonts w:hint="eastAsia" w:ascii="宋体" w:hAnsi="宋体" w:cs="宋体"/>
                <w:b/>
                <w:szCs w:val="21"/>
              </w:rPr>
              <w:t>条款号</w:t>
            </w:r>
          </w:p>
        </w:tc>
        <w:tc>
          <w:tcPr>
            <w:tcW w:w="7912" w:type="dxa"/>
          </w:tcPr>
          <w:p w14:paraId="38A4BCF1">
            <w:pPr>
              <w:spacing w:line="440" w:lineRule="exact"/>
              <w:jc w:val="center"/>
              <w:rPr>
                <w:rFonts w:hint="eastAsia" w:ascii="宋体" w:hAnsi="宋体" w:cs="宋体"/>
                <w:b/>
                <w:szCs w:val="21"/>
              </w:rPr>
            </w:pPr>
            <w:r>
              <w:rPr>
                <w:rFonts w:hint="eastAsia" w:ascii="宋体" w:hAnsi="宋体" w:cs="宋体"/>
                <w:b/>
                <w:szCs w:val="21"/>
              </w:rPr>
              <w:t>内    容</w:t>
            </w:r>
          </w:p>
        </w:tc>
      </w:tr>
      <w:tr w14:paraId="34EB6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F93791C">
            <w:pPr>
              <w:spacing w:line="440" w:lineRule="exact"/>
              <w:jc w:val="center"/>
              <w:rPr>
                <w:rFonts w:hint="eastAsia" w:ascii="宋体" w:hAnsi="宋体" w:cs="宋体"/>
                <w:szCs w:val="21"/>
              </w:rPr>
            </w:pPr>
            <w:r>
              <w:rPr>
                <w:rFonts w:hint="eastAsia" w:ascii="宋体" w:hAnsi="宋体" w:cs="宋体"/>
                <w:szCs w:val="21"/>
              </w:rPr>
              <w:t>3</w:t>
            </w:r>
          </w:p>
        </w:tc>
        <w:tc>
          <w:tcPr>
            <w:tcW w:w="7912" w:type="dxa"/>
            <w:vAlign w:val="center"/>
          </w:tcPr>
          <w:p w14:paraId="1F41541B">
            <w:pPr>
              <w:spacing w:line="440" w:lineRule="exact"/>
              <w:rPr>
                <w:rFonts w:hint="eastAsia" w:ascii="宋体" w:hAnsi="宋体" w:cs="宋体"/>
                <w:szCs w:val="21"/>
              </w:rPr>
            </w:pPr>
            <w:r>
              <w:rPr>
                <w:rFonts w:hint="eastAsia" w:ascii="宋体" w:hAnsi="宋体" w:cs="宋体"/>
                <w:szCs w:val="21"/>
              </w:rPr>
              <w:t>1.供应商的资格条件：详见竞争性谈判公告或者竞标邀请函</w:t>
            </w:r>
          </w:p>
          <w:p w14:paraId="268DB82E">
            <w:pPr>
              <w:spacing w:line="440" w:lineRule="exact"/>
              <w:rPr>
                <w:rFonts w:hint="eastAsia" w:ascii="宋体" w:hAnsi="宋体" w:cs="宋体"/>
                <w:szCs w:val="21"/>
              </w:rPr>
            </w:pPr>
            <w:r>
              <w:rPr>
                <w:rFonts w:hint="eastAsia" w:ascii="宋体" w:hAnsi="宋体" w:cs="宋体"/>
                <w:szCs w:val="21"/>
              </w:rPr>
              <w:t>2.</w:t>
            </w:r>
            <w:r>
              <w:rPr>
                <w:rFonts w:hint="eastAsia" w:ascii="宋体" w:hAnsi="宋体" w:cs="宋体"/>
                <w:bCs/>
                <w:szCs w:val="21"/>
              </w:rPr>
              <w:t>供应商</w:t>
            </w:r>
            <w:r>
              <w:rPr>
                <w:rFonts w:hint="eastAsia" w:ascii="宋体" w:hAnsi="宋体" w:cs="宋体"/>
                <w:szCs w:val="21"/>
              </w:rPr>
              <w:t>出现下列情形之一的，不得参加政府采购活动：</w:t>
            </w:r>
          </w:p>
          <w:p w14:paraId="04A4A2F8">
            <w:pPr>
              <w:spacing w:line="440" w:lineRule="exact"/>
              <w:rPr>
                <w:rFonts w:hint="eastAsia" w:ascii="宋体" w:hAnsi="宋体" w:cs="宋体"/>
                <w:szCs w:val="21"/>
              </w:rPr>
            </w:pPr>
            <w:r>
              <w:rPr>
                <w:rFonts w:hint="eastAsia" w:ascii="宋体" w:hAnsi="宋体" w:cs="宋体"/>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CC0F7A8">
            <w:pPr>
              <w:spacing w:line="440" w:lineRule="exact"/>
              <w:rPr>
                <w:rFonts w:hint="eastAsia" w:ascii="宋体" w:hAnsi="宋体" w:cs="宋体"/>
                <w:szCs w:val="21"/>
              </w:rPr>
            </w:pPr>
            <w:r>
              <w:rPr>
                <w:rFonts w:hint="eastAsia" w:ascii="宋体" w:hAnsi="宋体" w:cs="宋体"/>
                <w:szCs w:val="21"/>
              </w:rPr>
              <w:t>2.2对在“信用中国”网站（www.creditchina.gov.cn）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424C2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3D8BEE2">
            <w:pPr>
              <w:spacing w:line="440" w:lineRule="exact"/>
              <w:jc w:val="center"/>
              <w:rPr>
                <w:rFonts w:hint="eastAsia" w:ascii="宋体" w:hAnsi="宋体" w:cs="宋体"/>
                <w:szCs w:val="21"/>
              </w:rPr>
            </w:pPr>
            <w:r>
              <w:rPr>
                <w:rFonts w:hint="eastAsia" w:ascii="宋体" w:hAnsi="宋体" w:cs="宋体"/>
                <w:szCs w:val="21"/>
              </w:rPr>
              <w:t>5.1</w:t>
            </w:r>
          </w:p>
        </w:tc>
        <w:tc>
          <w:tcPr>
            <w:tcW w:w="7912" w:type="dxa"/>
            <w:vAlign w:val="center"/>
          </w:tcPr>
          <w:p w14:paraId="24B2E694">
            <w:pPr>
              <w:spacing w:line="440" w:lineRule="exact"/>
              <w:rPr>
                <w:rFonts w:hint="eastAsia" w:ascii="宋体" w:hAnsi="宋体" w:cs="宋体"/>
                <w:szCs w:val="21"/>
              </w:rPr>
            </w:pPr>
            <w:r>
              <w:rPr>
                <w:rFonts w:hint="eastAsia" w:ascii="宋体" w:hAnsi="宋体" w:cs="宋体"/>
                <w:szCs w:val="21"/>
              </w:rPr>
              <w:t>是否接受联合体竞标: 详见竞争性谈判公告或者竞标邀请函</w:t>
            </w:r>
          </w:p>
        </w:tc>
      </w:tr>
      <w:tr w14:paraId="6E89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A00258">
            <w:pPr>
              <w:spacing w:line="440" w:lineRule="exact"/>
              <w:jc w:val="center"/>
              <w:rPr>
                <w:rFonts w:hint="eastAsia" w:ascii="宋体" w:hAnsi="宋体" w:cs="宋体"/>
                <w:szCs w:val="21"/>
              </w:rPr>
            </w:pPr>
            <w:r>
              <w:rPr>
                <w:rFonts w:hint="eastAsia" w:ascii="宋体" w:hAnsi="宋体" w:cs="宋体"/>
                <w:szCs w:val="21"/>
              </w:rPr>
              <w:t>5</w:t>
            </w:r>
            <w:r>
              <w:rPr>
                <w:rFonts w:ascii="宋体" w:hAnsi="宋体" w:cs="宋体"/>
                <w:szCs w:val="21"/>
              </w:rPr>
              <w:t>.2</w:t>
            </w:r>
          </w:p>
        </w:tc>
        <w:tc>
          <w:tcPr>
            <w:tcW w:w="7912" w:type="dxa"/>
            <w:vAlign w:val="center"/>
          </w:tcPr>
          <w:p w14:paraId="35D61094">
            <w:pPr>
              <w:spacing w:line="440" w:lineRule="exact"/>
              <w:rPr>
                <w:rFonts w:hint="eastAsia" w:ascii="宋体" w:hAnsi="宋体" w:cs="宋体"/>
                <w:szCs w:val="21"/>
              </w:rPr>
            </w:pPr>
            <w:r>
              <w:rPr>
                <w:rFonts w:hint="eastAsia" w:ascii="宋体" w:hAnsi="宋体"/>
                <w:szCs w:val="21"/>
              </w:rPr>
              <w:t>如接受联合体竞标，联合体竞标要求如下：</w:t>
            </w:r>
          </w:p>
          <w:p w14:paraId="772F6FFF">
            <w:pPr>
              <w:spacing w:line="440" w:lineRule="exact"/>
              <w:rPr>
                <w:rFonts w:hint="eastAsia"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两个以上供应商可以组成一个竞标联合体，以一个供应商的身份共同参加竞标。联合体竞标的，须提供《联合体竞标协议书》（格式后附）。</w:t>
            </w:r>
          </w:p>
          <w:p w14:paraId="7F99A7FA">
            <w:pPr>
              <w:spacing w:line="440" w:lineRule="exact"/>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以联合体形式参加竞标的，联合体各方均须具备《中华人民共和国政府采购法》第二十二条第一款规定的基本条件（涉及行政许可范围的内容，联合体各方均应具备相应资质）。本项目有特殊要求规定供应商特定条件的，联合体各方中至少有一方必须符合谈判文件规定的特定条件。</w:t>
            </w:r>
          </w:p>
          <w:p w14:paraId="39900243">
            <w:pPr>
              <w:spacing w:line="440" w:lineRule="exact"/>
              <w:rPr>
                <w:rFonts w:hint="eastAsia"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联合体各方之间必须签订联合竞标协议，协议书必须明确主体方（或者牵头方）并明确约定联合体各方承担的工作和相应的责任（各方承担责任与义务的分工必须符合采购需求，否则，联合体竞标无效），并将联合竞标协议连同响应文件一并提交采购代理机构。联合体各方必须共同与采购人签订采购合同，就采购合同约定的事项对采购人承担连带责任。</w:t>
            </w:r>
          </w:p>
          <w:p w14:paraId="2039B70E">
            <w:pPr>
              <w:spacing w:line="440" w:lineRule="exact"/>
              <w:rPr>
                <w:rFonts w:hint="eastAsia"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以联合体形式参加政府采购活动的，联合体各方不得再单独参加或者与其他供应商另外组成联合体参加同一合同项下的政府采购活动。</w:t>
            </w:r>
          </w:p>
          <w:p w14:paraId="45E477E1">
            <w:pPr>
              <w:spacing w:line="440" w:lineRule="exact"/>
              <w:rPr>
                <w:rFonts w:hint="eastAsia" w:ascii="宋体" w:hAnsi="宋体" w:cs="宋体"/>
                <w:szCs w:val="21"/>
              </w:rPr>
            </w:pPr>
            <w:r>
              <w:rPr>
                <w:rFonts w:hint="eastAsia" w:ascii="宋体" w:hAnsi="宋体" w:cs="宋体"/>
                <w:szCs w:val="21"/>
              </w:rPr>
              <w:t>5</w:t>
            </w:r>
            <w:r>
              <w:rPr>
                <w:rFonts w:ascii="宋体" w:hAnsi="宋体" w:cs="宋体"/>
                <w:szCs w:val="21"/>
              </w:rPr>
              <w:t>.</w:t>
            </w:r>
            <w:r>
              <w:rPr>
                <w:rFonts w:hint="eastAsia" w:ascii="宋体" w:hAnsi="宋体" w:cs="宋体"/>
                <w:szCs w:val="21"/>
              </w:rPr>
              <w:t>联合体中有同类资质的供应商按照联合体分工承担相同工作的，应当按照资质等级较低的供应商确定资质等级。</w:t>
            </w:r>
          </w:p>
          <w:p w14:paraId="6E3A5907">
            <w:pPr>
              <w:spacing w:line="440" w:lineRule="exact"/>
              <w:rPr>
                <w:rFonts w:hint="eastAsia" w:ascii="宋体" w:hAnsi="宋体" w:cs="宋体"/>
                <w:szCs w:val="21"/>
              </w:rPr>
            </w:pPr>
            <w:r>
              <w:rPr>
                <w:rFonts w:hint="eastAsia" w:ascii="宋体" w:hAnsi="宋体" w:cs="宋体"/>
                <w:szCs w:val="21"/>
              </w:rPr>
              <w:t>6</w:t>
            </w:r>
            <w:r>
              <w:rPr>
                <w:rFonts w:ascii="宋体" w:hAnsi="宋体" w:cs="宋体"/>
                <w:szCs w:val="21"/>
              </w:rPr>
              <w:t>.</w:t>
            </w:r>
            <w:r>
              <w:rPr>
                <w:rFonts w:hint="eastAsia" w:ascii="宋体" w:hAnsi="宋体" w:cs="宋体"/>
                <w:szCs w:val="21"/>
              </w:rPr>
              <w:t>联合体竞标业绩、履约能力按照联合体各方中较高的一方认定并计算。</w:t>
            </w:r>
          </w:p>
          <w:p w14:paraId="30CE4DC5">
            <w:pPr>
              <w:spacing w:line="440" w:lineRule="exact"/>
              <w:rPr>
                <w:rFonts w:hint="eastAsia" w:ascii="宋体" w:hAnsi="宋体" w:cs="宋体"/>
                <w:szCs w:val="21"/>
              </w:rPr>
            </w:pPr>
            <w:r>
              <w:rPr>
                <w:rFonts w:hint="eastAsia" w:ascii="宋体" w:hAnsi="宋体" w:cs="宋体"/>
                <w:szCs w:val="21"/>
              </w:rPr>
              <w:t>7</w:t>
            </w:r>
            <w:r>
              <w:rPr>
                <w:rFonts w:ascii="宋体" w:hAnsi="宋体" w:cs="宋体"/>
                <w:szCs w:val="21"/>
              </w:rPr>
              <w:t>.</w:t>
            </w:r>
            <w:r>
              <w:rPr>
                <w:rFonts w:hint="eastAsia" w:ascii="宋体" w:hAnsi="宋体" w:cs="宋体"/>
                <w:szCs w:val="21"/>
              </w:rPr>
              <w:t>供应商为联合体的，可以由联合体中的一方或者多方共同交纳保证金，其交纳的保证金对联合体各方均具有约束力。</w:t>
            </w:r>
          </w:p>
          <w:p w14:paraId="52C167DE">
            <w:pPr>
              <w:spacing w:line="440" w:lineRule="exact"/>
              <w:rPr>
                <w:rFonts w:hint="eastAsia"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联合体各方均应按照谈判文件的规定分别提交资格证明文件。</w:t>
            </w:r>
          </w:p>
        </w:tc>
      </w:tr>
      <w:tr w14:paraId="0524E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CE7894F">
            <w:pPr>
              <w:spacing w:line="440" w:lineRule="exact"/>
              <w:jc w:val="center"/>
              <w:rPr>
                <w:rFonts w:hint="eastAsia" w:ascii="宋体" w:hAnsi="宋体" w:cs="宋体"/>
                <w:szCs w:val="21"/>
              </w:rPr>
            </w:pPr>
            <w:r>
              <w:rPr>
                <w:rFonts w:hint="eastAsia" w:ascii="宋体" w:hAnsi="宋体" w:cs="宋体"/>
                <w:szCs w:val="21"/>
              </w:rPr>
              <w:t>6.2</w:t>
            </w:r>
          </w:p>
        </w:tc>
        <w:tc>
          <w:tcPr>
            <w:tcW w:w="7912" w:type="dxa"/>
            <w:vAlign w:val="center"/>
          </w:tcPr>
          <w:p w14:paraId="4490F297">
            <w:pPr>
              <w:pStyle w:val="9"/>
              <w:spacing w:line="440" w:lineRule="exact"/>
            </w:pPr>
            <w:r>
              <w:rPr>
                <w:rFonts w:hint="eastAsia" w:ascii="MS Mincho" w:hAnsi="MS Mincho" w:eastAsia="MS Mincho" w:cs="MS Mincho"/>
              </w:rPr>
              <w:t>☑</w:t>
            </w:r>
            <w:r>
              <w:rPr>
                <w:rFonts w:hint="eastAsia"/>
              </w:rPr>
              <w:t>不允许分包</w:t>
            </w:r>
          </w:p>
          <w:p w14:paraId="541CFF74">
            <w:pPr>
              <w:pStyle w:val="9"/>
              <w:spacing w:line="440" w:lineRule="exact"/>
            </w:pPr>
            <w:r>
              <w:rPr>
                <w:rFonts w:hint="eastAsia"/>
              </w:rPr>
              <w:t>□允许分包</w:t>
            </w:r>
          </w:p>
          <w:p w14:paraId="354B05B7">
            <w:pPr>
              <w:pStyle w:val="9"/>
              <w:spacing w:line="440" w:lineRule="exact"/>
              <w:rPr>
                <w:u w:val="single"/>
              </w:rPr>
            </w:pPr>
            <w:r>
              <w:rPr>
                <w:rFonts w:hint="eastAsia"/>
              </w:rPr>
              <w:t>分包内容：</w:t>
            </w:r>
            <w:r>
              <w:rPr>
                <w:rFonts w:hint="eastAsia"/>
                <w:u w:val="single"/>
              </w:rPr>
              <w:t xml:space="preserve">                                     。</w:t>
            </w:r>
          </w:p>
          <w:p w14:paraId="206DB01F">
            <w:pPr>
              <w:pStyle w:val="9"/>
              <w:spacing w:line="440" w:lineRule="exact"/>
              <w:rPr>
                <w:u w:val="single"/>
              </w:rPr>
            </w:pPr>
            <w:r>
              <w:rPr>
                <w:rFonts w:hint="eastAsia"/>
              </w:rPr>
              <w:t>分包金额或者比例：</w:t>
            </w:r>
            <w:r>
              <w:rPr>
                <w:rFonts w:hint="eastAsia"/>
                <w:u w:val="single"/>
              </w:rPr>
              <w:t xml:space="preserve">                                     。</w:t>
            </w:r>
          </w:p>
          <w:p w14:paraId="5EC9B0A7">
            <w:pPr>
              <w:pStyle w:val="9"/>
              <w:spacing w:line="440" w:lineRule="exact"/>
              <w:rPr>
                <w:u w:val="single"/>
              </w:rPr>
            </w:pPr>
            <w:r>
              <w:rPr>
                <w:rFonts w:hint="eastAsia" w:ascii="宋体" w:hAnsi="宋体"/>
                <w:szCs w:val="21"/>
              </w:rPr>
              <w:t>分包供应商必须具备的资质：</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w:t>
            </w:r>
          </w:p>
        </w:tc>
      </w:tr>
      <w:tr w14:paraId="6B4CD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EBC4EDA">
            <w:pPr>
              <w:spacing w:line="440" w:lineRule="exact"/>
              <w:jc w:val="center"/>
              <w:rPr>
                <w:rFonts w:hint="eastAsia" w:ascii="宋体" w:hAnsi="宋体" w:cs="宋体"/>
                <w:szCs w:val="21"/>
              </w:rPr>
            </w:pPr>
            <w:r>
              <w:rPr>
                <w:rFonts w:hint="eastAsia" w:ascii="宋体" w:hAnsi="宋体" w:cs="宋体"/>
                <w:szCs w:val="21"/>
              </w:rPr>
              <w:t>7.1</w:t>
            </w:r>
          </w:p>
        </w:tc>
        <w:tc>
          <w:tcPr>
            <w:tcW w:w="7912" w:type="dxa"/>
            <w:vAlign w:val="center"/>
          </w:tcPr>
          <w:p w14:paraId="36AB6D34">
            <w:pPr>
              <w:autoSpaceDE w:val="0"/>
              <w:autoSpaceDN w:val="0"/>
              <w:snapToGrid w:val="0"/>
              <w:spacing w:line="440" w:lineRule="exact"/>
              <w:textAlignment w:val="bottom"/>
              <w:rPr>
                <w:rFonts w:hint="eastAsia" w:ascii="宋体" w:hAnsi="宋体"/>
                <w:szCs w:val="21"/>
              </w:rPr>
            </w:pPr>
            <w:r>
              <w:rPr>
                <w:rFonts w:hint="eastAsia" w:ascii="宋体" w:hAnsi="宋体"/>
                <w:szCs w:val="21"/>
              </w:rPr>
              <w:t>提供相同品牌产品（非单一产品采购项目的，指核心产品）的不同供应商最后报价相同时，按照下列方式确定一个供应商获得成交人推荐资格：</w:t>
            </w:r>
          </w:p>
          <w:p w14:paraId="4C287F49">
            <w:pPr>
              <w:autoSpaceDE w:val="0"/>
              <w:autoSpaceDN w:val="0"/>
              <w:snapToGrid w:val="0"/>
              <w:spacing w:line="440" w:lineRule="exact"/>
              <w:textAlignment w:val="bottom"/>
              <w:rPr>
                <w:rFonts w:hint="eastAsia" w:ascii="宋体" w:hAnsi="宋体"/>
                <w:szCs w:val="21"/>
              </w:rPr>
            </w:pPr>
            <w:r>
              <w:rPr>
                <w:rFonts w:hint="eastAsia" w:ascii="宋体" w:hAnsi="宋体"/>
                <w:szCs w:val="21"/>
              </w:rPr>
              <w:t>☑随机抽取；</w:t>
            </w:r>
          </w:p>
          <w:p w14:paraId="360362DF">
            <w:pPr>
              <w:pStyle w:val="9"/>
              <w:spacing w:line="440" w:lineRule="exact"/>
              <w:rPr>
                <w:rFonts w:hint="eastAsia" w:ascii="宋体" w:hAnsi="宋体"/>
                <w:szCs w:val="21"/>
              </w:rPr>
            </w:pPr>
            <w:r>
              <w:rPr>
                <w:rFonts w:hint="eastAsia" w:ascii="MS Mincho" w:hAnsi="MS Mincho" w:cs="MS Mincho"/>
                <w:szCs w:val="21"/>
              </w:rPr>
              <w:t>□</w:t>
            </w:r>
            <w:r>
              <w:rPr>
                <w:rFonts w:hint="eastAsia" w:ascii="宋体" w:hAnsi="宋体"/>
                <w:szCs w:val="21"/>
              </w:rPr>
              <w:t>由采购人自主选择确定一家供应商参加评审，其他竞标无效。</w:t>
            </w:r>
          </w:p>
        </w:tc>
      </w:tr>
      <w:tr w14:paraId="5BD75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E575E0E">
            <w:pPr>
              <w:spacing w:line="440" w:lineRule="exact"/>
              <w:jc w:val="center"/>
              <w:rPr>
                <w:rFonts w:hint="eastAsia" w:ascii="宋体" w:hAnsi="宋体" w:cs="宋体"/>
                <w:szCs w:val="21"/>
              </w:rPr>
            </w:pPr>
            <w:r>
              <w:rPr>
                <w:rFonts w:hint="eastAsia" w:ascii="宋体" w:hAnsi="宋体" w:cs="宋体"/>
                <w:szCs w:val="21"/>
              </w:rPr>
              <w:t>12.1</w:t>
            </w:r>
            <w:r>
              <w:rPr>
                <w:rFonts w:ascii="宋体" w:hAnsi="宋体" w:cs="宋体"/>
                <w:szCs w:val="21"/>
              </w:rPr>
              <w:t>.1</w:t>
            </w:r>
          </w:p>
        </w:tc>
        <w:tc>
          <w:tcPr>
            <w:tcW w:w="7912" w:type="dxa"/>
            <w:vAlign w:val="center"/>
          </w:tcPr>
          <w:p w14:paraId="315B99EE">
            <w:pPr>
              <w:snapToGrid w:val="0"/>
              <w:spacing w:line="440" w:lineRule="exact"/>
              <w:jc w:val="left"/>
              <w:rPr>
                <w:rFonts w:hint="eastAsia" w:ascii="宋体" w:hAnsi="宋体" w:cs="宋体"/>
                <w:b/>
                <w:szCs w:val="21"/>
              </w:rPr>
            </w:pPr>
            <w:r>
              <w:rPr>
                <w:rFonts w:hint="eastAsia" w:ascii="宋体" w:hAnsi="宋体" w:cs="宋体"/>
                <w:b/>
                <w:szCs w:val="21"/>
              </w:rPr>
              <w:t>资格证明文件</w:t>
            </w:r>
          </w:p>
          <w:p w14:paraId="7BDAA327">
            <w:pPr>
              <w:snapToGrid w:val="0"/>
              <w:spacing w:line="440" w:lineRule="exact"/>
              <w:jc w:val="left"/>
              <w:rPr>
                <w:rFonts w:hint="eastAsia" w:ascii="宋体" w:hAnsi="宋体" w:cs="宋体"/>
                <w:szCs w:val="21"/>
              </w:rPr>
            </w:pPr>
            <w:r>
              <w:rPr>
                <w:rFonts w:hint="eastAsia" w:ascii="宋体" w:hAnsi="宋体" w:cs="宋体"/>
                <w:szCs w:val="21"/>
              </w:rPr>
              <w:t>1.供应商为法人或者其他组织的提供其营业执照等证明文件（如营业执照或者事业单位法人证书或者执业许可证或者登记证书等），供应商为自然人的提供其身份证复印件；（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14:paraId="1D6C0928">
            <w:pPr>
              <w:snapToGrid w:val="0"/>
              <w:spacing w:line="440" w:lineRule="exact"/>
              <w:jc w:val="left"/>
              <w:rPr>
                <w:rFonts w:hint="eastAsia" w:ascii="宋体" w:hAnsi="宋体" w:cs="宋体"/>
                <w:szCs w:val="21"/>
              </w:rPr>
            </w:pPr>
            <w:r>
              <w:rPr>
                <w:rFonts w:hint="eastAsia" w:ascii="宋体" w:hAnsi="宋体" w:cs="宋体"/>
                <w:szCs w:val="21"/>
              </w:rPr>
              <w:t>2.供应商依法缴纳税收的相关材料（</w:t>
            </w:r>
            <w:r>
              <w:rPr>
                <w:rFonts w:hint="eastAsia" w:ascii="宋体" w:hAnsi="宋体" w:cs="宋体"/>
                <w:szCs w:val="21"/>
                <w:u w:val="single"/>
              </w:rPr>
              <w:t>2025年5月至2025年10月任意1个</w:t>
            </w:r>
            <w:r>
              <w:rPr>
                <w:rFonts w:hint="eastAsia" w:ascii="宋体" w:hAnsi="宋体" w:cs="宋体"/>
                <w:szCs w:val="21"/>
              </w:rPr>
              <w:t>月的依法缴纳税收的凭据复印件；依法免税的，必须提供相应文件证明其依法免税。从成立之日起到响应文件提交截止时间止不足要求月数的，只需提供从成立之日起的依法缴纳税收相应证明文件）；（</w:t>
            </w:r>
            <w:r>
              <w:rPr>
                <w:rFonts w:hint="eastAsia" w:ascii="宋体" w:hAnsi="宋体" w:cs="宋体"/>
                <w:b/>
                <w:szCs w:val="21"/>
              </w:rPr>
              <w:t>必须提供，否则响应文件按无效响应处理</w:t>
            </w:r>
            <w:r>
              <w:rPr>
                <w:rFonts w:hint="eastAsia" w:ascii="宋体" w:hAnsi="宋体" w:cs="宋体"/>
                <w:szCs w:val="21"/>
              </w:rPr>
              <w:t>）；</w:t>
            </w:r>
          </w:p>
          <w:p w14:paraId="31763835">
            <w:pPr>
              <w:tabs>
                <w:tab w:val="left" w:pos="525"/>
              </w:tabs>
              <w:snapToGrid w:val="0"/>
              <w:spacing w:line="440" w:lineRule="exact"/>
              <w:jc w:val="left"/>
              <w:rPr>
                <w:rFonts w:hint="eastAsia" w:ascii="宋体" w:hAnsi="宋体" w:cs="宋体"/>
                <w:szCs w:val="21"/>
              </w:rPr>
            </w:pPr>
            <w:r>
              <w:rPr>
                <w:rFonts w:hint="eastAsia" w:ascii="宋体" w:hAnsi="宋体" w:cs="宋体"/>
                <w:szCs w:val="21"/>
              </w:rPr>
              <w:t>3.供应商依法缴纳社会保障资金的相关材料[</w:t>
            </w:r>
            <w:r>
              <w:rPr>
                <w:rFonts w:hint="eastAsia" w:ascii="宋体" w:hAnsi="宋体" w:cs="宋体"/>
                <w:szCs w:val="21"/>
                <w:u w:val="single"/>
              </w:rPr>
              <w:t>2025年5月至2025年10月任意1个</w:t>
            </w:r>
            <w:r>
              <w:rPr>
                <w:rFonts w:hint="eastAsia" w:ascii="宋体" w:hAnsi="宋体" w:cs="宋体"/>
                <w:szCs w:val="21"/>
              </w:rPr>
              <w:t>月的依法缴纳社会保障资金的缴费凭证（专用收据或者社会保险缴纳清单）复印件；依法不需要缴纳社会保障资金的，必须提供相应文件证明不需要缴纳社会保障资金。从成立之日起到响应文件提交截止时间止不足要求月数的只需提供从成立之日起的依法缴纳社会保障资金的相应证明文件]；（</w:t>
            </w:r>
            <w:r>
              <w:rPr>
                <w:rFonts w:hint="eastAsia" w:ascii="宋体" w:hAnsi="宋体" w:cs="宋体"/>
                <w:b/>
                <w:szCs w:val="21"/>
              </w:rPr>
              <w:t>必须提供，否则响应文件按无效响应处理</w:t>
            </w:r>
            <w:r>
              <w:rPr>
                <w:rFonts w:hint="eastAsia" w:ascii="宋体" w:hAnsi="宋体" w:cs="宋体"/>
                <w:szCs w:val="21"/>
              </w:rPr>
              <w:t>）</w:t>
            </w:r>
            <w:r>
              <w:rPr>
                <w:rFonts w:hint="eastAsia" w:ascii="宋体" w:hAnsi="宋体" w:cs="宋体"/>
                <w:b/>
                <w:bCs/>
                <w:szCs w:val="21"/>
              </w:rPr>
              <w:t>；</w:t>
            </w:r>
          </w:p>
          <w:p w14:paraId="383E4D1C">
            <w:pPr>
              <w:spacing w:line="440" w:lineRule="exact"/>
              <w:contextualSpacing/>
              <w:jc w:val="left"/>
              <w:rPr>
                <w:rFonts w:hint="eastAsia" w:ascii="宋体" w:hAnsi="宋体" w:cs="宋体"/>
                <w:b/>
                <w:szCs w:val="21"/>
              </w:rPr>
            </w:pPr>
            <w:r>
              <w:rPr>
                <w:rFonts w:hint="eastAsia" w:ascii="宋体" w:hAnsi="宋体" w:cs="宋体"/>
                <w:szCs w:val="21"/>
              </w:rPr>
              <w:t>4. 供应商2024年度的财务审计报告或财务报表复印件或者银行出具的资信证明；供应商属于成立时间在规定年度之后的法人或其他组织，需提供成立之日起至响应文件提交截止时间前的月报表或银行出具的资信证明；资信证明应在有效期内，未注明有效期的，银行出具时间至响应文件提交截止时间不超过一年]；</w:t>
            </w:r>
            <w:r>
              <w:rPr>
                <w:rFonts w:hint="eastAsia" w:ascii="宋体" w:hAnsi="宋体" w:cs="宋体"/>
                <w:bCs/>
                <w:szCs w:val="21"/>
              </w:rPr>
              <w:t>（</w:t>
            </w:r>
            <w:r>
              <w:rPr>
                <w:rFonts w:hint="eastAsia" w:ascii="宋体" w:hAnsi="宋体"/>
                <w:b/>
                <w:szCs w:val="21"/>
              </w:rPr>
              <w:t>必须提供</w:t>
            </w:r>
            <w:r>
              <w:rPr>
                <w:rFonts w:hint="eastAsia" w:ascii="宋体" w:hAnsi="宋体" w:cs="宋体"/>
                <w:b/>
                <w:szCs w:val="21"/>
              </w:rPr>
              <w:t>，否则响应文件按无效响应处理</w:t>
            </w:r>
            <w:r>
              <w:rPr>
                <w:rFonts w:hint="eastAsia" w:ascii="宋体" w:hAnsi="宋体" w:cs="宋体"/>
                <w:bCs/>
                <w:szCs w:val="21"/>
              </w:rPr>
              <w:t>）</w:t>
            </w:r>
          </w:p>
          <w:p w14:paraId="1BB1B3C4">
            <w:pPr>
              <w:snapToGrid w:val="0"/>
              <w:spacing w:line="440" w:lineRule="exact"/>
              <w:jc w:val="left"/>
              <w:rPr>
                <w:rFonts w:hint="eastAsia" w:ascii="宋体" w:hAnsi="宋体" w:cs="宋体"/>
                <w:szCs w:val="21"/>
              </w:rPr>
            </w:pPr>
            <w:r>
              <w:rPr>
                <w:rFonts w:hint="eastAsia" w:ascii="宋体" w:hAnsi="宋体" w:cs="宋体"/>
                <w:szCs w:val="21"/>
              </w:rPr>
              <w:t>5. 供应商直接控股、管理关系信息表（格式后附）；（</w:t>
            </w:r>
            <w:r>
              <w:rPr>
                <w:rFonts w:hint="eastAsia" w:ascii="宋体" w:hAnsi="宋体" w:cs="宋体"/>
                <w:b/>
                <w:szCs w:val="21"/>
              </w:rPr>
              <w:t>必须提供，否则响应文件按无效处理</w:t>
            </w:r>
            <w:r>
              <w:rPr>
                <w:rFonts w:hint="eastAsia" w:ascii="宋体" w:hAnsi="宋体" w:cs="宋体"/>
                <w:szCs w:val="21"/>
              </w:rPr>
              <w:t>）</w:t>
            </w:r>
          </w:p>
          <w:p w14:paraId="026F2FDC">
            <w:pPr>
              <w:snapToGrid w:val="0"/>
              <w:spacing w:line="440" w:lineRule="exact"/>
              <w:jc w:val="left"/>
              <w:rPr>
                <w:rFonts w:hint="eastAsia" w:ascii="宋体" w:hAnsi="宋体" w:cs="宋体"/>
                <w:szCs w:val="21"/>
              </w:rPr>
            </w:pPr>
            <w:r>
              <w:rPr>
                <w:rFonts w:hint="eastAsia" w:ascii="宋体" w:hAnsi="宋体" w:cs="宋体"/>
                <w:szCs w:val="21"/>
              </w:rPr>
              <w:t>6.竞标声明（格式后附）；（</w:t>
            </w:r>
            <w:r>
              <w:rPr>
                <w:rFonts w:hint="eastAsia" w:ascii="宋体" w:hAnsi="宋体" w:cs="宋体"/>
                <w:b/>
                <w:szCs w:val="21"/>
              </w:rPr>
              <w:t>必须提供，否则响应文件按无效处理</w:t>
            </w:r>
            <w:r>
              <w:rPr>
                <w:rFonts w:hint="eastAsia" w:ascii="宋体" w:hAnsi="宋体" w:cs="宋体"/>
                <w:szCs w:val="21"/>
              </w:rPr>
              <w:t>）</w:t>
            </w:r>
          </w:p>
          <w:p w14:paraId="6A4CE9B8">
            <w:pPr>
              <w:spacing w:line="440" w:lineRule="exact"/>
              <w:contextualSpacing/>
              <w:jc w:val="left"/>
              <w:rPr>
                <w:rFonts w:hint="eastAsia" w:ascii="宋体" w:hAnsi="宋体"/>
                <w:szCs w:val="21"/>
              </w:rPr>
            </w:pPr>
            <w:r>
              <w:rPr>
                <w:rFonts w:hint="eastAsia" w:ascii="宋体" w:hAnsi="宋体"/>
                <w:szCs w:val="21"/>
              </w:rPr>
              <w:t>7.联合体竞标协议书（格式后附）；（联合体竞标时必须提供，否则响应文件按无效处理）</w:t>
            </w:r>
          </w:p>
          <w:p w14:paraId="30C13B58">
            <w:pPr>
              <w:snapToGrid w:val="0"/>
              <w:spacing w:line="440" w:lineRule="exact"/>
              <w:jc w:val="left"/>
              <w:rPr>
                <w:rFonts w:hint="eastAsia" w:ascii="宋体" w:hAnsi="宋体"/>
                <w:b/>
                <w:bCs/>
                <w:szCs w:val="21"/>
              </w:rPr>
            </w:pPr>
            <w:r>
              <w:rPr>
                <w:rFonts w:hint="eastAsia" w:ascii="宋体" w:hAnsi="宋体"/>
                <w:b/>
                <w:bCs/>
                <w:szCs w:val="21"/>
              </w:rPr>
              <w:t>8.</w:t>
            </w:r>
            <w:r>
              <w:rPr>
                <w:rFonts w:hint="eastAsia" w:ascii="宋体" w:hAnsi="宋体" w:cs="宋体"/>
                <w:b/>
                <w:bCs/>
                <w:szCs w:val="21"/>
              </w:rPr>
              <w:t>特定资格要求（适用于B分标）：供应商</w:t>
            </w:r>
            <w:r>
              <w:rPr>
                <w:rFonts w:hint="eastAsia" w:ascii="宋体" w:hAnsi="宋体" w:cs="宋体"/>
                <w:b/>
                <w:bCs/>
              </w:rPr>
              <w:t>须提供行业主管部门颁发有效的建筑装修装饰工程专业承包二级（含）以上资质证书、有效的安全生产许可证复印件</w:t>
            </w:r>
            <w:r>
              <w:rPr>
                <w:rFonts w:hint="eastAsia" w:ascii="宋体" w:hAnsi="宋体" w:cs="宋体"/>
                <w:b/>
                <w:bCs/>
                <w:szCs w:val="21"/>
              </w:rPr>
              <w:t>；</w:t>
            </w:r>
            <w:r>
              <w:rPr>
                <w:rFonts w:hint="eastAsia" w:ascii="宋体" w:hAnsi="宋体" w:cs="宋体"/>
                <w:b/>
                <w:bCs/>
              </w:rPr>
              <w:t>拟投入的项目经理须提供有效的</w:t>
            </w:r>
            <w:r>
              <w:rPr>
                <w:rFonts w:hint="eastAsia" w:ascii="宋体" w:hAnsi="宋体"/>
                <w:b/>
                <w:bCs/>
                <w:szCs w:val="21"/>
              </w:rPr>
              <w:t>建筑工程</w:t>
            </w:r>
            <w:r>
              <w:rPr>
                <w:rFonts w:hint="eastAsia" w:ascii="宋体" w:hAnsi="宋体" w:cs="宋体"/>
                <w:b/>
                <w:bCs/>
              </w:rPr>
              <w:t>二级（含）以上注册建造师执业资格和具备有效的安全生产考核合格证书（B类）；拟投入的专职安全生产管理人员须提供有效的安全生产考核合格证书（C类）的</w:t>
            </w:r>
            <w:r>
              <w:rPr>
                <w:rFonts w:hint="eastAsia" w:ascii="宋体" w:hAnsi="宋体" w:cs="宋体"/>
                <w:b/>
                <w:bCs/>
                <w:szCs w:val="21"/>
              </w:rPr>
              <w:t>复印件；</w:t>
            </w:r>
          </w:p>
          <w:p w14:paraId="29EE2C1C">
            <w:pPr>
              <w:spacing w:line="44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r>
              <w:rPr>
                <w:rFonts w:hint="eastAsia" w:ascii="宋体" w:hAnsi="宋体" w:cs="宋体"/>
                <w:b/>
                <w:color w:val="auto"/>
                <w:szCs w:val="21"/>
                <w:highlight w:val="none"/>
              </w:rPr>
              <w:t>中小企业声明函</w:t>
            </w:r>
            <w:r>
              <w:rPr>
                <w:rFonts w:hint="eastAsia" w:ascii="宋体" w:hAnsi="宋体" w:cs="宋体"/>
                <w:color w:val="auto"/>
                <w:szCs w:val="21"/>
                <w:highlight w:val="none"/>
              </w:rPr>
              <w:t>或</w:t>
            </w:r>
            <w:r>
              <w:rPr>
                <w:rFonts w:hint="eastAsia" w:ascii="宋体" w:hAnsi="宋体" w:cs="宋体"/>
                <w:b/>
                <w:color w:val="auto"/>
                <w:szCs w:val="21"/>
                <w:highlight w:val="none"/>
              </w:rPr>
              <w:t>监狱企业由省级以上监狱管理局、戒毒管理局（含新疆生产建设兵团）出具的属于监狱企业的证明文件</w:t>
            </w:r>
            <w:r>
              <w:rPr>
                <w:rFonts w:hint="eastAsia" w:ascii="宋体" w:hAnsi="宋体" w:cs="宋体"/>
                <w:color w:val="auto"/>
                <w:szCs w:val="21"/>
                <w:highlight w:val="none"/>
              </w:rPr>
              <w:t>或</w:t>
            </w:r>
            <w:r>
              <w:rPr>
                <w:rFonts w:hint="eastAsia" w:ascii="宋体" w:hAnsi="宋体" w:cs="宋体"/>
                <w:b/>
                <w:color w:val="auto"/>
                <w:szCs w:val="21"/>
                <w:highlight w:val="none"/>
              </w:rPr>
              <w:t>残疾人福利性单位声明函</w:t>
            </w:r>
            <w:r>
              <w:rPr>
                <w:rFonts w:hint="eastAsia" w:ascii="宋体" w:hAnsi="宋体" w:cs="宋体"/>
                <w:b/>
                <w:color w:val="auto"/>
                <w:szCs w:val="21"/>
                <w:highlight w:val="none"/>
                <w:lang w:eastAsia="zh-CN"/>
              </w:rPr>
              <w:t>。</w:t>
            </w:r>
            <w:r>
              <w:rPr>
                <w:rFonts w:hint="eastAsia" w:ascii="宋体" w:hAnsi="宋体" w:eastAsia="宋体" w:cs="宋体"/>
                <w:b/>
                <w:color w:val="auto"/>
                <w:szCs w:val="21"/>
                <w:highlight w:val="none"/>
                <w:lang w:eastAsia="zh-CN"/>
              </w:rPr>
              <w:t>（</w:t>
            </w:r>
            <w:r>
              <w:rPr>
                <w:rFonts w:hint="eastAsia" w:ascii="宋体" w:hAnsi="宋体" w:eastAsia="宋体" w:cs="宋体"/>
                <w:szCs w:val="21"/>
                <w:highlight w:val="none"/>
                <w:lang w:val="en-US" w:eastAsia="zh-CN"/>
              </w:rPr>
              <w:t>A分标：本分标专门面向中小企业采购，所竞产品货物制造商必须是中型/小型/微型企业或监狱企业或残疾人福利性单位；B分标：本分标</w:t>
            </w:r>
            <w:r>
              <w:rPr>
                <w:rFonts w:hint="eastAsia" w:ascii="宋体" w:hAnsi="宋体" w:eastAsia="宋体" w:cs="宋体"/>
                <w:color w:val="auto"/>
                <w:szCs w:val="21"/>
                <w:highlight w:val="none"/>
              </w:rPr>
              <w:t>专门面向中小企业采购</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承接</w:t>
            </w:r>
            <w:r>
              <w:rPr>
                <w:rFonts w:hint="eastAsia" w:ascii="宋体" w:hAnsi="宋体" w:eastAsia="宋体" w:cs="宋体"/>
                <w:color w:val="auto"/>
                <w:szCs w:val="21"/>
                <w:highlight w:val="none"/>
              </w:rPr>
              <w:t>供应商应为</w:t>
            </w:r>
            <w:r>
              <w:rPr>
                <w:rFonts w:hint="eastAsia" w:ascii="宋体" w:hAnsi="宋体" w:eastAsia="宋体" w:cs="宋体"/>
                <w:szCs w:val="21"/>
                <w:highlight w:val="none"/>
                <w:lang w:val="en-US" w:eastAsia="zh-CN"/>
              </w:rPr>
              <w:t>中型/小型/微型企业</w:t>
            </w:r>
            <w:r>
              <w:rPr>
                <w:rFonts w:hint="eastAsia" w:ascii="宋体" w:hAnsi="宋体" w:eastAsia="宋体" w:cs="宋体"/>
                <w:color w:val="auto"/>
                <w:szCs w:val="21"/>
                <w:highlight w:val="none"/>
              </w:rPr>
              <w:t>或监狱企业或残疾人福利性单位。</w:t>
            </w:r>
            <w:r>
              <w:rPr>
                <w:rFonts w:hint="eastAsia" w:ascii="宋体" w:hAnsi="宋体" w:eastAsia="宋体" w:cs="宋体"/>
                <w:b/>
                <w:color w:val="auto"/>
                <w:szCs w:val="21"/>
                <w:highlight w:val="none"/>
                <w:lang w:eastAsia="zh-CN"/>
              </w:rPr>
              <w:t>）</w:t>
            </w:r>
          </w:p>
          <w:p w14:paraId="3CD3C414">
            <w:pPr>
              <w:snapToGrid w:val="0"/>
              <w:spacing w:line="440" w:lineRule="exact"/>
              <w:jc w:val="left"/>
              <w:rPr>
                <w:rFonts w:hint="eastAsia" w:ascii="宋体" w:hAnsi="宋体"/>
                <w:i/>
                <w:szCs w:val="21"/>
              </w:rPr>
            </w:pPr>
            <w:r>
              <w:rPr>
                <w:rFonts w:hint="eastAsia" w:ascii="宋体" w:hAnsi="宋体"/>
                <w:szCs w:val="21"/>
                <w:highlight w:val="none"/>
                <w:lang w:val="en-US" w:eastAsia="zh-CN"/>
              </w:rPr>
              <w:t>10</w:t>
            </w:r>
            <w:r>
              <w:rPr>
                <w:rFonts w:hint="eastAsia" w:ascii="宋体" w:hAnsi="宋体"/>
                <w:szCs w:val="21"/>
                <w:highlight w:val="none"/>
              </w:rPr>
              <w:t>.</w:t>
            </w:r>
            <w:r>
              <w:rPr>
                <w:rFonts w:hint="eastAsia" w:ascii="宋体" w:hAnsi="宋体" w:cs="宋体"/>
                <w:szCs w:val="21"/>
                <w:highlight w:val="none"/>
              </w:rPr>
              <w:t xml:space="preserve"> 除谈判文件规定必须提供以外，供应商认为需要提供的其他证</w:t>
            </w:r>
            <w:r>
              <w:rPr>
                <w:rFonts w:hint="eastAsia" w:ascii="宋体" w:hAnsi="宋体" w:cs="宋体"/>
                <w:szCs w:val="21"/>
              </w:rPr>
              <w:t>明材料；</w:t>
            </w:r>
          </w:p>
          <w:p w14:paraId="0912A793">
            <w:pPr>
              <w:snapToGrid w:val="0"/>
              <w:spacing w:line="440" w:lineRule="exact"/>
              <w:jc w:val="left"/>
              <w:rPr>
                <w:rFonts w:hint="eastAsia" w:ascii="宋体" w:hAnsi="宋体" w:cs="宋体"/>
                <w:b/>
                <w:szCs w:val="21"/>
              </w:rPr>
            </w:pPr>
            <w:r>
              <w:rPr>
                <w:rFonts w:hint="eastAsia" w:ascii="宋体" w:hAnsi="宋体" w:cs="宋体"/>
                <w:b/>
                <w:szCs w:val="21"/>
              </w:rPr>
              <w:t>注：</w:t>
            </w:r>
          </w:p>
          <w:p w14:paraId="5F9581B9">
            <w:pPr>
              <w:snapToGrid w:val="0"/>
              <w:spacing w:line="440" w:lineRule="exact"/>
              <w:ind w:firstLine="413" w:firstLineChars="196"/>
              <w:jc w:val="left"/>
              <w:rPr>
                <w:rFonts w:hint="eastAsia" w:ascii="宋体" w:hAnsi="宋体" w:cs="宋体"/>
                <w:b/>
                <w:szCs w:val="21"/>
              </w:rPr>
            </w:pPr>
            <w:r>
              <w:rPr>
                <w:rFonts w:hint="eastAsia" w:ascii="宋体" w:hAnsi="宋体" w:cs="宋体"/>
                <w:b/>
                <w:szCs w:val="21"/>
              </w:rPr>
              <w:t>1.以上标明“必须提供”的材料属于复印件的，必须加盖供应商</w:t>
            </w:r>
            <w:r>
              <w:rPr>
                <w:rFonts w:hint="eastAsia"/>
                <w:b/>
              </w:rPr>
              <w:t>电子签章</w:t>
            </w:r>
            <w:r>
              <w:rPr>
                <w:rFonts w:hint="eastAsia" w:ascii="宋体" w:hAnsi="宋体" w:cs="宋体"/>
                <w:b/>
                <w:szCs w:val="21"/>
              </w:rPr>
              <w:t>，否则响应文件按无效处理。</w:t>
            </w:r>
          </w:p>
          <w:p w14:paraId="5B70A190">
            <w:pPr>
              <w:snapToGrid w:val="0"/>
              <w:spacing w:line="440" w:lineRule="exact"/>
              <w:ind w:firstLine="422" w:firstLineChars="200"/>
              <w:jc w:val="left"/>
              <w:rPr>
                <w:rFonts w:hint="eastAsia" w:ascii="宋体" w:hAnsi="宋体" w:cs="宋体"/>
                <w:b/>
                <w:szCs w:val="21"/>
              </w:rPr>
            </w:pPr>
            <w:r>
              <w:rPr>
                <w:rFonts w:hint="eastAsia" w:ascii="宋体" w:hAnsi="宋体" w:cs="宋体"/>
                <w:b/>
                <w:szCs w:val="21"/>
              </w:rPr>
              <w:t>2.联合体竞标时，第1-5项资格证明文件联合体各方均必须分别提供，</w:t>
            </w:r>
            <w:r>
              <w:rPr>
                <w:rFonts w:hint="eastAsia"/>
                <w:b/>
              </w:rPr>
              <w:t>并由</w:t>
            </w:r>
            <w:r>
              <w:rPr>
                <w:rFonts w:hint="eastAsia" w:ascii="宋体" w:hAnsi="宋体" w:cs="宋体"/>
                <w:b/>
                <w:szCs w:val="21"/>
              </w:rPr>
              <w:t>联合体</w:t>
            </w:r>
            <w:r>
              <w:rPr>
                <w:rFonts w:hint="eastAsia"/>
                <w:b/>
              </w:rPr>
              <w:t>牵头人加盖电子签章</w:t>
            </w:r>
            <w:r>
              <w:rPr>
                <w:rFonts w:hint="eastAsia" w:ascii="宋体" w:hAnsi="宋体" w:cs="宋体"/>
                <w:b/>
                <w:szCs w:val="21"/>
              </w:rPr>
              <w:t>，</w:t>
            </w:r>
            <w:r>
              <w:rPr>
                <w:rFonts w:hint="eastAsia"/>
                <w:b/>
              </w:rPr>
              <w:t>规定签字</w:t>
            </w:r>
            <w:r>
              <w:rPr>
                <w:rFonts w:hint="eastAsia" w:ascii="宋体" w:hAnsi="宋体" w:cs="宋体"/>
                <w:b/>
                <w:szCs w:val="21"/>
              </w:rPr>
              <w:t>处签字</w:t>
            </w:r>
            <w:r>
              <w:rPr>
                <w:rFonts w:hint="eastAsia" w:ascii="宋体" w:hAnsi="宋体"/>
                <w:b/>
                <w:bCs/>
                <w:szCs w:val="21"/>
              </w:rPr>
              <w:t>（或者电子签名）</w:t>
            </w:r>
            <w:r>
              <w:rPr>
                <w:rFonts w:hint="eastAsia" w:ascii="宋体" w:hAnsi="宋体" w:cs="宋体"/>
                <w:b/>
                <w:szCs w:val="21"/>
              </w:rPr>
              <w:t>，否则响应文件按无效处理。</w:t>
            </w:r>
          </w:p>
          <w:p w14:paraId="0DDC8823">
            <w:pPr>
              <w:snapToGrid w:val="0"/>
              <w:spacing w:line="440" w:lineRule="exact"/>
              <w:ind w:firstLine="422" w:firstLineChars="200"/>
              <w:jc w:val="left"/>
              <w:rPr>
                <w:rFonts w:hint="eastAsia" w:ascii="宋体" w:hAnsi="宋体" w:cs="宋体"/>
                <w:b/>
                <w:szCs w:val="21"/>
              </w:rPr>
            </w:pPr>
            <w:r>
              <w:rPr>
                <w:rFonts w:hint="eastAsia" w:ascii="宋体" w:hAnsi="宋体"/>
                <w:b/>
                <w:bCs/>
                <w:szCs w:val="21"/>
              </w:rPr>
              <w:t>3.分公司参加竞标的，应当取得总公司授权。</w:t>
            </w:r>
          </w:p>
        </w:tc>
      </w:tr>
      <w:tr w14:paraId="4BF4A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98CAC7A">
            <w:pPr>
              <w:spacing w:line="440" w:lineRule="exact"/>
              <w:jc w:val="center"/>
              <w:rPr>
                <w:rFonts w:hint="eastAsia" w:ascii="宋体" w:hAnsi="宋体" w:cs="宋体"/>
                <w:szCs w:val="21"/>
              </w:rPr>
            </w:pPr>
            <w:r>
              <w:rPr>
                <w:rFonts w:hint="eastAsia" w:ascii="宋体" w:hAnsi="宋体" w:cs="宋体"/>
                <w:szCs w:val="21"/>
              </w:rPr>
              <w:t>12.1.2</w:t>
            </w:r>
          </w:p>
        </w:tc>
        <w:tc>
          <w:tcPr>
            <w:tcW w:w="7912" w:type="dxa"/>
            <w:vAlign w:val="center"/>
          </w:tcPr>
          <w:p w14:paraId="74E4E4D6">
            <w:pPr>
              <w:spacing w:line="440" w:lineRule="exact"/>
              <w:rPr>
                <w:rFonts w:hint="eastAsia" w:ascii="宋体" w:hAnsi="宋体" w:cs="宋体"/>
                <w:szCs w:val="21"/>
              </w:rPr>
            </w:pPr>
            <w:r>
              <w:rPr>
                <w:rFonts w:hint="eastAsia" w:ascii="宋体" w:hAnsi="宋体" w:cs="宋体"/>
                <w:szCs w:val="21"/>
              </w:rPr>
              <w:t>报价文件</w:t>
            </w:r>
          </w:p>
          <w:p w14:paraId="4A1FC40A">
            <w:pPr>
              <w:spacing w:line="440" w:lineRule="exact"/>
              <w:rPr>
                <w:rFonts w:hint="eastAsia" w:ascii="宋体" w:hAnsi="宋体" w:cs="宋体"/>
                <w:szCs w:val="21"/>
              </w:rPr>
            </w:pPr>
            <w:r>
              <w:rPr>
                <w:rFonts w:hint="eastAsia" w:ascii="宋体" w:hAnsi="宋体" w:cs="宋体"/>
                <w:szCs w:val="21"/>
              </w:rPr>
              <w:t>1.竞标报价表（格式后附）；</w:t>
            </w:r>
            <w:r>
              <w:rPr>
                <w:rFonts w:hint="eastAsia" w:ascii="宋体" w:hAnsi="宋体" w:cs="宋体"/>
                <w:b/>
                <w:bCs/>
                <w:szCs w:val="21"/>
              </w:rPr>
              <w:t>（必须提供，否则响应文件按无效处理）</w:t>
            </w:r>
          </w:p>
          <w:p w14:paraId="02B44318">
            <w:pPr>
              <w:spacing w:line="440" w:lineRule="exact"/>
              <w:rPr>
                <w:rFonts w:hint="eastAsia" w:ascii="宋体" w:hAnsi="宋体" w:cs="宋体"/>
                <w:szCs w:val="21"/>
              </w:rPr>
            </w:pPr>
            <w:r>
              <w:rPr>
                <w:rFonts w:hint="eastAsia" w:ascii="宋体" w:hAnsi="宋体" w:cs="宋体"/>
                <w:szCs w:val="21"/>
              </w:rPr>
              <w:t>2.竞标函及竞标函附录（格式后附）；</w:t>
            </w:r>
            <w:r>
              <w:rPr>
                <w:rFonts w:hint="eastAsia" w:ascii="宋体" w:hAnsi="宋体" w:cs="宋体"/>
                <w:b/>
                <w:bCs/>
                <w:szCs w:val="21"/>
              </w:rPr>
              <w:t>（适用于B分标，必须提供，否则响应文件按无效处理）</w:t>
            </w:r>
          </w:p>
          <w:p w14:paraId="3FE284E2">
            <w:pPr>
              <w:spacing w:line="440" w:lineRule="exact"/>
              <w:rPr>
                <w:rFonts w:hint="eastAsia" w:ascii="宋体" w:hAnsi="宋体" w:cs="宋体"/>
                <w:szCs w:val="21"/>
              </w:rPr>
            </w:pPr>
            <w:r>
              <w:rPr>
                <w:rFonts w:hint="eastAsia" w:ascii="宋体" w:hAnsi="宋体" w:cs="宋体"/>
                <w:szCs w:val="21"/>
              </w:rPr>
              <w:t>3.</w:t>
            </w:r>
            <w:r>
              <w:rPr>
                <w:rFonts w:hint="eastAsia" w:ascii="宋体" w:hAnsi="宋体" w:cs="宋体"/>
              </w:rPr>
              <w:t>已标价的工程量清单</w:t>
            </w:r>
            <w:r>
              <w:rPr>
                <w:rFonts w:hint="eastAsia" w:ascii="宋体" w:hAnsi="宋体" w:cs="宋体"/>
                <w:szCs w:val="21"/>
              </w:rPr>
              <w:t>（按工程量清单格式编写）；（</w:t>
            </w:r>
            <w:r>
              <w:rPr>
                <w:rFonts w:hint="eastAsia" w:ascii="宋体" w:hAnsi="宋体" w:cs="宋体"/>
                <w:b/>
                <w:bCs/>
                <w:szCs w:val="21"/>
              </w:rPr>
              <w:t>适用于B分标，</w:t>
            </w:r>
            <w:r>
              <w:rPr>
                <w:rFonts w:hint="eastAsia" w:ascii="宋体" w:hAnsi="宋体" w:cs="宋体"/>
                <w:b/>
                <w:szCs w:val="21"/>
              </w:rPr>
              <w:t>必须提供，否则响应文件按无效响应处理</w:t>
            </w:r>
            <w:r>
              <w:rPr>
                <w:rFonts w:hint="eastAsia" w:ascii="宋体" w:hAnsi="宋体" w:cs="宋体"/>
                <w:szCs w:val="21"/>
              </w:rPr>
              <w:t>）</w:t>
            </w:r>
          </w:p>
          <w:p w14:paraId="6F527558">
            <w:pPr>
              <w:spacing w:line="440" w:lineRule="exact"/>
              <w:rPr>
                <w:rFonts w:hint="eastAsia" w:ascii="宋体" w:hAnsi="宋体" w:cs="宋体"/>
                <w:szCs w:val="21"/>
              </w:rPr>
            </w:pPr>
            <w:r>
              <w:rPr>
                <w:rFonts w:hint="default" w:ascii="宋体" w:hAnsi="宋体" w:cs="宋体"/>
                <w:szCs w:val="21"/>
                <w:lang w:val="en-US"/>
              </w:rPr>
              <w:t>4</w:t>
            </w:r>
            <w:r>
              <w:rPr>
                <w:rFonts w:hint="eastAsia" w:ascii="宋体" w:hAnsi="宋体" w:cs="宋体"/>
                <w:szCs w:val="21"/>
              </w:rPr>
              <w:t>.供应商认为需要提供的其他有关资料。</w:t>
            </w:r>
          </w:p>
          <w:p w14:paraId="43D746D8">
            <w:pPr>
              <w:spacing w:line="440" w:lineRule="exact"/>
              <w:rPr>
                <w:rFonts w:hint="eastAsia" w:ascii="宋体" w:hAnsi="宋体" w:cs="宋体"/>
                <w:szCs w:val="21"/>
              </w:rPr>
            </w:pPr>
            <w:r>
              <w:rPr>
                <w:rFonts w:hint="eastAsia" w:ascii="宋体" w:hAnsi="宋体" w:cs="宋体"/>
                <w:b/>
                <w:szCs w:val="21"/>
              </w:rPr>
              <w:t>以上标明“必须提供”的材料属于复印件的，必须加盖供应商</w:t>
            </w:r>
            <w:r>
              <w:rPr>
                <w:rFonts w:hint="eastAsia"/>
                <w:b/>
              </w:rPr>
              <w:t>电子签章</w:t>
            </w:r>
            <w:r>
              <w:rPr>
                <w:rFonts w:hint="eastAsia" w:ascii="宋体" w:hAnsi="宋体" w:cs="宋体"/>
                <w:b/>
                <w:szCs w:val="21"/>
              </w:rPr>
              <w:t>，否则响应文件按无效处理。</w:t>
            </w:r>
          </w:p>
        </w:tc>
      </w:tr>
      <w:tr w14:paraId="1C3BF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C44A940">
            <w:pPr>
              <w:spacing w:line="440" w:lineRule="exact"/>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7912" w:type="dxa"/>
            <w:vAlign w:val="center"/>
          </w:tcPr>
          <w:p w14:paraId="17191C3A">
            <w:pPr>
              <w:spacing w:line="440" w:lineRule="exact"/>
              <w:rPr>
                <w:rFonts w:hint="eastAsia" w:ascii="宋体" w:hAnsi="宋体" w:cs="宋体"/>
                <w:szCs w:val="21"/>
              </w:rPr>
            </w:pPr>
            <w:r>
              <w:rPr>
                <w:rFonts w:hint="eastAsia" w:ascii="宋体" w:hAnsi="宋体" w:cs="宋体"/>
                <w:szCs w:val="21"/>
              </w:rPr>
              <w:t>商务技术文件</w:t>
            </w:r>
          </w:p>
          <w:p w14:paraId="2D43824A">
            <w:pPr>
              <w:spacing w:line="440" w:lineRule="exact"/>
              <w:rPr>
                <w:rFonts w:hint="eastAsia" w:ascii="宋体" w:hAnsi="宋体" w:cs="宋体"/>
                <w:szCs w:val="21"/>
              </w:rPr>
            </w:pPr>
            <w:r>
              <w:rPr>
                <w:rFonts w:hint="eastAsia" w:ascii="宋体" w:hAnsi="宋体" w:cs="宋体"/>
                <w:szCs w:val="21"/>
              </w:rPr>
              <w:t>1.无串通竞标行为的承诺函（格式后附）；（</w:t>
            </w:r>
            <w:r>
              <w:rPr>
                <w:rFonts w:hint="eastAsia" w:ascii="宋体" w:hAnsi="宋体" w:cs="宋体"/>
                <w:b/>
                <w:szCs w:val="21"/>
              </w:rPr>
              <w:t>必须提供，否则响应文件按无效处理</w:t>
            </w:r>
            <w:r>
              <w:rPr>
                <w:rFonts w:hint="eastAsia" w:ascii="宋体" w:hAnsi="宋体" w:cs="宋体"/>
                <w:szCs w:val="21"/>
              </w:rPr>
              <w:t>）</w:t>
            </w:r>
          </w:p>
          <w:p w14:paraId="0159A860">
            <w:pPr>
              <w:snapToGrid w:val="0"/>
              <w:spacing w:line="440" w:lineRule="exact"/>
              <w:jc w:val="left"/>
              <w:rPr>
                <w:rFonts w:hint="eastAsia" w:ascii="宋体" w:hAnsi="宋体" w:cs="宋体"/>
                <w:szCs w:val="21"/>
              </w:rPr>
            </w:pPr>
            <w:r>
              <w:rPr>
                <w:rFonts w:hint="eastAsia" w:ascii="宋体" w:hAnsi="宋体" w:cs="宋体"/>
                <w:szCs w:val="21"/>
              </w:rPr>
              <w:t>2.法定代表人身份证明书及法定代表人有效身份证正反面复印件（格式后附）；（</w:t>
            </w:r>
            <w:r>
              <w:rPr>
                <w:rFonts w:hint="eastAsia" w:ascii="宋体" w:hAnsi="宋体" w:cs="宋体"/>
                <w:b/>
                <w:szCs w:val="21"/>
              </w:rPr>
              <w:t>必须提供，否则响应文件按无效处理</w:t>
            </w:r>
            <w:r>
              <w:rPr>
                <w:rFonts w:hint="eastAsia" w:ascii="宋体" w:hAnsi="宋体" w:cs="宋体"/>
                <w:szCs w:val="21"/>
              </w:rPr>
              <w:t>）</w:t>
            </w:r>
          </w:p>
          <w:p w14:paraId="583B4D6F">
            <w:pPr>
              <w:spacing w:line="440" w:lineRule="exact"/>
              <w:rPr>
                <w:rFonts w:hint="eastAsia" w:ascii="宋体" w:hAnsi="宋体" w:cs="宋体"/>
                <w:b/>
                <w:szCs w:val="21"/>
              </w:rPr>
            </w:pPr>
            <w:r>
              <w:rPr>
                <w:rFonts w:hint="eastAsia" w:ascii="宋体" w:hAnsi="宋体" w:cs="宋体"/>
                <w:szCs w:val="21"/>
              </w:rPr>
              <w:t>3.授权委托书及委托代理人有效身份证正反面复印件（格式后附）；（</w:t>
            </w:r>
            <w:r>
              <w:rPr>
                <w:rFonts w:hint="eastAsia" w:ascii="宋体" w:hAnsi="宋体" w:cs="宋体"/>
                <w:b/>
                <w:szCs w:val="21"/>
              </w:rPr>
              <w:t>委托时必须提供，否则响应文件按无效处理</w:t>
            </w:r>
            <w:r>
              <w:rPr>
                <w:rFonts w:hint="eastAsia" w:ascii="宋体" w:hAnsi="宋体" w:cs="宋体"/>
                <w:szCs w:val="21"/>
              </w:rPr>
              <w:t>）</w:t>
            </w:r>
          </w:p>
          <w:p w14:paraId="1D0A8DBA">
            <w:pPr>
              <w:spacing w:line="440" w:lineRule="exact"/>
              <w:rPr>
                <w:rFonts w:hint="eastAsia" w:ascii="宋体" w:hAnsi="宋体" w:cs="宋体"/>
                <w:szCs w:val="21"/>
              </w:rPr>
            </w:pPr>
            <w:r>
              <w:rPr>
                <w:rFonts w:hint="eastAsia" w:ascii="宋体" w:hAnsi="宋体" w:cs="宋体"/>
                <w:szCs w:val="21"/>
              </w:rPr>
              <w:t>4.竞标保证金提交凭证；（</w:t>
            </w:r>
            <w:r>
              <w:rPr>
                <w:rFonts w:hint="eastAsia"/>
                <w:b/>
                <w:bCs/>
              </w:rPr>
              <w:t>必须提供</w:t>
            </w:r>
            <w:r>
              <w:rPr>
                <w:rFonts w:hint="eastAsia" w:ascii="宋体" w:hAnsi="宋体" w:cs="宋体"/>
                <w:b/>
                <w:szCs w:val="21"/>
              </w:rPr>
              <w:t>，否则响应文件按无效处理</w:t>
            </w:r>
            <w:r>
              <w:rPr>
                <w:rFonts w:hint="eastAsia" w:ascii="宋体" w:hAnsi="宋体" w:cs="宋体"/>
                <w:szCs w:val="21"/>
              </w:rPr>
              <w:t>）</w:t>
            </w:r>
          </w:p>
          <w:p w14:paraId="591B1B8A">
            <w:pPr>
              <w:spacing w:line="440" w:lineRule="exact"/>
              <w:rPr>
                <w:rFonts w:hint="eastAsia" w:ascii="宋体" w:hAnsi="宋体" w:cs="宋体"/>
                <w:szCs w:val="21"/>
              </w:rPr>
            </w:pPr>
            <w:r>
              <w:rPr>
                <w:rFonts w:hint="eastAsia" w:ascii="宋体" w:hAnsi="宋体" w:cs="宋体"/>
                <w:szCs w:val="21"/>
              </w:rPr>
              <w:t>5.商务要求偏离表（格式后附）；（</w:t>
            </w:r>
            <w:r>
              <w:rPr>
                <w:rFonts w:hint="eastAsia" w:ascii="宋体" w:hAnsi="宋体" w:cs="宋体"/>
                <w:b/>
                <w:szCs w:val="21"/>
              </w:rPr>
              <w:t>必须提供，否则响应文件按无效处理</w:t>
            </w:r>
            <w:r>
              <w:rPr>
                <w:rFonts w:hint="eastAsia" w:ascii="宋体" w:hAnsi="宋体" w:cs="宋体"/>
                <w:szCs w:val="21"/>
              </w:rPr>
              <w:t>）</w:t>
            </w:r>
          </w:p>
          <w:p w14:paraId="1C06F13E">
            <w:pPr>
              <w:spacing w:line="440" w:lineRule="exact"/>
              <w:rPr>
                <w:rFonts w:hint="eastAsia" w:ascii="宋体" w:hAnsi="宋体" w:cs="宋体"/>
                <w:szCs w:val="21"/>
              </w:rPr>
            </w:pPr>
            <w:r>
              <w:rPr>
                <w:rFonts w:hint="eastAsia" w:ascii="宋体" w:hAnsi="宋体" w:cs="宋体"/>
                <w:szCs w:val="21"/>
              </w:rPr>
              <w:t>6.技术要求偏离表（格式后附）；（</w:t>
            </w:r>
            <w:r>
              <w:rPr>
                <w:rFonts w:hint="eastAsia" w:ascii="宋体" w:hAnsi="宋体" w:cs="宋体"/>
                <w:b/>
                <w:szCs w:val="21"/>
              </w:rPr>
              <w:t>必须提供，否则响应文件按无效处理</w:t>
            </w:r>
            <w:r>
              <w:rPr>
                <w:rFonts w:hint="eastAsia" w:ascii="宋体" w:hAnsi="宋体" w:cs="宋体"/>
                <w:szCs w:val="21"/>
              </w:rPr>
              <w:t>）</w:t>
            </w:r>
          </w:p>
          <w:p w14:paraId="37D8CE5A">
            <w:pPr>
              <w:spacing w:line="440" w:lineRule="exact"/>
              <w:rPr>
                <w:rFonts w:hint="eastAsia" w:ascii="宋体" w:hAnsi="宋体" w:cs="宋体"/>
                <w:szCs w:val="21"/>
              </w:rPr>
            </w:pPr>
            <w:r>
              <w:rPr>
                <w:rFonts w:hint="eastAsia" w:ascii="宋体" w:hAnsi="宋体" w:cs="宋体"/>
                <w:szCs w:val="21"/>
              </w:rPr>
              <w:t>7.售后服务承诺（格式自拟）；（</w:t>
            </w:r>
            <w:r>
              <w:rPr>
                <w:rFonts w:hint="eastAsia" w:ascii="宋体" w:hAnsi="宋体" w:cs="宋体"/>
                <w:b/>
                <w:bCs/>
                <w:szCs w:val="21"/>
              </w:rPr>
              <w:t>适用于A分标，</w:t>
            </w:r>
            <w:r>
              <w:rPr>
                <w:rFonts w:hint="eastAsia" w:ascii="宋体" w:hAnsi="宋体" w:cs="宋体"/>
                <w:b/>
                <w:szCs w:val="21"/>
              </w:rPr>
              <w:t>必须提供，否则响应文件按无效处理</w:t>
            </w:r>
            <w:r>
              <w:rPr>
                <w:rFonts w:hint="eastAsia" w:ascii="宋体" w:hAnsi="宋体" w:cs="宋体"/>
                <w:szCs w:val="21"/>
              </w:rPr>
              <w:t>）</w:t>
            </w:r>
          </w:p>
          <w:p w14:paraId="18C85CF8">
            <w:pPr>
              <w:spacing w:line="440" w:lineRule="exact"/>
              <w:rPr>
                <w:rFonts w:hint="eastAsia" w:ascii="宋体" w:hAnsi="宋体" w:cs="宋体"/>
                <w:szCs w:val="21"/>
              </w:rPr>
            </w:pPr>
            <w:r>
              <w:rPr>
                <w:rFonts w:hint="eastAsia" w:ascii="宋体" w:hAnsi="宋体" w:cs="宋体"/>
                <w:szCs w:val="21"/>
              </w:rPr>
              <w:t>8.货物配置清单（均不含报价）（格式后附）；（</w:t>
            </w:r>
            <w:r>
              <w:rPr>
                <w:rFonts w:hint="eastAsia" w:ascii="宋体" w:hAnsi="宋体" w:cs="宋体"/>
                <w:b/>
                <w:bCs/>
                <w:szCs w:val="21"/>
              </w:rPr>
              <w:t>适用于A分标，</w:t>
            </w:r>
            <w:r>
              <w:rPr>
                <w:rFonts w:hint="eastAsia" w:ascii="宋体" w:hAnsi="宋体" w:cs="宋体"/>
                <w:b/>
                <w:szCs w:val="21"/>
              </w:rPr>
              <w:t>必须提供，否则响应文件按无效处理</w:t>
            </w:r>
            <w:r>
              <w:rPr>
                <w:rFonts w:hint="eastAsia" w:ascii="宋体" w:hAnsi="宋体" w:cs="宋体"/>
                <w:szCs w:val="21"/>
              </w:rPr>
              <w:t>）</w:t>
            </w:r>
          </w:p>
          <w:p w14:paraId="6DA8D396">
            <w:pPr>
              <w:spacing w:line="440" w:lineRule="exact"/>
              <w:rPr>
                <w:rFonts w:hint="eastAsia" w:ascii="宋体" w:hAnsi="宋体" w:cs="宋体"/>
                <w:szCs w:val="21"/>
              </w:rPr>
            </w:pPr>
            <w:r>
              <w:rPr>
                <w:rFonts w:hint="eastAsia" w:ascii="宋体" w:hAnsi="宋体" w:cs="宋体"/>
                <w:szCs w:val="21"/>
              </w:rPr>
              <w:t>9.农民工工资保证金承诺书（格式后附）；（</w:t>
            </w:r>
            <w:r>
              <w:rPr>
                <w:rFonts w:hint="eastAsia" w:ascii="宋体" w:hAnsi="宋体" w:cs="宋体"/>
                <w:b/>
                <w:bCs/>
                <w:szCs w:val="21"/>
              </w:rPr>
              <w:t>适用于B分标，</w:t>
            </w:r>
            <w:r>
              <w:rPr>
                <w:rFonts w:hint="eastAsia" w:ascii="宋体" w:hAnsi="宋体" w:cs="宋体"/>
                <w:b/>
                <w:szCs w:val="21"/>
              </w:rPr>
              <w:t>必须提供，否则响应文件按无效处理</w:t>
            </w:r>
            <w:r>
              <w:rPr>
                <w:rFonts w:hint="eastAsia" w:ascii="宋体" w:hAnsi="宋体" w:cs="宋体"/>
                <w:szCs w:val="21"/>
              </w:rPr>
              <w:t>）</w:t>
            </w:r>
          </w:p>
          <w:p w14:paraId="69811AA8">
            <w:pPr>
              <w:spacing w:line="440" w:lineRule="exact"/>
              <w:rPr>
                <w:rFonts w:hint="eastAsia" w:ascii="宋体" w:hAnsi="宋体" w:cs="宋体"/>
                <w:szCs w:val="21"/>
              </w:rPr>
            </w:pPr>
            <w:r>
              <w:rPr>
                <w:rFonts w:hint="eastAsia" w:ascii="宋体" w:hAnsi="宋体" w:cs="宋体"/>
                <w:szCs w:val="21"/>
              </w:rPr>
              <w:t>10.项目管理机构配备情况表（格式后附）；（</w:t>
            </w:r>
            <w:r>
              <w:rPr>
                <w:rFonts w:hint="eastAsia" w:ascii="宋体" w:hAnsi="宋体" w:cs="宋体"/>
                <w:b/>
                <w:bCs/>
                <w:szCs w:val="21"/>
              </w:rPr>
              <w:t>适用于B分标，</w:t>
            </w:r>
            <w:r>
              <w:rPr>
                <w:rFonts w:hint="eastAsia" w:ascii="宋体" w:hAnsi="宋体" w:cs="宋体"/>
                <w:b/>
                <w:szCs w:val="21"/>
              </w:rPr>
              <w:t>必须提供，否则响应文件按无效处理</w:t>
            </w:r>
            <w:r>
              <w:rPr>
                <w:rFonts w:hint="eastAsia" w:ascii="宋体" w:hAnsi="宋体" w:cs="宋体"/>
                <w:szCs w:val="21"/>
              </w:rPr>
              <w:t>）</w:t>
            </w:r>
          </w:p>
          <w:p w14:paraId="7AF74305">
            <w:pPr>
              <w:spacing w:line="440" w:lineRule="exact"/>
              <w:rPr>
                <w:rFonts w:hint="eastAsia" w:ascii="宋体" w:hAnsi="宋体" w:cs="宋体"/>
                <w:szCs w:val="21"/>
              </w:rPr>
            </w:pPr>
            <w:r>
              <w:rPr>
                <w:rFonts w:hint="eastAsia" w:ascii="宋体" w:hAnsi="宋体" w:cs="宋体"/>
                <w:szCs w:val="21"/>
              </w:rPr>
              <w:t>11.拟委任的项目经理资历表（格式后附）；（</w:t>
            </w:r>
            <w:r>
              <w:rPr>
                <w:rFonts w:hint="eastAsia" w:ascii="宋体" w:hAnsi="宋体" w:cs="宋体"/>
                <w:b/>
                <w:bCs/>
                <w:szCs w:val="21"/>
              </w:rPr>
              <w:t>适用于B分标，</w:t>
            </w:r>
            <w:r>
              <w:rPr>
                <w:rFonts w:hint="eastAsia" w:ascii="宋体" w:hAnsi="宋体" w:cs="宋体"/>
                <w:b/>
                <w:szCs w:val="21"/>
              </w:rPr>
              <w:t>必须提供，否则响应文件按无效处理</w:t>
            </w:r>
            <w:r>
              <w:rPr>
                <w:rFonts w:hint="eastAsia" w:ascii="宋体" w:hAnsi="宋体" w:cs="宋体"/>
                <w:szCs w:val="21"/>
              </w:rPr>
              <w:t>）</w:t>
            </w:r>
          </w:p>
          <w:p w14:paraId="3C9AB57B">
            <w:pPr>
              <w:spacing w:line="440" w:lineRule="exact"/>
              <w:rPr>
                <w:rFonts w:hint="eastAsia" w:ascii="宋体" w:hAnsi="宋体" w:cs="宋体"/>
                <w:szCs w:val="21"/>
              </w:rPr>
            </w:pPr>
            <w:r>
              <w:rPr>
                <w:rFonts w:hint="eastAsia" w:ascii="宋体" w:hAnsi="宋体" w:cs="宋体"/>
                <w:szCs w:val="21"/>
              </w:rPr>
              <w:t>12.施工组织设计（格式后附）；（</w:t>
            </w:r>
            <w:r>
              <w:rPr>
                <w:rFonts w:hint="eastAsia" w:ascii="宋体" w:hAnsi="宋体" w:cs="宋体"/>
                <w:b/>
                <w:bCs/>
                <w:szCs w:val="21"/>
              </w:rPr>
              <w:t>适用于B分标，</w:t>
            </w:r>
            <w:r>
              <w:rPr>
                <w:rFonts w:hint="eastAsia" w:ascii="宋体" w:hAnsi="宋体" w:cs="宋体"/>
                <w:b/>
                <w:szCs w:val="21"/>
              </w:rPr>
              <w:t>必须提供，否则响应文件按无效处理</w:t>
            </w:r>
            <w:r>
              <w:rPr>
                <w:rFonts w:hint="eastAsia" w:ascii="宋体" w:hAnsi="宋体" w:cs="宋体"/>
                <w:szCs w:val="21"/>
              </w:rPr>
              <w:t>）</w:t>
            </w:r>
          </w:p>
          <w:p w14:paraId="210BC202">
            <w:pPr>
              <w:spacing w:line="440" w:lineRule="exact"/>
              <w:rPr>
                <w:rFonts w:hint="eastAsia" w:ascii="宋体" w:hAnsi="宋体" w:cs="宋体"/>
                <w:szCs w:val="21"/>
              </w:rPr>
            </w:pPr>
            <w:r>
              <w:rPr>
                <w:rFonts w:hint="eastAsia" w:ascii="宋体" w:hAnsi="宋体" w:cs="宋体"/>
                <w:szCs w:val="21"/>
              </w:rPr>
              <w:t>13.对应采购需求的技术要求、商务要求提供的其他文件资料（格式自拟）；</w:t>
            </w:r>
          </w:p>
          <w:p w14:paraId="61CA3F9E">
            <w:pPr>
              <w:spacing w:line="440" w:lineRule="exact"/>
              <w:rPr>
                <w:rFonts w:hint="eastAsia" w:ascii="宋体" w:hAnsi="宋体" w:cs="宋体"/>
                <w:szCs w:val="21"/>
              </w:rPr>
            </w:pPr>
            <w:r>
              <w:rPr>
                <w:rFonts w:hint="eastAsia" w:ascii="宋体" w:hAnsi="宋体" w:cs="宋体"/>
                <w:szCs w:val="21"/>
              </w:rPr>
              <w:t>14.供应商认为需要提供的其他有关资料。</w:t>
            </w:r>
          </w:p>
          <w:p w14:paraId="28251D07">
            <w:pPr>
              <w:snapToGrid w:val="0"/>
              <w:spacing w:line="440" w:lineRule="exact"/>
              <w:jc w:val="left"/>
              <w:rPr>
                <w:rFonts w:hint="eastAsia" w:ascii="宋体" w:hAnsi="宋体" w:cs="宋体"/>
                <w:b/>
                <w:szCs w:val="21"/>
              </w:rPr>
            </w:pPr>
            <w:r>
              <w:rPr>
                <w:rFonts w:hint="eastAsia" w:ascii="宋体" w:hAnsi="宋体" w:cs="宋体"/>
                <w:b/>
                <w:szCs w:val="21"/>
              </w:rPr>
              <w:t>注：以上标明“必须提供”材料复印件的，必须加盖供应商</w:t>
            </w:r>
            <w:r>
              <w:rPr>
                <w:rFonts w:hint="eastAsia" w:ascii="宋体" w:hAnsi="宋体"/>
                <w:b/>
                <w:bCs/>
                <w:szCs w:val="21"/>
              </w:rPr>
              <w:t>电子签章</w:t>
            </w:r>
            <w:r>
              <w:rPr>
                <w:rFonts w:hint="eastAsia" w:ascii="宋体" w:hAnsi="宋体" w:cs="宋体"/>
                <w:b/>
                <w:szCs w:val="21"/>
              </w:rPr>
              <w:t>，否则响应文件按无效处理。</w:t>
            </w:r>
          </w:p>
        </w:tc>
      </w:tr>
      <w:tr w14:paraId="2C45C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261D7EE">
            <w:pPr>
              <w:spacing w:line="440" w:lineRule="exact"/>
              <w:jc w:val="center"/>
              <w:rPr>
                <w:rFonts w:hint="eastAsia" w:ascii="宋体" w:hAnsi="宋体" w:cs="宋体"/>
                <w:szCs w:val="21"/>
              </w:rPr>
            </w:pPr>
            <w:r>
              <w:rPr>
                <w:rFonts w:hint="eastAsia" w:ascii="宋体" w:hAnsi="宋体" w:cs="宋体"/>
                <w:szCs w:val="21"/>
              </w:rPr>
              <w:t>15.2</w:t>
            </w:r>
          </w:p>
        </w:tc>
        <w:tc>
          <w:tcPr>
            <w:tcW w:w="7912" w:type="dxa"/>
            <w:vAlign w:val="center"/>
          </w:tcPr>
          <w:p w14:paraId="5164749B">
            <w:pPr>
              <w:spacing w:line="440" w:lineRule="exact"/>
              <w:rPr>
                <w:rFonts w:hint="eastAsia" w:ascii="宋体" w:hAnsi="宋体" w:cs="宋体"/>
                <w:b/>
                <w:bCs/>
                <w:szCs w:val="21"/>
              </w:rPr>
            </w:pPr>
            <w:r>
              <w:rPr>
                <w:rFonts w:hint="eastAsia" w:ascii="宋体" w:hAnsi="宋体" w:cs="宋体"/>
                <w:b/>
                <w:bCs/>
                <w:szCs w:val="21"/>
              </w:rPr>
              <w:t>一、A分标：康复楼多功能康养用房设备购置项目（设备部分）</w:t>
            </w:r>
          </w:p>
          <w:p w14:paraId="70B2922D">
            <w:pPr>
              <w:spacing w:line="440" w:lineRule="exact"/>
              <w:rPr>
                <w:rFonts w:hint="eastAsia" w:ascii="宋体" w:hAnsi="宋体" w:cs="宋体"/>
                <w:szCs w:val="21"/>
              </w:rPr>
            </w:pPr>
            <w:r>
              <w:rPr>
                <w:rFonts w:hint="eastAsia" w:ascii="宋体" w:hAnsi="宋体" w:cs="宋体"/>
                <w:szCs w:val="21"/>
              </w:rPr>
              <w:t>报价必须含以下部分，包括：</w:t>
            </w:r>
          </w:p>
          <w:p w14:paraId="727BDFAE">
            <w:pPr>
              <w:spacing w:line="440" w:lineRule="exact"/>
              <w:rPr>
                <w:rFonts w:hint="eastAsia" w:ascii="宋体" w:hAnsi="宋体" w:cs="宋体"/>
                <w:szCs w:val="21"/>
              </w:rPr>
            </w:pPr>
            <w:r>
              <w:rPr>
                <w:rFonts w:hint="eastAsia" w:ascii="宋体" w:hAnsi="宋体" w:cs="宋体"/>
                <w:szCs w:val="21"/>
              </w:rPr>
              <w:t>（1）货物的价格；</w:t>
            </w:r>
          </w:p>
          <w:p w14:paraId="36C1AD95">
            <w:pPr>
              <w:spacing w:line="440" w:lineRule="exact"/>
              <w:rPr>
                <w:rFonts w:hint="eastAsia" w:ascii="宋体" w:hAnsi="宋体" w:cs="宋体"/>
                <w:szCs w:val="21"/>
              </w:rPr>
            </w:pPr>
            <w:r>
              <w:rPr>
                <w:rFonts w:hint="eastAsia" w:ascii="宋体" w:hAnsi="宋体" w:cs="宋体"/>
                <w:szCs w:val="21"/>
              </w:rPr>
              <w:t>（2）必要的保险费用和各项税金；</w:t>
            </w:r>
          </w:p>
          <w:p w14:paraId="765F9EF4">
            <w:pPr>
              <w:snapToGrid w:val="0"/>
              <w:spacing w:line="440" w:lineRule="exact"/>
              <w:jc w:val="left"/>
              <w:rPr>
                <w:rFonts w:hint="eastAsia" w:ascii="宋体" w:hAnsi="宋体" w:cs="宋体"/>
                <w:szCs w:val="21"/>
              </w:rPr>
            </w:pPr>
            <w:r>
              <w:rPr>
                <w:rFonts w:hint="eastAsia" w:ascii="宋体" w:hAnsi="宋体" w:cs="宋体"/>
                <w:szCs w:val="21"/>
              </w:rPr>
              <w:t>（3）其他（如运输、装卸、安装、调试、培训、技术支持、售后货物、更新升级等费用，根据项目具体情况填写）： 包括货款、随配附件、备品备件、专用工具、包装、运输、装卸、保险、运抵指定交货地点、送货上门服务、现场安装调试、保修等</w:t>
            </w:r>
          </w:p>
          <w:p w14:paraId="52D663BD">
            <w:pPr>
              <w:snapToGrid w:val="0"/>
              <w:spacing w:line="440" w:lineRule="exact"/>
              <w:jc w:val="left"/>
              <w:rPr>
                <w:rFonts w:hint="eastAsia" w:ascii="宋体" w:hAnsi="宋体" w:cs="宋体"/>
                <w:szCs w:val="21"/>
              </w:rPr>
            </w:pPr>
            <w:r>
              <w:rPr>
                <w:rFonts w:hint="eastAsia" w:ascii="宋体" w:hAnsi="宋体" w:cs="宋体"/>
                <w:szCs w:val="21"/>
              </w:rPr>
              <w:t xml:space="preserve">各种费用和售后服务、培训、税金、招标代理服务费及其他所有成本费用的总和。 </w:t>
            </w:r>
          </w:p>
          <w:p w14:paraId="609B43A1">
            <w:pPr>
              <w:snapToGrid w:val="0"/>
              <w:spacing w:line="440" w:lineRule="exact"/>
              <w:jc w:val="left"/>
              <w:rPr>
                <w:rFonts w:hint="eastAsia" w:ascii="宋体" w:hAnsi="宋体" w:cs="宋体"/>
                <w:b/>
                <w:bCs/>
                <w:szCs w:val="21"/>
              </w:rPr>
            </w:pPr>
            <w:r>
              <w:rPr>
                <w:rFonts w:hint="eastAsia" w:ascii="宋体" w:hAnsi="宋体" w:cs="宋体"/>
                <w:b/>
                <w:bCs/>
                <w:szCs w:val="21"/>
              </w:rPr>
              <w:t>二、B分标：康复楼多功能康养用房设备购置项目（装饰工程部分）</w:t>
            </w:r>
          </w:p>
          <w:p w14:paraId="270E12F8">
            <w:pPr>
              <w:snapToGrid w:val="0"/>
              <w:spacing w:line="440" w:lineRule="exact"/>
              <w:ind w:firstLine="210" w:firstLineChars="100"/>
              <w:jc w:val="left"/>
              <w:rPr>
                <w:rFonts w:hint="eastAsia" w:ascii="宋体" w:hAnsi="宋体" w:cs="宋体"/>
                <w:szCs w:val="21"/>
              </w:rPr>
            </w:pPr>
            <w:r>
              <w:rPr>
                <w:rFonts w:hint="eastAsia" w:ascii="宋体" w:hAnsi="宋体" w:cs="宋体"/>
                <w:szCs w:val="21"/>
              </w:rPr>
              <w:t xml:space="preserve">本工程的报价方式为工程量清单报价，合同承包方式为包工包料，以固定单价包干。报价汇总表中的价格应包括施工设备、劳务、管理、材料、安装、安全生产费、维护、保险、利润、税金、政策性文件规定及合同包含的应有风险、责任等所有成本费用的总和。 </w:t>
            </w:r>
          </w:p>
        </w:tc>
      </w:tr>
      <w:tr w14:paraId="6596C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14BFCC0">
            <w:pPr>
              <w:spacing w:line="440" w:lineRule="exact"/>
              <w:jc w:val="center"/>
              <w:rPr>
                <w:rFonts w:hint="eastAsia" w:ascii="宋体" w:hAnsi="宋体" w:cs="宋体"/>
                <w:szCs w:val="21"/>
              </w:rPr>
            </w:pPr>
            <w:r>
              <w:rPr>
                <w:rFonts w:hint="eastAsia" w:ascii="宋体" w:hAnsi="宋体" w:cs="宋体"/>
                <w:szCs w:val="21"/>
              </w:rPr>
              <w:t>16.</w:t>
            </w:r>
            <w:r>
              <w:rPr>
                <w:rFonts w:ascii="宋体" w:hAnsi="宋体" w:cs="宋体"/>
                <w:szCs w:val="21"/>
              </w:rPr>
              <w:t>2</w:t>
            </w:r>
          </w:p>
        </w:tc>
        <w:tc>
          <w:tcPr>
            <w:tcW w:w="7912" w:type="dxa"/>
            <w:vAlign w:val="center"/>
          </w:tcPr>
          <w:p w14:paraId="2BE49C17">
            <w:pPr>
              <w:pStyle w:val="8"/>
              <w:widowControl w:val="0"/>
              <w:tabs>
                <w:tab w:val="clear" w:pos="454"/>
              </w:tabs>
              <w:snapToGrid w:val="0"/>
              <w:spacing w:afterLines="0" w:line="440" w:lineRule="exact"/>
              <w:ind w:left="283" w:hanging="283" w:hangingChars="135"/>
              <w:rPr>
                <w:rFonts w:hint="eastAsia" w:ascii="宋体" w:hAnsi="宋体" w:cs="宋体"/>
                <w:kern w:val="2"/>
                <w:sz w:val="21"/>
                <w:szCs w:val="21"/>
              </w:rPr>
            </w:pPr>
            <w:r>
              <w:rPr>
                <w:rFonts w:hint="eastAsia" w:ascii="宋体" w:hAnsi="宋体" w:cs="宋体"/>
                <w:kern w:val="2"/>
                <w:sz w:val="21"/>
                <w:szCs w:val="21"/>
              </w:rPr>
              <w:t>竞标有效期：自首次响应文件提交截止之日起</w:t>
            </w:r>
            <w:r>
              <w:rPr>
                <w:rFonts w:ascii="宋体" w:hAnsi="宋体" w:cs="宋体"/>
                <w:kern w:val="2"/>
                <w:sz w:val="21"/>
                <w:szCs w:val="21"/>
                <w:u w:val="single"/>
              </w:rPr>
              <w:t>120</w:t>
            </w:r>
            <w:r>
              <w:rPr>
                <w:rFonts w:hint="eastAsia" w:ascii="宋体" w:hAnsi="宋体" w:cs="宋体"/>
                <w:kern w:val="2"/>
                <w:sz w:val="21"/>
                <w:szCs w:val="21"/>
              </w:rPr>
              <w:t>日。</w:t>
            </w:r>
          </w:p>
        </w:tc>
      </w:tr>
      <w:tr w14:paraId="18EC2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43B6191">
            <w:pPr>
              <w:spacing w:line="440" w:lineRule="exact"/>
              <w:jc w:val="center"/>
              <w:rPr>
                <w:rFonts w:hint="eastAsia" w:ascii="宋体" w:hAnsi="宋体" w:cs="宋体"/>
                <w:szCs w:val="21"/>
              </w:rPr>
            </w:pPr>
            <w:r>
              <w:rPr>
                <w:rFonts w:hint="eastAsia" w:ascii="宋体" w:hAnsi="宋体" w:cs="宋体"/>
                <w:szCs w:val="21"/>
              </w:rPr>
              <w:t>17.1</w:t>
            </w:r>
          </w:p>
        </w:tc>
        <w:tc>
          <w:tcPr>
            <w:tcW w:w="7912" w:type="dxa"/>
            <w:vAlign w:val="center"/>
          </w:tcPr>
          <w:p w14:paraId="04326EB2">
            <w:pPr>
              <w:autoSpaceDE w:val="0"/>
              <w:autoSpaceDN w:val="0"/>
              <w:snapToGrid w:val="0"/>
              <w:spacing w:line="440" w:lineRule="exact"/>
              <w:textAlignment w:val="bottom"/>
              <w:rPr>
                <w:rFonts w:hint="eastAsia" w:ascii="宋体" w:hAnsi="宋体"/>
                <w:szCs w:val="21"/>
              </w:rPr>
            </w:pPr>
            <w:r>
              <w:rPr>
                <w:rFonts w:hint="eastAsia" w:ascii="宋体" w:hAnsi="宋体"/>
                <w:szCs w:val="21"/>
              </w:rPr>
              <w:t>□本项目不收取竞标保证金。</w:t>
            </w:r>
          </w:p>
          <w:p w14:paraId="6220013E">
            <w:pPr>
              <w:snapToGrid w:val="0"/>
              <w:spacing w:line="440" w:lineRule="exact"/>
              <w:rPr>
                <w:rFonts w:hint="eastAsia" w:ascii="宋体" w:hAnsi="宋体"/>
                <w:b/>
                <w:bCs/>
                <w:szCs w:val="21"/>
              </w:rPr>
            </w:pPr>
            <w:r>
              <w:rPr>
                <w:rFonts w:hint="eastAsia" w:ascii="MS Mincho" w:hAnsi="MS Mincho" w:eastAsia="MS Mincho" w:cs="MS Mincho"/>
                <w:b/>
                <w:bCs/>
                <w:szCs w:val="21"/>
              </w:rPr>
              <w:t>☑</w:t>
            </w:r>
            <w:r>
              <w:rPr>
                <w:rFonts w:hint="eastAsia" w:ascii="宋体" w:hAnsi="宋体"/>
                <w:b/>
                <w:bCs/>
                <w:szCs w:val="21"/>
              </w:rPr>
              <w:t>本项目收取竞标保证金，具体规定如下：</w:t>
            </w:r>
          </w:p>
          <w:p w14:paraId="2CED533E">
            <w:pPr>
              <w:snapToGrid w:val="0"/>
              <w:spacing w:line="440" w:lineRule="exact"/>
              <w:rPr>
                <w:rFonts w:hint="eastAsia" w:ascii="宋体" w:hAnsi="宋体" w:cs="宋体"/>
                <w:kern w:val="0"/>
                <w:szCs w:val="21"/>
              </w:rPr>
            </w:pPr>
            <w:r>
              <w:rPr>
                <w:rFonts w:hint="eastAsia" w:ascii="宋体" w:hAnsi="宋体" w:cs="宋体"/>
                <w:kern w:val="0"/>
                <w:szCs w:val="21"/>
              </w:rPr>
              <w:t>竞标保证金人民币</w:t>
            </w:r>
            <w:r>
              <w:rPr>
                <w:rFonts w:hint="eastAsia" w:ascii="宋体" w:hAnsi="宋体" w:cs="宋体"/>
                <w:b/>
                <w:bCs/>
                <w:kern w:val="0"/>
                <w:szCs w:val="21"/>
              </w:rPr>
              <w:t>：</w:t>
            </w:r>
            <w:r>
              <w:rPr>
                <w:rFonts w:hint="eastAsia" w:ascii="宋体" w:hAnsi="宋体" w:cs="宋体"/>
                <w:b/>
                <w:bCs/>
                <w:kern w:val="0"/>
                <w:szCs w:val="21"/>
                <w:u w:val="single"/>
              </w:rPr>
              <w:t>A分标：6000.00元；B分标：4000.00</w:t>
            </w:r>
          </w:p>
          <w:p w14:paraId="60023354">
            <w:pPr>
              <w:snapToGrid w:val="0"/>
              <w:spacing w:line="440" w:lineRule="exact"/>
              <w:rPr>
                <w:rFonts w:hint="eastAsia" w:ascii="宋体" w:hAnsi="宋体" w:cs="宋体"/>
                <w:kern w:val="0"/>
                <w:szCs w:val="21"/>
              </w:rPr>
            </w:pPr>
            <w:r>
              <w:rPr>
                <w:rFonts w:hint="eastAsia" w:ascii="宋体" w:hAnsi="宋体" w:cs="宋体"/>
                <w:kern w:val="0"/>
                <w:szCs w:val="21"/>
              </w:rPr>
              <w:t>竞标保证金的交纳方式：银行转账、支票、汇票、本票或者银行、保险机构、担保机构出具的保函</w:t>
            </w:r>
            <w:r>
              <w:rPr>
                <w:color w:val="000000"/>
              </w:rPr>
              <w:t>（包含电子保函）</w:t>
            </w:r>
            <w:r>
              <w:rPr>
                <w:rFonts w:hint="eastAsia" w:ascii="宋体" w:hAnsi="宋体" w:cs="宋体"/>
                <w:kern w:val="0"/>
                <w:szCs w:val="21"/>
              </w:rPr>
              <w:t>，禁止采用现钞方式。采用银行转账方式的，在响应文件提交截止时间前交至指定账户并且到账[</w:t>
            </w:r>
            <w:r>
              <w:rPr>
                <w:rFonts w:hint="eastAsia" w:ascii="宋体" w:hAnsi="宋体" w:cs="宋体"/>
                <w:b/>
                <w:bCs/>
                <w:szCs w:val="21"/>
              </w:rPr>
              <w:t>开户名称：广西正海招标有限公司，开户银行：广西北部湾银行南宁市兴宁支行，银行账号：800105504300012，北部湾行号：313611014014</w:t>
            </w:r>
            <w:r>
              <w:rPr>
                <w:rFonts w:hint="eastAsia" w:ascii="宋体" w:hAnsi="宋体" w:cs="宋体"/>
                <w:kern w:val="0"/>
                <w:szCs w:val="21"/>
              </w:rPr>
              <w:t>]；采用支票、汇票、本票或者保函等方式的，在响应文件提交截止时间前，供应商必须提交单独密封的支票、汇票、本票或者保函原件。否则视为无效竞标保证金（转账时请备注项目编号+分标号）。</w:t>
            </w:r>
          </w:p>
          <w:p w14:paraId="1315F27D">
            <w:pPr>
              <w:snapToGrid w:val="0"/>
              <w:spacing w:line="440" w:lineRule="exact"/>
              <w:rPr>
                <w:rFonts w:hint="eastAsia" w:ascii="宋体" w:hAnsi="宋体" w:cs="宋体"/>
                <w:szCs w:val="21"/>
              </w:rPr>
            </w:pPr>
            <w:r>
              <w:rPr>
                <w:rFonts w:hint="eastAsia" w:ascii="宋体" w:hAnsi="宋体" w:cs="宋体"/>
                <w:szCs w:val="21"/>
              </w:rPr>
              <w:t>相关要求：</w:t>
            </w:r>
          </w:p>
          <w:p w14:paraId="769C8BCC">
            <w:pPr>
              <w:snapToGrid w:val="0"/>
              <w:spacing w:line="440" w:lineRule="exact"/>
              <w:rPr>
                <w:rFonts w:hint="eastAsia" w:ascii="宋体" w:hAnsi="宋体" w:cs="宋体"/>
                <w:szCs w:val="21"/>
              </w:rPr>
            </w:pPr>
            <w:r>
              <w:rPr>
                <w:rFonts w:hint="eastAsia" w:ascii="宋体" w:hAnsi="宋体" w:cs="宋体"/>
                <w:szCs w:val="21"/>
              </w:rPr>
              <w:t>1.竞标保证金采用银行转账交纳方式的，在竞标截止时间前交至指定账户并且到账，供应商应将银行转账底单的复印件作为竞标保证金提交凭证，放置于商务文件中，否则竞标无效。</w:t>
            </w:r>
          </w:p>
          <w:p w14:paraId="050B44DF">
            <w:pPr>
              <w:snapToGrid w:val="0"/>
              <w:spacing w:line="440" w:lineRule="exact"/>
              <w:rPr>
                <w:rFonts w:hint="eastAsia" w:ascii="宋体" w:hAnsi="宋体" w:cs="宋体"/>
                <w:szCs w:val="21"/>
              </w:rPr>
            </w:pPr>
            <w:r>
              <w:rPr>
                <w:rFonts w:hint="eastAsia" w:ascii="宋体" w:hAnsi="宋体" w:cs="宋体"/>
                <w:szCs w:val="21"/>
              </w:rPr>
              <w:t>2.竞标保证金采用支票、汇票、本票或者银行、保险机构、</w:t>
            </w:r>
            <w:r>
              <w:rPr>
                <w:rFonts w:hint="eastAsia" w:ascii="宋体" w:hAnsi="宋体" w:cs="宋体"/>
                <w:kern w:val="0"/>
                <w:szCs w:val="21"/>
              </w:rPr>
              <w:t>担保机构</w:t>
            </w:r>
            <w:r>
              <w:rPr>
                <w:rFonts w:hint="eastAsia" w:ascii="宋体" w:hAnsi="宋体" w:cs="宋体"/>
                <w:szCs w:val="21"/>
              </w:rPr>
              <w:t>出具的保函</w:t>
            </w:r>
            <w:r>
              <w:rPr>
                <w:color w:val="000000"/>
              </w:rPr>
              <w:t>（包含电子保函）</w:t>
            </w:r>
            <w:r>
              <w:rPr>
                <w:rFonts w:hint="eastAsia" w:ascii="宋体" w:hAnsi="宋体" w:cs="宋体"/>
                <w:szCs w:val="21"/>
              </w:rPr>
              <w:t>交纳方式的，供应商应在竞标截止时间前采用现场或邮寄方式（现场提交地址：广西正海招标有限公司（南宁市青秀区茅桥路2号习艺基地A栋1号电梯3楼）；邮寄地址：广西正海招标有限公司（南宁市青秀区茅桥路2号习艺基地A栋1号电梯3楼，收件人：覃旭理，联系方式：0771-2865989）将单独密封的支票、汇票、本票或者银行、保险机构出具的保函</w:t>
            </w:r>
            <w:r>
              <w:rPr>
                <w:color w:val="000000"/>
              </w:rPr>
              <w:t>（包含电子保函）</w:t>
            </w:r>
            <w:r>
              <w:rPr>
                <w:rFonts w:hint="eastAsia" w:ascii="宋体" w:hAnsi="宋体" w:cs="宋体"/>
                <w:szCs w:val="21"/>
              </w:rPr>
              <w:t>原件提交给采购人或者采购代理机构，由采购人或者采购代理机构向供应商出具回执（邮寄方式的除外），并妥善保管。</w:t>
            </w:r>
          </w:p>
          <w:p w14:paraId="19FCB921">
            <w:pPr>
              <w:snapToGrid w:val="0"/>
              <w:spacing w:line="440" w:lineRule="exact"/>
              <w:rPr>
                <w:rFonts w:hint="eastAsia" w:ascii="宋体" w:hAnsi="宋体" w:cs="宋体"/>
                <w:b/>
                <w:szCs w:val="21"/>
              </w:rPr>
            </w:pPr>
            <w:r>
              <w:rPr>
                <w:rFonts w:hint="eastAsia" w:ascii="宋体" w:hAnsi="宋体" w:cs="宋体"/>
                <w:szCs w:val="21"/>
              </w:rPr>
              <w:t>3.供应商为联合体的，可以由联合体中的一方或者多方共同交纳竞标保证金，其交纳的保证金对联合体各方均具有约束力。</w:t>
            </w:r>
          </w:p>
          <w:p w14:paraId="7C19D0F8">
            <w:pPr>
              <w:snapToGrid w:val="0"/>
              <w:spacing w:line="440" w:lineRule="exact"/>
              <w:rPr>
                <w:rFonts w:hint="eastAsia" w:ascii="宋体" w:hAnsi="宋体" w:cs="宋体"/>
                <w:b/>
                <w:szCs w:val="21"/>
              </w:rPr>
            </w:pPr>
            <w:r>
              <w:rPr>
                <w:rFonts w:hint="eastAsia" w:ascii="宋体" w:hAnsi="宋体" w:cs="宋体"/>
                <w:b/>
                <w:szCs w:val="21"/>
              </w:rPr>
              <w:t xml:space="preserve">备注： </w:t>
            </w:r>
          </w:p>
          <w:p w14:paraId="35A7F38E">
            <w:pPr>
              <w:snapToGrid w:val="0"/>
              <w:spacing w:line="440" w:lineRule="exact"/>
              <w:rPr>
                <w:rFonts w:hint="eastAsia" w:ascii="宋体" w:hAnsi="宋体" w:cs="宋体"/>
                <w:b/>
                <w:szCs w:val="21"/>
              </w:rPr>
            </w:pPr>
            <w:r>
              <w:rPr>
                <w:rFonts w:hint="eastAsia" w:ascii="宋体" w:hAnsi="宋体" w:cs="宋体"/>
                <w:b/>
                <w:szCs w:val="21"/>
              </w:rPr>
              <w:t>1.竞标保证金在响应文件提交截止时间后提交的，或者不按规定交纳方式交纳的，或者未足额交纳的（包含保函额度不足的），视为无效竞标保证金。</w:t>
            </w:r>
          </w:p>
          <w:p w14:paraId="3C2F9093">
            <w:pPr>
              <w:snapToGrid w:val="0"/>
              <w:spacing w:line="440" w:lineRule="exact"/>
              <w:rPr>
                <w:rFonts w:hint="eastAsia" w:ascii="宋体" w:hAnsi="宋体" w:cs="宋体"/>
                <w:b/>
                <w:szCs w:val="21"/>
              </w:rPr>
            </w:pPr>
            <w:r>
              <w:rPr>
                <w:rFonts w:hint="eastAsia" w:ascii="宋体" w:hAnsi="宋体" w:cs="宋体"/>
                <w:b/>
                <w:szCs w:val="21"/>
              </w:rPr>
              <w:t>2.供应商采用现钞方式或者从个人账户（自然人竞标除外）转出的竞标保证金，视为无效竞标保证金。</w:t>
            </w:r>
          </w:p>
          <w:p w14:paraId="2E01A9BF">
            <w:pPr>
              <w:snapToGrid w:val="0"/>
              <w:spacing w:line="440" w:lineRule="exact"/>
              <w:rPr>
                <w:rFonts w:hint="eastAsia" w:ascii="宋体" w:hAnsi="宋体" w:cs="宋体"/>
                <w:b/>
                <w:szCs w:val="21"/>
              </w:rPr>
            </w:pPr>
            <w:r>
              <w:rPr>
                <w:rFonts w:hint="eastAsia" w:ascii="宋体" w:hAnsi="宋体" w:cs="宋体"/>
                <w:b/>
                <w:szCs w:val="21"/>
              </w:rPr>
              <w:t>3.支票、汇票或者本票出现无效或者背书情形的，视为无效竞标保证金。</w:t>
            </w:r>
          </w:p>
          <w:p w14:paraId="4FE64E49">
            <w:pPr>
              <w:snapToGrid w:val="0"/>
              <w:spacing w:line="440" w:lineRule="exact"/>
              <w:rPr>
                <w:rFonts w:hint="eastAsia" w:ascii="宋体" w:hAnsi="宋体" w:cs="宋体"/>
                <w:b/>
                <w:szCs w:val="21"/>
              </w:rPr>
            </w:pPr>
            <w:r>
              <w:rPr>
                <w:rFonts w:hint="eastAsia" w:ascii="宋体" w:hAnsi="宋体" w:cs="宋体"/>
                <w:b/>
                <w:szCs w:val="21"/>
              </w:rPr>
              <w:t>4.保函有效期低于竞标有效期的，视为无效竞标保证金。</w:t>
            </w:r>
          </w:p>
          <w:p w14:paraId="3ABF30B5">
            <w:pPr>
              <w:snapToGrid w:val="0"/>
              <w:spacing w:line="440" w:lineRule="exact"/>
              <w:rPr>
                <w:rFonts w:hint="eastAsia" w:ascii="宋体" w:hAnsi="宋体" w:cs="宋体"/>
                <w:szCs w:val="21"/>
              </w:rPr>
            </w:pPr>
            <w:r>
              <w:rPr>
                <w:rFonts w:hint="eastAsia" w:ascii="宋体" w:hAnsi="宋体" w:cs="宋体"/>
                <w:b/>
                <w:szCs w:val="21"/>
              </w:rPr>
              <w:t>5.竞标保证金采用银行、保险机构出具的保函为有条件保函的，视为无效竞标保证金。</w:t>
            </w:r>
          </w:p>
        </w:tc>
      </w:tr>
      <w:tr w14:paraId="4D18D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A3B206">
            <w:pPr>
              <w:spacing w:line="440" w:lineRule="exact"/>
              <w:jc w:val="center"/>
              <w:rPr>
                <w:rFonts w:hint="eastAsia" w:ascii="宋体" w:hAnsi="宋体" w:cs="宋体"/>
                <w:szCs w:val="21"/>
              </w:rPr>
            </w:pPr>
            <w:r>
              <w:rPr>
                <w:rFonts w:hint="eastAsia" w:ascii="宋体" w:hAnsi="宋体" w:cs="宋体"/>
                <w:szCs w:val="21"/>
              </w:rPr>
              <w:t>19</w:t>
            </w:r>
          </w:p>
        </w:tc>
        <w:tc>
          <w:tcPr>
            <w:tcW w:w="7912" w:type="dxa"/>
            <w:vAlign w:val="center"/>
          </w:tcPr>
          <w:p w14:paraId="6DB178FB">
            <w:pPr>
              <w:autoSpaceDE w:val="0"/>
              <w:autoSpaceDN w:val="0"/>
              <w:snapToGrid w:val="0"/>
              <w:spacing w:line="440" w:lineRule="exact"/>
              <w:textAlignment w:val="bottom"/>
              <w:rPr>
                <w:rFonts w:hint="eastAsia" w:ascii="宋体" w:hAnsi="宋体"/>
                <w:szCs w:val="21"/>
              </w:rPr>
            </w:pPr>
            <w:r>
              <w:rPr>
                <w:rFonts w:hint="eastAsia" w:ascii="宋体" w:hAnsi="宋体"/>
                <w:szCs w:val="21"/>
              </w:rPr>
              <w:t>本项目不接受</w:t>
            </w:r>
            <w:r>
              <w:rPr>
                <w:rFonts w:hint="eastAsia"/>
              </w:rPr>
              <w:t>电子</w:t>
            </w:r>
            <w:r>
              <w:rPr>
                <w:rFonts w:hint="eastAsia" w:ascii="宋体" w:hAnsi="宋体"/>
                <w:szCs w:val="21"/>
              </w:rPr>
              <w:t>备份响应文件</w:t>
            </w:r>
          </w:p>
        </w:tc>
      </w:tr>
      <w:tr w14:paraId="37269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FAADD33">
            <w:pPr>
              <w:spacing w:line="440" w:lineRule="exact"/>
              <w:jc w:val="center"/>
              <w:rPr>
                <w:rFonts w:hint="eastAsia" w:ascii="宋体" w:hAnsi="宋体" w:cs="宋体"/>
                <w:szCs w:val="21"/>
              </w:rPr>
            </w:pPr>
            <w:r>
              <w:rPr>
                <w:rFonts w:hint="eastAsia" w:ascii="宋体" w:hAnsi="宋体" w:cs="宋体"/>
                <w:szCs w:val="21"/>
              </w:rPr>
              <w:t>20.1</w:t>
            </w:r>
          </w:p>
        </w:tc>
        <w:tc>
          <w:tcPr>
            <w:tcW w:w="7912" w:type="dxa"/>
            <w:vAlign w:val="center"/>
          </w:tcPr>
          <w:p w14:paraId="3B8F6528">
            <w:pPr>
              <w:spacing w:line="440" w:lineRule="exact"/>
              <w:contextualSpacing/>
              <w:jc w:val="left"/>
              <w:rPr>
                <w:rFonts w:hint="eastAsia" w:ascii="宋体" w:hAnsi="宋体" w:cs="宋体"/>
                <w:szCs w:val="21"/>
                <w:u w:val="single"/>
              </w:rPr>
            </w:pPr>
            <w:r>
              <w:rPr>
                <w:rFonts w:hint="eastAsia" w:ascii="宋体" w:hAnsi="宋体" w:cs="宋体"/>
                <w:szCs w:val="21"/>
              </w:rPr>
              <w:t>响应文件提交截止时间：详见竞争性谈判公告或者竞标邀请函。</w:t>
            </w:r>
          </w:p>
          <w:p w14:paraId="5E20CC65">
            <w:pPr>
              <w:spacing w:line="440" w:lineRule="exact"/>
              <w:contextualSpacing/>
              <w:jc w:val="left"/>
              <w:rPr>
                <w:rFonts w:hint="eastAsia" w:ascii="宋体" w:hAnsi="宋体" w:cs="宋体"/>
                <w:szCs w:val="21"/>
              </w:rPr>
            </w:pPr>
            <w:r>
              <w:rPr>
                <w:rFonts w:hint="eastAsia" w:ascii="宋体" w:hAnsi="宋体" w:cs="宋体"/>
                <w:szCs w:val="21"/>
              </w:rPr>
              <w:t>响应文件提交地点：详见竞争性谈判公告或者竞标邀请函。</w:t>
            </w:r>
          </w:p>
        </w:tc>
      </w:tr>
      <w:tr w14:paraId="7C74B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A016452">
            <w:pPr>
              <w:spacing w:line="440" w:lineRule="exact"/>
              <w:jc w:val="center"/>
              <w:rPr>
                <w:rFonts w:hint="eastAsia" w:ascii="宋体" w:hAnsi="宋体" w:cs="宋体"/>
                <w:szCs w:val="21"/>
              </w:rPr>
            </w:pPr>
            <w:r>
              <w:rPr>
                <w:rFonts w:hint="eastAsia" w:ascii="宋体" w:hAnsi="宋体" w:cs="宋体"/>
                <w:szCs w:val="21"/>
              </w:rPr>
              <w:t>24.1</w:t>
            </w:r>
          </w:p>
        </w:tc>
        <w:tc>
          <w:tcPr>
            <w:tcW w:w="7912" w:type="dxa"/>
            <w:vAlign w:val="center"/>
          </w:tcPr>
          <w:p w14:paraId="608ABD3D">
            <w:pPr>
              <w:snapToGrid w:val="0"/>
              <w:spacing w:line="440" w:lineRule="exact"/>
              <w:jc w:val="left"/>
              <w:rPr>
                <w:rFonts w:hint="eastAsia" w:ascii="宋体" w:hAnsi="宋体" w:cs="宋体"/>
                <w:szCs w:val="21"/>
                <w:u w:val="single"/>
              </w:rPr>
            </w:pPr>
            <w:r>
              <w:rPr>
                <w:rFonts w:hint="eastAsia" w:ascii="宋体" w:hAnsi="宋体" w:cs="宋体"/>
                <w:szCs w:val="21"/>
              </w:rPr>
              <w:t>谈判小组的人数：</w:t>
            </w:r>
            <w:r>
              <w:rPr>
                <w:rFonts w:hint="eastAsia" w:ascii="宋体" w:hAnsi="宋体" w:cs="宋体"/>
                <w:szCs w:val="21"/>
                <w:u w:val="single"/>
              </w:rPr>
              <w:t>3</w:t>
            </w:r>
            <w:r>
              <w:rPr>
                <w:rFonts w:hint="eastAsia" w:ascii="宋体" w:hAnsi="宋体" w:cs="宋体"/>
                <w:szCs w:val="21"/>
              </w:rPr>
              <w:t>人。</w:t>
            </w:r>
          </w:p>
        </w:tc>
      </w:tr>
      <w:tr w14:paraId="66A55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2DA8C3">
            <w:pPr>
              <w:spacing w:line="440" w:lineRule="exact"/>
              <w:jc w:val="center"/>
              <w:rPr>
                <w:rFonts w:hint="eastAsia" w:ascii="宋体" w:hAnsi="宋体" w:cs="宋体"/>
                <w:szCs w:val="21"/>
              </w:rPr>
            </w:pPr>
            <w:r>
              <w:rPr>
                <w:rFonts w:hint="eastAsia" w:ascii="宋体" w:hAnsi="宋体" w:cs="宋体"/>
                <w:szCs w:val="21"/>
              </w:rPr>
              <w:t>2</w:t>
            </w:r>
            <w:r>
              <w:rPr>
                <w:rFonts w:ascii="宋体" w:hAnsi="宋体" w:cs="宋体"/>
                <w:szCs w:val="21"/>
              </w:rPr>
              <w:t>5</w:t>
            </w:r>
          </w:p>
        </w:tc>
        <w:tc>
          <w:tcPr>
            <w:tcW w:w="7912" w:type="dxa"/>
            <w:vAlign w:val="center"/>
          </w:tcPr>
          <w:p w14:paraId="6F8BEDAF">
            <w:pPr>
              <w:snapToGrid w:val="0"/>
              <w:spacing w:line="440" w:lineRule="exact"/>
              <w:jc w:val="left"/>
              <w:rPr>
                <w:rFonts w:hint="eastAsia" w:ascii="宋体" w:hAnsi="宋体" w:cs="宋体"/>
                <w:szCs w:val="21"/>
              </w:rPr>
            </w:pPr>
            <w:r>
              <w:rPr>
                <w:rFonts w:hint="eastAsia" w:ascii="宋体" w:hAnsi="宋体" w:cs="宋体"/>
                <w:szCs w:val="21"/>
              </w:rPr>
              <w:t>首次响应文件开启时间详见“竞争性谈判公告”或者“竞标邀请函”</w:t>
            </w:r>
          </w:p>
          <w:p w14:paraId="3925396C">
            <w:pPr>
              <w:snapToGrid w:val="0"/>
              <w:spacing w:line="440" w:lineRule="exact"/>
              <w:jc w:val="left"/>
              <w:rPr>
                <w:rFonts w:hint="eastAsia" w:ascii="宋体" w:hAnsi="宋体" w:cs="宋体"/>
                <w:szCs w:val="21"/>
              </w:rPr>
            </w:pPr>
            <w:r>
              <w:rPr>
                <w:rFonts w:hint="eastAsia" w:ascii="宋体" w:hAnsi="宋体" w:cs="宋体"/>
                <w:szCs w:val="21"/>
              </w:rPr>
              <w:t>首次响应文件解密时间：</w:t>
            </w:r>
            <w:r>
              <w:rPr>
                <w:rFonts w:hint="eastAsia" w:ascii="宋体" w:hAnsi="宋体" w:cs="宋体"/>
                <w:u w:val="single"/>
              </w:rPr>
              <w:t>30</w:t>
            </w:r>
            <w:r>
              <w:rPr>
                <w:rFonts w:hint="eastAsia" w:ascii="宋体" w:hAnsi="宋体" w:cs="宋体"/>
              </w:rPr>
              <w:t>分钟</w:t>
            </w:r>
          </w:p>
        </w:tc>
      </w:tr>
      <w:tr w14:paraId="5376F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7060ECC1">
            <w:pPr>
              <w:spacing w:line="440" w:lineRule="exact"/>
              <w:jc w:val="center"/>
              <w:rPr>
                <w:rFonts w:hint="eastAsia" w:ascii="宋体" w:hAnsi="宋体" w:cs="宋体"/>
                <w:szCs w:val="21"/>
              </w:rPr>
            </w:pPr>
            <w:r>
              <w:rPr>
                <w:rFonts w:ascii="宋体" w:hAnsi="宋体" w:cs="宋体"/>
                <w:szCs w:val="21"/>
              </w:rPr>
              <w:t>26</w:t>
            </w:r>
          </w:p>
        </w:tc>
        <w:tc>
          <w:tcPr>
            <w:tcW w:w="7912" w:type="dxa"/>
            <w:vAlign w:val="center"/>
          </w:tcPr>
          <w:p w14:paraId="272CEFC0">
            <w:pPr>
              <w:spacing w:line="440" w:lineRule="exact"/>
              <w:contextualSpacing/>
              <w:rPr>
                <w:rFonts w:hint="eastAsia" w:ascii="宋体" w:hAnsi="宋体" w:cs="宋体"/>
                <w:szCs w:val="21"/>
              </w:rPr>
            </w:pPr>
            <w:r>
              <w:rPr>
                <w:rFonts w:hint="eastAsia" w:ascii="宋体" w:hAnsi="宋体" w:cs="宋体"/>
                <w:szCs w:val="21"/>
              </w:rPr>
              <w:t>评审价相同时，按照最后报价由低到高顺序依次推荐；最后报价相同时，按节能、环保产品累计金额由高到低顺序依次推荐；节能、环保产品累计金额也相同时，按以下原则确定成交候选人的顺序：</w:t>
            </w:r>
          </w:p>
          <w:p w14:paraId="6FA661D0">
            <w:pPr>
              <w:spacing w:line="440" w:lineRule="exact"/>
              <w:contextualSpacing/>
              <w:rPr>
                <w:rFonts w:hint="eastAsia" w:ascii="宋体" w:hAnsi="宋体" w:cs="宋体"/>
                <w:szCs w:val="21"/>
              </w:rPr>
            </w:pPr>
            <w:r>
              <w:rPr>
                <w:rFonts w:hint="eastAsia" w:ascii="MS Mincho" w:hAnsi="MS Mincho" w:eastAsia="MS Mincho" w:cs="MS Mincho"/>
                <w:szCs w:val="21"/>
              </w:rPr>
              <w:t>☑</w:t>
            </w:r>
            <w:r>
              <w:rPr>
                <w:rFonts w:hint="eastAsia" w:ascii="宋体" w:hAnsi="宋体" w:cs="宋体"/>
                <w:szCs w:val="21"/>
              </w:rPr>
              <w:t>带“▲”的实质性要求正偏离项数多的优先、均无正偏离或者正偏离项数一致时负偏离项数少的优先、保修期长优先、交货时间短优先的顺序推荐。</w:t>
            </w:r>
          </w:p>
          <w:p w14:paraId="1D3717F7">
            <w:pPr>
              <w:snapToGrid w:val="0"/>
              <w:spacing w:line="440" w:lineRule="exact"/>
              <w:rPr>
                <w:rFonts w:hint="eastAsia" w:ascii="宋体" w:hAnsi="宋体" w:cs="宋体"/>
                <w:szCs w:val="21"/>
              </w:rPr>
            </w:pPr>
            <w:r>
              <w:rPr>
                <w:rFonts w:hint="eastAsia" w:ascii="宋体" w:hAnsi="宋体" w:cs="宋体"/>
                <w:szCs w:val="21"/>
              </w:rPr>
              <w:t>□由谈判小组推荐代表随机抽取。</w:t>
            </w:r>
          </w:p>
        </w:tc>
      </w:tr>
      <w:tr w14:paraId="07D1E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295E829">
            <w:pPr>
              <w:spacing w:line="440" w:lineRule="exact"/>
              <w:jc w:val="center"/>
              <w:rPr>
                <w:rFonts w:hint="eastAsia" w:ascii="宋体" w:hAnsi="宋体" w:cs="宋体"/>
                <w:szCs w:val="21"/>
              </w:rPr>
            </w:pPr>
          </w:p>
        </w:tc>
        <w:tc>
          <w:tcPr>
            <w:tcW w:w="7912" w:type="dxa"/>
            <w:vAlign w:val="center"/>
          </w:tcPr>
          <w:p w14:paraId="150B853E">
            <w:pPr>
              <w:snapToGrid w:val="0"/>
              <w:spacing w:line="440" w:lineRule="exact"/>
              <w:rPr>
                <w:rFonts w:hint="eastAsia" w:ascii="宋体" w:hAnsi="宋体" w:cs="宋体"/>
                <w:b/>
                <w:bCs/>
                <w:szCs w:val="21"/>
              </w:rPr>
            </w:pPr>
            <w:r>
              <w:rPr>
                <w:rFonts w:hint="eastAsia" w:ascii="宋体" w:hAnsi="宋体" w:cs="宋体"/>
                <w:b/>
                <w:bCs/>
                <w:szCs w:val="21"/>
              </w:rPr>
              <w:t>A/B分标：商务要求评审中允许负偏离的条款数为</w:t>
            </w:r>
            <w:r>
              <w:rPr>
                <w:rFonts w:hint="eastAsia" w:ascii="宋体" w:hAnsi="宋体" w:cs="宋体"/>
                <w:b/>
                <w:bCs/>
                <w:szCs w:val="21"/>
                <w:u w:val="single"/>
              </w:rPr>
              <w:t xml:space="preserve"> 0 </w:t>
            </w:r>
            <w:r>
              <w:rPr>
                <w:rFonts w:hint="eastAsia" w:ascii="宋体" w:hAnsi="宋体" w:cs="宋体"/>
                <w:b/>
                <w:bCs/>
                <w:szCs w:val="21"/>
              </w:rPr>
              <w:t>项（负偏离达到1项及以上的响应无效）。</w:t>
            </w:r>
          </w:p>
          <w:p w14:paraId="47C160F2">
            <w:pPr>
              <w:snapToGrid w:val="0"/>
              <w:spacing w:line="440" w:lineRule="exact"/>
              <w:rPr>
                <w:rFonts w:hint="eastAsia" w:ascii="宋体" w:hAnsi="宋体" w:cs="宋体"/>
                <w:b/>
                <w:bCs/>
                <w:szCs w:val="21"/>
              </w:rPr>
            </w:pPr>
            <w:r>
              <w:rPr>
                <w:rFonts w:hint="eastAsia" w:ascii="宋体" w:hAnsi="宋体" w:cs="宋体"/>
                <w:b/>
                <w:bCs/>
                <w:szCs w:val="21"/>
              </w:rPr>
              <w:t>A分标：技术要求评审中允许负偏离的条款数为</w:t>
            </w:r>
            <w:r>
              <w:rPr>
                <w:rFonts w:hint="eastAsia" w:ascii="宋体" w:hAnsi="宋体" w:cs="宋体"/>
                <w:b/>
                <w:bCs/>
                <w:szCs w:val="21"/>
                <w:u w:val="single"/>
              </w:rPr>
              <w:t xml:space="preserve"> 1 </w:t>
            </w:r>
            <w:r>
              <w:rPr>
                <w:rFonts w:hint="eastAsia" w:ascii="宋体" w:hAnsi="宋体" w:cs="宋体"/>
                <w:b/>
                <w:bCs/>
                <w:szCs w:val="21"/>
              </w:rPr>
              <w:t>项（负偏离达到2项及以上的响应无效）。</w:t>
            </w:r>
          </w:p>
          <w:p w14:paraId="4AB1EB68">
            <w:pPr>
              <w:snapToGrid w:val="0"/>
              <w:spacing w:line="440" w:lineRule="exact"/>
              <w:rPr>
                <w:rFonts w:hint="eastAsia" w:ascii="宋体" w:hAnsi="宋体" w:cs="宋体"/>
                <w:b/>
                <w:bCs/>
                <w:szCs w:val="21"/>
              </w:rPr>
            </w:pPr>
            <w:r>
              <w:rPr>
                <w:rFonts w:hint="eastAsia" w:ascii="宋体" w:hAnsi="宋体" w:cs="宋体"/>
                <w:b/>
                <w:bCs/>
                <w:szCs w:val="21"/>
              </w:rPr>
              <w:t>B分标：技术要求评审中允许负偏离的条款数为</w:t>
            </w:r>
            <w:r>
              <w:rPr>
                <w:rFonts w:hint="eastAsia" w:ascii="宋体" w:hAnsi="宋体" w:cs="宋体"/>
                <w:b/>
                <w:bCs/>
                <w:szCs w:val="21"/>
                <w:u w:val="single"/>
              </w:rPr>
              <w:t xml:space="preserve"> 0 </w:t>
            </w:r>
            <w:r>
              <w:rPr>
                <w:rFonts w:hint="eastAsia" w:ascii="宋体" w:hAnsi="宋体" w:cs="宋体"/>
                <w:b/>
                <w:bCs/>
                <w:szCs w:val="21"/>
              </w:rPr>
              <w:t>项（负偏离达到1项及以上的响应无效）。</w:t>
            </w:r>
          </w:p>
        </w:tc>
      </w:tr>
      <w:tr w14:paraId="6E006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D4B3F0">
            <w:pPr>
              <w:spacing w:line="440" w:lineRule="exact"/>
              <w:jc w:val="center"/>
              <w:rPr>
                <w:rFonts w:hint="eastAsia" w:ascii="宋体" w:hAnsi="宋体" w:cs="宋体"/>
                <w:szCs w:val="21"/>
              </w:rPr>
            </w:pPr>
            <w:r>
              <w:rPr>
                <w:rFonts w:ascii="宋体" w:hAnsi="宋体" w:cs="宋体"/>
                <w:szCs w:val="21"/>
              </w:rPr>
              <w:t>28.1</w:t>
            </w:r>
          </w:p>
        </w:tc>
        <w:tc>
          <w:tcPr>
            <w:tcW w:w="7912" w:type="dxa"/>
            <w:vAlign w:val="center"/>
          </w:tcPr>
          <w:p w14:paraId="65BCA09E">
            <w:pPr>
              <w:autoSpaceDE w:val="0"/>
              <w:autoSpaceDN w:val="0"/>
              <w:snapToGrid w:val="0"/>
              <w:spacing w:line="440" w:lineRule="exact"/>
              <w:textAlignment w:val="bottom"/>
              <w:rPr>
                <w:rFonts w:hint="eastAsia" w:ascii="宋体" w:hAnsi="宋体"/>
                <w:b/>
                <w:bCs/>
                <w:szCs w:val="21"/>
              </w:rPr>
            </w:pPr>
            <w:r>
              <w:rPr>
                <w:rFonts w:hint="eastAsia" w:ascii="宋体" w:hAnsi="宋体"/>
                <w:b/>
                <w:bCs/>
                <w:szCs w:val="21"/>
              </w:rPr>
              <w:t>☑本项目不收取履约保证金。</w:t>
            </w:r>
          </w:p>
          <w:p w14:paraId="7E9D5F02">
            <w:pPr>
              <w:autoSpaceDE w:val="0"/>
              <w:autoSpaceDN w:val="0"/>
              <w:snapToGrid w:val="0"/>
              <w:spacing w:line="440" w:lineRule="exact"/>
              <w:textAlignment w:val="bottom"/>
              <w:rPr>
                <w:rFonts w:hint="eastAsia" w:ascii="宋体" w:hAnsi="宋体"/>
                <w:szCs w:val="21"/>
              </w:rPr>
            </w:pPr>
            <w:r>
              <w:rPr>
                <w:rFonts w:hint="eastAsia" w:ascii="Segoe UI Symbol" w:hAnsi="Segoe UI Symbol" w:cs="Segoe UI Symbol"/>
                <w:szCs w:val="21"/>
              </w:rPr>
              <w:t>□</w:t>
            </w:r>
            <w:r>
              <w:rPr>
                <w:rFonts w:hint="eastAsia" w:ascii="宋体" w:hAnsi="宋体"/>
                <w:szCs w:val="21"/>
              </w:rPr>
              <w:t>本项目收取履约保证金，具体规定如下：</w:t>
            </w:r>
          </w:p>
          <w:p w14:paraId="20E540B7">
            <w:pPr>
              <w:spacing w:line="440" w:lineRule="exact"/>
              <w:contextualSpacing/>
              <w:rPr>
                <w:rFonts w:hint="eastAsia" w:ascii="宋体" w:hAnsi="宋体" w:cs="宋体"/>
                <w:szCs w:val="21"/>
              </w:rPr>
            </w:pPr>
            <w:r>
              <w:rPr>
                <w:rFonts w:hint="eastAsia" w:ascii="宋体" w:hAnsi="宋体" w:cs="宋体"/>
                <w:szCs w:val="21"/>
              </w:rPr>
              <w:t>A/B分标履约保证金金额：成交金额的5%（若成交供应商被认定为中小企业的，履约保证金数额将按成交金额的2%收取）</w:t>
            </w:r>
          </w:p>
          <w:p w14:paraId="68C52DC1">
            <w:pPr>
              <w:spacing w:line="440" w:lineRule="exact"/>
              <w:contextualSpacing/>
              <w:rPr>
                <w:rFonts w:hint="eastAsia" w:ascii="宋体" w:hAnsi="宋体" w:cs="宋体"/>
                <w:szCs w:val="21"/>
              </w:rPr>
            </w:pPr>
            <w:r>
              <w:rPr>
                <w:rFonts w:hint="eastAsia" w:ascii="宋体" w:hAnsi="宋体" w:cs="宋体"/>
                <w:szCs w:val="21"/>
              </w:rPr>
              <w:t>履约保证金递交方式：转账或电汇等形式（支持支票、汇票、本票、保函等形式）。</w:t>
            </w:r>
          </w:p>
          <w:p w14:paraId="3A28CBC6">
            <w:pPr>
              <w:spacing w:line="440" w:lineRule="exact"/>
              <w:contextualSpacing/>
              <w:rPr>
                <w:rFonts w:hint="eastAsia" w:ascii="宋体" w:hAnsi="宋体" w:cs="宋体"/>
                <w:szCs w:val="21"/>
              </w:rPr>
            </w:pPr>
            <w:r>
              <w:rPr>
                <w:rFonts w:hint="eastAsia" w:ascii="宋体" w:hAnsi="宋体" w:cs="宋体"/>
                <w:szCs w:val="21"/>
              </w:rPr>
              <w:t>履约保证金递交时间：签订合同后3个工作日内由成交供应商转入采购人指定保证金账户。</w:t>
            </w:r>
          </w:p>
          <w:p w14:paraId="7EF1AA0F">
            <w:pPr>
              <w:spacing w:line="440" w:lineRule="exact"/>
              <w:contextualSpacing/>
              <w:rPr>
                <w:rFonts w:hint="eastAsia" w:ascii="宋体" w:hAnsi="宋体" w:cs="宋体"/>
                <w:szCs w:val="21"/>
              </w:rPr>
            </w:pPr>
            <w:r>
              <w:rPr>
                <w:rFonts w:hint="eastAsia" w:ascii="宋体" w:hAnsi="宋体" w:cs="宋体"/>
                <w:szCs w:val="21"/>
              </w:rPr>
              <w:t>履约保证金退还：详见《采购需求》</w:t>
            </w:r>
          </w:p>
          <w:p w14:paraId="1A9F4937">
            <w:pPr>
              <w:spacing w:line="440" w:lineRule="exact"/>
              <w:contextualSpacing/>
              <w:rPr>
                <w:rFonts w:hint="eastAsia" w:ascii="宋体" w:hAnsi="宋体" w:cs="宋体"/>
                <w:szCs w:val="21"/>
              </w:rPr>
            </w:pPr>
            <w:r>
              <w:rPr>
                <w:rFonts w:hint="eastAsia" w:ascii="宋体" w:hAnsi="宋体" w:cs="宋体"/>
                <w:szCs w:val="21"/>
              </w:rPr>
              <w:t>保证金指定账户：</w:t>
            </w:r>
          </w:p>
          <w:p w14:paraId="57B17BFF">
            <w:pPr>
              <w:spacing w:line="440" w:lineRule="exact"/>
              <w:contextualSpacing/>
              <w:rPr>
                <w:rFonts w:hint="eastAsia" w:ascii="宋体" w:hAnsi="宋体" w:cs="宋体"/>
                <w:szCs w:val="21"/>
              </w:rPr>
            </w:pPr>
            <w:r>
              <w:rPr>
                <w:rFonts w:hint="eastAsia" w:ascii="宋体" w:hAnsi="宋体" w:cs="宋体"/>
                <w:szCs w:val="21"/>
              </w:rPr>
              <w:t>开户名：/</w:t>
            </w:r>
          </w:p>
          <w:p w14:paraId="407E5867">
            <w:pPr>
              <w:spacing w:line="440" w:lineRule="exact"/>
              <w:contextualSpacing/>
              <w:rPr>
                <w:rFonts w:hint="eastAsia" w:ascii="宋体" w:hAnsi="宋体" w:cs="宋体"/>
                <w:szCs w:val="21"/>
              </w:rPr>
            </w:pPr>
            <w:r>
              <w:rPr>
                <w:rFonts w:hint="eastAsia" w:ascii="宋体" w:hAnsi="宋体" w:cs="宋体"/>
                <w:szCs w:val="21"/>
              </w:rPr>
              <w:t>开户行：/</w:t>
            </w:r>
          </w:p>
          <w:p w14:paraId="27B124DC">
            <w:pPr>
              <w:spacing w:line="440" w:lineRule="exact"/>
              <w:contextualSpacing/>
              <w:rPr>
                <w:rFonts w:hint="eastAsia" w:ascii="宋体" w:hAnsi="宋体" w:cs="宋体"/>
                <w:szCs w:val="21"/>
              </w:rPr>
            </w:pPr>
            <w:r>
              <w:rPr>
                <w:rFonts w:hint="eastAsia" w:ascii="宋体" w:hAnsi="宋体" w:cs="宋体"/>
                <w:szCs w:val="21"/>
              </w:rPr>
              <w:t>账  号：/</w:t>
            </w:r>
          </w:p>
          <w:p w14:paraId="5ECDD156">
            <w:pPr>
              <w:spacing w:line="440" w:lineRule="exact"/>
              <w:contextualSpacing/>
              <w:rPr>
                <w:rFonts w:hint="eastAsia" w:ascii="宋体" w:hAnsi="宋体" w:cs="宋体"/>
                <w:szCs w:val="21"/>
              </w:rPr>
            </w:pPr>
            <w:r>
              <w:rPr>
                <w:rFonts w:hint="eastAsia" w:ascii="宋体" w:hAnsi="宋体" w:cs="宋体"/>
                <w:szCs w:val="21"/>
              </w:rPr>
              <w:t>备注：</w:t>
            </w:r>
          </w:p>
          <w:p w14:paraId="3292AF3B">
            <w:pPr>
              <w:spacing w:line="440" w:lineRule="exact"/>
              <w:contextualSpacing/>
              <w:rPr>
                <w:rFonts w:hint="eastAsia" w:ascii="宋体" w:hAnsi="宋体" w:cs="宋体"/>
                <w:b/>
                <w:szCs w:val="21"/>
              </w:rPr>
            </w:pPr>
            <w:r>
              <w:rPr>
                <w:rFonts w:hint="eastAsia" w:ascii="宋体" w:hAnsi="宋体" w:cs="宋体"/>
                <w:b/>
                <w:szCs w:val="21"/>
              </w:rPr>
              <w:t>1</w:t>
            </w:r>
            <w:r>
              <w:rPr>
                <w:rFonts w:ascii="宋体" w:hAnsi="宋体" w:cs="宋体"/>
                <w:b/>
                <w:szCs w:val="21"/>
              </w:rPr>
              <w:t>.</w:t>
            </w:r>
            <w:bookmarkStart w:id="59" w:name="_Hlk54170335"/>
            <w:r>
              <w:rPr>
                <w:rFonts w:hint="eastAsia" w:ascii="宋体" w:hAnsi="宋体"/>
                <w:b/>
                <w:szCs w:val="21"/>
              </w:rPr>
              <w:t>根据</w:t>
            </w:r>
            <w:r>
              <w:rPr>
                <w:rFonts w:hint="eastAsia" w:ascii="宋体" w:hAnsi="宋体" w:cs="宋体"/>
                <w:b/>
                <w:szCs w:val="21"/>
              </w:rPr>
              <w:t>《广西壮族自治区财政厅关于持续优化政府采购营商环境推动高质量发展的通知》（桂财采〔2024〕55号）规定</w:t>
            </w:r>
            <w:r>
              <w:rPr>
                <w:rFonts w:hint="eastAsia" w:ascii="宋体" w:hAnsi="宋体"/>
                <w:b/>
                <w:szCs w:val="21"/>
              </w:rPr>
              <w:t>，采购人在采购文件中要求提交履约保证金的，履约保证金数额不得超过政府采购合同金额的5%；政府采购要加大对中小企业发展的扶持力度，对中小企业收取的履约保证金数额不得超过政府采购合同金额的2%。</w:t>
            </w:r>
            <w:bookmarkEnd w:id="59"/>
          </w:p>
          <w:p w14:paraId="12C8D01B">
            <w:pPr>
              <w:spacing w:line="440" w:lineRule="exact"/>
              <w:contextualSpacing/>
              <w:rPr>
                <w:rFonts w:hint="eastAsia" w:ascii="宋体" w:hAnsi="宋体" w:cs="宋体"/>
                <w:b/>
                <w:szCs w:val="21"/>
              </w:rPr>
            </w:pPr>
            <w:r>
              <w:rPr>
                <w:rFonts w:hint="eastAsia" w:ascii="宋体" w:hAnsi="宋体" w:cs="宋体"/>
                <w:b/>
                <w:szCs w:val="21"/>
              </w:rPr>
              <w:t>2</w:t>
            </w:r>
            <w:r>
              <w:rPr>
                <w:rFonts w:ascii="宋体" w:hAnsi="宋体" w:cs="宋体"/>
                <w:b/>
                <w:szCs w:val="21"/>
              </w:rPr>
              <w:t>.</w:t>
            </w:r>
            <w:r>
              <w:rPr>
                <w:rFonts w:hint="eastAsia" w:ascii="宋体" w:hAnsi="宋体" w:cs="宋体"/>
                <w:b/>
                <w:szCs w:val="21"/>
              </w:rPr>
              <w:t>履约保证金不足额缴纳的，或者银行、保险机构出具的保函额度不足的或者保函有效期低于合同履行期限（即签订采购合同之日起至履行完合同约定的权利及义务之日止）的，不予签订合同。</w:t>
            </w:r>
          </w:p>
          <w:p w14:paraId="3D0140CF">
            <w:pPr>
              <w:spacing w:line="440" w:lineRule="exact"/>
              <w:contextualSpacing/>
              <w:rPr>
                <w:rFonts w:hint="eastAsia" w:ascii="宋体" w:hAnsi="宋体" w:cs="宋体"/>
                <w:b/>
                <w:szCs w:val="21"/>
              </w:rPr>
            </w:pPr>
            <w:r>
              <w:rPr>
                <w:rFonts w:ascii="宋体" w:hAnsi="宋体" w:cs="宋体"/>
                <w:b/>
                <w:szCs w:val="21"/>
              </w:rPr>
              <w:t>3.</w:t>
            </w:r>
            <w:r>
              <w:rPr>
                <w:rFonts w:hint="eastAsia" w:ascii="宋体" w:hAnsi="宋体" w:cs="宋体"/>
                <w:b/>
                <w:szCs w:val="21"/>
              </w:rPr>
              <w:t>采用银行、保险机构出具的保函的，必须为无条件保函，否则不予签订合同。</w:t>
            </w:r>
          </w:p>
          <w:p w14:paraId="5DBB9910">
            <w:pPr>
              <w:snapToGrid w:val="0"/>
              <w:spacing w:line="440" w:lineRule="exact"/>
              <w:rPr>
                <w:rFonts w:hint="eastAsia" w:ascii="宋体" w:hAnsi="宋体" w:cs="宋体"/>
                <w:szCs w:val="21"/>
              </w:rPr>
            </w:pPr>
            <w:r>
              <w:rPr>
                <w:rFonts w:ascii="宋体" w:hAnsi="宋体" w:cs="宋体"/>
                <w:b/>
                <w:szCs w:val="21"/>
              </w:rPr>
              <w:t>4.</w:t>
            </w:r>
            <w:r>
              <w:rPr>
                <w:rFonts w:hint="eastAsia" w:ascii="宋体" w:hAnsi="宋体" w:cs="宋体"/>
                <w:b/>
                <w:szCs w:val="21"/>
              </w:rPr>
              <w:t>供应商为联合体的，由联合体任意一方按规定提交的履约保证金，视为有效履约保证金。</w:t>
            </w:r>
          </w:p>
        </w:tc>
      </w:tr>
      <w:tr w14:paraId="5B099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DC5FD1F">
            <w:pPr>
              <w:spacing w:line="440" w:lineRule="exact"/>
              <w:jc w:val="center"/>
              <w:rPr>
                <w:rFonts w:hint="eastAsia" w:ascii="宋体" w:hAnsi="宋体" w:cs="宋体"/>
                <w:szCs w:val="21"/>
              </w:rPr>
            </w:pPr>
            <w:r>
              <w:rPr>
                <w:rFonts w:ascii="宋体" w:hAnsi="宋体" w:cs="宋体"/>
                <w:szCs w:val="21"/>
              </w:rPr>
              <w:t>29</w:t>
            </w:r>
            <w:r>
              <w:rPr>
                <w:rFonts w:hint="eastAsia" w:ascii="宋体" w:hAnsi="宋体" w:cs="宋体"/>
                <w:szCs w:val="21"/>
              </w:rPr>
              <w:t>.1</w:t>
            </w:r>
          </w:p>
        </w:tc>
        <w:tc>
          <w:tcPr>
            <w:tcW w:w="7912" w:type="dxa"/>
            <w:vAlign w:val="center"/>
          </w:tcPr>
          <w:p w14:paraId="6A7617EC">
            <w:pPr>
              <w:autoSpaceDE w:val="0"/>
              <w:autoSpaceDN w:val="0"/>
              <w:snapToGrid w:val="0"/>
              <w:spacing w:line="440" w:lineRule="exact"/>
              <w:textAlignment w:val="bottom"/>
              <w:rPr>
                <w:rFonts w:hint="eastAsia" w:ascii="宋体" w:hAnsi="宋体"/>
                <w:szCs w:val="21"/>
              </w:rPr>
            </w:pPr>
            <w:r>
              <w:rPr>
                <w:rFonts w:hint="eastAsia" w:ascii="宋体" w:hAnsi="宋体"/>
                <w:szCs w:val="21"/>
              </w:rPr>
              <w:t xml:space="preserve">签订合同携带的证明材料： </w:t>
            </w:r>
          </w:p>
          <w:p w14:paraId="6EB3A2D6">
            <w:pPr>
              <w:autoSpaceDE w:val="0"/>
              <w:autoSpaceDN w:val="0"/>
              <w:snapToGrid w:val="0"/>
              <w:spacing w:line="440" w:lineRule="exact"/>
              <w:textAlignment w:val="bottom"/>
              <w:rPr>
                <w:rFonts w:hint="eastAsia" w:ascii="宋体" w:hAnsi="宋体"/>
                <w:szCs w:val="21"/>
              </w:rPr>
            </w:pPr>
            <w:r>
              <w:rPr>
                <w:rFonts w:hint="eastAsia" w:ascii="宋体" w:hAnsi="宋体"/>
                <w:szCs w:val="21"/>
              </w:rPr>
              <w:t>委托代理人负责签订合同的，须携带授权委托书及委托代理人身份证原件等其他资格证件。</w:t>
            </w:r>
          </w:p>
          <w:p w14:paraId="29982934">
            <w:pPr>
              <w:snapToGrid w:val="0"/>
              <w:spacing w:line="440" w:lineRule="exact"/>
              <w:rPr>
                <w:rFonts w:hint="eastAsia" w:ascii="宋体" w:hAnsi="宋体" w:cs="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14:paraId="0F7B4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D2347FC">
            <w:pPr>
              <w:spacing w:line="440" w:lineRule="exact"/>
              <w:jc w:val="center"/>
              <w:rPr>
                <w:rFonts w:hint="eastAsia" w:ascii="宋体" w:hAnsi="宋体" w:cs="宋体"/>
                <w:szCs w:val="21"/>
              </w:rPr>
            </w:pPr>
            <w:r>
              <w:rPr>
                <w:rFonts w:hint="eastAsia" w:ascii="宋体" w:hAnsi="宋体" w:cs="宋体"/>
                <w:szCs w:val="21"/>
              </w:rPr>
              <w:t>3</w:t>
            </w:r>
            <w:r>
              <w:rPr>
                <w:rFonts w:ascii="宋体" w:hAnsi="宋体" w:cs="宋体"/>
                <w:szCs w:val="21"/>
              </w:rPr>
              <w:t>1.2</w:t>
            </w:r>
          </w:p>
        </w:tc>
        <w:tc>
          <w:tcPr>
            <w:tcW w:w="7912" w:type="dxa"/>
            <w:vAlign w:val="center"/>
          </w:tcPr>
          <w:p w14:paraId="13BFB3B8">
            <w:pPr>
              <w:snapToGrid w:val="0"/>
              <w:spacing w:line="440" w:lineRule="exact"/>
              <w:rPr>
                <w:rFonts w:hint="eastAsia" w:ascii="宋体" w:hAnsi="宋体" w:cs="宋体"/>
                <w:szCs w:val="21"/>
              </w:rPr>
            </w:pPr>
            <w:r>
              <w:rPr>
                <w:rFonts w:hint="eastAsia" w:ascii="宋体" w:hAnsi="宋体" w:cs="宋体"/>
                <w:szCs w:val="21"/>
              </w:rPr>
              <w:t>接收质疑函方式：以书面形式。</w:t>
            </w:r>
          </w:p>
          <w:p w14:paraId="51625718">
            <w:pPr>
              <w:snapToGrid w:val="0"/>
              <w:spacing w:line="440" w:lineRule="exact"/>
              <w:rPr>
                <w:rFonts w:hint="eastAsia" w:ascii="宋体" w:hAnsi="宋体"/>
                <w:szCs w:val="21"/>
              </w:rPr>
            </w:pPr>
            <w:r>
              <w:rPr>
                <w:rFonts w:hint="eastAsia" w:ascii="宋体" w:hAnsi="宋体"/>
                <w:szCs w:val="21"/>
              </w:rPr>
              <w:t>质疑联系部门及联系方式：</w:t>
            </w:r>
            <w:r>
              <w:rPr>
                <w:rFonts w:hint="eastAsia" w:ascii="宋体" w:hAnsi="宋体"/>
                <w:szCs w:val="21"/>
                <w:u w:val="single"/>
              </w:rPr>
              <w:t>广西正海招标有限公司</w:t>
            </w:r>
            <w:r>
              <w:rPr>
                <w:rFonts w:hint="eastAsia" w:ascii="宋体" w:hAnsi="宋体"/>
                <w:szCs w:val="21"/>
              </w:rPr>
              <w:t>，联系电话：</w:t>
            </w:r>
            <w:r>
              <w:rPr>
                <w:rFonts w:hint="eastAsia" w:ascii="宋体" w:hAnsi="宋体"/>
                <w:szCs w:val="21"/>
                <w:u w:val="single"/>
              </w:rPr>
              <w:t>0771-2865989</w:t>
            </w:r>
            <w:r>
              <w:rPr>
                <w:rFonts w:hint="eastAsia" w:ascii="宋体" w:hAnsi="宋体"/>
                <w:szCs w:val="21"/>
              </w:rPr>
              <w:t>，通讯地址</w:t>
            </w:r>
            <w:r>
              <w:rPr>
                <w:rFonts w:hint="eastAsia" w:ascii="宋体" w:hAnsi="宋体" w:cs="Helvetica"/>
                <w:szCs w:val="21"/>
              </w:rPr>
              <w:t>：</w:t>
            </w:r>
            <w:r>
              <w:rPr>
                <w:rFonts w:hint="eastAsia" w:ascii="宋体" w:hAnsi="宋体" w:cs="仿宋"/>
                <w:szCs w:val="21"/>
                <w:u w:val="single"/>
              </w:rPr>
              <w:t>广西正海招标有限公司（南宁市青秀区茅桥路2号习艺基地A栋1号电梯3楼）</w:t>
            </w:r>
          </w:p>
          <w:p w14:paraId="7E681CD0">
            <w:pPr>
              <w:pStyle w:val="17"/>
              <w:snapToGrid w:val="0"/>
              <w:spacing w:line="440" w:lineRule="exact"/>
              <w:rPr>
                <w:rFonts w:hint="eastAsia" w:hAnsi="宋体" w:cs="宋体"/>
                <w:kern w:val="2"/>
                <w:sz w:val="21"/>
              </w:rPr>
            </w:pPr>
            <w:r>
              <w:rPr>
                <w:rFonts w:hint="eastAsia" w:hAnsi="宋体"/>
                <w:kern w:val="2"/>
                <w:sz w:val="21"/>
              </w:rPr>
              <w:t>业务时间：工作日每天上午8时00分到12时00分，下午3时00分到6时00分。</w:t>
            </w:r>
          </w:p>
        </w:tc>
      </w:tr>
      <w:tr w14:paraId="18E0D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7290353">
            <w:pPr>
              <w:spacing w:line="440" w:lineRule="exact"/>
              <w:jc w:val="center"/>
              <w:rPr>
                <w:rFonts w:hint="eastAsia"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.1</w:t>
            </w:r>
          </w:p>
        </w:tc>
        <w:tc>
          <w:tcPr>
            <w:tcW w:w="7912" w:type="dxa"/>
            <w:vAlign w:val="center"/>
          </w:tcPr>
          <w:p w14:paraId="0744ED53">
            <w:pPr>
              <w:pStyle w:val="17"/>
              <w:snapToGrid w:val="0"/>
              <w:spacing w:line="440" w:lineRule="exact"/>
              <w:rPr>
                <w:rFonts w:hint="eastAsia" w:hAnsi="宋体" w:cs="宋体"/>
                <w:sz w:val="21"/>
              </w:rPr>
            </w:pPr>
            <w:r>
              <w:rPr>
                <w:rFonts w:hint="eastAsia" w:hAnsi="宋体" w:cs="宋体"/>
                <w:sz w:val="21"/>
              </w:rPr>
              <w:t>1.采购代理费支付方式：</w:t>
            </w:r>
          </w:p>
          <w:p w14:paraId="107A0C43">
            <w:pPr>
              <w:pStyle w:val="17"/>
              <w:snapToGrid w:val="0"/>
              <w:spacing w:line="440" w:lineRule="exact"/>
              <w:rPr>
                <w:rFonts w:hint="eastAsia" w:hAnsi="宋体" w:cs="宋体"/>
                <w:sz w:val="21"/>
              </w:rPr>
            </w:pPr>
            <w:r>
              <w:rPr>
                <w:rFonts w:hint="eastAsia" w:hAnsi="宋体" w:cs="宋体"/>
                <w:sz w:val="21"/>
              </w:rPr>
              <w:sym w:font="Wingdings 2" w:char="0052"/>
            </w:r>
            <w:r>
              <w:rPr>
                <w:rFonts w:hint="eastAsia" w:hAnsi="宋体" w:cs="宋体"/>
                <w:sz w:val="21"/>
              </w:rPr>
              <w:t>本项目代理服务费按如下规定由</w:t>
            </w:r>
            <w:r>
              <w:rPr>
                <w:rFonts w:hint="eastAsia" w:hAnsi="宋体" w:cs="宋体"/>
                <w:sz w:val="21"/>
                <w:u w:val="single"/>
              </w:rPr>
              <w:t>成交供应商</w:t>
            </w:r>
            <w:r>
              <w:rPr>
                <w:rFonts w:hint="eastAsia" w:hAnsi="宋体" w:cs="宋体"/>
                <w:sz w:val="21"/>
              </w:rPr>
              <w:t>在领取成交通知书前，一次性向采购代理机构支付。</w:t>
            </w:r>
          </w:p>
          <w:p w14:paraId="2E20FF0D">
            <w:pPr>
              <w:pStyle w:val="17"/>
              <w:snapToGrid w:val="0"/>
              <w:spacing w:line="440" w:lineRule="exact"/>
              <w:rPr>
                <w:rFonts w:hint="eastAsia" w:hAnsi="宋体" w:cs="宋体"/>
                <w:sz w:val="21"/>
              </w:rPr>
            </w:pPr>
            <w:r>
              <w:rPr>
                <w:rFonts w:hint="eastAsia" w:hAnsi="宋体" w:cs="宋体"/>
                <w:sz w:val="21"/>
              </w:rPr>
              <w:t>□采购人支付。</w:t>
            </w:r>
          </w:p>
          <w:p w14:paraId="56483E68">
            <w:pPr>
              <w:pStyle w:val="17"/>
              <w:snapToGrid w:val="0"/>
              <w:spacing w:line="440" w:lineRule="exact"/>
              <w:rPr>
                <w:rFonts w:hint="eastAsia" w:hAnsi="宋体" w:cs="宋体"/>
                <w:sz w:val="21"/>
              </w:rPr>
            </w:pPr>
            <w:r>
              <w:rPr>
                <w:rFonts w:hint="eastAsia" w:hAnsi="宋体" w:cs="宋体"/>
                <w:sz w:val="21"/>
              </w:rPr>
              <w:t>2.采购代理费收取标准：</w:t>
            </w:r>
          </w:p>
          <w:p w14:paraId="52658865">
            <w:pPr>
              <w:pStyle w:val="17"/>
              <w:snapToGrid w:val="0"/>
              <w:spacing w:line="440" w:lineRule="exact"/>
              <w:rPr>
                <w:rFonts w:hint="eastAsia" w:hAnsi="宋体" w:cs="宋体"/>
                <w:sz w:val="21"/>
              </w:rPr>
            </w:pPr>
            <w:r>
              <w:rPr>
                <w:rFonts w:hint="eastAsia" w:ascii="MS Mincho" w:hAnsi="MS Mincho" w:cs="MS Mincho"/>
              </w:rPr>
              <w:sym w:font="Wingdings 2" w:char="0052"/>
            </w:r>
            <w:r>
              <w:rPr>
                <w:rFonts w:hint="eastAsia" w:hAnsi="宋体" w:cs="宋体"/>
                <w:sz w:val="21"/>
              </w:rPr>
              <w:t>以分标（</w:t>
            </w:r>
            <w:r>
              <w:rPr>
                <w:rFonts w:hint="eastAsia" w:hAnsi="宋体"/>
              </w:rPr>
              <w:sym w:font="Wingdings 2" w:char="0052"/>
            </w:r>
            <w:r>
              <w:rPr>
                <w:rFonts w:hint="eastAsia" w:hAnsi="宋体" w:cs="宋体"/>
                <w:sz w:val="21"/>
              </w:rPr>
              <w:t>成交金额/</w:t>
            </w:r>
            <w:r>
              <w:rPr>
                <w:rFonts w:hint="eastAsia" w:ascii="MS Mincho" w:hAnsi="MS Mincho" w:cs="MS Mincho"/>
              </w:rPr>
              <w:t>□</w:t>
            </w:r>
            <w:r>
              <w:rPr>
                <w:rFonts w:hint="eastAsia" w:hAnsi="宋体" w:cs="宋体"/>
                <w:sz w:val="21"/>
              </w:rPr>
              <w:t>采购预算/□暂定成交金额/□其他</w:t>
            </w:r>
            <w:r>
              <w:rPr>
                <w:rFonts w:hint="eastAsia" w:hAnsi="宋体" w:cs="宋体"/>
                <w:sz w:val="21"/>
                <w:u w:val="single"/>
              </w:rPr>
              <w:t xml:space="preserve">   </w:t>
            </w:r>
            <w:r>
              <w:rPr>
                <w:rFonts w:hint="eastAsia" w:hAnsi="宋体" w:cs="宋体"/>
                <w:sz w:val="21"/>
              </w:rPr>
              <w:t>）为计费额，按本须知正文第35.1条规定的（</w:t>
            </w:r>
            <w:r>
              <w:rPr>
                <w:rFonts w:hint="eastAsia" w:hAnsi="宋体" w:cs="宋体"/>
                <w:b/>
                <w:bCs/>
                <w:sz w:val="21"/>
              </w:rPr>
              <w:t>A分标</w:t>
            </w:r>
            <w:r>
              <w:rPr>
                <w:rFonts w:hint="eastAsia" w:hAnsi="宋体" w:cs="宋体"/>
                <w:b/>
                <w:bCs/>
                <w:sz w:val="21"/>
              </w:rPr>
              <w:sym w:font="Wingdings 2" w:char="0052"/>
            </w:r>
            <w:r>
              <w:rPr>
                <w:rFonts w:hint="eastAsia" w:hAnsi="宋体" w:cs="宋体"/>
                <w:b/>
                <w:bCs/>
                <w:sz w:val="21"/>
              </w:rPr>
              <w:t>货物类</w:t>
            </w:r>
            <w:r>
              <w:rPr>
                <w:rFonts w:hint="eastAsia" w:hAnsi="宋体" w:cs="宋体"/>
                <w:sz w:val="21"/>
              </w:rPr>
              <w:t>/</w:t>
            </w:r>
            <w:r>
              <w:rPr>
                <w:rFonts w:hint="eastAsia" w:ascii="MS Mincho" w:hAnsi="MS Mincho" w:cs="MS Mincho"/>
              </w:rPr>
              <w:t>□</w:t>
            </w:r>
            <w:r>
              <w:rPr>
                <w:rFonts w:hint="eastAsia" w:hAnsi="宋体" w:cs="宋体"/>
                <w:sz w:val="21"/>
              </w:rPr>
              <w:t>服务类/</w:t>
            </w:r>
            <w:r>
              <w:rPr>
                <w:rFonts w:hint="eastAsia" w:hAnsi="宋体" w:cs="宋体"/>
                <w:b/>
                <w:bCs/>
                <w:sz w:val="21"/>
              </w:rPr>
              <w:t>B分标☑工程类）</w:t>
            </w:r>
            <w:r>
              <w:rPr>
                <w:rFonts w:hint="eastAsia" w:hAnsi="宋体" w:cs="宋体"/>
                <w:sz w:val="21"/>
              </w:rPr>
              <w:t>标准采用差额定率累进法计算出收费基准价格，采购代理收费以（</w:t>
            </w:r>
            <w:r>
              <w:rPr>
                <w:rFonts w:hint="eastAsia" w:ascii="MS Mincho" w:hAnsi="MS Mincho" w:eastAsia="MS Mincho" w:cs="MS Mincho"/>
                <w:sz w:val="21"/>
              </w:rPr>
              <w:t>☑</w:t>
            </w:r>
            <w:r>
              <w:rPr>
                <w:rFonts w:hint="eastAsia" w:hAnsi="宋体" w:cs="宋体"/>
                <w:sz w:val="21"/>
              </w:rPr>
              <w:t>收费基准价格/□收费基准价格下浮</w:t>
            </w:r>
            <w:r>
              <w:rPr>
                <w:rFonts w:hint="eastAsia" w:hAnsi="宋体" w:cs="宋体"/>
                <w:sz w:val="21"/>
                <w:u w:val="single"/>
              </w:rPr>
              <w:t xml:space="preserve"> %</w:t>
            </w:r>
            <w:r>
              <w:rPr>
                <w:rFonts w:hint="eastAsia" w:hAnsi="宋体" w:cs="宋体"/>
                <w:sz w:val="21"/>
              </w:rPr>
              <w:t>/□收费基准价格上浮</w:t>
            </w:r>
            <w:r>
              <w:rPr>
                <w:rFonts w:hint="eastAsia" w:hAnsi="宋体" w:cs="宋体"/>
                <w:sz w:val="21"/>
                <w:u w:val="single"/>
              </w:rPr>
              <w:t xml:space="preserve">   %</w:t>
            </w:r>
            <w:r>
              <w:rPr>
                <w:rFonts w:hint="eastAsia" w:hAnsi="宋体" w:cs="宋体"/>
                <w:sz w:val="21"/>
              </w:rPr>
              <w:t>）收取，如不足人民币伍仟元的按伍仟元收取。</w:t>
            </w:r>
          </w:p>
          <w:p w14:paraId="3D928A1B">
            <w:pPr>
              <w:pStyle w:val="17"/>
              <w:snapToGrid w:val="0"/>
              <w:spacing w:line="440" w:lineRule="exact"/>
              <w:rPr>
                <w:rFonts w:hint="eastAsia" w:hAnsi="宋体" w:cs="宋体"/>
                <w:sz w:val="21"/>
                <w:u w:val="single"/>
              </w:rPr>
            </w:pPr>
            <w:r>
              <w:rPr>
                <w:rFonts w:hint="eastAsia" w:hAnsi="宋体" w:cs="宋体"/>
                <w:sz w:val="21"/>
              </w:rPr>
              <w:t>□固定采购代理收费</w:t>
            </w:r>
            <w:r>
              <w:rPr>
                <w:rFonts w:hint="eastAsia" w:hAnsi="宋体" w:cs="宋体"/>
                <w:sz w:val="21"/>
                <w:u w:val="single"/>
              </w:rPr>
              <w:t xml:space="preserve">              。</w:t>
            </w:r>
          </w:p>
          <w:p w14:paraId="6E0A79A3">
            <w:pPr>
              <w:pStyle w:val="17"/>
              <w:snapToGrid w:val="0"/>
              <w:spacing w:line="440" w:lineRule="exact"/>
              <w:rPr>
                <w:rFonts w:hint="eastAsia" w:hAnsi="宋体" w:cs="宋体"/>
                <w:sz w:val="21"/>
              </w:rPr>
            </w:pPr>
            <w:r>
              <w:rPr>
                <w:rFonts w:hint="eastAsia" w:hAnsi="宋体" w:cs="宋体"/>
                <w:sz w:val="21"/>
              </w:rPr>
              <w:t>3. 采购代理费收取银行账户</w:t>
            </w:r>
          </w:p>
          <w:p w14:paraId="3E73375C">
            <w:pPr>
              <w:pStyle w:val="17"/>
              <w:snapToGrid w:val="0"/>
              <w:spacing w:line="440" w:lineRule="exact"/>
              <w:rPr>
                <w:rFonts w:hint="eastAsia" w:hAnsi="宋体" w:cs="宋体"/>
                <w:sz w:val="21"/>
              </w:rPr>
            </w:pPr>
            <w:r>
              <w:rPr>
                <w:rFonts w:hint="eastAsia" w:hAnsi="宋体" w:cs="宋体"/>
                <w:sz w:val="21"/>
              </w:rPr>
              <w:t>开户名称：广西正海招标有限公司</w:t>
            </w:r>
          </w:p>
          <w:p w14:paraId="75799A75">
            <w:pPr>
              <w:pStyle w:val="17"/>
              <w:snapToGrid w:val="0"/>
              <w:spacing w:line="440" w:lineRule="exact"/>
              <w:rPr>
                <w:rFonts w:hint="eastAsia" w:hAnsi="宋体" w:cs="宋体"/>
                <w:sz w:val="21"/>
              </w:rPr>
            </w:pPr>
            <w:r>
              <w:rPr>
                <w:rFonts w:hint="eastAsia" w:hAnsi="宋体" w:cs="宋体"/>
                <w:sz w:val="21"/>
              </w:rPr>
              <w:t>开户银行：中国光大银行股份有限公司南宁长湖支行</w:t>
            </w:r>
          </w:p>
          <w:p w14:paraId="3EA1B52E">
            <w:pPr>
              <w:pStyle w:val="17"/>
              <w:snapToGrid w:val="0"/>
              <w:spacing w:line="440" w:lineRule="exact"/>
              <w:rPr>
                <w:sz w:val="21"/>
              </w:rPr>
            </w:pPr>
            <w:r>
              <w:rPr>
                <w:rFonts w:hint="eastAsia" w:hAnsi="宋体" w:cs="宋体"/>
                <w:sz w:val="21"/>
              </w:rPr>
              <w:t>银行账号：7908 0188 0000 35937</w:t>
            </w:r>
          </w:p>
        </w:tc>
      </w:tr>
      <w:tr w14:paraId="65917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4EA9D6">
            <w:pPr>
              <w:spacing w:line="440" w:lineRule="exact"/>
              <w:jc w:val="center"/>
              <w:rPr>
                <w:rFonts w:hint="eastAsia" w:ascii="宋体" w:hAnsi="宋体" w:cs="宋体"/>
                <w:szCs w:val="21"/>
              </w:rPr>
            </w:pPr>
            <w:r>
              <w:rPr>
                <w:rFonts w:hint="eastAsia" w:ascii="宋体" w:hAnsi="宋体" w:cs="宋体"/>
                <w:szCs w:val="21"/>
              </w:rPr>
              <w:t>3</w:t>
            </w:r>
            <w:r>
              <w:rPr>
                <w:rFonts w:ascii="宋体" w:hAnsi="宋体" w:cs="宋体"/>
                <w:szCs w:val="21"/>
              </w:rPr>
              <w:t>3.1</w:t>
            </w:r>
          </w:p>
        </w:tc>
        <w:tc>
          <w:tcPr>
            <w:tcW w:w="7912" w:type="dxa"/>
            <w:vAlign w:val="center"/>
          </w:tcPr>
          <w:p w14:paraId="06A109CC">
            <w:pPr>
              <w:pStyle w:val="17"/>
              <w:snapToGrid w:val="0"/>
              <w:spacing w:line="440" w:lineRule="exact"/>
              <w:rPr>
                <w:rFonts w:hint="eastAsia" w:hAnsi="宋体" w:cs="宋体"/>
                <w:sz w:val="21"/>
              </w:rPr>
            </w:pPr>
            <w:r>
              <w:rPr>
                <w:rFonts w:hint="eastAsia" w:hAnsi="宋体" w:cs="宋体"/>
                <w:sz w:val="21"/>
              </w:rPr>
              <w:t>解释：</w:t>
            </w:r>
            <w:r>
              <w:rPr>
                <w:rFonts w:hAnsi="宋体" w:cs="宋体"/>
                <w:sz w:val="21"/>
              </w:rPr>
              <w:t>构成本</w:t>
            </w:r>
            <w:r>
              <w:rPr>
                <w:rFonts w:hint="eastAsia" w:hAnsi="宋体" w:cs="宋体"/>
                <w:sz w:val="21"/>
              </w:rPr>
              <w:t>谈判文件</w:t>
            </w:r>
            <w:r>
              <w:rPr>
                <w:rFonts w:hAnsi="宋体" w:cs="宋体"/>
                <w:sz w:val="21"/>
              </w:rPr>
              <w:t>的各个组成文件应互为解释，互为说明；除</w:t>
            </w:r>
            <w:r>
              <w:rPr>
                <w:rFonts w:hint="eastAsia" w:hAnsi="宋体" w:cs="宋体"/>
                <w:sz w:val="21"/>
              </w:rPr>
              <w:t>谈判文件</w:t>
            </w:r>
            <w:r>
              <w:rPr>
                <w:rFonts w:hAnsi="宋体" w:cs="宋体"/>
                <w:sz w:val="21"/>
              </w:rPr>
              <w:t>中有特别规定外，仅适用于</w:t>
            </w:r>
            <w:r>
              <w:rPr>
                <w:rFonts w:hint="eastAsia" w:hAnsi="宋体" w:cs="宋体"/>
                <w:sz w:val="21"/>
              </w:rPr>
              <w:t>竞标</w:t>
            </w:r>
            <w:r>
              <w:rPr>
                <w:rFonts w:hAnsi="宋体" w:cs="宋体"/>
                <w:sz w:val="21"/>
              </w:rPr>
              <w:t>阶段的规定，按</w:t>
            </w:r>
            <w:r>
              <w:rPr>
                <w:rFonts w:hint="eastAsia" w:hAnsi="宋体" w:cs="宋体"/>
                <w:sz w:val="21"/>
              </w:rPr>
              <w:t>更正公告（澄清公告）</w:t>
            </w:r>
            <w:r>
              <w:rPr>
                <w:rFonts w:hAnsi="宋体" w:cs="宋体"/>
                <w:sz w:val="21"/>
              </w:rPr>
              <w:t>、</w:t>
            </w:r>
            <w:r>
              <w:rPr>
                <w:rFonts w:hint="eastAsia" w:hAnsi="宋体" w:cs="宋体"/>
                <w:sz w:val="21"/>
              </w:rPr>
              <w:t>竞争性谈判</w:t>
            </w:r>
            <w:r>
              <w:rPr>
                <w:rFonts w:hAnsi="宋体" w:cs="宋体"/>
                <w:sz w:val="21"/>
              </w:rPr>
              <w:t>公告、</w:t>
            </w:r>
            <w:r>
              <w:rPr>
                <w:rFonts w:hint="eastAsia" w:hAnsi="宋体" w:cs="宋体"/>
                <w:sz w:val="21"/>
              </w:rPr>
              <w:t>供应商</w:t>
            </w:r>
            <w:r>
              <w:rPr>
                <w:rFonts w:hAnsi="宋体" w:cs="宋体"/>
                <w:sz w:val="21"/>
              </w:rPr>
              <w:t>须知</w:t>
            </w:r>
            <w:r>
              <w:rPr>
                <w:rFonts w:hint="eastAsia" w:hAnsi="宋体" w:cs="宋体"/>
                <w:sz w:val="21"/>
              </w:rPr>
              <w:t>、采购需求</w:t>
            </w:r>
            <w:r>
              <w:rPr>
                <w:rFonts w:hAnsi="宋体" w:cs="宋体"/>
                <w:sz w:val="21"/>
              </w:rPr>
              <w:t>、</w:t>
            </w:r>
            <w:r>
              <w:rPr>
                <w:rFonts w:hint="eastAsia" w:hAnsi="宋体" w:cs="宋体"/>
                <w:sz w:val="21"/>
              </w:rPr>
              <w:t>评审程序和评定成交的标准</w:t>
            </w:r>
            <w:r>
              <w:rPr>
                <w:rFonts w:hAnsi="宋体" w:cs="宋体"/>
                <w:sz w:val="21"/>
              </w:rPr>
              <w:t>、</w:t>
            </w:r>
            <w:r>
              <w:rPr>
                <w:rFonts w:hint="eastAsia" w:hAnsi="宋体" w:cs="宋体"/>
                <w:sz w:val="21"/>
              </w:rPr>
              <w:t>响应</w:t>
            </w:r>
            <w:r>
              <w:rPr>
                <w:rFonts w:hAnsi="宋体" w:cs="宋体"/>
                <w:sz w:val="21"/>
              </w:rPr>
              <w:t>文件格式</w:t>
            </w:r>
            <w:r>
              <w:rPr>
                <w:rFonts w:hint="eastAsia" w:hAnsi="宋体" w:cs="宋体"/>
                <w:sz w:val="21"/>
              </w:rPr>
              <w:t>、合同文本</w:t>
            </w:r>
            <w:r>
              <w:rPr>
                <w:rFonts w:hAnsi="宋体" w:cs="宋体"/>
                <w:sz w:val="21"/>
              </w:rPr>
              <w:t>的先后顺序解释；同一组成文件中就同一事项的规定或约定不一致的，以编排顺序在后者为准；同一组成文件不同版本之间有不一致的，以形成时间在后者为准；</w:t>
            </w:r>
            <w:r>
              <w:rPr>
                <w:rFonts w:hint="eastAsia" w:hAnsi="宋体" w:cs="宋体"/>
                <w:sz w:val="21"/>
              </w:rPr>
              <w:t>更正公告（澄清公告）</w:t>
            </w:r>
            <w:r>
              <w:rPr>
                <w:rFonts w:hAnsi="宋体" w:cs="宋体"/>
                <w:sz w:val="21"/>
              </w:rPr>
              <w:t>与同步更新的</w:t>
            </w:r>
            <w:r>
              <w:rPr>
                <w:rFonts w:hint="eastAsia" w:hAnsi="宋体" w:cs="宋体"/>
                <w:sz w:val="21"/>
              </w:rPr>
              <w:t>谈判文件</w:t>
            </w:r>
            <w:r>
              <w:rPr>
                <w:rFonts w:hAnsi="宋体" w:cs="宋体"/>
                <w:sz w:val="21"/>
              </w:rPr>
              <w:t>不一致时以</w:t>
            </w:r>
            <w:r>
              <w:rPr>
                <w:rFonts w:hint="eastAsia" w:hAnsi="宋体" w:cs="宋体"/>
                <w:sz w:val="21"/>
              </w:rPr>
              <w:t>更正公告（澄清公告）</w:t>
            </w:r>
            <w:r>
              <w:rPr>
                <w:rFonts w:hAnsi="宋体" w:cs="宋体"/>
                <w:sz w:val="21"/>
              </w:rPr>
              <w:t>为准。按本款前述规定仍不能形成结论的，由</w:t>
            </w:r>
            <w:r>
              <w:rPr>
                <w:rFonts w:hint="eastAsia" w:hAnsi="宋体" w:cs="宋体"/>
                <w:sz w:val="21"/>
              </w:rPr>
              <w:t>采购</w:t>
            </w:r>
            <w:r>
              <w:rPr>
                <w:rFonts w:hAnsi="宋体" w:cs="宋体"/>
                <w:sz w:val="21"/>
              </w:rPr>
              <w:t>人</w:t>
            </w:r>
            <w:r>
              <w:rPr>
                <w:rFonts w:hint="eastAsia" w:hAnsi="宋体" w:cs="宋体"/>
                <w:sz w:val="21"/>
              </w:rPr>
              <w:t>或者采购代理机构</w:t>
            </w:r>
            <w:r>
              <w:rPr>
                <w:rFonts w:hAnsi="宋体" w:cs="宋体"/>
                <w:sz w:val="21"/>
              </w:rPr>
              <w:t>负责解释。</w:t>
            </w:r>
          </w:p>
        </w:tc>
      </w:tr>
      <w:tr w14:paraId="2932E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34A12B7">
            <w:pPr>
              <w:spacing w:line="440" w:lineRule="exact"/>
              <w:jc w:val="center"/>
              <w:rPr>
                <w:rFonts w:hint="eastAsia" w:ascii="宋体" w:hAnsi="宋体" w:cs="宋体"/>
                <w:szCs w:val="21"/>
              </w:rPr>
            </w:pPr>
            <w:r>
              <w:rPr>
                <w:rFonts w:hint="eastAsia" w:ascii="宋体" w:hAnsi="宋体" w:cs="宋体"/>
                <w:szCs w:val="21"/>
              </w:rPr>
              <w:t>3</w:t>
            </w:r>
            <w:r>
              <w:rPr>
                <w:rFonts w:ascii="宋体" w:hAnsi="宋体" w:cs="宋体"/>
                <w:szCs w:val="21"/>
              </w:rPr>
              <w:t>3.2</w:t>
            </w:r>
          </w:p>
        </w:tc>
        <w:tc>
          <w:tcPr>
            <w:tcW w:w="7912" w:type="dxa"/>
            <w:vAlign w:val="center"/>
          </w:tcPr>
          <w:p w14:paraId="7F5E7895">
            <w:pPr>
              <w:pStyle w:val="17"/>
              <w:snapToGrid w:val="0"/>
              <w:spacing w:line="440" w:lineRule="exact"/>
              <w:rPr>
                <w:rFonts w:hint="eastAsia" w:hAnsi="宋体" w:cs="宋体"/>
                <w:sz w:val="21"/>
              </w:rPr>
            </w:pPr>
            <w:r>
              <w:rPr>
                <w:rFonts w:hint="eastAsia" w:hAnsi="宋体" w:cs="宋体"/>
                <w:sz w:val="21"/>
              </w:rPr>
              <w:t>1.本谈判文件中描述供应商的“公章”是指根据我国对公章的管理规定，用供应商法定主体行为名称制作的印章，除本谈判文件有特殊规定外，供应商的财务章、部门章、分公司章、工会章、合同章、竞标专用章、业务专用章及银行的转账章、现金收讫章、现金付讫章等其他形式印章均不能代替公章。</w:t>
            </w:r>
          </w:p>
          <w:p w14:paraId="2552CE0C">
            <w:pPr>
              <w:pStyle w:val="17"/>
              <w:snapToGrid w:val="0"/>
              <w:spacing w:line="440" w:lineRule="exact"/>
              <w:rPr>
                <w:rFonts w:hint="eastAsia" w:hAnsi="宋体" w:cs="宋体"/>
                <w:bCs/>
                <w:sz w:val="21"/>
              </w:rPr>
            </w:pPr>
            <w:r>
              <w:rPr>
                <w:rFonts w:hint="eastAsia" w:hAnsi="宋体" w:cs="宋体"/>
                <w:bCs/>
                <w:sz w:val="21"/>
              </w:rPr>
              <w:t>2.本谈判文件所称的“</w:t>
            </w:r>
            <w:r>
              <w:rPr>
                <w:rFonts w:hint="eastAsia" w:hAnsi="宋体"/>
                <w:sz w:val="21"/>
              </w:rPr>
              <w:t>电子签章</w:t>
            </w:r>
            <w:r>
              <w:rPr>
                <w:rFonts w:hint="eastAsia" w:hAnsi="宋体" w:cs="宋体"/>
                <w:bCs/>
                <w:sz w:val="21"/>
              </w:rPr>
              <w:t>”、“电子签名”</w:t>
            </w:r>
            <w:r>
              <w:rPr>
                <w:rFonts w:hint="eastAsia" w:hAnsi="宋体"/>
                <w:sz w:val="21"/>
              </w:rPr>
              <w:t>，是指经广西政府采购云平台认可的CA认证的电子签名数据为表现形式的印章，可用于签署电子响应文件，电子印章与实物印章具有同等法律效力，不因其采用电子化表现形式而否定其法律效力。</w:t>
            </w:r>
          </w:p>
          <w:p w14:paraId="3BC9E962">
            <w:pPr>
              <w:pStyle w:val="17"/>
              <w:snapToGrid w:val="0"/>
              <w:spacing w:line="440" w:lineRule="exact"/>
              <w:rPr>
                <w:rFonts w:hint="eastAsia" w:hAnsi="宋体" w:cs="宋体"/>
                <w:bCs/>
                <w:sz w:val="21"/>
              </w:rPr>
            </w:pPr>
            <w:r>
              <w:rPr>
                <w:rFonts w:hint="eastAsia" w:hAnsi="宋体" w:cs="宋体"/>
                <w:sz w:val="21"/>
              </w:rPr>
              <w:t>3.供应商为其他组织或者自然人时，本谈判文件规定的法定代表人指负责人或者自然人。本谈判文件所称负责人是指参加竞标的其他组织</w:t>
            </w:r>
            <w:r>
              <w:rPr>
                <w:rFonts w:hint="eastAsia" w:hAnsi="宋体" w:cs="宋体"/>
                <w:bCs/>
                <w:sz w:val="21"/>
              </w:rPr>
              <w:t>营业执照或者执业许可证等证照上</w:t>
            </w:r>
            <w:r>
              <w:rPr>
                <w:rFonts w:hint="eastAsia" w:hAnsi="宋体" w:cs="宋体"/>
                <w:sz w:val="21"/>
              </w:rPr>
              <w:t>的负责人，本谈判文件所称自然人指参与竞标的自然人本人，</w:t>
            </w:r>
            <w:r>
              <w:rPr>
                <w:rFonts w:hint="eastAsia" w:hAnsi="宋体" w:cs="宋体"/>
                <w:bCs/>
                <w:sz w:val="21"/>
              </w:rPr>
              <w:t>且应具备独立承担民事责任能力，自然人应当为年满18岁以上成年人（十六周岁以上的未成年人，以自己的劳动收入为主要生活来源的，视为完全民事行为能力人）。</w:t>
            </w:r>
          </w:p>
          <w:p w14:paraId="450BE4AB">
            <w:pPr>
              <w:pStyle w:val="17"/>
              <w:snapToGrid w:val="0"/>
              <w:spacing w:line="440" w:lineRule="exact"/>
              <w:rPr>
                <w:rFonts w:hint="eastAsia" w:hAnsi="宋体" w:cs="宋体"/>
                <w:sz w:val="21"/>
              </w:rPr>
            </w:pPr>
            <w:r>
              <w:rPr>
                <w:rFonts w:hint="eastAsia" w:hAnsi="宋体" w:cs="宋体"/>
                <w:sz w:val="21"/>
              </w:rPr>
              <w:t>4.本谈判文件中描述供应商的“签字”是指供应商的法定代表人或者委托代理人亲自在文件规定签署处亲笔写上个人的名字的行为，私章、签字章、印鉴、影印等其他形式均不能代替亲笔签字。</w:t>
            </w:r>
          </w:p>
          <w:p w14:paraId="07E84EDA">
            <w:pPr>
              <w:pStyle w:val="17"/>
              <w:snapToGrid w:val="0"/>
              <w:spacing w:line="440" w:lineRule="exact"/>
              <w:rPr>
                <w:rFonts w:hint="eastAsia" w:hAnsi="宋体" w:cs="宋体"/>
                <w:sz w:val="21"/>
              </w:rPr>
            </w:pPr>
            <w:r>
              <w:rPr>
                <w:rFonts w:hAnsi="宋体" w:cs="宋体"/>
                <w:sz w:val="21"/>
              </w:rPr>
              <w:t>5.</w:t>
            </w:r>
            <w:r>
              <w:rPr>
                <w:rFonts w:hint="eastAsia" w:hAnsi="宋体" w:cs="宋体"/>
                <w:sz w:val="21"/>
              </w:rPr>
              <w:t>本谈判文件所称的“以上”“以下”“以内”“届满”，包括本数；所称的“不满”“超过”“以外”，不包括本数。</w:t>
            </w:r>
          </w:p>
        </w:tc>
      </w:tr>
    </w:tbl>
    <w:p w14:paraId="631177BA">
      <w:pPr>
        <w:spacing w:line="400" w:lineRule="exact"/>
        <w:jc w:val="center"/>
        <w:rPr>
          <w:rFonts w:hint="eastAsia" w:ascii="宋体" w:hAnsi="宋体" w:cs="宋体"/>
          <w:b/>
          <w:sz w:val="32"/>
          <w:szCs w:val="32"/>
        </w:rPr>
      </w:pPr>
      <w:r>
        <w:rPr>
          <w:rFonts w:ascii="宋体" w:hAnsi="宋体"/>
          <w:b/>
          <w:sz w:val="32"/>
          <w:szCs w:val="32"/>
        </w:rPr>
        <w:br w:type="page"/>
      </w:r>
      <w:r>
        <w:rPr>
          <w:rFonts w:hint="eastAsia" w:ascii="宋体" w:hAnsi="宋体" w:cs="宋体"/>
          <w:b/>
          <w:sz w:val="32"/>
          <w:szCs w:val="32"/>
        </w:rPr>
        <w:t>供应商须知正文</w:t>
      </w:r>
    </w:p>
    <w:p w14:paraId="059733A2">
      <w:pPr>
        <w:spacing w:line="400" w:lineRule="exact"/>
        <w:jc w:val="center"/>
        <w:rPr>
          <w:rFonts w:hint="eastAsia" w:ascii="宋体" w:hAnsi="宋体" w:cs="宋体"/>
          <w:b/>
          <w:sz w:val="32"/>
          <w:szCs w:val="32"/>
        </w:rPr>
      </w:pPr>
    </w:p>
    <w:p w14:paraId="6C4EEC00">
      <w:pPr>
        <w:spacing w:line="400" w:lineRule="exact"/>
        <w:jc w:val="center"/>
        <w:rPr>
          <w:rFonts w:hint="eastAsia" w:ascii="宋体" w:hAnsi="宋体" w:cs="宋体"/>
          <w:b/>
          <w:sz w:val="32"/>
          <w:szCs w:val="32"/>
        </w:rPr>
      </w:pPr>
      <w:r>
        <w:rPr>
          <w:rFonts w:hint="eastAsia" w:ascii="宋体" w:hAnsi="宋体" w:cs="宋体"/>
          <w:b/>
          <w:sz w:val="32"/>
          <w:szCs w:val="32"/>
        </w:rPr>
        <w:t>一、总则</w:t>
      </w:r>
    </w:p>
    <w:p w14:paraId="0EA54409">
      <w:pPr>
        <w:spacing w:line="400" w:lineRule="exact"/>
        <w:rPr>
          <w:rFonts w:hint="eastAsia" w:ascii="宋体" w:hAnsi="宋体" w:cs="宋体"/>
          <w:szCs w:val="21"/>
        </w:rPr>
      </w:pPr>
    </w:p>
    <w:p w14:paraId="20B7E401">
      <w:pPr>
        <w:spacing w:line="360" w:lineRule="auto"/>
        <w:ind w:firstLine="482" w:firstLineChars="200"/>
        <w:rPr>
          <w:rFonts w:hint="eastAsia" w:ascii="宋体" w:hAnsi="宋体" w:cs="宋体"/>
          <w:b/>
          <w:bCs/>
          <w:sz w:val="24"/>
        </w:rPr>
      </w:pPr>
      <w:r>
        <w:rPr>
          <w:rFonts w:hint="eastAsia" w:ascii="宋体" w:hAnsi="宋体" w:cs="宋体"/>
          <w:b/>
          <w:bCs/>
          <w:sz w:val="24"/>
        </w:rPr>
        <w:t>1. 适用范围</w:t>
      </w:r>
    </w:p>
    <w:p w14:paraId="709B3FE6">
      <w:pPr>
        <w:spacing w:line="360" w:lineRule="auto"/>
        <w:ind w:firstLine="420" w:firstLineChars="200"/>
        <w:rPr>
          <w:rFonts w:hint="eastAsia" w:ascii="宋体" w:hAnsi="宋体" w:cs="宋体"/>
          <w:szCs w:val="21"/>
        </w:rPr>
      </w:pPr>
      <w:r>
        <w:rPr>
          <w:rFonts w:hint="eastAsia" w:ascii="宋体" w:hAnsi="宋体" w:cs="宋体"/>
          <w:szCs w:val="21"/>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01D87B37">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本竞争性谈判文件（以下简称谈判文件）适用于本项目的所有采购程序和环节（法律、法规另有规定的，从其规定）。</w:t>
      </w:r>
    </w:p>
    <w:p w14:paraId="1F3FA520">
      <w:pPr>
        <w:spacing w:line="360" w:lineRule="auto"/>
        <w:ind w:firstLine="482" w:firstLineChars="200"/>
        <w:rPr>
          <w:rFonts w:hint="eastAsia" w:ascii="宋体" w:hAnsi="宋体" w:cs="宋体"/>
          <w:b/>
          <w:bCs/>
          <w:sz w:val="24"/>
        </w:rPr>
      </w:pPr>
      <w:r>
        <w:rPr>
          <w:rFonts w:hint="eastAsia" w:ascii="宋体" w:hAnsi="宋体" w:cs="宋体"/>
          <w:b/>
          <w:bCs/>
          <w:sz w:val="24"/>
        </w:rPr>
        <w:t>2. 定义</w:t>
      </w:r>
    </w:p>
    <w:p w14:paraId="548C64C9">
      <w:pPr>
        <w:spacing w:line="360" w:lineRule="auto"/>
        <w:ind w:firstLine="420" w:firstLineChars="200"/>
        <w:rPr>
          <w:rFonts w:hint="eastAsia" w:ascii="宋体" w:hAnsi="宋体" w:cs="宋体"/>
          <w:szCs w:val="21"/>
        </w:rPr>
      </w:pPr>
      <w:r>
        <w:rPr>
          <w:rFonts w:hint="eastAsia" w:ascii="宋体" w:hAnsi="宋体" w:cs="宋体"/>
          <w:szCs w:val="21"/>
        </w:rPr>
        <w:t>2.1“采购人”是指依法进行采购的国家机关、事业单位、团体组织。</w:t>
      </w:r>
    </w:p>
    <w:p w14:paraId="687E6D35">
      <w:pPr>
        <w:spacing w:line="360" w:lineRule="auto"/>
        <w:ind w:firstLine="420" w:firstLineChars="200"/>
        <w:rPr>
          <w:rFonts w:hint="eastAsia" w:ascii="宋体" w:hAnsi="宋体" w:cs="宋体"/>
          <w:b/>
          <w:szCs w:val="21"/>
        </w:rPr>
      </w:pPr>
      <w:r>
        <w:rPr>
          <w:rFonts w:hint="eastAsia" w:ascii="宋体" w:hAnsi="宋体" w:cs="宋体"/>
          <w:szCs w:val="21"/>
        </w:rPr>
        <w:t>2.2“采购代理机构”</w:t>
      </w:r>
      <w:r>
        <w:rPr>
          <w:rFonts w:hint="eastAsia" w:ascii="宋体" w:hAnsi="宋体" w:cs="宋体"/>
          <w:b/>
          <w:szCs w:val="21"/>
        </w:rPr>
        <w:t>是指政府采购集中采购机构和集中采购机构以外的采购代理机构。</w:t>
      </w:r>
    </w:p>
    <w:p w14:paraId="07A5854C">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13B5BE24">
      <w:pPr>
        <w:spacing w:line="360" w:lineRule="auto"/>
        <w:ind w:firstLine="420" w:firstLineChars="200"/>
        <w:rPr>
          <w:rFonts w:hint="eastAsia" w:ascii="宋体" w:hAnsi="宋体" w:cs="宋体"/>
          <w:szCs w:val="21"/>
        </w:rPr>
      </w:pPr>
      <w:r>
        <w:rPr>
          <w:rFonts w:hint="eastAsia" w:ascii="宋体" w:hAnsi="宋体" w:cs="宋体"/>
          <w:szCs w:val="21"/>
        </w:rPr>
        <w:t>2.4“货物”是指各种形态和种类的物品，包括原材料、燃料、设备、产品等。</w:t>
      </w:r>
    </w:p>
    <w:p w14:paraId="1697AC1A">
      <w:pPr>
        <w:spacing w:line="360" w:lineRule="auto"/>
        <w:ind w:firstLine="420" w:firstLineChars="200"/>
        <w:rPr>
          <w:rFonts w:hint="eastAsia" w:ascii="宋体" w:hAnsi="宋体" w:cs="宋体"/>
          <w:szCs w:val="21"/>
        </w:rPr>
      </w:pPr>
      <w:r>
        <w:rPr>
          <w:rFonts w:hint="eastAsia" w:ascii="宋体" w:hAnsi="宋体" w:cs="宋体"/>
          <w:szCs w:val="21"/>
        </w:rPr>
        <w:t>2.5“工程”是指建设工程，包括建筑物和构筑物的新建、改建、扩建、装修、拆除、修缮等。</w:t>
      </w:r>
    </w:p>
    <w:p w14:paraId="0E65A8B0">
      <w:pPr>
        <w:spacing w:line="360" w:lineRule="auto"/>
        <w:ind w:firstLine="420" w:firstLineChars="200"/>
        <w:rPr>
          <w:rFonts w:hint="eastAsia" w:ascii="宋体" w:hAnsi="宋体" w:cs="宋体"/>
          <w:szCs w:val="21"/>
        </w:rPr>
      </w:pPr>
      <w:r>
        <w:rPr>
          <w:rFonts w:hint="eastAsia" w:ascii="宋体" w:hAnsi="宋体" w:cs="宋体"/>
          <w:szCs w:val="21"/>
        </w:rPr>
        <w:t>2.6“竞标”是指按照本项目竞争性谈判公告或者邀请函规定的方式供应商获取谈判文件、提交响应文件并希望获得标的的行为。</w:t>
      </w:r>
    </w:p>
    <w:p w14:paraId="11198BD6">
      <w:pPr>
        <w:spacing w:line="360" w:lineRule="auto"/>
        <w:ind w:firstLine="420" w:firstLineChars="200"/>
        <w:rPr>
          <w:rFonts w:hint="eastAsia" w:ascii="宋体" w:hAnsi="宋体" w:cs="宋体"/>
          <w:szCs w:val="21"/>
        </w:rPr>
      </w:pPr>
      <w:r>
        <w:rPr>
          <w:rFonts w:hint="eastAsia" w:ascii="宋体" w:hAnsi="宋体" w:cs="宋体"/>
          <w:szCs w:val="21"/>
        </w:rPr>
        <w:t>2.7“售后服务” 是指包含但不限于供应商须承担的备品备件、包装、运输、装卸、保险、货到就位以及安装、调试、培训、保修和其他类似的义务。</w:t>
      </w:r>
    </w:p>
    <w:p w14:paraId="24105342">
      <w:pPr>
        <w:spacing w:line="360" w:lineRule="auto"/>
        <w:ind w:firstLine="420" w:firstLineChars="200"/>
        <w:rPr>
          <w:rFonts w:hint="eastAsia" w:ascii="宋体" w:hAnsi="宋体" w:cs="宋体"/>
          <w:szCs w:val="21"/>
        </w:rPr>
      </w:pPr>
      <w:r>
        <w:rPr>
          <w:rFonts w:hint="eastAsia" w:ascii="宋体" w:hAnsi="宋体" w:cs="宋体"/>
          <w:szCs w:val="21"/>
        </w:rPr>
        <w:t>2.8“书面形式”是指合同书、信件和数据电文（包括电报、电传、传真、电子数据交换和电子邮件）等可以有形地表现所载内容的形式。</w:t>
      </w:r>
    </w:p>
    <w:p w14:paraId="4B256B1C">
      <w:pPr>
        <w:spacing w:line="360" w:lineRule="auto"/>
        <w:ind w:firstLine="420" w:firstLineChars="200"/>
        <w:rPr>
          <w:rFonts w:hint="eastAsia" w:ascii="宋体" w:hAnsi="宋体" w:cs="宋体"/>
          <w:szCs w:val="21"/>
        </w:rPr>
      </w:pPr>
      <w:r>
        <w:rPr>
          <w:rFonts w:hint="eastAsia" w:ascii="宋体" w:hAnsi="宋体" w:cs="宋体"/>
          <w:szCs w:val="21"/>
        </w:rPr>
        <w:t>2.9“响应文件”</w:t>
      </w:r>
      <w:r>
        <w:rPr>
          <w:rFonts w:hint="eastAsia" w:ascii="宋体" w:hAnsi="宋体" w:cs="宋体"/>
          <w:spacing w:val="-6"/>
          <w:szCs w:val="21"/>
        </w:rPr>
        <w:t>是指：供应商根据本谈判文件要求，编制包含资格证明、报价、商务技术等所有内容的文件。</w:t>
      </w:r>
    </w:p>
    <w:p w14:paraId="50ECF7F6">
      <w:pPr>
        <w:spacing w:line="360" w:lineRule="auto"/>
        <w:ind w:firstLine="420" w:firstLineChars="200"/>
        <w:rPr>
          <w:rFonts w:hint="eastAsia" w:ascii="宋体" w:hAnsi="宋体" w:cs="宋体"/>
          <w:szCs w:val="21"/>
        </w:rPr>
      </w:pPr>
      <w:r>
        <w:rPr>
          <w:rFonts w:hint="eastAsia" w:ascii="宋体" w:hAnsi="宋体" w:cs="宋体"/>
          <w:szCs w:val="21"/>
        </w:rPr>
        <w:t>2.10 “实质性要求”是指采购需求中带“</w:t>
      </w:r>
      <w:r>
        <w:rPr>
          <w:rFonts w:hint="eastAsia" w:ascii="宋体" w:hAnsi="宋体" w:cs="宋体"/>
          <w:b/>
          <w:bCs/>
          <w:kern w:val="0"/>
          <w:szCs w:val="21"/>
        </w:rPr>
        <w:t>▲</w:t>
      </w:r>
      <w:r>
        <w:rPr>
          <w:rFonts w:hint="eastAsia" w:ascii="宋体" w:hAnsi="宋体" w:cs="宋体"/>
          <w:szCs w:val="21"/>
        </w:rPr>
        <w:t>”的条款或者不能负偏离的条款或者已经指明不满足按响应文件按无效处理的条款。</w:t>
      </w:r>
    </w:p>
    <w:p w14:paraId="0C2B6355">
      <w:pPr>
        <w:spacing w:line="360" w:lineRule="auto"/>
        <w:ind w:firstLine="420" w:firstLineChars="200"/>
        <w:rPr>
          <w:rFonts w:hint="eastAsia" w:ascii="宋体" w:hAnsi="宋体" w:cs="宋体"/>
          <w:szCs w:val="21"/>
        </w:rPr>
      </w:pPr>
      <w:r>
        <w:rPr>
          <w:rFonts w:hint="eastAsia" w:ascii="宋体" w:hAnsi="宋体" w:cs="宋体"/>
          <w:szCs w:val="21"/>
        </w:rPr>
        <w:t>2.11“正偏离”，是指响应文件对谈判文件“采购需求”中有关条款作出优于条款要求并有利于采购人的响应情形；</w:t>
      </w:r>
    </w:p>
    <w:p w14:paraId="0A122BE6">
      <w:pPr>
        <w:spacing w:line="360" w:lineRule="auto"/>
        <w:ind w:firstLine="420" w:firstLineChars="200"/>
        <w:rPr>
          <w:rFonts w:hint="eastAsia" w:ascii="宋体" w:hAnsi="宋体" w:cs="宋体"/>
          <w:szCs w:val="21"/>
        </w:rPr>
      </w:pPr>
      <w:r>
        <w:rPr>
          <w:rFonts w:hint="eastAsia" w:ascii="宋体" w:hAnsi="宋体" w:cs="宋体"/>
          <w:szCs w:val="21"/>
        </w:rPr>
        <w:t>2.12“负偏离”，是指响应文件对谈判文件“采购需求”中有关条款作出的响应不满足条款要求，导致采购人要求不能得到满足的情形。</w:t>
      </w:r>
    </w:p>
    <w:p w14:paraId="6D25F7A1">
      <w:pPr>
        <w:spacing w:line="360" w:lineRule="auto"/>
        <w:ind w:firstLine="420" w:firstLineChars="200"/>
        <w:rPr>
          <w:rFonts w:hint="eastAsia" w:ascii="宋体" w:hAnsi="宋体" w:cs="宋体"/>
          <w:szCs w:val="21"/>
        </w:rPr>
      </w:pPr>
      <w:r>
        <w:rPr>
          <w:rFonts w:hint="eastAsia" w:ascii="宋体" w:hAnsi="宋体" w:cs="宋体"/>
          <w:szCs w:val="21"/>
        </w:rPr>
        <w:t>2.13“允许负偏离的条款”是指采购需求中的不属于“实质性要求”的条款。</w:t>
      </w:r>
    </w:p>
    <w:p w14:paraId="39F1419D">
      <w:pPr>
        <w:spacing w:line="360" w:lineRule="auto"/>
        <w:ind w:firstLine="420" w:firstLineChars="200"/>
        <w:rPr>
          <w:rFonts w:hint="eastAsia" w:ascii="宋体" w:hAnsi="宋体" w:cs="宋体"/>
          <w:szCs w:val="21"/>
        </w:rPr>
      </w:pPr>
      <w:r>
        <w:rPr>
          <w:rFonts w:hint="eastAsia" w:ascii="宋体" w:hAnsi="宋体" w:cs="宋体"/>
          <w:szCs w:val="21"/>
        </w:rPr>
        <w:t>2.14“首次报价”是指供应商提交的首次响应文件中的竞标报价。</w:t>
      </w:r>
    </w:p>
    <w:p w14:paraId="1C35CC2A">
      <w:pPr>
        <w:spacing w:line="360" w:lineRule="auto"/>
        <w:ind w:firstLine="482" w:firstLineChars="200"/>
        <w:contextualSpacing/>
        <w:rPr>
          <w:rFonts w:hint="eastAsia" w:ascii="宋体" w:hAnsi="宋体" w:cs="宋体"/>
          <w:b/>
          <w:bCs/>
          <w:sz w:val="24"/>
        </w:rPr>
      </w:pPr>
      <w:r>
        <w:rPr>
          <w:rFonts w:hint="eastAsia" w:ascii="宋体" w:hAnsi="宋体" w:cs="宋体"/>
          <w:b/>
          <w:bCs/>
          <w:sz w:val="24"/>
        </w:rPr>
        <w:t>3. 供应商的资格条件</w:t>
      </w:r>
    </w:p>
    <w:p w14:paraId="30DFB09E">
      <w:pPr>
        <w:spacing w:line="360" w:lineRule="auto"/>
        <w:ind w:firstLine="420" w:firstLineChars="200"/>
        <w:contextualSpacing/>
        <w:rPr>
          <w:rFonts w:hint="eastAsia" w:ascii="宋体" w:hAnsi="宋体" w:cs="宋体"/>
          <w:szCs w:val="21"/>
        </w:rPr>
      </w:pPr>
      <w:r>
        <w:rPr>
          <w:rFonts w:hint="eastAsia" w:ascii="宋体" w:hAnsi="宋体" w:cs="宋体"/>
          <w:szCs w:val="21"/>
        </w:rPr>
        <w:t>供应商的资格条件详见“供应商须知前附表”。</w:t>
      </w:r>
    </w:p>
    <w:p w14:paraId="34985883">
      <w:pPr>
        <w:spacing w:line="360" w:lineRule="auto"/>
        <w:ind w:firstLine="482" w:firstLineChars="200"/>
        <w:rPr>
          <w:rFonts w:hint="eastAsia" w:ascii="宋体" w:hAnsi="宋体" w:cs="宋体"/>
          <w:b/>
          <w:bCs/>
          <w:sz w:val="24"/>
        </w:rPr>
      </w:pPr>
      <w:r>
        <w:rPr>
          <w:rFonts w:hint="eastAsia" w:ascii="宋体" w:hAnsi="宋体" w:cs="宋体"/>
          <w:b/>
          <w:bCs/>
          <w:sz w:val="24"/>
        </w:rPr>
        <w:t>4. 竞标费用</w:t>
      </w:r>
    </w:p>
    <w:p w14:paraId="28EF2A24">
      <w:pPr>
        <w:spacing w:line="360" w:lineRule="auto"/>
        <w:ind w:firstLine="420" w:firstLineChars="200"/>
        <w:rPr>
          <w:rFonts w:hint="eastAsia" w:ascii="宋体" w:hAnsi="宋体" w:cs="宋体"/>
          <w:szCs w:val="21"/>
        </w:rPr>
      </w:pPr>
      <w:r>
        <w:rPr>
          <w:rFonts w:hint="eastAsia" w:ascii="宋体" w:hAnsi="宋体" w:cs="宋体"/>
          <w:szCs w:val="21"/>
        </w:rPr>
        <w:t>竞标费用：供应商应承担参与本次采购活动有关的所有费用，包括但不限于获取谈判文件、勘查现场、编制和提交响应文件、参加谈判与应答、签订合同等，不论竞标结果如何，均应自行承担。</w:t>
      </w:r>
    </w:p>
    <w:p w14:paraId="76D63224">
      <w:pPr>
        <w:spacing w:line="360" w:lineRule="auto"/>
        <w:ind w:firstLine="482" w:firstLineChars="200"/>
        <w:rPr>
          <w:rFonts w:hint="eastAsia" w:ascii="宋体" w:hAnsi="宋体" w:cs="宋体"/>
          <w:b/>
          <w:bCs/>
          <w:sz w:val="24"/>
        </w:rPr>
      </w:pPr>
      <w:r>
        <w:rPr>
          <w:rFonts w:hint="eastAsia" w:ascii="宋体" w:hAnsi="宋体" w:cs="宋体"/>
          <w:b/>
          <w:bCs/>
          <w:sz w:val="24"/>
        </w:rPr>
        <w:t>5.联合体竞标</w:t>
      </w:r>
    </w:p>
    <w:p w14:paraId="7130805D">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00EAF266">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cs="宋体"/>
          <w:bCs/>
          <w:szCs w:val="21"/>
        </w:rPr>
        <w:t>如接受联合体竞标，</w:t>
      </w:r>
      <w:r>
        <w:rPr>
          <w:rFonts w:hint="eastAsia" w:ascii="宋体" w:hAnsi="宋体" w:cs="宋体"/>
          <w:szCs w:val="21"/>
        </w:rPr>
        <w:t>联合体竞标要求详见“供应商须知前附表”。</w:t>
      </w:r>
    </w:p>
    <w:p w14:paraId="343F11E5">
      <w:pPr>
        <w:spacing w:line="360" w:lineRule="auto"/>
        <w:ind w:firstLine="420" w:firstLineChars="200"/>
        <w:rPr>
          <w:rFonts w:hint="eastAsia" w:ascii="宋体" w:hAnsi="宋体" w:cs="宋体"/>
          <w:szCs w:val="21"/>
        </w:rPr>
      </w:pPr>
      <w:r>
        <w:rPr>
          <w:rFonts w:hint="eastAsia" w:ascii="宋体" w:hAnsi="宋体" w:cs="宋体"/>
          <w:szCs w:val="21"/>
        </w:rPr>
        <w:t>5.3</w:t>
      </w:r>
      <w:bookmarkStart w:id="60" w:name="_Hlk65857072"/>
      <w:r>
        <w:rPr>
          <w:rFonts w:hint="eastAsia" w:ascii="宋体" w:hAnsi="宋体" w:cs="宋体"/>
          <w:szCs w:val="21"/>
        </w:rPr>
        <w:t>根据《政府采购促进中小企业发展管理办法》（财库〔2020〕46号）及</w:t>
      </w:r>
      <w:r>
        <w:rPr>
          <w:rFonts w:hint="eastAsia" w:ascii="宋体" w:hAnsi="宋体" w:cs="宋体"/>
          <w:bCs/>
          <w:szCs w:val="21"/>
        </w:rPr>
        <w:t>《广西壮族自治区财政厅关于持续优化政府采购营商环境推动高质量发展的通知》（桂财采〔2024〕55号）</w:t>
      </w:r>
      <w:r>
        <w:rPr>
          <w:rFonts w:hint="eastAsia" w:ascii="宋体" w:hAnsi="宋体" w:cs="宋体"/>
          <w:szCs w:val="21"/>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具体详见《评审程序和评定成交的标准》。</w:t>
      </w:r>
      <w:bookmarkEnd w:id="60"/>
    </w:p>
    <w:p w14:paraId="217C8CDA">
      <w:pPr>
        <w:spacing w:line="360" w:lineRule="auto"/>
        <w:ind w:firstLine="482" w:firstLineChars="200"/>
        <w:rPr>
          <w:rFonts w:hint="eastAsia" w:ascii="宋体" w:hAnsi="宋体" w:cs="宋体"/>
          <w:b/>
          <w:bCs/>
          <w:sz w:val="24"/>
        </w:rPr>
      </w:pPr>
      <w:r>
        <w:rPr>
          <w:rFonts w:hint="eastAsia" w:ascii="宋体" w:hAnsi="宋体" w:cs="宋体"/>
          <w:b/>
          <w:bCs/>
          <w:sz w:val="24"/>
        </w:rPr>
        <w:t xml:space="preserve">6.转包与分包             </w:t>
      </w:r>
    </w:p>
    <w:p w14:paraId="1D5CD0DC">
      <w:pPr>
        <w:spacing w:line="360" w:lineRule="auto"/>
        <w:ind w:firstLine="420" w:firstLineChars="200"/>
        <w:rPr>
          <w:rFonts w:hint="eastAsia" w:ascii="宋体" w:hAnsi="宋体" w:cs="宋体"/>
          <w:szCs w:val="21"/>
        </w:rPr>
      </w:pPr>
      <w:bookmarkStart w:id="61" w:name="_Toc254970532"/>
      <w:bookmarkStart w:id="62" w:name="_Toc254970673"/>
      <w:r>
        <w:rPr>
          <w:rFonts w:hint="eastAsia" w:ascii="宋体" w:hAnsi="宋体" w:cs="宋体"/>
          <w:szCs w:val="21"/>
        </w:rPr>
        <w:t>6.1本项目不允许转包。</w:t>
      </w:r>
    </w:p>
    <w:p w14:paraId="6BB3C66E">
      <w:pPr>
        <w:spacing w:line="360" w:lineRule="auto"/>
        <w:ind w:firstLine="420" w:firstLineChars="200"/>
        <w:rPr>
          <w:rFonts w:hint="eastAsia" w:ascii="宋体" w:hAnsi="宋体" w:cs="宋体"/>
          <w:szCs w:val="21"/>
        </w:rPr>
      </w:pPr>
      <w:r>
        <w:rPr>
          <w:rFonts w:hint="eastAsia" w:ascii="宋体" w:hAnsi="宋体" w:cs="宋体"/>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55306984">
      <w:pPr>
        <w:spacing w:line="360" w:lineRule="auto"/>
        <w:ind w:firstLine="420" w:firstLineChars="200"/>
        <w:rPr>
          <w:rFonts w:hint="eastAsia" w:ascii="宋体" w:hAnsi="宋体" w:cs="宋体"/>
          <w:szCs w:val="21"/>
        </w:rPr>
      </w:pPr>
      <w:r>
        <w:rPr>
          <w:rFonts w:hint="eastAsia" w:ascii="宋体" w:hAnsi="宋体" w:cs="宋体"/>
          <w:szCs w:val="21"/>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14:paraId="0CCBE5A9">
      <w:pPr>
        <w:spacing w:line="360" w:lineRule="auto"/>
        <w:ind w:firstLine="482" w:firstLineChars="200"/>
        <w:rPr>
          <w:rFonts w:hint="eastAsia" w:ascii="宋体" w:hAnsi="宋体" w:cs="宋体"/>
          <w:b/>
          <w:bCs/>
          <w:sz w:val="24"/>
        </w:rPr>
      </w:pPr>
      <w:r>
        <w:rPr>
          <w:rFonts w:hint="eastAsia" w:ascii="宋体" w:hAnsi="宋体" w:cs="宋体"/>
          <w:b/>
          <w:bCs/>
          <w:sz w:val="24"/>
        </w:rPr>
        <w:t>7.特别说明</w:t>
      </w:r>
      <w:bookmarkEnd w:id="61"/>
      <w:bookmarkEnd w:id="62"/>
    </w:p>
    <w:p w14:paraId="28894763">
      <w:pPr>
        <w:spacing w:line="360" w:lineRule="auto"/>
        <w:ind w:firstLine="420" w:firstLineChars="200"/>
        <w:rPr>
          <w:rFonts w:hint="eastAsia" w:ascii="宋体" w:hAnsi="宋体" w:cs="宋体"/>
          <w:szCs w:val="21"/>
        </w:rPr>
      </w:pPr>
      <w:bookmarkStart w:id="63" w:name="_8.1提供相同品牌产品且通过资格审查、符合性审查的不同投标人参加同一合"/>
      <w:bookmarkEnd w:id="63"/>
      <w:r>
        <w:rPr>
          <w:rFonts w:hint="eastAsia" w:ascii="宋体" w:hAnsi="宋体" w:cs="宋体"/>
          <w:szCs w:val="21"/>
        </w:rPr>
        <w:fldChar w:fldCharType="begin"/>
      </w:r>
      <w:r>
        <w:rPr>
          <w:rFonts w:hint="eastAsia" w:ascii="宋体" w:hAnsi="宋体" w:cs="宋体"/>
          <w:szCs w:val="21"/>
        </w:rPr>
        <w:instrText xml:space="preserve"> HYPERLINK  \l "_8.1" </w:instrText>
      </w:r>
      <w:r>
        <w:rPr>
          <w:rFonts w:hint="eastAsia" w:ascii="宋体" w:hAnsi="宋体" w:cs="宋体"/>
          <w:szCs w:val="21"/>
        </w:rPr>
        <w:fldChar w:fldCharType="separate"/>
      </w:r>
      <w:r>
        <w:rPr>
          <w:rFonts w:hint="eastAsia" w:ascii="宋体" w:hAnsi="宋体" w:cs="宋体"/>
          <w:szCs w:val="21"/>
        </w:rPr>
        <w:t>7.1</w:t>
      </w:r>
      <w:r>
        <w:rPr>
          <w:rFonts w:hint="eastAsia" w:ascii="宋体" w:hAnsi="宋体" w:cs="宋体"/>
          <w:szCs w:val="21"/>
        </w:rPr>
        <w:fldChar w:fldCharType="end"/>
      </w:r>
      <w:r>
        <w:rPr>
          <w:rFonts w:hint="eastAsia" w:ascii="宋体" w:hAnsi="宋体" w:cs="宋体"/>
          <w:szCs w:val="21"/>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供应商推荐资格，其他响应文件按无效处理。</w:t>
      </w:r>
    </w:p>
    <w:p w14:paraId="7F766FCC">
      <w:pPr>
        <w:spacing w:line="360" w:lineRule="auto"/>
        <w:ind w:firstLine="420" w:firstLineChars="200"/>
        <w:rPr>
          <w:rFonts w:hint="eastAsia" w:ascii="宋体" w:hAnsi="宋体" w:cs="宋体"/>
          <w:szCs w:val="21"/>
        </w:rPr>
      </w:pPr>
      <w:r>
        <w:rPr>
          <w:rFonts w:hint="eastAsia" w:ascii="宋体" w:hAnsi="宋体" w:cs="宋体"/>
          <w:szCs w:val="21"/>
        </w:rPr>
        <w:t>非单一产品采购项目，多家供应商提供的核心产品品牌相同的，按前款规定处理。</w:t>
      </w:r>
    </w:p>
    <w:p w14:paraId="2517DD4F">
      <w:pPr>
        <w:spacing w:line="360" w:lineRule="auto"/>
        <w:ind w:firstLine="420" w:firstLineChars="200"/>
        <w:rPr>
          <w:rFonts w:hint="eastAsia" w:ascii="宋体" w:hAnsi="宋体" w:cs="宋体"/>
          <w:szCs w:val="21"/>
        </w:rPr>
      </w:pPr>
      <w:r>
        <w:rPr>
          <w:rFonts w:hint="eastAsia" w:ascii="宋体" w:hAnsi="宋体" w:cs="宋体"/>
          <w:szCs w:val="21"/>
        </w:rPr>
        <w:t>7.2如果本谈判文件要求提供供应商或制造商的资格、信誉、荣誉、业绩与企业认证等材料的，资格、信誉、荣誉、业绩与企业认证等必须为供应商或者制造商所拥有或自身获得 。</w:t>
      </w:r>
    </w:p>
    <w:p w14:paraId="5E8879EE">
      <w:pPr>
        <w:spacing w:line="360" w:lineRule="auto"/>
        <w:ind w:firstLine="420" w:firstLineChars="200"/>
        <w:rPr>
          <w:rFonts w:hint="eastAsia" w:ascii="宋体" w:hAnsi="宋体" w:cs="宋体"/>
          <w:szCs w:val="21"/>
        </w:rPr>
      </w:pPr>
      <w:r>
        <w:rPr>
          <w:rFonts w:hint="eastAsia" w:ascii="宋体" w:hAnsi="宋体" w:cs="宋体"/>
          <w:szCs w:val="21"/>
        </w:rPr>
        <w:t>7.3供应商应仔细阅读谈判文件的所有内容，按照谈判文件的要求提交响应文件，并对所提供的全部资料的真实性承担法律责任。</w:t>
      </w:r>
    </w:p>
    <w:p w14:paraId="012011D8">
      <w:pPr>
        <w:spacing w:line="360" w:lineRule="auto"/>
        <w:ind w:firstLine="420" w:firstLineChars="200"/>
        <w:rPr>
          <w:rFonts w:hint="eastAsia" w:ascii="宋体" w:hAnsi="宋体" w:cs="宋体"/>
          <w:szCs w:val="21"/>
        </w:rPr>
      </w:pPr>
      <w:r>
        <w:rPr>
          <w:rFonts w:hint="eastAsia" w:ascii="宋体" w:hAnsi="宋体" w:cs="宋体"/>
          <w:szCs w:val="21"/>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1E4EE718">
      <w:pPr>
        <w:spacing w:line="360" w:lineRule="auto"/>
        <w:ind w:firstLine="420" w:firstLineChars="200"/>
        <w:rPr>
          <w:rFonts w:hint="eastAsia" w:ascii="宋体" w:hAnsi="宋体" w:cs="宋体"/>
          <w:szCs w:val="21"/>
        </w:rPr>
      </w:pPr>
      <w:r>
        <w:rPr>
          <w:rFonts w:hint="eastAsia" w:ascii="宋体" w:hAnsi="宋体" w:cs="宋体"/>
          <w:szCs w:val="21"/>
        </w:rPr>
        <w:t>7.5在政府采购活动中，采购人员及相关人员与供应商有下列利害关系之一的，应当回避：</w:t>
      </w:r>
    </w:p>
    <w:p w14:paraId="2A75D3B3">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6968C997">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481826E0">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250164B0">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0FEE758D">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6660B2CF">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904C4F9">
      <w:pPr>
        <w:spacing w:line="360" w:lineRule="auto"/>
        <w:ind w:firstLine="420" w:firstLineChars="200"/>
        <w:rPr>
          <w:rFonts w:hint="eastAsia" w:ascii="宋体" w:hAnsi="宋体" w:cs="宋体"/>
          <w:szCs w:val="21"/>
        </w:rPr>
      </w:pPr>
      <w:r>
        <w:rPr>
          <w:rFonts w:hint="eastAsia" w:ascii="宋体" w:hAnsi="宋体" w:cs="宋体"/>
          <w:szCs w:val="21"/>
        </w:rPr>
        <w:t>7.6有下列情形之一的视为供应商相互串通竞标，响应文件将被视为无效：</w:t>
      </w:r>
    </w:p>
    <w:p w14:paraId="76A3D918">
      <w:pPr>
        <w:spacing w:line="360" w:lineRule="auto"/>
        <w:ind w:firstLine="420" w:firstLineChars="200"/>
        <w:rPr>
          <w:rFonts w:hint="eastAsia" w:ascii="宋体" w:hAnsi="宋体" w:cs="宋体"/>
          <w:szCs w:val="21"/>
        </w:rPr>
      </w:pPr>
      <w:r>
        <w:rPr>
          <w:rFonts w:hint="eastAsia" w:ascii="宋体" w:hAnsi="宋体" w:cs="宋体"/>
          <w:szCs w:val="21"/>
        </w:rPr>
        <w:t>（1）不同供应商的响应文件由同一单位或者个人编制；</w:t>
      </w:r>
    </w:p>
    <w:p w14:paraId="4CE250E4">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7A3476AF">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3878E4EC">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294ACD21">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60D58FFB">
      <w:pPr>
        <w:spacing w:line="360" w:lineRule="auto"/>
        <w:ind w:firstLine="420" w:firstLineChars="200"/>
        <w:rPr>
          <w:rFonts w:hint="eastAsia" w:ascii="宋体" w:hAnsi="宋体" w:cs="宋体"/>
          <w:szCs w:val="21"/>
        </w:rPr>
      </w:pPr>
      <w:r>
        <w:rPr>
          <w:rFonts w:hint="eastAsia" w:ascii="宋体" w:hAnsi="宋体" w:cs="宋体"/>
          <w:szCs w:val="21"/>
        </w:rPr>
        <w:t>（6）不同供应商的竞标保证金从同一单位或者个人账户转出。</w:t>
      </w:r>
    </w:p>
    <w:p w14:paraId="3A898B51">
      <w:pPr>
        <w:spacing w:line="360" w:lineRule="auto"/>
        <w:ind w:firstLine="420" w:firstLineChars="200"/>
        <w:rPr>
          <w:rFonts w:hint="eastAsia" w:ascii="宋体" w:hAnsi="宋体" w:cs="宋体"/>
          <w:szCs w:val="21"/>
        </w:rPr>
      </w:pPr>
      <w:r>
        <w:rPr>
          <w:rFonts w:hint="eastAsia" w:ascii="宋体" w:hAnsi="宋体" w:cs="宋体"/>
          <w:szCs w:val="21"/>
        </w:rPr>
        <w:t>7.7供应商有下列情形之一的，属于恶意串通行为</w:t>
      </w:r>
      <w:bookmarkStart w:id="64" w:name="_Hlk54682620"/>
      <w:r>
        <w:rPr>
          <w:rFonts w:hint="eastAsia" w:ascii="宋体" w:hAnsi="宋体" w:cs="宋体"/>
          <w:szCs w:val="21"/>
        </w:rPr>
        <w:t>，将报同级监督管理部门</w:t>
      </w:r>
      <w:bookmarkEnd w:id="64"/>
      <w:r>
        <w:rPr>
          <w:rFonts w:hint="eastAsia" w:ascii="宋体" w:hAnsi="宋体" w:cs="宋体"/>
          <w:szCs w:val="21"/>
        </w:rPr>
        <w:t>：</w:t>
      </w:r>
    </w:p>
    <w:p w14:paraId="13F05171">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16C47878">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06763FF3">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3B97E19E">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575432C9">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060FE563">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77B76083">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42B6F980">
      <w:pPr>
        <w:spacing w:line="360" w:lineRule="auto"/>
        <w:jc w:val="center"/>
        <w:rPr>
          <w:rFonts w:hint="eastAsia" w:ascii="宋体" w:hAnsi="宋体" w:cs="宋体"/>
          <w:b/>
          <w:sz w:val="32"/>
          <w:szCs w:val="32"/>
        </w:rPr>
      </w:pPr>
      <w:bookmarkStart w:id="65" w:name="_Toc254970534"/>
      <w:bookmarkStart w:id="66" w:name="_Toc254970675"/>
      <w:r>
        <w:rPr>
          <w:rFonts w:hint="eastAsia" w:ascii="宋体" w:hAnsi="宋体" w:cs="宋体"/>
          <w:b/>
          <w:sz w:val="32"/>
          <w:szCs w:val="32"/>
        </w:rPr>
        <w:t>二、谈判文件</w:t>
      </w:r>
      <w:bookmarkEnd w:id="65"/>
      <w:bookmarkEnd w:id="66"/>
    </w:p>
    <w:p w14:paraId="0B8BDA4C">
      <w:pPr>
        <w:spacing w:line="360" w:lineRule="auto"/>
        <w:jc w:val="center"/>
        <w:rPr>
          <w:rFonts w:hint="eastAsia" w:ascii="宋体" w:hAnsi="宋体" w:cs="宋体"/>
          <w:szCs w:val="21"/>
        </w:rPr>
      </w:pPr>
    </w:p>
    <w:p w14:paraId="73654B08">
      <w:pPr>
        <w:spacing w:line="360" w:lineRule="auto"/>
        <w:ind w:firstLine="482" w:firstLineChars="200"/>
        <w:rPr>
          <w:rFonts w:hint="eastAsia" w:ascii="宋体" w:hAnsi="宋体" w:cs="宋体"/>
          <w:b/>
          <w:bCs/>
          <w:sz w:val="24"/>
        </w:rPr>
      </w:pPr>
      <w:r>
        <w:rPr>
          <w:rFonts w:hint="eastAsia" w:ascii="宋体" w:hAnsi="宋体" w:cs="宋体"/>
          <w:b/>
          <w:bCs/>
          <w:sz w:val="24"/>
        </w:rPr>
        <w:t>8.谈判文件的构成</w:t>
      </w:r>
    </w:p>
    <w:p w14:paraId="1B8B4C51">
      <w:pPr>
        <w:spacing w:line="360" w:lineRule="auto"/>
        <w:ind w:firstLine="420" w:firstLineChars="200"/>
        <w:jc w:val="left"/>
        <w:rPr>
          <w:rFonts w:hint="eastAsia" w:ascii="宋体" w:hAnsi="宋体" w:cs="宋体"/>
          <w:szCs w:val="21"/>
        </w:rPr>
      </w:pPr>
      <w:r>
        <w:rPr>
          <w:rFonts w:hint="eastAsia" w:ascii="宋体" w:hAnsi="宋体" w:cs="宋体"/>
          <w:szCs w:val="21"/>
        </w:rPr>
        <w:t>（1）竞争性谈判公告/竞标邀请函；</w:t>
      </w:r>
    </w:p>
    <w:p w14:paraId="0BD484D0">
      <w:pPr>
        <w:spacing w:line="360" w:lineRule="auto"/>
        <w:ind w:firstLine="420" w:firstLineChars="200"/>
        <w:jc w:val="left"/>
        <w:rPr>
          <w:rFonts w:hint="eastAsia" w:ascii="宋体" w:hAnsi="宋体" w:cs="宋体"/>
          <w:szCs w:val="21"/>
        </w:rPr>
      </w:pPr>
      <w:r>
        <w:rPr>
          <w:rFonts w:hint="eastAsia" w:ascii="宋体" w:hAnsi="宋体" w:cs="宋体"/>
          <w:szCs w:val="21"/>
        </w:rPr>
        <w:t xml:space="preserve">（2）供应商须知； </w:t>
      </w:r>
    </w:p>
    <w:p w14:paraId="45EA8C8A">
      <w:pPr>
        <w:spacing w:line="360" w:lineRule="auto"/>
        <w:ind w:firstLine="420" w:firstLineChars="200"/>
        <w:jc w:val="left"/>
        <w:rPr>
          <w:rFonts w:hint="eastAsia" w:ascii="宋体" w:hAnsi="宋体" w:cs="宋体"/>
          <w:szCs w:val="21"/>
        </w:rPr>
      </w:pPr>
      <w:r>
        <w:rPr>
          <w:rFonts w:hint="eastAsia" w:ascii="宋体" w:hAnsi="宋体" w:cs="宋体"/>
          <w:szCs w:val="21"/>
        </w:rPr>
        <w:t>（3）采购需求；</w:t>
      </w:r>
    </w:p>
    <w:p w14:paraId="4E6A8C40">
      <w:pPr>
        <w:spacing w:line="360" w:lineRule="auto"/>
        <w:ind w:firstLine="420" w:firstLineChars="200"/>
        <w:jc w:val="left"/>
        <w:rPr>
          <w:rFonts w:hint="eastAsia" w:ascii="宋体" w:hAnsi="宋体" w:cs="宋体"/>
          <w:szCs w:val="21"/>
        </w:rPr>
      </w:pPr>
      <w:r>
        <w:rPr>
          <w:rFonts w:hint="eastAsia" w:ascii="宋体" w:hAnsi="宋体" w:cs="宋体"/>
          <w:szCs w:val="21"/>
        </w:rPr>
        <w:t>（4）响应文件格式</w:t>
      </w:r>
    </w:p>
    <w:p w14:paraId="319EB0EC">
      <w:pPr>
        <w:spacing w:line="360" w:lineRule="auto"/>
        <w:ind w:firstLine="420" w:firstLineChars="200"/>
        <w:jc w:val="left"/>
        <w:rPr>
          <w:rFonts w:hint="eastAsia" w:ascii="宋体" w:hAnsi="宋体" w:cs="宋体"/>
          <w:szCs w:val="21"/>
        </w:rPr>
      </w:pPr>
      <w:r>
        <w:rPr>
          <w:rFonts w:hint="eastAsia" w:ascii="宋体" w:hAnsi="宋体" w:cs="宋体"/>
          <w:szCs w:val="21"/>
        </w:rPr>
        <w:t>（5）合同文本；</w:t>
      </w:r>
    </w:p>
    <w:p w14:paraId="4D0298C4">
      <w:pPr>
        <w:spacing w:line="360" w:lineRule="auto"/>
        <w:ind w:firstLine="420" w:firstLineChars="200"/>
        <w:jc w:val="left"/>
        <w:rPr>
          <w:rFonts w:hint="eastAsia" w:ascii="宋体" w:hAnsi="宋体" w:cs="宋体"/>
          <w:szCs w:val="21"/>
        </w:rPr>
      </w:pPr>
      <w:r>
        <w:rPr>
          <w:rFonts w:hint="eastAsia" w:ascii="宋体" w:hAnsi="宋体" w:cs="宋体"/>
          <w:szCs w:val="21"/>
        </w:rPr>
        <w:t>（6）评审程序和评定成交的标准；</w:t>
      </w:r>
    </w:p>
    <w:p w14:paraId="235B8F43">
      <w:pPr>
        <w:spacing w:line="360" w:lineRule="auto"/>
        <w:ind w:firstLine="482" w:firstLineChars="200"/>
        <w:rPr>
          <w:rFonts w:hint="eastAsia" w:ascii="宋体" w:hAnsi="宋体" w:cs="宋体"/>
          <w:b/>
          <w:bCs/>
          <w:sz w:val="24"/>
        </w:rPr>
      </w:pPr>
      <w:r>
        <w:rPr>
          <w:rFonts w:hint="eastAsia" w:ascii="宋体" w:hAnsi="宋体" w:cs="宋体"/>
          <w:b/>
          <w:bCs/>
          <w:sz w:val="24"/>
        </w:rPr>
        <w:t>9.供应商的询问</w:t>
      </w:r>
    </w:p>
    <w:p w14:paraId="6349370A">
      <w:pPr>
        <w:spacing w:line="360" w:lineRule="auto"/>
        <w:ind w:firstLine="420" w:firstLineChars="200"/>
        <w:rPr>
          <w:rFonts w:hint="eastAsia" w:ascii="宋体" w:hAnsi="宋体" w:cs="宋体"/>
          <w:szCs w:val="21"/>
        </w:rPr>
      </w:pPr>
      <w:r>
        <w:rPr>
          <w:rFonts w:hint="eastAsia" w:ascii="宋体" w:hAnsi="宋体" w:cs="宋体"/>
          <w:szCs w:val="21"/>
        </w:rPr>
        <w:t>供应商应认真阅读谈判文件的采购需求，如供应商对谈判文件有疑问的，如要求采购人作出澄清或者修改的，供应商尽可能在提交首次响应文件截止之日前，以书面形式向采购人、采购代理机构提出。</w:t>
      </w:r>
    </w:p>
    <w:p w14:paraId="5CC1F72A">
      <w:pPr>
        <w:spacing w:line="360" w:lineRule="auto"/>
        <w:ind w:firstLine="482" w:firstLineChars="200"/>
        <w:rPr>
          <w:rFonts w:hint="eastAsia" w:ascii="宋体" w:hAnsi="宋体" w:cs="宋体"/>
          <w:b/>
          <w:bCs/>
          <w:sz w:val="24"/>
        </w:rPr>
      </w:pPr>
      <w:r>
        <w:rPr>
          <w:rFonts w:hint="eastAsia" w:ascii="宋体" w:hAnsi="宋体" w:cs="宋体"/>
          <w:b/>
          <w:bCs/>
          <w:sz w:val="24"/>
        </w:rPr>
        <w:t>10.谈判文件的澄清和修改</w:t>
      </w:r>
    </w:p>
    <w:p w14:paraId="53AE30EE">
      <w:pPr>
        <w:spacing w:line="360" w:lineRule="auto"/>
        <w:ind w:firstLine="420" w:firstLineChars="200"/>
        <w:rPr>
          <w:rFonts w:hint="eastAsia" w:ascii="宋体" w:hAnsi="宋体" w:cs="宋体"/>
          <w:szCs w:val="21"/>
        </w:rPr>
      </w:pPr>
      <w:r>
        <w:rPr>
          <w:rFonts w:hint="eastAsia" w:ascii="宋体" w:hAnsi="宋体" w:cs="宋体"/>
          <w:szCs w:val="21"/>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71DB1167">
      <w:pPr>
        <w:spacing w:line="360" w:lineRule="auto"/>
        <w:rPr>
          <w:rFonts w:hint="eastAsia" w:ascii="宋体" w:hAnsi="宋体" w:cs="宋体"/>
          <w:szCs w:val="21"/>
        </w:rPr>
      </w:pPr>
    </w:p>
    <w:p w14:paraId="3B40C816">
      <w:pPr>
        <w:spacing w:line="360" w:lineRule="auto"/>
        <w:jc w:val="center"/>
        <w:rPr>
          <w:rFonts w:hint="eastAsia" w:ascii="宋体" w:hAnsi="宋体" w:cs="宋体"/>
          <w:b/>
          <w:szCs w:val="21"/>
        </w:rPr>
      </w:pPr>
      <w:r>
        <w:rPr>
          <w:rFonts w:hint="eastAsia" w:ascii="宋体" w:hAnsi="宋体" w:cs="宋体"/>
          <w:b/>
          <w:sz w:val="32"/>
          <w:szCs w:val="32"/>
        </w:rPr>
        <w:t>三、响应文件的编制</w:t>
      </w:r>
    </w:p>
    <w:p w14:paraId="69BC8C7A">
      <w:pPr>
        <w:spacing w:line="360" w:lineRule="auto"/>
        <w:rPr>
          <w:rFonts w:hint="eastAsia" w:ascii="宋体" w:hAnsi="宋体" w:cs="宋体"/>
          <w:szCs w:val="21"/>
        </w:rPr>
      </w:pPr>
    </w:p>
    <w:p w14:paraId="69BB5F62">
      <w:pPr>
        <w:spacing w:line="360" w:lineRule="auto"/>
        <w:ind w:firstLine="482" w:firstLineChars="200"/>
        <w:rPr>
          <w:rFonts w:hint="eastAsia" w:ascii="宋体" w:hAnsi="宋体" w:cs="宋体"/>
          <w:b/>
          <w:bCs/>
          <w:sz w:val="24"/>
        </w:rPr>
      </w:pPr>
      <w:r>
        <w:rPr>
          <w:rFonts w:hint="eastAsia" w:ascii="宋体" w:hAnsi="宋体" w:cs="宋体"/>
          <w:b/>
          <w:bCs/>
          <w:sz w:val="24"/>
        </w:rPr>
        <w:t>11.响应文件的编制原则</w:t>
      </w:r>
    </w:p>
    <w:p w14:paraId="35C0E357">
      <w:pPr>
        <w:spacing w:line="360" w:lineRule="auto"/>
        <w:ind w:firstLine="420" w:firstLineChars="200"/>
        <w:rPr>
          <w:rFonts w:hint="eastAsia" w:ascii="宋体" w:hAnsi="宋体" w:cs="宋体"/>
          <w:szCs w:val="21"/>
        </w:rPr>
      </w:pPr>
      <w:r>
        <w:rPr>
          <w:rFonts w:hint="eastAsia" w:ascii="宋体" w:hAnsi="宋体" w:cs="宋体"/>
          <w:szCs w:val="21"/>
        </w:rPr>
        <w:t>供应商必须按照谈判文件的要求编制响应文件，并对其提交的响应文件的真实性、合法性承担法律责任。响应文件必须对谈判文件作出实质性响应。</w:t>
      </w:r>
    </w:p>
    <w:p w14:paraId="5FEAE566">
      <w:pPr>
        <w:spacing w:line="360" w:lineRule="auto"/>
        <w:ind w:firstLine="482" w:firstLineChars="200"/>
        <w:rPr>
          <w:rFonts w:hint="eastAsia" w:ascii="宋体" w:hAnsi="宋体" w:cs="宋体"/>
          <w:b/>
          <w:bCs/>
          <w:sz w:val="24"/>
        </w:rPr>
      </w:pPr>
      <w:r>
        <w:rPr>
          <w:rFonts w:hint="eastAsia" w:ascii="宋体" w:hAnsi="宋体" w:cs="宋体"/>
          <w:b/>
          <w:bCs/>
          <w:sz w:val="24"/>
        </w:rPr>
        <w:t>12.响应文件的组成</w:t>
      </w:r>
    </w:p>
    <w:p w14:paraId="6967326A">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12.1响应文件由资格证明文件、报价文件、商务技术文件三部分组成。</w:t>
      </w:r>
    </w:p>
    <w:p w14:paraId="25FCBA71">
      <w:pPr>
        <w:spacing w:line="360" w:lineRule="auto"/>
        <w:ind w:left="840" w:leftChars="200" w:hanging="420" w:hangingChars="200"/>
        <w:rPr>
          <w:rFonts w:hint="eastAsia" w:ascii="宋体" w:hAnsi="宋体" w:cs="宋体"/>
          <w:szCs w:val="21"/>
        </w:rPr>
      </w:pPr>
      <w:r>
        <w:rPr>
          <w:rFonts w:hint="eastAsia" w:ascii="宋体" w:hAnsi="宋体" w:cs="宋体"/>
          <w:szCs w:val="21"/>
        </w:rPr>
        <w:t>12.1.1资格证明文件：详见“供应商须知前附表”</w:t>
      </w:r>
    </w:p>
    <w:p w14:paraId="07315484">
      <w:pPr>
        <w:spacing w:line="360" w:lineRule="auto"/>
        <w:ind w:left="840" w:leftChars="200" w:hanging="420" w:hangingChars="200"/>
        <w:rPr>
          <w:rFonts w:hint="eastAsia" w:ascii="宋体" w:hAnsi="宋体" w:cs="宋体"/>
          <w:szCs w:val="21"/>
        </w:rPr>
      </w:pPr>
      <w:r>
        <w:rPr>
          <w:rFonts w:hint="eastAsia" w:ascii="宋体" w:hAnsi="宋体" w:cs="宋体"/>
          <w:szCs w:val="21"/>
        </w:rPr>
        <w:t>12.1.2报价文件：详见“供应商须知前附表”</w:t>
      </w:r>
    </w:p>
    <w:p w14:paraId="2074CAC7">
      <w:pPr>
        <w:spacing w:line="360" w:lineRule="auto"/>
        <w:ind w:left="840" w:leftChars="200" w:hanging="420" w:hangingChars="200"/>
        <w:rPr>
          <w:rFonts w:hint="eastAsia" w:ascii="宋体" w:hAnsi="宋体" w:cs="宋体"/>
          <w:szCs w:val="21"/>
        </w:rPr>
      </w:pPr>
      <w:r>
        <w:rPr>
          <w:rFonts w:hint="eastAsia" w:ascii="宋体" w:hAnsi="宋体" w:cs="宋体"/>
          <w:szCs w:val="21"/>
        </w:rPr>
        <w:t>12.1.3商务技术文件：详见“供应商须知前附表”</w:t>
      </w:r>
    </w:p>
    <w:p w14:paraId="7D4D3C59">
      <w:pPr>
        <w:spacing w:line="360" w:lineRule="auto"/>
        <w:ind w:firstLine="482" w:firstLineChars="200"/>
        <w:rPr>
          <w:rFonts w:hint="eastAsia" w:ascii="宋体" w:hAnsi="宋体" w:cs="宋体"/>
          <w:b/>
          <w:bCs/>
          <w:sz w:val="24"/>
        </w:rPr>
      </w:pPr>
      <w:r>
        <w:rPr>
          <w:rFonts w:hint="eastAsia" w:ascii="宋体" w:hAnsi="宋体" w:cs="宋体"/>
          <w:b/>
          <w:bCs/>
          <w:sz w:val="24"/>
        </w:rPr>
        <w:t>13.计量单位</w:t>
      </w:r>
    </w:p>
    <w:p w14:paraId="641670B0">
      <w:pPr>
        <w:spacing w:line="360" w:lineRule="auto"/>
        <w:ind w:firstLine="420" w:firstLineChars="200"/>
        <w:rPr>
          <w:rFonts w:hint="eastAsia" w:ascii="宋体" w:hAnsi="宋体" w:cs="宋体"/>
          <w:szCs w:val="21"/>
        </w:rPr>
      </w:pPr>
      <w:r>
        <w:rPr>
          <w:rFonts w:hint="eastAsia" w:ascii="宋体" w:hAnsi="宋体" w:cs="宋体"/>
          <w:szCs w:val="21"/>
        </w:rPr>
        <w:t>谈判文件已有明确规定的，使用谈判文件规定的计量单位；谈判文件没有规定的，应采用中华人民共和国法定计量单位，货币种类为人民币，否则视同未响应。</w:t>
      </w:r>
    </w:p>
    <w:p w14:paraId="4966C6F5">
      <w:pPr>
        <w:spacing w:line="360" w:lineRule="auto"/>
        <w:ind w:firstLine="482" w:firstLineChars="200"/>
        <w:rPr>
          <w:rFonts w:hint="eastAsia" w:ascii="宋体" w:hAnsi="宋体" w:cs="宋体"/>
          <w:b/>
          <w:bCs/>
          <w:sz w:val="24"/>
        </w:rPr>
      </w:pPr>
      <w:r>
        <w:rPr>
          <w:rFonts w:hint="eastAsia" w:ascii="宋体" w:hAnsi="宋体" w:cs="宋体"/>
          <w:b/>
          <w:bCs/>
          <w:sz w:val="24"/>
        </w:rPr>
        <w:t>14.竞标的风险</w:t>
      </w:r>
    </w:p>
    <w:p w14:paraId="16B1D5B6">
      <w:pPr>
        <w:spacing w:line="360" w:lineRule="auto"/>
        <w:ind w:firstLine="420" w:firstLineChars="200"/>
        <w:rPr>
          <w:rFonts w:hint="eastAsia" w:ascii="宋体" w:hAnsi="宋体" w:cs="宋体"/>
          <w:szCs w:val="21"/>
        </w:rPr>
      </w:pPr>
      <w:r>
        <w:rPr>
          <w:rFonts w:hint="eastAsia" w:ascii="宋体" w:hAnsi="宋体" w:cs="宋体"/>
          <w:szCs w:val="21"/>
        </w:rPr>
        <w:t>供应商没有按照谈判文件要求提供全部资料，或者供应商没有对谈判文件在各方面作出实质性响应可能导致其响应文件按无效处理，是供应商应当考虑的风险。</w:t>
      </w:r>
    </w:p>
    <w:p w14:paraId="6E9A58D9">
      <w:pPr>
        <w:spacing w:line="360" w:lineRule="auto"/>
        <w:ind w:firstLine="482" w:firstLineChars="200"/>
        <w:rPr>
          <w:rFonts w:hint="eastAsia" w:ascii="宋体" w:hAnsi="宋体" w:cs="宋体"/>
          <w:b/>
          <w:bCs/>
          <w:sz w:val="24"/>
        </w:rPr>
      </w:pPr>
      <w:r>
        <w:rPr>
          <w:rFonts w:hint="eastAsia" w:ascii="宋体" w:hAnsi="宋体" w:cs="宋体"/>
          <w:b/>
          <w:bCs/>
          <w:sz w:val="24"/>
        </w:rPr>
        <w:t>15.竞标报价</w:t>
      </w:r>
    </w:p>
    <w:p w14:paraId="5705C0AE">
      <w:pPr>
        <w:spacing w:line="360" w:lineRule="auto"/>
        <w:ind w:firstLine="420" w:firstLineChars="200"/>
        <w:rPr>
          <w:rFonts w:hint="eastAsia" w:ascii="宋体" w:hAnsi="宋体" w:cs="宋体"/>
          <w:szCs w:val="21"/>
        </w:rPr>
      </w:pPr>
      <w:r>
        <w:rPr>
          <w:rFonts w:hint="eastAsia" w:ascii="宋体" w:hAnsi="宋体" w:cs="宋体"/>
          <w:szCs w:val="21"/>
        </w:rPr>
        <w:t>15.1竞标报价应按谈判文件中“竞标报价表”格式填写。</w:t>
      </w:r>
    </w:p>
    <w:p w14:paraId="0DCCCC9C">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15.2竞标报价的内容详见“供应商须知前附表”。</w:t>
      </w:r>
    </w:p>
    <w:p w14:paraId="2B23B81E">
      <w:pPr>
        <w:spacing w:line="360" w:lineRule="auto"/>
        <w:ind w:left="426" w:leftChars="203"/>
        <w:rPr>
          <w:rFonts w:hint="eastAsia" w:ascii="宋体" w:hAnsi="宋体" w:cs="宋体"/>
          <w:szCs w:val="21"/>
        </w:rPr>
      </w:pPr>
      <w:r>
        <w:rPr>
          <w:rFonts w:hint="eastAsia" w:ascii="宋体" w:hAnsi="宋体" w:cs="宋体"/>
          <w:szCs w:val="21"/>
        </w:rPr>
        <w:t>15.3竞标报价要求</w:t>
      </w:r>
    </w:p>
    <w:p w14:paraId="40E67CED">
      <w:pPr>
        <w:spacing w:line="360" w:lineRule="auto"/>
        <w:ind w:firstLine="420" w:firstLineChars="200"/>
        <w:rPr>
          <w:rFonts w:hint="eastAsia" w:ascii="宋体" w:hAnsi="宋体" w:cs="宋体"/>
          <w:szCs w:val="21"/>
        </w:rPr>
      </w:pPr>
      <w:r>
        <w:rPr>
          <w:rFonts w:hint="eastAsia" w:ascii="宋体" w:hAnsi="宋体" w:cs="宋体"/>
          <w:szCs w:val="21"/>
        </w:rPr>
        <w:t>15.3.1供应商的竞标报价应符合以下要求，否则响应文件按无效响应处理：</w:t>
      </w:r>
    </w:p>
    <w:p w14:paraId="5DCA6B19">
      <w:pPr>
        <w:spacing w:line="360" w:lineRule="auto"/>
        <w:ind w:left="420" w:leftChars="200"/>
        <w:rPr>
          <w:rFonts w:hint="eastAsia" w:ascii="宋体" w:hAnsi="宋体" w:cs="宋体"/>
          <w:szCs w:val="21"/>
        </w:rPr>
      </w:pPr>
      <w:r>
        <w:rPr>
          <w:rFonts w:hint="eastAsia" w:ascii="宋体" w:hAnsi="宋体" w:cs="宋体"/>
          <w:szCs w:val="21"/>
        </w:rPr>
        <w:t>（1）供应商必须就“采购需求”中所竞标的每个分标的全部内容分别作完整唯一总价报价，</w:t>
      </w:r>
    </w:p>
    <w:p w14:paraId="3F0024BB">
      <w:pPr>
        <w:spacing w:line="360" w:lineRule="auto"/>
        <w:rPr>
          <w:rFonts w:hint="eastAsia" w:ascii="宋体" w:hAnsi="宋体" w:cs="宋体"/>
          <w:szCs w:val="21"/>
        </w:rPr>
      </w:pPr>
      <w:r>
        <w:rPr>
          <w:rFonts w:hint="eastAsia" w:ascii="宋体" w:hAnsi="宋体" w:cs="宋体"/>
          <w:szCs w:val="21"/>
        </w:rPr>
        <w:t>不得存在漏项报价；</w:t>
      </w:r>
    </w:p>
    <w:p w14:paraId="382415F7">
      <w:pPr>
        <w:spacing w:line="360" w:lineRule="auto"/>
        <w:ind w:firstLine="420" w:firstLineChars="200"/>
        <w:rPr>
          <w:rFonts w:hint="eastAsia" w:ascii="宋体" w:hAnsi="宋体" w:cs="宋体"/>
          <w:szCs w:val="21"/>
        </w:rPr>
      </w:pPr>
      <w:r>
        <w:rPr>
          <w:rFonts w:hint="eastAsia" w:ascii="宋体" w:hAnsi="宋体" w:cs="宋体"/>
          <w:szCs w:val="21"/>
        </w:rPr>
        <w:t>（2）供应商必须就所竞标的分标的单项内容作唯一报价。</w:t>
      </w:r>
    </w:p>
    <w:p w14:paraId="28107876">
      <w:pPr>
        <w:spacing w:line="360" w:lineRule="auto"/>
        <w:ind w:firstLine="420" w:firstLineChars="200"/>
        <w:rPr>
          <w:rFonts w:hint="eastAsia" w:ascii="宋体" w:hAnsi="宋体" w:cs="宋体"/>
          <w:szCs w:val="21"/>
        </w:rPr>
      </w:pPr>
      <w:r>
        <w:rPr>
          <w:rFonts w:hint="eastAsia" w:ascii="宋体" w:hAnsi="宋体" w:cs="宋体"/>
          <w:szCs w:val="21"/>
        </w:rPr>
        <w:t>15.3.2竞标报价（包含首次报价、最后报价）超过所竞标分标规定的采购预算金额或者最高限价的，其响应文件将按无效处理。</w:t>
      </w:r>
    </w:p>
    <w:p w14:paraId="75FD9949">
      <w:pPr>
        <w:spacing w:line="360" w:lineRule="auto"/>
        <w:ind w:firstLine="420" w:firstLineChars="200"/>
        <w:rPr>
          <w:rFonts w:hint="eastAsia" w:ascii="宋体" w:hAnsi="宋体" w:cs="宋体"/>
          <w:szCs w:val="21"/>
        </w:rPr>
      </w:pPr>
      <w:r>
        <w:rPr>
          <w:rFonts w:hint="eastAsia" w:ascii="宋体" w:hAnsi="宋体" w:cs="宋体"/>
          <w:szCs w:val="21"/>
        </w:rPr>
        <w:t>15.3.3竞标报价（包含首次报价、最后报价）超过分项采购预算金额或者最高限价的，其响应文件将按无效处理。</w:t>
      </w:r>
    </w:p>
    <w:p w14:paraId="0828BB78">
      <w:pPr>
        <w:spacing w:line="360" w:lineRule="auto"/>
        <w:ind w:firstLine="482" w:firstLineChars="200"/>
        <w:rPr>
          <w:rFonts w:hint="eastAsia" w:ascii="宋体" w:hAnsi="宋体" w:cs="宋体"/>
          <w:b/>
          <w:bCs/>
          <w:sz w:val="24"/>
        </w:rPr>
      </w:pPr>
      <w:r>
        <w:rPr>
          <w:rFonts w:hint="eastAsia" w:ascii="宋体" w:hAnsi="宋体" w:cs="宋体"/>
          <w:b/>
          <w:bCs/>
          <w:sz w:val="24"/>
        </w:rPr>
        <w:t>16.竞标有效期</w:t>
      </w:r>
    </w:p>
    <w:p w14:paraId="12BB4F77">
      <w:pPr>
        <w:spacing w:line="360" w:lineRule="auto"/>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0A92A706">
      <w:pPr>
        <w:spacing w:line="360" w:lineRule="auto"/>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566CF64E">
      <w:pPr>
        <w:spacing w:line="360" w:lineRule="auto"/>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2F7AECA8">
      <w:pPr>
        <w:spacing w:line="360" w:lineRule="auto"/>
        <w:ind w:firstLine="482" w:firstLineChars="200"/>
        <w:rPr>
          <w:rFonts w:hint="eastAsia" w:ascii="宋体" w:hAnsi="宋体" w:cs="宋体"/>
          <w:b/>
          <w:bCs/>
          <w:sz w:val="24"/>
        </w:rPr>
      </w:pPr>
      <w:r>
        <w:rPr>
          <w:rFonts w:hint="eastAsia" w:ascii="宋体" w:hAnsi="宋体" w:cs="宋体"/>
          <w:b/>
          <w:bCs/>
          <w:sz w:val="24"/>
        </w:rPr>
        <w:t>17.竞标保证金</w:t>
      </w:r>
    </w:p>
    <w:p w14:paraId="15D2AD2C">
      <w:pPr>
        <w:spacing w:line="360" w:lineRule="auto"/>
        <w:ind w:left="420" w:leftChars="200"/>
        <w:rPr>
          <w:rFonts w:hint="eastAsia" w:ascii="宋体" w:hAnsi="宋体" w:cs="宋体"/>
          <w:szCs w:val="21"/>
        </w:rPr>
      </w:pPr>
      <w:r>
        <w:rPr>
          <w:rFonts w:hint="eastAsia" w:ascii="宋体" w:hAnsi="宋体" w:cs="宋体"/>
          <w:szCs w:val="21"/>
        </w:rPr>
        <w:t>17.1供应商须按“供应商须知前附表”的规定提交竞标保证金。</w:t>
      </w:r>
    </w:p>
    <w:p w14:paraId="0CC10F3D">
      <w:pPr>
        <w:spacing w:line="360" w:lineRule="auto"/>
        <w:ind w:left="420" w:leftChars="200"/>
        <w:rPr>
          <w:rFonts w:hint="eastAsia" w:ascii="宋体" w:hAnsi="宋体" w:cs="宋体"/>
          <w:szCs w:val="21"/>
        </w:rPr>
      </w:pPr>
      <w:r>
        <w:rPr>
          <w:rFonts w:hint="eastAsia" w:ascii="宋体" w:hAnsi="宋体" w:cs="宋体"/>
          <w:szCs w:val="21"/>
        </w:rPr>
        <w:t>17.2竞标保证金的退还</w:t>
      </w:r>
    </w:p>
    <w:p w14:paraId="26F0AA65">
      <w:pPr>
        <w:spacing w:line="360" w:lineRule="auto"/>
        <w:ind w:firstLine="420" w:firstLineChars="200"/>
        <w:rPr>
          <w:rFonts w:hint="eastAsia" w:ascii="宋体" w:hAnsi="宋体" w:cs="宋体"/>
          <w:szCs w:val="21"/>
        </w:rPr>
      </w:pPr>
      <w:r>
        <w:rPr>
          <w:rFonts w:hint="eastAsia" w:ascii="宋体" w:hAnsi="宋体" w:cs="宋体"/>
          <w:szCs w:val="21"/>
        </w:rPr>
        <w:t>未</w:t>
      </w:r>
      <w:r>
        <w:rPr>
          <w:rFonts w:hint="eastAsia" w:ascii="宋体" w:hAnsi="宋体" w:cs="宋体"/>
          <w:spacing w:val="-6"/>
          <w:szCs w:val="21"/>
        </w:rPr>
        <w:t>成交供应商的竞标保证金自成交通知书发出之日起5个工作日内退还</w:t>
      </w:r>
      <w:r>
        <w:rPr>
          <w:rFonts w:hint="eastAsia" w:ascii="宋体" w:hAnsi="宋体" w:cs="宋体"/>
          <w:szCs w:val="21"/>
        </w:rPr>
        <w:t xml:space="preserve">；成交供应商的竞标保证金自签订合同之日起5个工作日内退还。 </w:t>
      </w:r>
    </w:p>
    <w:p w14:paraId="6ED13D06">
      <w:pPr>
        <w:spacing w:line="360" w:lineRule="auto"/>
        <w:ind w:left="420" w:leftChars="200"/>
        <w:rPr>
          <w:rFonts w:hint="eastAsia" w:ascii="宋体" w:hAnsi="宋体" w:cs="宋体"/>
          <w:szCs w:val="21"/>
        </w:rPr>
      </w:pPr>
      <w:r>
        <w:rPr>
          <w:rFonts w:hint="eastAsia" w:ascii="宋体" w:hAnsi="宋体" w:cs="宋体"/>
          <w:szCs w:val="21"/>
        </w:rPr>
        <w:t>17.3竞标保证金不计息。</w:t>
      </w:r>
    </w:p>
    <w:p w14:paraId="3C22C68D">
      <w:pPr>
        <w:spacing w:line="360" w:lineRule="auto"/>
        <w:ind w:left="420" w:leftChars="200"/>
        <w:rPr>
          <w:rFonts w:hint="eastAsia" w:ascii="宋体" w:hAnsi="宋体" w:cs="宋体"/>
          <w:szCs w:val="21"/>
        </w:rPr>
      </w:pPr>
      <w:r>
        <w:rPr>
          <w:rFonts w:hint="eastAsia" w:ascii="宋体" w:hAnsi="宋体" w:cs="宋体"/>
          <w:szCs w:val="21"/>
        </w:rPr>
        <w:t xml:space="preserve">17.4供应商有下列情形之一的，竞标保证金将不予退还： </w:t>
      </w:r>
    </w:p>
    <w:p w14:paraId="2CACEC66">
      <w:pPr>
        <w:spacing w:line="360" w:lineRule="auto"/>
        <w:ind w:left="420" w:leftChars="200"/>
        <w:rPr>
          <w:rFonts w:hint="eastAsia" w:ascii="宋体" w:hAnsi="宋体" w:cs="宋体"/>
          <w:szCs w:val="21"/>
        </w:rPr>
      </w:pPr>
      <w:r>
        <w:rPr>
          <w:rFonts w:hint="eastAsia" w:ascii="宋体" w:hAnsi="宋体" w:cs="宋体"/>
          <w:szCs w:val="21"/>
        </w:rPr>
        <w:t>（1）供应商在提交响应文件截止时间后撤回响应文件的；</w:t>
      </w:r>
    </w:p>
    <w:p w14:paraId="4A58EE77">
      <w:pPr>
        <w:spacing w:line="360" w:lineRule="auto"/>
        <w:ind w:left="420" w:leftChars="200"/>
        <w:rPr>
          <w:rFonts w:hint="eastAsia" w:ascii="宋体" w:hAnsi="宋体" w:cs="宋体"/>
          <w:szCs w:val="21"/>
        </w:rPr>
      </w:pPr>
      <w:r>
        <w:rPr>
          <w:rFonts w:hint="eastAsia" w:ascii="宋体" w:hAnsi="宋体" w:cs="宋体"/>
          <w:szCs w:val="21"/>
        </w:rPr>
        <w:t>（2）未按规定提交履约保证金的；</w:t>
      </w:r>
    </w:p>
    <w:p w14:paraId="2AA009C9">
      <w:pPr>
        <w:spacing w:line="360" w:lineRule="auto"/>
        <w:ind w:left="420" w:leftChars="200"/>
        <w:rPr>
          <w:rFonts w:hint="eastAsia" w:ascii="宋体" w:hAnsi="宋体" w:cs="宋体"/>
          <w:szCs w:val="21"/>
        </w:rPr>
      </w:pPr>
      <w:r>
        <w:rPr>
          <w:rFonts w:hint="eastAsia" w:ascii="宋体" w:hAnsi="宋体" w:cs="宋体"/>
          <w:szCs w:val="21"/>
        </w:rPr>
        <w:t>（3）供应商在响应文件中提供虚假材料的；</w:t>
      </w:r>
    </w:p>
    <w:p w14:paraId="2049F18C">
      <w:pPr>
        <w:spacing w:line="360" w:lineRule="auto"/>
        <w:ind w:firstLine="420" w:firstLineChars="200"/>
        <w:rPr>
          <w:rFonts w:hint="eastAsia" w:ascii="宋体" w:hAnsi="宋体" w:cs="宋体"/>
          <w:szCs w:val="21"/>
        </w:rPr>
      </w:pPr>
      <w:r>
        <w:rPr>
          <w:rFonts w:hint="eastAsia" w:ascii="宋体" w:hAnsi="宋体" w:cs="宋体"/>
          <w:szCs w:val="21"/>
        </w:rPr>
        <w:t>（4）除因不可抗力或者谈判文件认可的情形以外，成交供应商不与采购人签订合同的；</w:t>
      </w:r>
    </w:p>
    <w:p w14:paraId="15932DD2">
      <w:pPr>
        <w:spacing w:line="360" w:lineRule="auto"/>
        <w:ind w:left="420" w:leftChars="200"/>
        <w:rPr>
          <w:rFonts w:hint="eastAsia" w:ascii="宋体" w:hAnsi="宋体" w:cs="宋体"/>
          <w:szCs w:val="21"/>
        </w:rPr>
      </w:pPr>
      <w:r>
        <w:rPr>
          <w:rFonts w:hint="eastAsia" w:ascii="宋体" w:hAnsi="宋体" w:cs="宋体"/>
          <w:szCs w:val="21"/>
        </w:rPr>
        <w:t>（5）供应商与采购人、其他供应商或者采购代理机构恶意串通的；</w:t>
      </w:r>
    </w:p>
    <w:p w14:paraId="0FF3CAE5">
      <w:pPr>
        <w:spacing w:line="360" w:lineRule="auto"/>
        <w:ind w:left="420" w:leftChars="200"/>
        <w:rPr>
          <w:rFonts w:hint="eastAsia" w:ascii="宋体" w:hAnsi="宋体" w:cs="宋体"/>
          <w:szCs w:val="21"/>
        </w:rPr>
      </w:pPr>
      <w:r>
        <w:rPr>
          <w:rFonts w:hint="eastAsia" w:ascii="宋体" w:hAnsi="宋体" w:cs="宋体"/>
          <w:szCs w:val="21"/>
        </w:rPr>
        <w:t>（6）法律法规规定的其他情形。</w:t>
      </w:r>
    </w:p>
    <w:p w14:paraId="0E9BD328">
      <w:pPr>
        <w:spacing w:line="360" w:lineRule="auto"/>
        <w:ind w:firstLine="482" w:firstLineChars="200"/>
        <w:rPr>
          <w:rFonts w:hint="eastAsia" w:ascii="宋体" w:hAnsi="宋体" w:cs="宋体"/>
          <w:b/>
          <w:bCs/>
          <w:sz w:val="24"/>
        </w:rPr>
      </w:pPr>
      <w:r>
        <w:rPr>
          <w:rFonts w:hint="eastAsia" w:ascii="宋体" w:hAnsi="宋体" w:cs="宋体"/>
          <w:b/>
          <w:bCs/>
          <w:sz w:val="24"/>
        </w:rPr>
        <w:t>18. 响应文件编制的要求</w:t>
      </w:r>
    </w:p>
    <w:p w14:paraId="08CECB04">
      <w:pPr>
        <w:spacing w:line="360" w:lineRule="auto"/>
        <w:ind w:firstLine="420" w:firstLineChars="200"/>
        <w:rPr>
          <w:rFonts w:hint="eastAsia" w:ascii="宋体" w:hAnsi="宋体" w:cs="宋体"/>
          <w:szCs w:val="21"/>
        </w:rPr>
      </w:pPr>
      <w:r>
        <w:rPr>
          <w:rFonts w:hint="eastAsia" w:ascii="宋体" w:hAnsi="宋体" w:cs="宋体"/>
          <w:szCs w:val="21"/>
        </w:rPr>
        <w:t>18.1供应商应先安装“</w:t>
      </w:r>
      <w:r>
        <w:rPr>
          <w:rFonts w:hint="eastAsia"/>
          <w:color w:val="000000"/>
        </w:rPr>
        <w:t>广西政府采购客户端</w:t>
      </w:r>
      <w:r>
        <w:rPr>
          <w:rFonts w:hint="eastAsia" w:ascii="宋体" w:hAnsi="宋体" w:cs="宋体"/>
          <w:szCs w:val="21"/>
        </w:rPr>
        <w:t>”（请自行前往广西政府采购云平台进行下载），并按照本项目谈判文件规定的格式和顺序和广西政府采购云平台的要求编制并加密。响应文件内容不完整、编排混乱导致响应文件被误读、漏读或者查找不到相关内容的，由此引发的后果由供应商承担。</w:t>
      </w:r>
    </w:p>
    <w:p w14:paraId="1ADED675">
      <w:pPr>
        <w:spacing w:line="360" w:lineRule="auto"/>
        <w:ind w:firstLine="420" w:firstLineChars="200"/>
        <w:rPr>
          <w:rFonts w:hint="eastAsia" w:ascii="宋体" w:hAnsi="宋体" w:cs="宋体"/>
          <w:szCs w:val="21"/>
        </w:rPr>
      </w:pPr>
      <w:r>
        <w:rPr>
          <w:rFonts w:hint="eastAsia" w:ascii="宋体" w:hAnsi="宋体" w:cs="宋体"/>
          <w:szCs w:val="21"/>
        </w:rPr>
        <w:t>18.2为确保网上操作合法、有效和安全，供应商应当在提交响应文件截止时间前完成在广西政府采购云平台的身份认证，确保在电子竞标过程中能够对相关数据电文进行加密和使用电子签章。</w:t>
      </w:r>
    </w:p>
    <w:p w14:paraId="63B15F5B">
      <w:pPr>
        <w:spacing w:line="360" w:lineRule="auto"/>
        <w:ind w:firstLine="420" w:firstLineChars="200"/>
        <w:rPr>
          <w:rFonts w:hint="eastAsia" w:ascii="宋体" w:hAnsi="宋体" w:cs="宋体"/>
          <w:szCs w:val="21"/>
        </w:rPr>
      </w:pPr>
      <w:r>
        <w:rPr>
          <w:rFonts w:hint="eastAsia" w:ascii="宋体" w:hAnsi="宋体" w:cs="宋体"/>
          <w:szCs w:val="21"/>
        </w:rPr>
        <w:t>18.3响应文件须由供应商在规定位置签字、盖章（具体以供应商须知前附表或响应文件格式规定为准），否则按无效响应处理。</w:t>
      </w:r>
    </w:p>
    <w:p w14:paraId="5DFA566E">
      <w:pPr>
        <w:spacing w:line="360" w:lineRule="auto"/>
        <w:ind w:firstLine="420" w:firstLineChars="200"/>
        <w:rPr>
          <w:rFonts w:hint="eastAsia" w:ascii="宋体" w:hAnsi="宋体" w:cs="宋体"/>
          <w:szCs w:val="21"/>
        </w:rPr>
      </w:pPr>
      <w:r>
        <w:rPr>
          <w:rFonts w:hint="eastAsia" w:ascii="宋体" w:hAnsi="宋体" w:cs="宋体"/>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47EA5FD6">
      <w:pPr>
        <w:spacing w:line="360" w:lineRule="auto"/>
        <w:ind w:firstLine="420" w:firstLineChars="200"/>
        <w:rPr>
          <w:rFonts w:hint="eastAsia" w:ascii="宋体" w:hAnsi="宋体" w:cs="宋体"/>
          <w:szCs w:val="21"/>
        </w:rPr>
      </w:pPr>
      <w:r>
        <w:rPr>
          <w:rFonts w:hint="eastAsia" w:ascii="宋体" w:hAnsi="宋体" w:cs="宋体"/>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E79575D">
      <w:pPr>
        <w:spacing w:line="360" w:lineRule="auto"/>
        <w:ind w:firstLine="482" w:firstLineChars="200"/>
        <w:rPr>
          <w:rFonts w:hint="eastAsia" w:ascii="宋体" w:hAnsi="宋体" w:cs="宋体"/>
          <w:sz w:val="24"/>
        </w:rPr>
      </w:pPr>
      <w:r>
        <w:rPr>
          <w:rFonts w:hint="eastAsia" w:ascii="宋体" w:hAnsi="宋体" w:cs="宋体"/>
          <w:b/>
          <w:bCs/>
          <w:sz w:val="24"/>
        </w:rPr>
        <w:t>19.电子</w:t>
      </w:r>
      <w:r>
        <w:rPr>
          <w:rFonts w:hint="eastAsia" w:ascii="宋体" w:hAnsi="宋体" w:cs="宋体"/>
          <w:b/>
          <w:sz w:val="24"/>
        </w:rPr>
        <w:t>备份响应文件</w:t>
      </w:r>
    </w:p>
    <w:p w14:paraId="0418D4AB">
      <w:pPr>
        <w:spacing w:line="360" w:lineRule="auto"/>
        <w:ind w:firstLine="420" w:firstLineChars="200"/>
        <w:rPr>
          <w:rFonts w:hint="eastAsia" w:ascii="宋体" w:hAnsi="宋体" w:cs="宋体"/>
          <w:sz w:val="24"/>
        </w:rPr>
      </w:pPr>
      <w:r>
        <w:rPr>
          <w:rFonts w:hint="eastAsia" w:ascii="宋体" w:hAnsi="宋体" w:cs="宋体"/>
        </w:rPr>
        <w:t>电子备份响应文件是指通过“广西政府采购客户端”在线编制生成且后缀名为“bfbs”的文件，是否接受电子备份响应文件</w:t>
      </w:r>
      <w:r>
        <w:rPr>
          <w:rFonts w:hint="eastAsia" w:ascii="宋体" w:hAnsi="宋体" w:cs="宋体"/>
          <w:bCs/>
          <w:szCs w:val="21"/>
        </w:rPr>
        <w:t>详见在“供应商须知前附表”。</w:t>
      </w:r>
    </w:p>
    <w:p w14:paraId="129AB4BC">
      <w:pPr>
        <w:spacing w:line="360" w:lineRule="auto"/>
        <w:ind w:firstLine="482" w:firstLineChars="200"/>
        <w:rPr>
          <w:rFonts w:hint="eastAsia" w:ascii="宋体" w:hAnsi="宋体" w:cs="宋体"/>
          <w:b/>
          <w:bCs/>
          <w:sz w:val="24"/>
        </w:rPr>
      </w:pPr>
      <w:r>
        <w:rPr>
          <w:rFonts w:hint="eastAsia" w:ascii="宋体" w:hAnsi="宋体" w:cs="宋体"/>
          <w:b/>
          <w:bCs/>
          <w:sz w:val="24"/>
        </w:rPr>
        <w:t>20.响应文件的提交</w:t>
      </w:r>
    </w:p>
    <w:p w14:paraId="1B6F7064">
      <w:pPr>
        <w:spacing w:line="360" w:lineRule="auto"/>
        <w:ind w:firstLine="420" w:firstLineChars="200"/>
        <w:rPr>
          <w:rFonts w:hint="eastAsia" w:ascii="宋体" w:hAnsi="宋体" w:cs="宋体"/>
          <w:b/>
        </w:rPr>
      </w:pPr>
      <w:r>
        <w:rPr>
          <w:rFonts w:hint="eastAsia" w:ascii="宋体" w:hAnsi="宋体" w:cs="宋体"/>
          <w:bCs/>
          <w:szCs w:val="21"/>
        </w:rPr>
        <w:t>20.1供应商必须按“供应商须知前附表”规定的</w:t>
      </w:r>
      <w:r>
        <w:rPr>
          <w:rFonts w:hint="eastAsia" w:ascii="宋体" w:hAnsi="宋体" w:cs="宋体"/>
          <w:szCs w:val="21"/>
        </w:rPr>
        <w:t>时间及</w:t>
      </w:r>
      <w:r>
        <w:rPr>
          <w:rFonts w:hint="eastAsia" w:ascii="宋体" w:hAnsi="宋体" w:cs="宋体"/>
          <w:bCs/>
          <w:szCs w:val="21"/>
        </w:rPr>
        <w:t>地点提交响应文件。电子响应文件应在制作完成后，在提交响应文件截止时间前通过有效数字证书（CA认证锁）进行电子签章、加密，然后通过网络将加密的电子响应文件提交至</w:t>
      </w:r>
      <w:r>
        <w:rPr>
          <w:rFonts w:hint="eastAsia" w:ascii="宋体" w:hAnsi="宋体" w:cs="宋体"/>
          <w:szCs w:val="21"/>
        </w:rPr>
        <w:t>广西政府采购云平台</w:t>
      </w:r>
      <w:r>
        <w:rPr>
          <w:rFonts w:hint="eastAsia" w:ascii="宋体" w:hAnsi="宋体" w:cs="宋体"/>
          <w:bCs/>
          <w:szCs w:val="21"/>
        </w:rPr>
        <w:t xml:space="preserve">。 </w:t>
      </w:r>
      <w:r>
        <w:rPr>
          <w:rFonts w:hint="eastAsia" w:ascii="宋体" w:hAnsi="宋体" w:cs="宋体"/>
          <w:b/>
        </w:rPr>
        <w:t xml:space="preserve"> </w:t>
      </w:r>
    </w:p>
    <w:p w14:paraId="6FCBBD90">
      <w:pPr>
        <w:spacing w:line="360" w:lineRule="auto"/>
        <w:ind w:firstLine="422" w:firstLineChars="200"/>
        <w:rPr>
          <w:rFonts w:hint="eastAsia" w:ascii="宋体" w:hAnsi="宋体" w:cs="宋体"/>
          <w:b/>
          <w:szCs w:val="20"/>
        </w:rPr>
      </w:pPr>
      <w:r>
        <w:rPr>
          <w:rFonts w:hint="eastAsia" w:ascii="宋体" w:hAnsi="宋体" w:cs="宋体"/>
          <w:b/>
          <w:szCs w:val="21"/>
        </w:rPr>
        <w:t>20.2未在规定时间内提交或者未按照谈判文件要求加密的电子响应文件，广西政府采购云平台将拒收。</w:t>
      </w:r>
    </w:p>
    <w:p w14:paraId="1E1EACD7">
      <w:pPr>
        <w:spacing w:line="360" w:lineRule="auto"/>
        <w:ind w:firstLine="482" w:firstLineChars="200"/>
        <w:rPr>
          <w:rFonts w:hint="eastAsia" w:ascii="宋体" w:hAnsi="宋体" w:cs="宋体"/>
          <w:b/>
          <w:bCs/>
          <w:sz w:val="24"/>
        </w:rPr>
      </w:pPr>
      <w:r>
        <w:rPr>
          <w:rFonts w:hint="eastAsia" w:ascii="宋体" w:hAnsi="宋体" w:cs="宋体"/>
          <w:b/>
          <w:bCs/>
          <w:sz w:val="24"/>
        </w:rPr>
        <w:t>21.首次响应文件的补充、修改与撤回</w:t>
      </w:r>
    </w:p>
    <w:p w14:paraId="4C4AC04E">
      <w:pPr>
        <w:snapToGrid w:val="0"/>
        <w:spacing w:line="360" w:lineRule="auto"/>
        <w:ind w:firstLine="420"/>
        <w:jc w:val="left"/>
        <w:rPr>
          <w:rFonts w:hint="eastAsia" w:ascii="宋体" w:hAnsi="宋体" w:cs="宋体"/>
          <w:szCs w:val="21"/>
        </w:rPr>
      </w:pPr>
      <w:bookmarkStart w:id="67" w:name="_Toc254970543"/>
      <w:bookmarkStart w:id="68" w:name="_Toc254970684"/>
      <w:r>
        <w:rPr>
          <w:rFonts w:hint="eastAsia" w:ascii="宋体" w:hAnsi="宋体" w:cs="宋体"/>
          <w:szCs w:val="21"/>
        </w:rPr>
        <w:t>21.1</w:t>
      </w:r>
      <w:r>
        <w:rPr>
          <w:rFonts w:hint="eastAsia" w:ascii="宋体" w:hAnsi="宋体" w:cs="宋体"/>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r>
        <w:rPr>
          <w:rFonts w:hint="eastAsia" w:ascii="宋体" w:hAnsi="宋体" w:cs="宋体"/>
          <w:szCs w:val="21"/>
        </w:rPr>
        <w:t>（补充、修改或者撤回方式可登陆</w:t>
      </w:r>
      <w:r>
        <w:rPr>
          <w:rFonts w:hint="eastAsia" w:ascii="宋体" w:hAnsi="宋体" w:cs="宋体"/>
          <w:kern w:val="0"/>
          <w:szCs w:val="21"/>
        </w:rPr>
        <w:t>广西政府采购云平台，</w:t>
      </w:r>
      <w:r>
        <w:rPr>
          <w:rFonts w:hint="eastAsia" w:ascii="宋体" w:hAnsi="宋体" w:cs="宋体"/>
          <w:szCs w:val="21"/>
        </w:rPr>
        <w:t>进入“服务中心”中查看 “电子投标文件制作与投送教程”）</w:t>
      </w:r>
    </w:p>
    <w:bookmarkEnd w:id="67"/>
    <w:bookmarkEnd w:id="68"/>
    <w:p w14:paraId="312A00BB">
      <w:pPr>
        <w:adjustRightInd w:val="0"/>
        <w:spacing w:line="360" w:lineRule="auto"/>
        <w:ind w:firstLine="420" w:firstLineChars="200"/>
        <w:rPr>
          <w:rFonts w:hint="eastAsia" w:ascii="宋体" w:hAnsi="宋体" w:cs="宋体"/>
          <w:szCs w:val="21"/>
        </w:rPr>
      </w:pPr>
      <w:r>
        <w:rPr>
          <w:rFonts w:hint="eastAsia" w:ascii="宋体" w:hAnsi="宋体" w:cs="宋体"/>
          <w:szCs w:val="21"/>
        </w:rPr>
        <w:t>21.2在提交响应文件截止时间前，除供应商补充、修改或者撤回响应文件外，任何单位和个人不得解密或提取响应文件。</w:t>
      </w:r>
    </w:p>
    <w:p w14:paraId="24D6F682">
      <w:pPr>
        <w:spacing w:line="360" w:lineRule="auto"/>
        <w:ind w:firstLine="482" w:firstLineChars="200"/>
        <w:rPr>
          <w:rFonts w:hint="eastAsia" w:ascii="宋体" w:hAnsi="宋体" w:cs="宋体"/>
          <w:b/>
          <w:bCs/>
          <w:sz w:val="24"/>
        </w:rPr>
      </w:pPr>
      <w:r>
        <w:rPr>
          <w:rFonts w:hint="eastAsia" w:ascii="宋体" w:hAnsi="宋体" w:cs="宋体"/>
          <w:b/>
          <w:bCs/>
          <w:sz w:val="24"/>
        </w:rPr>
        <w:t>22.响应文件的退回</w:t>
      </w:r>
    </w:p>
    <w:p w14:paraId="65EF3D0C">
      <w:pPr>
        <w:spacing w:line="360" w:lineRule="auto"/>
        <w:ind w:firstLine="420" w:firstLineChars="200"/>
        <w:rPr>
          <w:rFonts w:hint="eastAsia" w:ascii="宋体" w:hAnsi="宋体" w:cs="宋体"/>
          <w:szCs w:val="21"/>
        </w:rPr>
      </w:pPr>
      <w:r>
        <w:rPr>
          <w:rFonts w:hint="eastAsia" w:ascii="宋体" w:hAnsi="宋体" w:cs="宋体"/>
          <w:szCs w:val="21"/>
        </w:rPr>
        <w:t>采购人和采购代理机构对已提交的响应文件概不退回。</w:t>
      </w:r>
    </w:p>
    <w:p w14:paraId="322EAE32">
      <w:pPr>
        <w:spacing w:line="360" w:lineRule="auto"/>
        <w:ind w:firstLine="482" w:firstLineChars="200"/>
        <w:rPr>
          <w:rFonts w:hint="eastAsia" w:ascii="宋体" w:hAnsi="宋体" w:cs="宋体"/>
          <w:b/>
          <w:bCs/>
          <w:sz w:val="24"/>
        </w:rPr>
      </w:pPr>
      <w:r>
        <w:rPr>
          <w:rFonts w:hint="eastAsia" w:ascii="宋体" w:hAnsi="宋体" w:cs="宋体"/>
          <w:b/>
          <w:bCs/>
          <w:sz w:val="24"/>
        </w:rPr>
        <w:t>23.截止时间后的撤回</w:t>
      </w:r>
    </w:p>
    <w:p w14:paraId="6F32B43A">
      <w:pPr>
        <w:spacing w:line="360" w:lineRule="auto"/>
        <w:ind w:firstLine="420" w:firstLineChars="200"/>
        <w:rPr>
          <w:rFonts w:hint="eastAsia" w:ascii="宋体" w:hAnsi="宋体" w:cs="宋体"/>
          <w:szCs w:val="21"/>
        </w:rPr>
      </w:pPr>
      <w:r>
        <w:rPr>
          <w:rFonts w:hint="eastAsia" w:ascii="宋体" w:hAnsi="宋体" w:cs="宋体"/>
          <w:szCs w:val="21"/>
        </w:rPr>
        <w:t>供应商在响应文件提交截止时间后向采购人、采购代理机构书面申请撤回响应文件的，将根据本须知正文第17.4条的规定不予退还其竞标保证金。</w:t>
      </w:r>
    </w:p>
    <w:p w14:paraId="0A9093ED">
      <w:pPr>
        <w:spacing w:line="360" w:lineRule="auto"/>
        <w:jc w:val="center"/>
        <w:rPr>
          <w:rFonts w:hint="eastAsia" w:ascii="宋体" w:hAnsi="宋体" w:cs="宋体"/>
          <w:b/>
          <w:sz w:val="32"/>
          <w:szCs w:val="32"/>
        </w:rPr>
      </w:pPr>
      <w:r>
        <w:rPr>
          <w:rFonts w:hint="eastAsia" w:ascii="宋体" w:hAnsi="宋体" w:cs="宋体"/>
          <w:b/>
          <w:sz w:val="32"/>
          <w:szCs w:val="32"/>
        </w:rPr>
        <w:t>四、评审及谈判</w:t>
      </w:r>
    </w:p>
    <w:p w14:paraId="3205EE47">
      <w:pPr>
        <w:spacing w:line="360" w:lineRule="auto"/>
        <w:ind w:left="420" w:firstLine="420"/>
        <w:rPr>
          <w:rFonts w:hint="eastAsia" w:ascii="宋体" w:hAnsi="宋体" w:cs="宋体"/>
          <w:szCs w:val="21"/>
        </w:rPr>
      </w:pPr>
    </w:p>
    <w:p w14:paraId="522D7236">
      <w:pPr>
        <w:spacing w:line="360" w:lineRule="auto"/>
        <w:ind w:firstLine="482" w:firstLineChars="200"/>
        <w:rPr>
          <w:rFonts w:hint="eastAsia" w:ascii="宋体" w:hAnsi="宋体" w:cs="宋体"/>
          <w:b/>
          <w:bCs/>
          <w:sz w:val="24"/>
        </w:rPr>
      </w:pPr>
      <w:r>
        <w:rPr>
          <w:rFonts w:hint="eastAsia" w:ascii="宋体" w:hAnsi="宋体" w:cs="宋体"/>
          <w:b/>
          <w:bCs/>
          <w:sz w:val="24"/>
        </w:rPr>
        <w:t>24.谈判小组成立</w:t>
      </w:r>
    </w:p>
    <w:p w14:paraId="7D407F72">
      <w:pPr>
        <w:spacing w:line="360" w:lineRule="auto"/>
        <w:ind w:firstLine="420" w:firstLineChars="200"/>
        <w:rPr>
          <w:rFonts w:hint="eastAsia" w:ascii="宋体" w:hAnsi="宋体" w:cs="宋体"/>
          <w:szCs w:val="21"/>
        </w:rPr>
      </w:pPr>
      <w:r>
        <w:rPr>
          <w:rFonts w:hint="eastAsia" w:ascii="宋体" w:hAnsi="宋体" w:cs="宋体"/>
          <w:szCs w:val="21"/>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6772714E">
      <w:pPr>
        <w:spacing w:line="360" w:lineRule="auto"/>
        <w:ind w:firstLine="420" w:firstLineChars="200"/>
        <w:rPr>
          <w:rFonts w:hint="eastAsia" w:ascii="宋体" w:hAnsi="宋体" w:cs="宋体"/>
          <w:szCs w:val="21"/>
        </w:rPr>
      </w:pPr>
      <w:r>
        <w:rPr>
          <w:rFonts w:hint="eastAsia" w:ascii="宋体" w:hAnsi="宋体" w:cs="宋体"/>
          <w:szCs w:val="21"/>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1524F9DA">
      <w:pPr>
        <w:spacing w:line="360" w:lineRule="auto"/>
        <w:ind w:firstLine="420" w:firstLineChars="200"/>
        <w:rPr>
          <w:rFonts w:hint="eastAsia" w:ascii="宋体" w:hAnsi="宋体" w:cs="宋体"/>
          <w:szCs w:val="21"/>
        </w:rPr>
      </w:pPr>
      <w:r>
        <w:rPr>
          <w:rFonts w:hint="eastAsia" w:ascii="宋体" w:hAnsi="宋体" w:cs="宋体"/>
          <w:szCs w:val="21"/>
        </w:rPr>
        <w:t>24.3</w:t>
      </w:r>
      <w:r>
        <w:rPr>
          <w:rFonts w:hint="eastAsia" w:ascii="宋体" w:hAnsi="宋体" w:cs="宋体"/>
          <w:bCs/>
          <w:szCs w:val="21"/>
        </w:rPr>
        <w:t>采购代理机构</w:t>
      </w:r>
      <w:r>
        <w:rPr>
          <w:rFonts w:hint="eastAsia" w:ascii="宋体" w:hAnsi="宋体" w:cs="宋体"/>
          <w:bCs/>
        </w:rPr>
        <w:t>应当</w:t>
      </w:r>
      <w:r>
        <w:rPr>
          <w:rFonts w:hint="eastAsia" w:ascii="宋体" w:hAnsi="宋体" w:cs="宋体"/>
          <w:bCs/>
          <w:szCs w:val="21"/>
        </w:rPr>
        <w:t>基于广西政府采购云平台</w:t>
      </w:r>
      <w:r>
        <w:rPr>
          <w:rFonts w:hint="eastAsia" w:ascii="宋体" w:hAnsi="宋体" w:cs="宋体"/>
          <w:bCs/>
        </w:rPr>
        <w:t>抽（选）取</w:t>
      </w:r>
      <w:r>
        <w:rPr>
          <w:rFonts w:hint="eastAsia" w:ascii="宋体" w:hAnsi="宋体" w:cs="宋体"/>
          <w:bCs/>
          <w:szCs w:val="21"/>
        </w:rPr>
        <w:t>评审专家。</w:t>
      </w:r>
    </w:p>
    <w:p w14:paraId="3A22D499">
      <w:pPr>
        <w:spacing w:line="360" w:lineRule="auto"/>
        <w:ind w:firstLine="482" w:firstLineChars="200"/>
        <w:rPr>
          <w:rFonts w:hint="eastAsia" w:ascii="宋体" w:hAnsi="宋体" w:cs="宋体"/>
          <w:b/>
          <w:bCs/>
          <w:sz w:val="24"/>
        </w:rPr>
      </w:pPr>
      <w:r>
        <w:rPr>
          <w:rFonts w:hint="eastAsia" w:ascii="宋体" w:hAnsi="宋体" w:cs="宋体"/>
          <w:b/>
          <w:bCs/>
          <w:sz w:val="24"/>
        </w:rPr>
        <w:t>25. 首次响应文件的开启和解密</w:t>
      </w:r>
    </w:p>
    <w:p w14:paraId="07B7418B">
      <w:pPr>
        <w:spacing w:line="360" w:lineRule="auto"/>
        <w:ind w:firstLine="420"/>
        <w:rPr>
          <w:rFonts w:hint="eastAsia" w:ascii="宋体" w:hAnsi="宋体" w:cs="宋体"/>
          <w:b/>
          <w:bCs/>
          <w:sz w:val="24"/>
        </w:rPr>
      </w:pPr>
      <w:r>
        <w:rPr>
          <w:rFonts w:hint="eastAsia" w:ascii="宋体" w:hAnsi="宋体" w:cs="宋体"/>
          <w:bCs/>
        </w:rPr>
        <w:t>采购代理机构将在“供应商须知前附表”规定的时</w:t>
      </w:r>
      <w:r>
        <w:rPr>
          <w:rFonts w:hint="eastAsia" w:ascii="宋体" w:hAnsi="宋体" w:cs="宋体"/>
        </w:rPr>
        <w:t>间通过电子交易平台组织响应文件开启，供应商的法定代表人或其委托代理人须携带加密时所用的CA锁，按平台提示和谈判文件的规定登录到广西政府采购云平台电子开标大厅签到，采购代理机构依托广西政府采购云平台向各供应商发出电子加密响应文件【开始解密】通知，由供应商按</w:t>
      </w:r>
      <w:r>
        <w:rPr>
          <w:rFonts w:hint="eastAsia" w:ascii="宋体" w:hAnsi="宋体" w:cs="宋体"/>
          <w:bCs/>
          <w:szCs w:val="21"/>
        </w:rPr>
        <w:t>“供应商须知前附表”</w:t>
      </w:r>
      <w:r>
        <w:rPr>
          <w:rFonts w:hint="eastAsia" w:ascii="宋体" w:hAnsi="宋体" w:cs="宋体"/>
        </w:rPr>
        <w:t>规定的时间内自行进行响应文件解密。</w:t>
      </w:r>
      <w:r>
        <w:rPr>
          <w:rFonts w:hint="eastAsia" w:ascii="宋体" w:hAnsi="宋体" w:cs="宋体"/>
          <w:b/>
        </w:rPr>
        <w:t>供应商未在规定的时间内解密响应文件或者解密失败的，供应商</w:t>
      </w:r>
      <w:r>
        <w:rPr>
          <w:rFonts w:hint="eastAsia" w:ascii="宋体" w:hAnsi="宋体" w:cs="宋体"/>
          <w:b/>
          <w:szCs w:val="21"/>
        </w:rPr>
        <w:t>的响应文件作无效处理</w:t>
      </w:r>
      <w:r>
        <w:rPr>
          <w:rFonts w:hint="eastAsia" w:ascii="宋体" w:hAnsi="宋体" w:cs="宋体"/>
          <w:b/>
        </w:rPr>
        <w:t>。</w:t>
      </w:r>
    </w:p>
    <w:p w14:paraId="597B1BE5">
      <w:pPr>
        <w:spacing w:line="360" w:lineRule="auto"/>
        <w:ind w:firstLine="482" w:firstLineChars="200"/>
        <w:rPr>
          <w:rFonts w:hint="eastAsia" w:ascii="宋体" w:hAnsi="宋体" w:cs="宋体"/>
          <w:b/>
          <w:bCs/>
          <w:sz w:val="24"/>
        </w:rPr>
      </w:pPr>
      <w:r>
        <w:rPr>
          <w:rFonts w:hint="eastAsia" w:ascii="宋体" w:hAnsi="宋体" w:cs="宋体"/>
          <w:b/>
          <w:bCs/>
          <w:sz w:val="24"/>
        </w:rPr>
        <w:t>26. 评审程序和评定成交的标准</w:t>
      </w:r>
    </w:p>
    <w:p w14:paraId="73A973C5">
      <w:pPr>
        <w:spacing w:line="360" w:lineRule="auto"/>
        <w:ind w:firstLine="420" w:firstLineChars="200"/>
        <w:rPr>
          <w:rFonts w:hint="eastAsia" w:ascii="宋体" w:hAnsi="宋体" w:cs="宋体"/>
        </w:rPr>
      </w:pPr>
      <w:r>
        <w:rPr>
          <w:rFonts w:hint="eastAsia" w:ascii="宋体" w:hAnsi="宋体" w:cs="宋体"/>
        </w:rPr>
        <w:t>26.1谈判小组按照“第四章  评审程序和评定成交的标准”规定的评审程序对响应文件进行评审，并按照评定成交的标准推荐成交候选供应商。评审价相同时，成交候选供应商推荐顺序见</w:t>
      </w:r>
      <w:r>
        <w:rPr>
          <w:rFonts w:hint="eastAsia" w:ascii="宋体" w:hAnsi="宋体" w:cs="宋体"/>
          <w:szCs w:val="21"/>
        </w:rPr>
        <w:t>“供应商须知前附表”。</w:t>
      </w:r>
    </w:p>
    <w:p w14:paraId="39982270">
      <w:pPr>
        <w:spacing w:line="360" w:lineRule="auto"/>
        <w:ind w:firstLine="420" w:firstLineChars="200"/>
        <w:rPr>
          <w:rFonts w:hint="eastAsia" w:ascii="宋体" w:hAnsi="宋体" w:cs="宋体"/>
          <w:szCs w:val="21"/>
        </w:rPr>
      </w:pPr>
      <w:r>
        <w:rPr>
          <w:rFonts w:hint="eastAsia" w:ascii="宋体" w:hAnsi="宋体" w:cs="宋体"/>
          <w:szCs w:val="21"/>
        </w:rPr>
        <w:t>26.2 商务/技术要求允许负偏离的条款数详见“供应商须知前附表”。</w:t>
      </w:r>
    </w:p>
    <w:p w14:paraId="75327DA7">
      <w:pPr>
        <w:spacing w:line="360" w:lineRule="auto"/>
        <w:ind w:firstLine="420" w:firstLineChars="200"/>
        <w:rPr>
          <w:rFonts w:hint="eastAsia" w:ascii="宋体" w:hAnsi="宋体" w:cs="宋体"/>
          <w:szCs w:val="21"/>
        </w:rPr>
      </w:pPr>
      <w:r>
        <w:rPr>
          <w:rFonts w:hint="eastAsia" w:ascii="宋体" w:hAnsi="宋体" w:cs="宋体"/>
        </w:rPr>
        <w:t>26.3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34F4880F">
      <w:pPr>
        <w:spacing w:line="360" w:lineRule="auto"/>
        <w:ind w:firstLine="420" w:firstLineChars="200"/>
        <w:rPr>
          <w:rFonts w:hint="eastAsia" w:ascii="宋体" w:hAnsi="宋体" w:cs="宋体"/>
        </w:rPr>
      </w:pPr>
      <w:r>
        <w:rPr>
          <w:rFonts w:hint="eastAsia" w:ascii="宋体" w:hAnsi="宋体" w:cs="宋体"/>
        </w:rPr>
        <w:t>26.4电子交易活动的中止。采购过程中出现以下情形，导致电子交易平台无法正常运行，或者无法保证电子交易的公平、公正和安全时，采购机构可中止电子交易活动：</w:t>
      </w:r>
    </w:p>
    <w:p w14:paraId="276A04DB">
      <w:pPr>
        <w:spacing w:line="360" w:lineRule="auto"/>
        <w:ind w:firstLine="420" w:firstLineChars="200"/>
        <w:rPr>
          <w:rFonts w:hint="eastAsia" w:ascii="宋体" w:hAnsi="宋体" w:cs="宋体"/>
        </w:rPr>
      </w:pPr>
      <w:r>
        <w:rPr>
          <w:rFonts w:hint="eastAsia" w:ascii="宋体" w:hAnsi="宋体" w:cs="宋体"/>
        </w:rPr>
        <w:t xml:space="preserve">（1）电子交易平台发生故障而无法登录访问的； </w:t>
      </w:r>
    </w:p>
    <w:p w14:paraId="795EBE21">
      <w:pPr>
        <w:spacing w:line="360" w:lineRule="auto"/>
        <w:ind w:firstLine="420" w:firstLineChars="200"/>
        <w:rPr>
          <w:rFonts w:hint="eastAsia" w:ascii="宋体" w:hAnsi="宋体" w:cs="宋体"/>
        </w:rPr>
      </w:pPr>
      <w:r>
        <w:rPr>
          <w:rFonts w:hint="eastAsia" w:ascii="宋体" w:hAnsi="宋体" w:cs="宋体"/>
        </w:rPr>
        <w:t>（2）电子交易平台应用或数据库出现错误，不能进行正常操作的；</w:t>
      </w:r>
    </w:p>
    <w:p w14:paraId="66B224A9">
      <w:pPr>
        <w:spacing w:line="360" w:lineRule="auto"/>
        <w:ind w:firstLine="420" w:firstLineChars="200"/>
        <w:rPr>
          <w:rFonts w:hint="eastAsia" w:ascii="宋体" w:hAnsi="宋体" w:cs="宋体"/>
        </w:rPr>
      </w:pPr>
      <w:r>
        <w:rPr>
          <w:rFonts w:hint="eastAsia" w:ascii="宋体" w:hAnsi="宋体" w:cs="宋体"/>
        </w:rPr>
        <w:t>（3）电子交易平台发现严重安全漏洞，有潜在泄密危险的；</w:t>
      </w:r>
    </w:p>
    <w:p w14:paraId="128B1698">
      <w:pPr>
        <w:spacing w:line="360" w:lineRule="auto"/>
        <w:ind w:firstLine="420" w:firstLineChars="200"/>
        <w:rPr>
          <w:rFonts w:hint="eastAsia" w:ascii="宋体" w:hAnsi="宋体" w:cs="宋体"/>
        </w:rPr>
      </w:pPr>
      <w:r>
        <w:rPr>
          <w:rFonts w:hint="eastAsia" w:ascii="宋体" w:hAnsi="宋体" w:cs="宋体"/>
        </w:rPr>
        <w:t xml:space="preserve">（4）病毒发作导致不能进行正常操作的； </w:t>
      </w:r>
    </w:p>
    <w:p w14:paraId="2110CC05">
      <w:pPr>
        <w:spacing w:line="360" w:lineRule="auto"/>
        <w:ind w:firstLine="420" w:firstLineChars="200"/>
        <w:rPr>
          <w:rFonts w:hint="eastAsia" w:ascii="宋体" w:hAnsi="宋体" w:cs="宋体"/>
        </w:rPr>
      </w:pPr>
      <w:r>
        <w:rPr>
          <w:rFonts w:hint="eastAsia" w:ascii="宋体" w:hAnsi="宋体" w:cs="宋体"/>
        </w:rPr>
        <w:t>（5）其他无法保证电子交易的公平、公正和安全的情况。</w:t>
      </w:r>
    </w:p>
    <w:p w14:paraId="6307BCCD">
      <w:pPr>
        <w:spacing w:line="360" w:lineRule="auto"/>
        <w:ind w:firstLine="420" w:firstLineChars="200"/>
        <w:rPr>
          <w:rFonts w:hint="eastAsia" w:ascii="宋体" w:hAnsi="宋体" w:cs="宋体"/>
        </w:rPr>
      </w:pPr>
      <w:r>
        <w:rPr>
          <w:rFonts w:hint="eastAsia" w:ascii="宋体" w:hAnsi="宋体" w:cs="宋体"/>
        </w:rPr>
        <w:t>26.5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4192BB71">
      <w:pPr>
        <w:spacing w:line="360" w:lineRule="auto"/>
        <w:ind w:firstLine="482" w:firstLineChars="200"/>
        <w:rPr>
          <w:rFonts w:hint="eastAsia" w:ascii="宋体" w:hAnsi="宋体" w:cs="宋体"/>
          <w:b/>
          <w:bCs/>
          <w:sz w:val="24"/>
        </w:rPr>
      </w:pPr>
      <w:r>
        <w:rPr>
          <w:rFonts w:hint="eastAsia" w:ascii="宋体" w:hAnsi="宋体" w:cs="宋体"/>
          <w:b/>
          <w:bCs/>
          <w:sz w:val="24"/>
        </w:rPr>
        <w:t>27.确定成交供应商及结果公告</w:t>
      </w:r>
    </w:p>
    <w:p w14:paraId="5952C113">
      <w:pPr>
        <w:spacing w:line="360" w:lineRule="auto"/>
        <w:ind w:firstLine="420" w:firstLineChars="200"/>
        <w:rPr>
          <w:rFonts w:hint="eastAsia" w:ascii="宋体" w:hAnsi="宋体" w:cs="宋体"/>
          <w:szCs w:val="21"/>
        </w:rPr>
      </w:pPr>
      <w:r>
        <w:rPr>
          <w:rFonts w:hint="eastAsia" w:ascii="宋体" w:hAnsi="宋体" w:cs="宋体"/>
          <w:szCs w:val="21"/>
        </w:rPr>
        <w:t>27.1</w:t>
      </w:r>
      <w:r>
        <w:rPr>
          <w:rFonts w:hint="eastAsia" w:ascii="宋体" w:hAnsi="宋体" w:cs="宋体"/>
          <w:kern w:val="0"/>
          <w:szCs w:val="21"/>
        </w:rPr>
        <w:t xml:space="preserve"> 采购</w:t>
      </w:r>
      <w:r>
        <w:rPr>
          <w:rFonts w:hint="eastAsia" w:ascii="宋体" w:hAnsi="宋体" w:cs="宋体"/>
          <w:szCs w:val="21"/>
        </w:rPr>
        <w:t>代理</w:t>
      </w:r>
      <w:r>
        <w:rPr>
          <w:rFonts w:hint="eastAsia" w:ascii="宋体" w:hAnsi="宋体" w:cs="宋体"/>
          <w:kern w:val="0"/>
          <w:szCs w:val="21"/>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7CF4A0E2">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27.2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宋体"/>
          <w:szCs w:val="21"/>
        </w:rPr>
        <w:t>成交供应商享受《政府采购促进中小企业发展管理办法》（财库〔2020〕46号）规定的中小企业扶持政策的，采购人、采购代理机构应当随成交结果公开成交供应商的《中小企业声明函》。</w:t>
      </w:r>
    </w:p>
    <w:p w14:paraId="5950FB90">
      <w:pPr>
        <w:spacing w:line="360" w:lineRule="auto"/>
        <w:ind w:firstLine="420" w:firstLineChars="200"/>
        <w:jc w:val="left"/>
        <w:rPr>
          <w:rFonts w:hint="eastAsia" w:ascii="宋体" w:hAnsi="宋体" w:cs="宋体"/>
          <w:bCs/>
          <w:szCs w:val="21"/>
        </w:rPr>
      </w:pPr>
      <w:r>
        <w:rPr>
          <w:rFonts w:hint="eastAsia" w:ascii="宋体" w:hAnsi="宋体" w:cs="宋体"/>
          <w:bCs/>
          <w:szCs w:val="21"/>
        </w:rPr>
        <w:t>27.3出现下列情形之一的，采购人或者采购代理机构应当终止竞争性谈判采购活动，发布项目终止公告并说明原因，重新开展采购活动：</w:t>
      </w:r>
    </w:p>
    <w:p w14:paraId="64B5E9B9">
      <w:pPr>
        <w:spacing w:line="360" w:lineRule="auto"/>
        <w:ind w:firstLine="420" w:firstLineChars="200"/>
        <w:jc w:val="left"/>
        <w:rPr>
          <w:rFonts w:hint="eastAsia" w:ascii="宋体" w:hAnsi="宋体" w:cs="宋体"/>
          <w:bCs/>
          <w:szCs w:val="21"/>
        </w:rPr>
      </w:pPr>
      <w:r>
        <w:rPr>
          <w:rFonts w:hint="eastAsia" w:ascii="宋体" w:hAnsi="宋体" w:cs="宋体"/>
          <w:bCs/>
          <w:szCs w:val="21"/>
        </w:rPr>
        <w:t>（1）因情况变化，不再符合规定的竞争性谈判采购方式适用情形的；</w:t>
      </w:r>
    </w:p>
    <w:p w14:paraId="4D6403E6">
      <w:pPr>
        <w:spacing w:line="360" w:lineRule="auto"/>
        <w:ind w:firstLine="420" w:firstLineChars="200"/>
        <w:jc w:val="left"/>
        <w:rPr>
          <w:rFonts w:hint="eastAsia" w:ascii="宋体" w:hAnsi="宋体" w:cs="宋体"/>
          <w:bCs/>
          <w:szCs w:val="21"/>
        </w:rPr>
      </w:pPr>
      <w:r>
        <w:rPr>
          <w:rFonts w:hint="eastAsia" w:ascii="宋体" w:hAnsi="宋体" w:cs="宋体"/>
          <w:bCs/>
          <w:szCs w:val="21"/>
        </w:rPr>
        <w:t>（2）出现影响采购公正的违法、违规行为的；</w:t>
      </w:r>
    </w:p>
    <w:p w14:paraId="08475BF1">
      <w:pPr>
        <w:spacing w:line="360" w:lineRule="auto"/>
        <w:ind w:firstLine="420" w:firstLineChars="200"/>
        <w:jc w:val="left"/>
        <w:rPr>
          <w:rFonts w:hint="eastAsia" w:ascii="宋体" w:hAnsi="宋体" w:cs="宋体"/>
          <w:bCs/>
          <w:szCs w:val="21"/>
        </w:rPr>
      </w:pPr>
      <w:r>
        <w:rPr>
          <w:rFonts w:hint="eastAsia" w:ascii="宋体" w:hAnsi="宋体" w:cs="宋体"/>
          <w:bCs/>
          <w:szCs w:val="21"/>
        </w:rPr>
        <w:t>（3）在采购过程中符合竞争要求的供应商或者报价未超过采购预算的供应商不足3家的，但“第四章 评审程序和评定成交的标准”第3.7条规定的情形除外。</w:t>
      </w:r>
    </w:p>
    <w:p w14:paraId="0450792E">
      <w:pPr>
        <w:spacing w:line="360" w:lineRule="auto"/>
        <w:ind w:firstLine="420" w:firstLineChars="200"/>
        <w:jc w:val="left"/>
        <w:rPr>
          <w:rFonts w:hint="eastAsia" w:ascii="宋体" w:hAnsi="宋体" w:cs="宋体"/>
          <w:bCs/>
          <w:szCs w:val="21"/>
        </w:rPr>
      </w:pPr>
      <w:r>
        <w:rPr>
          <w:rFonts w:hint="eastAsia" w:ascii="宋体" w:hAnsi="宋体" w:cs="宋体"/>
          <w:bCs/>
          <w:szCs w:val="21"/>
        </w:rPr>
        <w:t>27.4在采购活动中因重大变故，采购任务取消的，采购人或者采购代理机构应当终止采购活动，通知所有参加采购活动的供应商，并将项目实施情况和采购任务取消原因报送本级财政部门。</w:t>
      </w:r>
    </w:p>
    <w:p w14:paraId="2EEFC128">
      <w:pPr>
        <w:spacing w:line="360" w:lineRule="auto"/>
        <w:ind w:firstLine="482" w:firstLineChars="200"/>
        <w:rPr>
          <w:rFonts w:hint="eastAsia" w:ascii="宋体" w:hAnsi="宋体" w:cs="宋体"/>
          <w:b/>
          <w:bCs/>
          <w:sz w:val="24"/>
        </w:rPr>
      </w:pPr>
      <w:r>
        <w:rPr>
          <w:rFonts w:hint="eastAsia" w:ascii="宋体" w:hAnsi="宋体" w:cs="宋体"/>
          <w:b/>
          <w:bCs/>
          <w:sz w:val="24"/>
        </w:rPr>
        <w:t>28.履约保证金</w:t>
      </w:r>
    </w:p>
    <w:p w14:paraId="0665D47F">
      <w:pPr>
        <w:spacing w:line="360" w:lineRule="auto"/>
        <w:ind w:firstLine="420" w:firstLineChars="200"/>
        <w:jc w:val="left"/>
        <w:rPr>
          <w:rFonts w:hint="eastAsia" w:ascii="宋体" w:hAnsi="宋体" w:cs="宋体"/>
        </w:rPr>
      </w:pPr>
      <w:r>
        <w:rPr>
          <w:rFonts w:hint="eastAsia" w:ascii="宋体" w:hAnsi="宋体" w:cs="宋体"/>
          <w:szCs w:val="21"/>
        </w:rPr>
        <w:t>28.1履约保证金的金额、提交方式、退付的时间和条件详见 “供应商须知前附表”。成交供应商未按规定提交履约保证金的，视为拒绝</w:t>
      </w:r>
      <w:r>
        <w:rPr>
          <w:rFonts w:hint="eastAsia" w:ascii="宋体" w:hAnsi="宋体" w:cs="宋体"/>
        </w:rPr>
        <w:t>与采购人</w:t>
      </w:r>
      <w:r>
        <w:rPr>
          <w:rFonts w:hint="eastAsia" w:ascii="宋体" w:hAnsi="宋体" w:cs="宋体"/>
          <w:szCs w:val="21"/>
        </w:rPr>
        <w:t>签订合同。</w:t>
      </w:r>
    </w:p>
    <w:p w14:paraId="03CB9AE1">
      <w:pPr>
        <w:spacing w:line="360" w:lineRule="auto"/>
        <w:ind w:firstLine="424" w:firstLineChars="202"/>
        <w:rPr>
          <w:rFonts w:hint="eastAsia" w:ascii="宋体" w:hAnsi="宋体" w:cs="宋体"/>
          <w:szCs w:val="21"/>
        </w:rPr>
      </w:pPr>
      <w:r>
        <w:rPr>
          <w:rFonts w:hint="eastAsia" w:ascii="宋体" w:hAnsi="宋体" w:cs="宋体"/>
          <w:szCs w:val="21"/>
        </w:rPr>
        <w:t>28.2在履约保证金退还日期前，若成交供应商的开户名称、开户银行、帐号有变动的，请以书面形式通知履约保证金收取单位，否则由此产生的后果由成交供应商自负。</w:t>
      </w:r>
    </w:p>
    <w:p w14:paraId="36B16982">
      <w:pPr>
        <w:spacing w:line="360" w:lineRule="auto"/>
        <w:ind w:firstLine="482" w:firstLineChars="200"/>
        <w:rPr>
          <w:rFonts w:hint="eastAsia" w:ascii="宋体" w:hAnsi="宋体" w:cs="宋体"/>
          <w:b/>
          <w:bCs/>
          <w:sz w:val="24"/>
        </w:rPr>
      </w:pPr>
      <w:r>
        <w:rPr>
          <w:rFonts w:hint="eastAsia" w:ascii="宋体" w:hAnsi="宋体" w:cs="宋体"/>
          <w:b/>
          <w:bCs/>
          <w:sz w:val="24"/>
        </w:rPr>
        <w:t>29.签订合同</w:t>
      </w:r>
    </w:p>
    <w:p w14:paraId="49C75400">
      <w:pPr>
        <w:spacing w:line="360" w:lineRule="auto"/>
        <w:ind w:firstLine="424" w:firstLineChars="202"/>
        <w:rPr>
          <w:rFonts w:hint="eastAsia" w:ascii="宋体" w:hAnsi="宋体" w:cs="宋体"/>
          <w:szCs w:val="21"/>
        </w:rPr>
      </w:pPr>
      <w:r>
        <w:rPr>
          <w:rFonts w:hint="eastAsia" w:ascii="宋体" w:hAnsi="宋体" w:cs="宋体"/>
          <w:szCs w:val="21"/>
        </w:rPr>
        <w:t>29.1签订电子采购合同：成交供应商领取电子成交通知书后，在</w:t>
      </w:r>
      <w:r>
        <w:rPr>
          <w:rFonts w:hint="eastAsia" w:ascii="宋体" w:hAnsi="宋体" w:cs="宋体"/>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11871FF1">
      <w:pPr>
        <w:spacing w:line="360" w:lineRule="auto"/>
        <w:ind w:firstLine="424" w:firstLineChars="202"/>
        <w:rPr>
          <w:rFonts w:hint="eastAsia" w:ascii="宋体" w:hAnsi="宋体" w:cs="宋体"/>
          <w:szCs w:val="21"/>
        </w:rPr>
      </w:pPr>
      <w:r>
        <w:rPr>
          <w:rFonts w:hint="eastAsia" w:ascii="宋体" w:hAnsi="宋体" w:cs="宋体"/>
          <w:szCs w:val="21"/>
        </w:rPr>
        <w:t>线下签订纸质合同：供应商领取成交通知书后，按“供应商须知前附表”规定向采购人出示相关证明材料，经采购人核验合格后方可签订合同。</w:t>
      </w:r>
    </w:p>
    <w:p w14:paraId="7BB83857">
      <w:pPr>
        <w:spacing w:line="360" w:lineRule="auto"/>
        <w:ind w:firstLine="424" w:firstLineChars="202"/>
        <w:rPr>
          <w:rFonts w:hint="eastAsia" w:ascii="宋体" w:hAnsi="宋体" w:cs="宋体"/>
          <w:szCs w:val="21"/>
        </w:rPr>
      </w:pPr>
      <w:r>
        <w:rPr>
          <w:rFonts w:hint="eastAsia" w:ascii="宋体" w:hAnsi="宋体" w:cs="宋体"/>
          <w:szCs w:val="21"/>
        </w:rPr>
        <w:t>29.2签订合同时间：按成交通知书规定的时间与采购人签订合同。</w:t>
      </w:r>
    </w:p>
    <w:p w14:paraId="31955F87">
      <w:pPr>
        <w:spacing w:line="360" w:lineRule="auto"/>
        <w:ind w:firstLine="424" w:firstLineChars="202"/>
        <w:rPr>
          <w:rFonts w:hint="eastAsia" w:ascii="宋体" w:hAnsi="宋体" w:cs="宋体"/>
          <w:szCs w:val="21"/>
        </w:rPr>
      </w:pPr>
      <w:r>
        <w:rPr>
          <w:rFonts w:hint="eastAsia" w:ascii="宋体" w:hAnsi="宋体" w:cs="宋体"/>
          <w:szCs w:val="21"/>
        </w:rPr>
        <w:t>29.3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278C43F3">
      <w:pPr>
        <w:spacing w:line="360" w:lineRule="auto"/>
        <w:ind w:firstLine="424" w:firstLineChars="202"/>
        <w:rPr>
          <w:rFonts w:hint="eastAsia" w:ascii="宋体" w:hAnsi="宋体" w:cs="宋体"/>
          <w:szCs w:val="21"/>
        </w:rPr>
      </w:pPr>
      <w:r>
        <w:rPr>
          <w:rFonts w:hint="eastAsia" w:ascii="宋体" w:hAnsi="宋体" w:cs="宋体"/>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89FF96B">
      <w:pPr>
        <w:spacing w:line="360" w:lineRule="auto"/>
        <w:ind w:firstLine="424" w:firstLineChars="202"/>
        <w:rPr>
          <w:rFonts w:hint="eastAsia" w:ascii="宋体" w:hAnsi="宋体" w:cs="宋体"/>
          <w:szCs w:val="21"/>
        </w:rPr>
      </w:pPr>
      <w:r>
        <w:rPr>
          <w:rFonts w:hint="eastAsia" w:ascii="宋体" w:hAnsi="宋体" w:cs="宋体"/>
          <w:szCs w:val="21"/>
        </w:rPr>
        <w:t>29.5采购人或成交供应商不得单方面向合同另一方提出任何谈判文件没有约定的条件或不合理的要求，作为签订合同的条件；也不得协商另行订立背离谈判文件和合同实质性内容的协议。</w:t>
      </w:r>
    </w:p>
    <w:p w14:paraId="7EA03D5E">
      <w:pPr>
        <w:spacing w:line="360" w:lineRule="auto"/>
        <w:ind w:firstLine="424" w:firstLineChars="202"/>
        <w:rPr>
          <w:rFonts w:hint="eastAsia" w:ascii="宋体" w:hAnsi="宋体" w:cs="宋体"/>
          <w:szCs w:val="21"/>
        </w:rPr>
      </w:pPr>
      <w:r>
        <w:rPr>
          <w:rFonts w:hint="eastAsia" w:ascii="宋体" w:hAnsi="宋体" w:cs="宋体"/>
          <w:szCs w:val="21"/>
        </w:rPr>
        <w:t>29.6如签订合同并生效后，供应商无故拒绝或延期，除按照合同条款处理外，将承担相应的法律责任。</w:t>
      </w:r>
    </w:p>
    <w:p w14:paraId="7F1F68BD">
      <w:pPr>
        <w:spacing w:line="360" w:lineRule="auto"/>
        <w:ind w:firstLine="424" w:firstLineChars="202"/>
        <w:rPr>
          <w:rFonts w:hint="eastAsia" w:ascii="宋体" w:hAnsi="宋体" w:cs="宋体"/>
          <w:szCs w:val="21"/>
        </w:rPr>
      </w:pPr>
      <w:r>
        <w:rPr>
          <w:rFonts w:hint="eastAsia" w:ascii="宋体" w:hAnsi="宋体" w:cs="宋体"/>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5D2ECF77">
      <w:pPr>
        <w:spacing w:line="360" w:lineRule="auto"/>
        <w:ind w:firstLine="482" w:firstLineChars="200"/>
        <w:rPr>
          <w:rFonts w:hint="eastAsia" w:ascii="宋体" w:hAnsi="宋体" w:cs="宋体"/>
          <w:b/>
          <w:bCs/>
          <w:sz w:val="24"/>
        </w:rPr>
      </w:pPr>
      <w:r>
        <w:rPr>
          <w:rFonts w:hint="eastAsia" w:ascii="宋体" w:hAnsi="宋体" w:cs="宋体"/>
          <w:b/>
          <w:bCs/>
          <w:sz w:val="24"/>
        </w:rPr>
        <w:t>30.政府采购合同公告</w:t>
      </w:r>
    </w:p>
    <w:p w14:paraId="67596410">
      <w:pPr>
        <w:spacing w:line="360" w:lineRule="auto"/>
        <w:ind w:firstLine="420" w:firstLineChars="200"/>
        <w:rPr>
          <w:rFonts w:hint="eastAsia"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EF51C40">
      <w:pPr>
        <w:spacing w:line="360" w:lineRule="auto"/>
        <w:ind w:firstLine="482" w:firstLineChars="200"/>
        <w:rPr>
          <w:rFonts w:hint="eastAsia" w:ascii="宋体" w:hAnsi="宋体" w:cs="宋体"/>
          <w:b/>
          <w:bCs/>
          <w:sz w:val="24"/>
        </w:rPr>
      </w:pPr>
      <w:r>
        <w:rPr>
          <w:rFonts w:hint="eastAsia" w:ascii="宋体" w:hAnsi="宋体" w:cs="宋体"/>
          <w:b/>
          <w:bCs/>
          <w:sz w:val="24"/>
        </w:rPr>
        <w:t>31. 询问、质疑和投诉</w:t>
      </w:r>
    </w:p>
    <w:p w14:paraId="35005C54">
      <w:pPr>
        <w:spacing w:after="120" w:line="360" w:lineRule="auto"/>
        <w:ind w:firstLine="420"/>
        <w:rPr>
          <w:rFonts w:hint="eastAsia" w:ascii="宋体" w:hAnsi="宋体" w:cs="宋体"/>
          <w:szCs w:val="21"/>
        </w:rPr>
      </w:pPr>
      <w:r>
        <w:rPr>
          <w:rFonts w:hint="eastAsia" w:ascii="宋体" w:hAnsi="宋体" w:cs="宋体"/>
          <w:szCs w:val="20"/>
        </w:rPr>
        <w:t>31.1供应商对政府采购活动事项有疑问的，可以向采购人、采购代理机构提出询问，采购人或者采购代理机构应当在3个工作日内对供应商依法提出的询问作出答复，</w:t>
      </w:r>
      <w:r>
        <w:rPr>
          <w:rFonts w:hint="eastAsia" w:ascii="宋体" w:hAnsi="宋体" w:cs="宋体"/>
          <w:szCs w:val="21"/>
        </w:rPr>
        <w:t>但答复的内容不得涉及商业秘密。</w:t>
      </w:r>
    </w:p>
    <w:p w14:paraId="6BDB2B79">
      <w:pPr>
        <w:spacing w:line="360" w:lineRule="auto"/>
        <w:ind w:firstLine="420" w:firstLineChars="200"/>
        <w:rPr>
          <w:rFonts w:hint="eastAsia" w:ascii="宋体" w:hAnsi="宋体" w:cs="宋体"/>
        </w:rPr>
      </w:pPr>
      <w:r>
        <w:rPr>
          <w:rFonts w:hint="eastAsia" w:ascii="宋体" w:hAnsi="宋体" w:cs="宋体"/>
        </w:rPr>
        <w:t>31.2供应商认为谈判文件、采购过程或者成交结果使自己的合法权益受到损害的，应当在知道或者应知其权益受到损害之日起7个工作日内，以书面形式向采购人、采购代理机构提出质疑，</w:t>
      </w:r>
      <w:r>
        <w:rPr>
          <w:rFonts w:hint="eastAsia" w:ascii="宋体" w:hAnsi="宋体" w:cs="宋体"/>
          <w:shd w:val="clear" w:color="auto" w:fill="FFFFFF"/>
        </w:rPr>
        <w:t>接收质疑函的方式、联系部门、联系电话和通讯地址等信息</w:t>
      </w:r>
      <w:r>
        <w:rPr>
          <w:rFonts w:hint="eastAsia" w:ascii="宋体" w:hAnsi="宋体" w:cs="宋体"/>
          <w:szCs w:val="21"/>
        </w:rPr>
        <w:t>详见“供应商须知前附表”</w:t>
      </w:r>
      <w:r>
        <w:rPr>
          <w:rFonts w:hint="eastAsia" w:ascii="宋体" w:hAnsi="宋体" w:cs="宋体"/>
        </w:rPr>
        <w:t>。具体质疑起算时间如下：</w:t>
      </w:r>
    </w:p>
    <w:p w14:paraId="7AAE8D9A">
      <w:pPr>
        <w:spacing w:line="360" w:lineRule="auto"/>
        <w:ind w:firstLine="420" w:firstLineChars="200"/>
        <w:rPr>
          <w:rFonts w:hint="eastAsia" w:ascii="宋体" w:hAnsi="宋体" w:cs="宋体"/>
        </w:rPr>
      </w:pPr>
      <w:r>
        <w:rPr>
          <w:rFonts w:hint="eastAsia" w:ascii="宋体" w:hAnsi="宋体" w:cs="宋体"/>
        </w:rPr>
        <w:t>（1）对可以质疑的谈判文件提出质疑的，为获取谈判文件之日；</w:t>
      </w:r>
    </w:p>
    <w:p w14:paraId="35DDC521">
      <w:pPr>
        <w:spacing w:line="360" w:lineRule="auto"/>
        <w:ind w:firstLine="420" w:firstLineChars="200"/>
        <w:rPr>
          <w:rFonts w:hint="eastAsia" w:ascii="宋体" w:hAnsi="宋体" w:cs="宋体"/>
        </w:rPr>
      </w:pPr>
      <w:r>
        <w:rPr>
          <w:rFonts w:hint="eastAsia" w:ascii="宋体" w:hAnsi="宋体" w:cs="宋体"/>
        </w:rPr>
        <w:t>（2）对采购过程提出质疑的，为各采购程序环节结束之日；</w:t>
      </w:r>
    </w:p>
    <w:p w14:paraId="103C52FF">
      <w:pPr>
        <w:spacing w:line="360" w:lineRule="auto"/>
        <w:ind w:firstLine="420" w:firstLineChars="200"/>
        <w:rPr>
          <w:rFonts w:hint="eastAsia" w:ascii="宋体" w:hAnsi="宋体" w:cs="宋体"/>
        </w:rPr>
      </w:pPr>
      <w:r>
        <w:rPr>
          <w:rFonts w:hint="eastAsia" w:ascii="宋体" w:hAnsi="宋体" w:cs="宋体"/>
        </w:rPr>
        <w:t>（3）对成交结果提出质疑的，为成交结果公告期限届满之日。</w:t>
      </w:r>
    </w:p>
    <w:p w14:paraId="0C034D50">
      <w:pPr>
        <w:spacing w:line="360" w:lineRule="auto"/>
        <w:ind w:firstLine="420" w:firstLineChars="200"/>
        <w:rPr>
          <w:rFonts w:hint="eastAsia"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DC90965">
      <w:pPr>
        <w:spacing w:line="360" w:lineRule="auto"/>
        <w:ind w:firstLine="420" w:firstLineChars="200"/>
        <w:rPr>
          <w:rFonts w:hint="eastAsia" w:ascii="宋体" w:hAnsi="宋体" w:cs="宋体"/>
        </w:rPr>
      </w:pPr>
      <w:r>
        <w:rPr>
          <w:rFonts w:hint="eastAsia" w:ascii="宋体" w:hAnsi="宋体" w:cs="宋体"/>
        </w:rPr>
        <w:t>31.4供应商提出质疑应当提交质疑函和必要的证明材料，针对同一采购程序环节的质疑必须在法定质疑期内一次性提出。质疑函应当包括下列内容</w:t>
      </w:r>
      <w:r>
        <w:rPr>
          <w:rFonts w:hint="eastAsia" w:ascii="宋体" w:hAnsi="宋体" w:cs="宋体"/>
          <w:bCs/>
        </w:rPr>
        <w:t>（质疑函格式后附）</w:t>
      </w:r>
      <w:r>
        <w:rPr>
          <w:rFonts w:hint="eastAsia" w:ascii="宋体" w:hAnsi="宋体" w:cs="宋体"/>
        </w:rPr>
        <w:t>：</w:t>
      </w:r>
    </w:p>
    <w:p w14:paraId="72B8DFCA">
      <w:pPr>
        <w:spacing w:line="360" w:lineRule="auto"/>
        <w:ind w:firstLine="420" w:firstLineChars="200"/>
        <w:rPr>
          <w:rFonts w:hint="eastAsia" w:ascii="宋体" w:hAnsi="宋体" w:cs="宋体"/>
        </w:rPr>
      </w:pPr>
      <w:r>
        <w:rPr>
          <w:rFonts w:hint="eastAsia" w:ascii="宋体" w:hAnsi="宋体" w:cs="宋体"/>
        </w:rPr>
        <w:t>（1）供应商的姓名或者名称、地址、邮编、联系人及联系电话；</w:t>
      </w:r>
    </w:p>
    <w:p w14:paraId="0FEFBE0B">
      <w:pPr>
        <w:spacing w:line="360" w:lineRule="auto"/>
        <w:ind w:firstLine="420" w:firstLineChars="200"/>
        <w:rPr>
          <w:rFonts w:hint="eastAsia" w:ascii="宋体" w:hAnsi="宋体" w:cs="宋体"/>
        </w:rPr>
      </w:pPr>
      <w:r>
        <w:rPr>
          <w:rFonts w:hint="eastAsia" w:ascii="宋体" w:hAnsi="宋体" w:cs="宋体"/>
        </w:rPr>
        <w:t>（2）质疑项目的名称、编号；</w:t>
      </w:r>
    </w:p>
    <w:p w14:paraId="522A5145">
      <w:pPr>
        <w:spacing w:line="360" w:lineRule="auto"/>
        <w:ind w:firstLine="420" w:firstLineChars="200"/>
        <w:rPr>
          <w:rFonts w:hint="eastAsia" w:ascii="宋体" w:hAnsi="宋体" w:cs="宋体"/>
        </w:rPr>
      </w:pPr>
      <w:r>
        <w:rPr>
          <w:rFonts w:hint="eastAsia" w:ascii="宋体" w:hAnsi="宋体" w:cs="宋体"/>
        </w:rPr>
        <w:t>（3）具体、明确的质疑事项和与质疑事项相关的请求；</w:t>
      </w:r>
    </w:p>
    <w:p w14:paraId="03DFA718">
      <w:pPr>
        <w:spacing w:line="360" w:lineRule="auto"/>
        <w:ind w:firstLine="420" w:firstLineChars="200"/>
        <w:rPr>
          <w:rFonts w:hint="eastAsia" w:ascii="宋体" w:hAnsi="宋体" w:cs="宋体"/>
        </w:rPr>
      </w:pPr>
      <w:r>
        <w:rPr>
          <w:rFonts w:hint="eastAsia" w:ascii="宋体" w:hAnsi="宋体" w:cs="宋体"/>
        </w:rPr>
        <w:t>（4）事实依据；</w:t>
      </w:r>
    </w:p>
    <w:p w14:paraId="083B7AFF">
      <w:pPr>
        <w:spacing w:line="360" w:lineRule="auto"/>
        <w:ind w:firstLine="420" w:firstLineChars="200"/>
        <w:rPr>
          <w:rFonts w:hint="eastAsia" w:ascii="宋体" w:hAnsi="宋体" w:cs="宋体"/>
        </w:rPr>
      </w:pPr>
      <w:r>
        <w:rPr>
          <w:rFonts w:hint="eastAsia" w:ascii="宋体" w:hAnsi="宋体" w:cs="宋体"/>
        </w:rPr>
        <w:t>（5）必要的法律依据；</w:t>
      </w:r>
    </w:p>
    <w:p w14:paraId="27382020">
      <w:pPr>
        <w:spacing w:line="360" w:lineRule="auto"/>
        <w:ind w:firstLine="420" w:firstLineChars="200"/>
        <w:rPr>
          <w:rFonts w:hint="eastAsia" w:ascii="宋体" w:hAnsi="宋体" w:cs="宋体"/>
        </w:rPr>
      </w:pPr>
      <w:r>
        <w:rPr>
          <w:rFonts w:hint="eastAsia" w:ascii="宋体" w:hAnsi="宋体" w:cs="宋体"/>
        </w:rPr>
        <w:t>（6）提出质疑的日期。</w:t>
      </w:r>
    </w:p>
    <w:p w14:paraId="04ED4592">
      <w:pPr>
        <w:spacing w:line="360" w:lineRule="auto"/>
        <w:ind w:firstLine="420" w:firstLineChars="200"/>
        <w:rPr>
          <w:rFonts w:hint="eastAsia"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4A50D50E">
      <w:pPr>
        <w:spacing w:line="360" w:lineRule="auto"/>
        <w:ind w:firstLine="420" w:firstLineChars="200"/>
        <w:rPr>
          <w:rFonts w:hint="eastAsia"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14:paraId="11B3BCDF">
      <w:pPr>
        <w:spacing w:line="360" w:lineRule="auto"/>
        <w:ind w:firstLine="420" w:firstLineChars="200"/>
        <w:rPr>
          <w:rFonts w:hint="eastAsia"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0B8864F6">
      <w:pPr>
        <w:spacing w:line="360" w:lineRule="auto"/>
        <w:ind w:firstLine="420" w:firstLineChars="200"/>
        <w:rPr>
          <w:rFonts w:hint="eastAsia"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0C7333FC">
      <w:pPr>
        <w:spacing w:line="360" w:lineRule="auto"/>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41F9DB34">
      <w:pPr>
        <w:spacing w:line="360" w:lineRule="auto"/>
        <w:ind w:firstLine="420" w:firstLineChars="200"/>
        <w:rPr>
          <w:rFonts w:hint="eastAsia" w:ascii="宋体" w:hAnsi="宋体" w:cs="宋体"/>
          <w:b/>
          <w:bCs/>
          <w:szCs w:val="21"/>
        </w:rPr>
      </w:pPr>
      <w:r>
        <w:rPr>
          <w:rFonts w:hint="eastAsia" w:ascii="宋体" w:hAnsi="宋体" w:cs="宋体"/>
        </w:rPr>
        <w:t>31.6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37E31DA">
      <w:pPr>
        <w:spacing w:line="360" w:lineRule="auto"/>
        <w:ind w:firstLine="482" w:firstLineChars="200"/>
        <w:rPr>
          <w:rFonts w:hint="eastAsia" w:ascii="宋体" w:hAnsi="宋体" w:cs="宋体"/>
          <w:b/>
          <w:bCs/>
          <w:sz w:val="24"/>
        </w:rPr>
      </w:pPr>
      <w:r>
        <w:rPr>
          <w:rFonts w:hint="eastAsia" w:ascii="宋体" w:hAnsi="宋体" w:cs="宋体"/>
          <w:b/>
          <w:bCs/>
          <w:sz w:val="24"/>
        </w:rPr>
        <w:t>32.其他内容</w:t>
      </w:r>
    </w:p>
    <w:p w14:paraId="268F2DFD">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32.1代理服务收取标准详见“供应商须知前附表”，供应商为联合体的，可以由联合体中的一方或者多方共同交纳代理服务费：</w:t>
      </w:r>
    </w:p>
    <w:tbl>
      <w:tblPr>
        <w:tblStyle w:val="2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8"/>
        <w:gridCol w:w="1991"/>
        <w:gridCol w:w="1839"/>
        <w:gridCol w:w="1856"/>
      </w:tblGrid>
      <w:tr w14:paraId="2320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Borders>
              <w:tl2br w:val="single" w:color="auto" w:sz="4" w:space="0"/>
            </w:tcBorders>
          </w:tcPr>
          <w:p w14:paraId="3B577158">
            <w:pPr>
              <w:spacing w:line="360" w:lineRule="auto"/>
              <w:rPr>
                <w:rFonts w:hint="eastAsia" w:ascii="宋体" w:hAnsi="宋体" w:cs="宋体"/>
                <w:szCs w:val="21"/>
              </w:rPr>
            </w:pPr>
            <w:r>
              <w:rPr>
                <w:rFonts w:hint="eastAsia" w:ascii="宋体" w:hAnsi="宋体" w:cs="宋体"/>
                <w:szCs w:val="21"/>
              </w:rPr>
              <w:t xml:space="preserve">               费率</w:t>
            </w:r>
          </w:p>
          <w:p w14:paraId="0336B188">
            <w:pPr>
              <w:spacing w:line="360" w:lineRule="auto"/>
              <w:rPr>
                <w:rFonts w:hint="eastAsia" w:ascii="宋体" w:hAnsi="宋体" w:cs="宋体"/>
                <w:szCs w:val="21"/>
              </w:rPr>
            </w:pPr>
            <w:r>
              <w:rPr>
                <w:rFonts w:hint="eastAsia" w:ascii="宋体" w:hAnsi="宋体" w:cs="宋体"/>
                <w:szCs w:val="21"/>
              </w:rPr>
              <w:t>金额</w:t>
            </w:r>
          </w:p>
        </w:tc>
        <w:tc>
          <w:tcPr>
            <w:tcW w:w="1991" w:type="dxa"/>
            <w:vAlign w:val="center"/>
          </w:tcPr>
          <w:p w14:paraId="48EDDC60">
            <w:pPr>
              <w:spacing w:line="360" w:lineRule="auto"/>
              <w:ind w:firstLine="105" w:firstLineChars="50"/>
              <w:jc w:val="center"/>
              <w:rPr>
                <w:rFonts w:hint="eastAsia" w:ascii="宋体" w:hAnsi="宋体" w:cs="宋体"/>
                <w:szCs w:val="21"/>
              </w:rPr>
            </w:pPr>
            <w:r>
              <w:rPr>
                <w:rFonts w:hint="eastAsia" w:ascii="宋体" w:hAnsi="宋体" w:cs="宋体"/>
                <w:szCs w:val="21"/>
              </w:rPr>
              <w:t>货物类</w:t>
            </w:r>
          </w:p>
        </w:tc>
        <w:tc>
          <w:tcPr>
            <w:tcW w:w="1839" w:type="dxa"/>
            <w:vAlign w:val="center"/>
          </w:tcPr>
          <w:p w14:paraId="5FEE130E">
            <w:pPr>
              <w:spacing w:line="360" w:lineRule="auto"/>
              <w:jc w:val="center"/>
              <w:rPr>
                <w:rFonts w:hint="eastAsia" w:ascii="宋体" w:hAnsi="宋体" w:cs="宋体"/>
                <w:szCs w:val="21"/>
              </w:rPr>
            </w:pPr>
            <w:r>
              <w:rPr>
                <w:rFonts w:hint="eastAsia" w:ascii="宋体" w:hAnsi="宋体" w:cs="宋体"/>
                <w:szCs w:val="21"/>
              </w:rPr>
              <w:t>服务类</w:t>
            </w:r>
          </w:p>
        </w:tc>
        <w:tc>
          <w:tcPr>
            <w:tcW w:w="1856" w:type="dxa"/>
            <w:vAlign w:val="center"/>
          </w:tcPr>
          <w:p w14:paraId="1D69A6D0">
            <w:pPr>
              <w:spacing w:line="360" w:lineRule="auto"/>
              <w:jc w:val="center"/>
              <w:rPr>
                <w:rFonts w:hint="eastAsia" w:ascii="宋体" w:hAnsi="宋体" w:cs="宋体"/>
                <w:szCs w:val="21"/>
              </w:rPr>
            </w:pPr>
            <w:r>
              <w:rPr>
                <w:rFonts w:hint="eastAsia" w:ascii="宋体" w:hAnsi="宋体" w:cs="宋体"/>
                <w:szCs w:val="21"/>
              </w:rPr>
              <w:t>工程类</w:t>
            </w:r>
          </w:p>
        </w:tc>
      </w:tr>
      <w:tr w14:paraId="403D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455C9875">
            <w:pPr>
              <w:spacing w:line="360" w:lineRule="auto"/>
              <w:rPr>
                <w:rFonts w:hint="eastAsia" w:ascii="宋体" w:hAnsi="宋体" w:cs="宋体"/>
                <w:szCs w:val="21"/>
              </w:rPr>
            </w:pPr>
            <w:r>
              <w:rPr>
                <w:rFonts w:hint="eastAsia" w:ascii="宋体" w:hAnsi="宋体" w:cs="宋体"/>
                <w:szCs w:val="21"/>
              </w:rPr>
              <w:t>100万元以下</w:t>
            </w:r>
          </w:p>
        </w:tc>
        <w:tc>
          <w:tcPr>
            <w:tcW w:w="1991" w:type="dxa"/>
          </w:tcPr>
          <w:p w14:paraId="0E65FEA3">
            <w:pPr>
              <w:spacing w:line="360" w:lineRule="auto"/>
              <w:rPr>
                <w:rFonts w:hint="eastAsia" w:ascii="宋体" w:hAnsi="宋体" w:cs="宋体"/>
                <w:szCs w:val="21"/>
              </w:rPr>
            </w:pPr>
            <w:r>
              <w:rPr>
                <w:rFonts w:hint="eastAsia" w:ascii="宋体" w:hAnsi="宋体" w:cs="宋体"/>
                <w:kern w:val="0"/>
                <w:szCs w:val="21"/>
              </w:rPr>
              <w:t xml:space="preserve">  1.5%                </w:t>
            </w:r>
          </w:p>
        </w:tc>
        <w:tc>
          <w:tcPr>
            <w:tcW w:w="1839" w:type="dxa"/>
          </w:tcPr>
          <w:p w14:paraId="0AEFC044">
            <w:pPr>
              <w:spacing w:line="360" w:lineRule="auto"/>
              <w:ind w:firstLine="210" w:firstLineChars="100"/>
              <w:rPr>
                <w:rFonts w:hint="eastAsia" w:ascii="宋体" w:hAnsi="宋体" w:cs="宋体"/>
                <w:szCs w:val="21"/>
              </w:rPr>
            </w:pPr>
            <w:r>
              <w:rPr>
                <w:rFonts w:hint="eastAsia" w:ascii="宋体" w:hAnsi="宋体" w:cs="宋体"/>
                <w:kern w:val="0"/>
                <w:szCs w:val="21"/>
              </w:rPr>
              <w:t>1.5%</w:t>
            </w:r>
          </w:p>
        </w:tc>
        <w:tc>
          <w:tcPr>
            <w:tcW w:w="1856" w:type="dxa"/>
          </w:tcPr>
          <w:p w14:paraId="4D26AF58">
            <w:pPr>
              <w:spacing w:line="360" w:lineRule="auto"/>
              <w:ind w:firstLine="210" w:firstLineChars="100"/>
              <w:rPr>
                <w:rFonts w:hint="eastAsia" w:ascii="宋体" w:hAnsi="宋体" w:cs="宋体"/>
                <w:szCs w:val="21"/>
              </w:rPr>
            </w:pPr>
            <w:r>
              <w:rPr>
                <w:rFonts w:hint="eastAsia" w:ascii="宋体" w:hAnsi="宋体" w:cs="宋体"/>
                <w:kern w:val="0"/>
                <w:szCs w:val="21"/>
              </w:rPr>
              <w:t xml:space="preserve">1.0% </w:t>
            </w:r>
          </w:p>
        </w:tc>
      </w:tr>
      <w:tr w14:paraId="1E1F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209943D9">
            <w:pPr>
              <w:spacing w:line="360" w:lineRule="auto"/>
              <w:rPr>
                <w:rFonts w:hint="eastAsia" w:ascii="宋体" w:hAnsi="宋体" w:cs="宋体"/>
                <w:szCs w:val="21"/>
              </w:rPr>
            </w:pPr>
            <w:r>
              <w:rPr>
                <w:rFonts w:hint="eastAsia" w:ascii="宋体" w:hAnsi="宋体" w:cs="宋体"/>
                <w:szCs w:val="21"/>
              </w:rPr>
              <w:t>100～500万元</w:t>
            </w:r>
          </w:p>
        </w:tc>
        <w:tc>
          <w:tcPr>
            <w:tcW w:w="1991" w:type="dxa"/>
          </w:tcPr>
          <w:p w14:paraId="58312174">
            <w:pPr>
              <w:spacing w:line="360" w:lineRule="auto"/>
              <w:ind w:firstLine="210" w:firstLineChars="100"/>
              <w:rPr>
                <w:rFonts w:hint="eastAsia" w:ascii="宋体" w:hAnsi="宋体" w:cs="宋体"/>
                <w:szCs w:val="21"/>
              </w:rPr>
            </w:pPr>
            <w:r>
              <w:rPr>
                <w:rFonts w:hint="eastAsia" w:ascii="宋体" w:hAnsi="宋体" w:cs="宋体"/>
                <w:kern w:val="0"/>
                <w:szCs w:val="21"/>
              </w:rPr>
              <w:t xml:space="preserve">1.1%                 </w:t>
            </w:r>
          </w:p>
        </w:tc>
        <w:tc>
          <w:tcPr>
            <w:tcW w:w="1839" w:type="dxa"/>
          </w:tcPr>
          <w:p w14:paraId="1ED78B4C">
            <w:pPr>
              <w:spacing w:line="360" w:lineRule="auto"/>
              <w:ind w:firstLine="210" w:firstLineChars="100"/>
              <w:rPr>
                <w:rFonts w:hint="eastAsia" w:ascii="宋体" w:hAnsi="宋体" w:cs="宋体"/>
                <w:szCs w:val="21"/>
              </w:rPr>
            </w:pPr>
            <w:r>
              <w:rPr>
                <w:rFonts w:hint="eastAsia" w:ascii="宋体" w:hAnsi="宋体" w:cs="宋体"/>
                <w:kern w:val="0"/>
                <w:szCs w:val="21"/>
              </w:rPr>
              <w:t>0.8%</w:t>
            </w:r>
          </w:p>
        </w:tc>
        <w:tc>
          <w:tcPr>
            <w:tcW w:w="1856" w:type="dxa"/>
          </w:tcPr>
          <w:p w14:paraId="14B24C02">
            <w:pPr>
              <w:spacing w:line="360" w:lineRule="auto"/>
              <w:ind w:firstLine="210" w:firstLineChars="100"/>
              <w:rPr>
                <w:rFonts w:hint="eastAsia" w:ascii="宋体" w:hAnsi="宋体" w:cs="宋体"/>
                <w:szCs w:val="21"/>
              </w:rPr>
            </w:pPr>
            <w:r>
              <w:rPr>
                <w:rFonts w:hint="eastAsia" w:ascii="宋体" w:hAnsi="宋体" w:cs="宋体"/>
                <w:kern w:val="0"/>
                <w:szCs w:val="21"/>
              </w:rPr>
              <w:t xml:space="preserve">0.7% </w:t>
            </w:r>
          </w:p>
        </w:tc>
      </w:tr>
      <w:tr w14:paraId="5FAE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58E452A9">
            <w:pPr>
              <w:spacing w:line="360" w:lineRule="auto"/>
              <w:rPr>
                <w:rFonts w:hint="eastAsia" w:ascii="宋体" w:hAnsi="宋体" w:cs="宋体"/>
                <w:szCs w:val="21"/>
              </w:rPr>
            </w:pPr>
            <w:r>
              <w:rPr>
                <w:rFonts w:hint="eastAsia" w:ascii="宋体" w:hAnsi="宋体" w:cs="宋体"/>
                <w:szCs w:val="21"/>
              </w:rPr>
              <w:t>500～1000万元</w:t>
            </w:r>
          </w:p>
        </w:tc>
        <w:tc>
          <w:tcPr>
            <w:tcW w:w="1991" w:type="dxa"/>
          </w:tcPr>
          <w:p w14:paraId="3AD8B8AD">
            <w:pPr>
              <w:spacing w:line="360" w:lineRule="auto"/>
              <w:rPr>
                <w:rFonts w:hint="eastAsia" w:ascii="宋体" w:hAnsi="宋体" w:cs="宋体"/>
                <w:szCs w:val="21"/>
              </w:rPr>
            </w:pPr>
            <w:r>
              <w:rPr>
                <w:rFonts w:hint="eastAsia" w:ascii="宋体" w:hAnsi="宋体" w:cs="宋体"/>
                <w:kern w:val="0"/>
                <w:szCs w:val="21"/>
              </w:rPr>
              <w:t xml:space="preserve">  0.8%                </w:t>
            </w:r>
          </w:p>
        </w:tc>
        <w:tc>
          <w:tcPr>
            <w:tcW w:w="1839" w:type="dxa"/>
          </w:tcPr>
          <w:p w14:paraId="6C455E0D">
            <w:pPr>
              <w:spacing w:line="360" w:lineRule="auto"/>
              <w:ind w:firstLine="210" w:firstLineChars="100"/>
              <w:rPr>
                <w:rFonts w:hint="eastAsia" w:ascii="宋体" w:hAnsi="宋体" w:cs="宋体"/>
                <w:szCs w:val="21"/>
              </w:rPr>
            </w:pPr>
            <w:r>
              <w:rPr>
                <w:rFonts w:hint="eastAsia" w:ascii="宋体" w:hAnsi="宋体" w:cs="宋体"/>
                <w:kern w:val="0"/>
                <w:szCs w:val="21"/>
              </w:rPr>
              <w:t>0.45%</w:t>
            </w:r>
          </w:p>
        </w:tc>
        <w:tc>
          <w:tcPr>
            <w:tcW w:w="1856" w:type="dxa"/>
          </w:tcPr>
          <w:p w14:paraId="5225A8FF">
            <w:pPr>
              <w:spacing w:line="360" w:lineRule="auto"/>
              <w:ind w:firstLine="210" w:firstLineChars="100"/>
              <w:rPr>
                <w:rFonts w:hint="eastAsia" w:ascii="宋体" w:hAnsi="宋体" w:cs="宋体"/>
                <w:szCs w:val="21"/>
              </w:rPr>
            </w:pPr>
            <w:r>
              <w:rPr>
                <w:rFonts w:hint="eastAsia" w:ascii="宋体" w:hAnsi="宋体" w:cs="宋体"/>
                <w:kern w:val="0"/>
                <w:szCs w:val="21"/>
              </w:rPr>
              <w:t>0.55%</w:t>
            </w:r>
          </w:p>
        </w:tc>
      </w:tr>
      <w:tr w14:paraId="4EDC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04771F81">
            <w:pPr>
              <w:spacing w:line="360" w:lineRule="auto"/>
              <w:rPr>
                <w:rFonts w:hint="eastAsia" w:ascii="宋体" w:hAnsi="宋体" w:cs="宋体"/>
                <w:szCs w:val="21"/>
              </w:rPr>
            </w:pPr>
            <w:r>
              <w:rPr>
                <w:rFonts w:hint="eastAsia" w:ascii="宋体" w:hAnsi="宋体" w:cs="宋体"/>
                <w:szCs w:val="21"/>
              </w:rPr>
              <w:t>1000～5000万元</w:t>
            </w:r>
          </w:p>
        </w:tc>
        <w:tc>
          <w:tcPr>
            <w:tcW w:w="1991" w:type="dxa"/>
          </w:tcPr>
          <w:p w14:paraId="3720F81D">
            <w:pPr>
              <w:spacing w:line="360" w:lineRule="auto"/>
              <w:ind w:firstLine="210" w:firstLineChars="100"/>
              <w:rPr>
                <w:rFonts w:hint="eastAsia" w:ascii="宋体" w:hAnsi="宋体" w:cs="宋体"/>
                <w:szCs w:val="21"/>
              </w:rPr>
            </w:pPr>
            <w:r>
              <w:rPr>
                <w:rFonts w:hint="eastAsia" w:ascii="宋体" w:hAnsi="宋体" w:cs="宋体"/>
                <w:kern w:val="0"/>
                <w:szCs w:val="21"/>
              </w:rPr>
              <w:t xml:space="preserve">0.5%                </w:t>
            </w:r>
          </w:p>
        </w:tc>
        <w:tc>
          <w:tcPr>
            <w:tcW w:w="1839" w:type="dxa"/>
          </w:tcPr>
          <w:p w14:paraId="735D963F">
            <w:pPr>
              <w:spacing w:line="360" w:lineRule="auto"/>
              <w:ind w:firstLine="210" w:firstLineChars="100"/>
              <w:rPr>
                <w:rFonts w:hint="eastAsia" w:ascii="宋体" w:hAnsi="宋体" w:cs="宋体"/>
                <w:szCs w:val="21"/>
              </w:rPr>
            </w:pPr>
            <w:r>
              <w:rPr>
                <w:rFonts w:hint="eastAsia" w:ascii="宋体" w:hAnsi="宋体" w:cs="宋体"/>
                <w:kern w:val="0"/>
                <w:szCs w:val="21"/>
              </w:rPr>
              <w:t>0.25%</w:t>
            </w:r>
          </w:p>
        </w:tc>
        <w:tc>
          <w:tcPr>
            <w:tcW w:w="1856" w:type="dxa"/>
          </w:tcPr>
          <w:p w14:paraId="793300E7">
            <w:pPr>
              <w:spacing w:line="360" w:lineRule="auto"/>
              <w:ind w:firstLine="210" w:firstLineChars="100"/>
              <w:rPr>
                <w:rFonts w:hint="eastAsia" w:ascii="宋体" w:hAnsi="宋体" w:cs="宋体"/>
                <w:szCs w:val="21"/>
              </w:rPr>
            </w:pPr>
            <w:r>
              <w:rPr>
                <w:rFonts w:hint="eastAsia" w:ascii="宋体" w:hAnsi="宋体" w:cs="宋体"/>
                <w:kern w:val="0"/>
                <w:szCs w:val="21"/>
              </w:rPr>
              <w:t xml:space="preserve">0.35% </w:t>
            </w:r>
          </w:p>
        </w:tc>
      </w:tr>
      <w:tr w14:paraId="3516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509D43DD">
            <w:pPr>
              <w:spacing w:line="360" w:lineRule="auto"/>
              <w:rPr>
                <w:rFonts w:hint="eastAsia" w:ascii="宋体" w:hAnsi="宋体" w:cs="宋体"/>
                <w:szCs w:val="21"/>
              </w:rPr>
            </w:pPr>
            <w:r>
              <w:rPr>
                <w:rFonts w:hint="eastAsia" w:ascii="宋体" w:hAnsi="宋体" w:cs="宋体"/>
                <w:szCs w:val="21"/>
              </w:rPr>
              <w:t>5000万元～1亿元</w:t>
            </w:r>
          </w:p>
        </w:tc>
        <w:tc>
          <w:tcPr>
            <w:tcW w:w="1991" w:type="dxa"/>
          </w:tcPr>
          <w:p w14:paraId="6FF72F00">
            <w:pPr>
              <w:spacing w:line="360" w:lineRule="auto"/>
              <w:ind w:firstLine="210" w:firstLineChars="100"/>
              <w:rPr>
                <w:rFonts w:hint="eastAsia" w:ascii="宋体" w:hAnsi="宋体" w:cs="宋体"/>
                <w:szCs w:val="21"/>
              </w:rPr>
            </w:pPr>
            <w:r>
              <w:rPr>
                <w:rFonts w:hint="eastAsia" w:ascii="宋体" w:hAnsi="宋体" w:cs="宋体"/>
                <w:kern w:val="0"/>
                <w:szCs w:val="21"/>
              </w:rPr>
              <w:t xml:space="preserve">0.25%                 </w:t>
            </w:r>
          </w:p>
        </w:tc>
        <w:tc>
          <w:tcPr>
            <w:tcW w:w="1839" w:type="dxa"/>
          </w:tcPr>
          <w:p w14:paraId="6DC00AD5">
            <w:pPr>
              <w:spacing w:line="360" w:lineRule="auto"/>
              <w:ind w:firstLine="210" w:firstLineChars="100"/>
              <w:rPr>
                <w:rFonts w:hint="eastAsia" w:ascii="宋体" w:hAnsi="宋体" w:cs="宋体"/>
                <w:szCs w:val="21"/>
              </w:rPr>
            </w:pPr>
            <w:r>
              <w:rPr>
                <w:rFonts w:hint="eastAsia" w:ascii="宋体" w:hAnsi="宋体" w:cs="宋体"/>
                <w:kern w:val="0"/>
                <w:szCs w:val="21"/>
              </w:rPr>
              <w:t>0.1%</w:t>
            </w:r>
          </w:p>
        </w:tc>
        <w:tc>
          <w:tcPr>
            <w:tcW w:w="1856" w:type="dxa"/>
          </w:tcPr>
          <w:p w14:paraId="5DB4016C">
            <w:pPr>
              <w:spacing w:line="360" w:lineRule="auto"/>
              <w:ind w:firstLine="210" w:firstLineChars="100"/>
              <w:rPr>
                <w:rFonts w:hint="eastAsia" w:ascii="宋体" w:hAnsi="宋体" w:cs="宋体"/>
                <w:szCs w:val="21"/>
              </w:rPr>
            </w:pPr>
            <w:r>
              <w:rPr>
                <w:rFonts w:hint="eastAsia" w:ascii="宋体" w:hAnsi="宋体" w:cs="宋体"/>
                <w:kern w:val="0"/>
                <w:szCs w:val="21"/>
              </w:rPr>
              <w:t>0.2%</w:t>
            </w:r>
          </w:p>
        </w:tc>
      </w:tr>
      <w:tr w14:paraId="70C2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34530DCA">
            <w:pPr>
              <w:spacing w:line="360" w:lineRule="auto"/>
              <w:rPr>
                <w:rFonts w:hint="eastAsia" w:ascii="宋体" w:hAnsi="宋体" w:cs="宋体"/>
                <w:szCs w:val="21"/>
              </w:rPr>
            </w:pPr>
            <w:r>
              <w:rPr>
                <w:rFonts w:hint="eastAsia" w:ascii="宋体" w:hAnsi="宋体" w:cs="宋体"/>
                <w:szCs w:val="21"/>
              </w:rPr>
              <w:t>1～5亿元</w:t>
            </w:r>
          </w:p>
        </w:tc>
        <w:tc>
          <w:tcPr>
            <w:tcW w:w="1991" w:type="dxa"/>
          </w:tcPr>
          <w:p w14:paraId="11CA833D">
            <w:pPr>
              <w:spacing w:line="360" w:lineRule="auto"/>
              <w:ind w:firstLine="210" w:firstLineChars="100"/>
              <w:rPr>
                <w:rFonts w:hint="eastAsia" w:ascii="宋体" w:hAnsi="宋体" w:cs="宋体"/>
                <w:szCs w:val="21"/>
              </w:rPr>
            </w:pPr>
            <w:r>
              <w:rPr>
                <w:rFonts w:hint="eastAsia" w:ascii="宋体" w:hAnsi="宋体" w:cs="宋体"/>
                <w:szCs w:val="21"/>
              </w:rPr>
              <w:t>0.05%</w:t>
            </w:r>
          </w:p>
        </w:tc>
        <w:tc>
          <w:tcPr>
            <w:tcW w:w="1839" w:type="dxa"/>
          </w:tcPr>
          <w:p w14:paraId="7CEBE01F">
            <w:pPr>
              <w:spacing w:line="360" w:lineRule="auto"/>
              <w:rPr>
                <w:rFonts w:hint="eastAsia" w:ascii="宋体" w:hAnsi="宋体" w:cs="宋体"/>
                <w:szCs w:val="21"/>
              </w:rPr>
            </w:pPr>
            <w:r>
              <w:rPr>
                <w:rFonts w:hint="eastAsia" w:ascii="宋体" w:hAnsi="宋体" w:cs="宋体"/>
                <w:szCs w:val="21"/>
              </w:rPr>
              <w:t xml:space="preserve">  0.05%</w:t>
            </w:r>
          </w:p>
        </w:tc>
        <w:tc>
          <w:tcPr>
            <w:tcW w:w="1856" w:type="dxa"/>
          </w:tcPr>
          <w:p w14:paraId="4DE61014">
            <w:pPr>
              <w:spacing w:line="360" w:lineRule="auto"/>
              <w:rPr>
                <w:rFonts w:hint="eastAsia" w:ascii="宋体" w:hAnsi="宋体" w:cs="宋体"/>
                <w:szCs w:val="21"/>
              </w:rPr>
            </w:pPr>
            <w:r>
              <w:rPr>
                <w:rFonts w:hint="eastAsia" w:ascii="宋体" w:hAnsi="宋体" w:cs="宋体"/>
                <w:szCs w:val="21"/>
              </w:rPr>
              <w:t xml:space="preserve">  0.05%</w:t>
            </w:r>
          </w:p>
        </w:tc>
      </w:tr>
      <w:tr w14:paraId="5807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4B465979">
            <w:pPr>
              <w:spacing w:line="360" w:lineRule="auto"/>
              <w:rPr>
                <w:rFonts w:hint="eastAsia" w:ascii="宋体" w:hAnsi="宋体" w:cs="宋体"/>
                <w:szCs w:val="21"/>
              </w:rPr>
            </w:pPr>
            <w:r>
              <w:rPr>
                <w:rFonts w:hint="eastAsia" w:ascii="宋体" w:hAnsi="宋体" w:cs="宋体"/>
                <w:szCs w:val="21"/>
              </w:rPr>
              <w:t>5～10亿元</w:t>
            </w:r>
          </w:p>
        </w:tc>
        <w:tc>
          <w:tcPr>
            <w:tcW w:w="1991" w:type="dxa"/>
          </w:tcPr>
          <w:p w14:paraId="75AC9FBD">
            <w:pPr>
              <w:spacing w:line="360" w:lineRule="auto"/>
              <w:ind w:firstLine="105" w:firstLineChars="50"/>
              <w:rPr>
                <w:rFonts w:hint="eastAsia" w:ascii="宋体" w:hAnsi="宋体" w:cs="宋体"/>
                <w:szCs w:val="21"/>
              </w:rPr>
            </w:pPr>
            <w:r>
              <w:rPr>
                <w:rFonts w:hint="eastAsia" w:ascii="宋体" w:hAnsi="宋体" w:cs="宋体"/>
                <w:szCs w:val="21"/>
              </w:rPr>
              <w:t>0.035%</w:t>
            </w:r>
          </w:p>
        </w:tc>
        <w:tc>
          <w:tcPr>
            <w:tcW w:w="1839" w:type="dxa"/>
          </w:tcPr>
          <w:p w14:paraId="4AA0C888">
            <w:pPr>
              <w:spacing w:line="360" w:lineRule="auto"/>
              <w:rPr>
                <w:rFonts w:hint="eastAsia" w:ascii="宋体" w:hAnsi="宋体" w:cs="宋体"/>
                <w:szCs w:val="21"/>
              </w:rPr>
            </w:pPr>
            <w:r>
              <w:rPr>
                <w:rFonts w:hint="eastAsia" w:ascii="宋体" w:hAnsi="宋体" w:cs="宋体"/>
                <w:szCs w:val="21"/>
              </w:rPr>
              <w:t xml:space="preserve">  0.035%</w:t>
            </w:r>
          </w:p>
        </w:tc>
        <w:tc>
          <w:tcPr>
            <w:tcW w:w="1856" w:type="dxa"/>
          </w:tcPr>
          <w:p w14:paraId="0AE60D6A">
            <w:pPr>
              <w:spacing w:line="360" w:lineRule="auto"/>
              <w:ind w:firstLine="105" w:firstLineChars="50"/>
              <w:rPr>
                <w:rFonts w:hint="eastAsia" w:ascii="宋体" w:hAnsi="宋体" w:cs="宋体"/>
                <w:szCs w:val="21"/>
              </w:rPr>
            </w:pPr>
            <w:r>
              <w:rPr>
                <w:rFonts w:hint="eastAsia" w:ascii="宋体" w:hAnsi="宋体" w:cs="宋体"/>
                <w:szCs w:val="21"/>
              </w:rPr>
              <w:t>0.035%</w:t>
            </w:r>
          </w:p>
        </w:tc>
      </w:tr>
      <w:tr w14:paraId="2EF5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0A8C54AE">
            <w:pPr>
              <w:spacing w:line="360" w:lineRule="auto"/>
              <w:rPr>
                <w:rFonts w:hint="eastAsia" w:ascii="宋体" w:hAnsi="宋体" w:cs="宋体"/>
                <w:szCs w:val="21"/>
              </w:rPr>
            </w:pPr>
            <w:r>
              <w:rPr>
                <w:rFonts w:hint="eastAsia" w:ascii="宋体" w:hAnsi="宋体" w:cs="宋体"/>
                <w:szCs w:val="21"/>
              </w:rPr>
              <w:t>10～50亿元</w:t>
            </w:r>
          </w:p>
        </w:tc>
        <w:tc>
          <w:tcPr>
            <w:tcW w:w="1991" w:type="dxa"/>
          </w:tcPr>
          <w:p w14:paraId="4F3C1F8C">
            <w:pPr>
              <w:spacing w:line="360" w:lineRule="auto"/>
              <w:ind w:firstLine="105" w:firstLineChars="50"/>
              <w:rPr>
                <w:rFonts w:hint="eastAsia" w:ascii="宋体" w:hAnsi="宋体" w:cs="宋体"/>
                <w:szCs w:val="21"/>
              </w:rPr>
            </w:pPr>
            <w:r>
              <w:rPr>
                <w:rFonts w:hint="eastAsia" w:ascii="宋体" w:hAnsi="宋体" w:cs="宋体"/>
                <w:szCs w:val="21"/>
              </w:rPr>
              <w:t>0.008%</w:t>
            </w:r>
          </w:p>
        </w:tc>
        <w:tc>
          <w:tcPr>
            <w:tcW w:w="1839" w:type="dxa"/>
          </w:tcPr>
          <w:p w14:paraId="7370EB42">
            <w:pPr>
              <w:spacing w:line="360" w:lineRule="auto"/>
              <w:ind w:firstLine="210" w:firstLineChars="100"/>
              <w:rPr>
                <w:rFonts w:hint="eastAsia" w:ascii="宋体" w:hAnsi="宋体" w:cs="宋体"/>
                <w:szCs w:val="21"/>
              </w:rPr>
            </w:pPr>
            <w:r>
              <w:rPr>
                <w:rFonts w:hint="eastAsia" w:ascii="宋体" w:hAnsi="宋体" w:cs="宋体"/>
                <w:szCs w:val="21"/>
              </w:rPr>
              <w:t>0.008%</w:t>
            </w:r>
          </w:p>
        </w:tc>
        <w:tc>
          <w:tcPr>
            <w:tcW w:w="1856" w:type="dxa"/>
          </w:tcPr>
          <w:p w14:paraId="4A952D40">
            <w:pPr>
              <w:spacing w:line="360" w:lineRule="auto"/>
              <w:ind w:firstLine="105" w:firstLineChars="50"/>
              <w:rPr>
                <w:rFonts w:hint="eastAsia" w:ascii="宋体" w:hAnsi="宋体" w:cs="宋体"/>
                <w:szCs w:val="21"/>
              </w:rPr>
            </w:pPr>
            <w:r>
              <w:rPr>
                <w:rFonts w:hint="eastAsia" w:ascii="宋体" w:hAnsi="宋体" w:cs="宋体"/>
                <w:szCs w:val="21"/>
              </w:rPr>
              <w:t>0.008%</w:t>
            </w:r>
          </w:p>
        </w:tc>
      </w:tr>
      <w:tr w14:paraId="68AE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293C32A4">
            <w:pPr>
              <w:spacing w:line="360" w:lineRule="auto"/>
              <w:rPr>
                <w:rFonts w:hint="eastAsia" w:ascii="宋体" w:hAnsi="宋体" w:cs="宋体"/>
                <w:szCs w:val="21"/>
              </w:rPr>
            </w:pPr>
            <w:r>
              <w:rPr>
                <w:rFonts w:hint="eastAsia" w:ascii="宋体" w:hAnsi="宋体" w:cs="宋体"/>
                <w:szCs w:val="21"/>
              </w:rPr>
              <w:t>50～100亿元</w:t>
            </w:r>
          </w:p>
        </w:tc>
        <w:tc>
          <w:tcPr>
            <w:tcW w:w="1991" w:type="dxa"/>
          </w:tcPr>
          <w:p w14:paraId="0A34CF92">
            <w:pPr>
              <w:spacing w:line="360" w:lineRule="auto"/>
              <w:rPr>
                <w:rFonts w:hint="eastAsia" w:ascii="宋体" w:hAnsi="宋体" w:cs="宋体"/>
                <w:szCs w:val="21"/>
              </w:rPr>
            </w:pPr>
            <w:r>
              <w:rPr>
                <w:rFonts w:hint="eastAsia" w:ascii="宋体" w:hAnsi="宋体" w:cs="宋体"/>
                <w:szCs w:val="21"/>
              </w:rPr>
              <w:t xml:space="preserve"> 0.006%</w:t>
            </w:r>
          </w:p>
        </w:tc>
        <w:tc>
          <w:tcPr>
            <w:tcW w:w="1839" w:type="dxa"/>
          </w:tcPr>
          <w:p w14:paraId="2A508FB0">
            <w:pPr>
              <w:spacing w:line="360" w:lineRule="auto"/>
              <w:ind w:firstLine="210" w:firstLineChars="100"/>
              <w:rPr>
                <w:rFonts w:hint="eastAsia" w:ascii="宋体" w:hAnsi="宋体" w:cs="宋体"/>
                <w:szCs w:val="21"/>
              </w:rPr>
            </w:pPr>
            <w:r>
              <w:rPr>
                <w:rFonts w:hint="eastAsia" w:ascii="宋体" w:hAnsi="宋体" w:cs="宋体"/>
                <w:szCs w:val="21"/>
              </w:rPr>
              <w:t>0.006%</w:t>
            </w:r>
          </w:p>
        </w:tc>
        <w:tc>
          <w:tcPr>
            <w:tcW w:w="1856" w:type="dxa"/>
          </w:tcPr>
          <w:p w14:paraId="7F4C771A">
            <w:pPr>
              <w:spacing w:line="360" w:lineRule="auto"/>
              <w:ind w:firstLine="105" w:firstLineChars="50"/>
              <w:rPr>
                <w:rFonts w:hint="eastAsia" w:ascii="宋体" w:hAnsi="宋体" w:cs="宋体"/>
                <w:szCs w:val="21"/>
              </w:rPr>
            </w:pPr>
            <w:r>
              <w:rPr>
                <w:rFonts w:hint="eastAsia" w:ascii="宋体" w:hAnsi="宋体" w:cs="宋体"/>
                <w:szCs w:val="21"/>
              </w:rPr>
              <w:t>0.006%</w:t>
            </w:r>
          </w:p>
        </w:tc>
      </w:tr>
      <w:tr w14:paraId="7B10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tcPr>
          <w:p w14:paraId="23EC2661">
            <w:pPr>
              <w:spacing w:line="360" w:lineRule="auto"/>
              <w:rPr>
                <w:rFonts w:hint="eastAsia" w:ascii="宋体" w:hAnsi="宋体" w:cs="宋体"/>
                <w:szCs w:val="21"/>
              </w:rPr>
            </w:pPr>
            <w:r>
              <w:rPr>
                <w:rFonts w:hint="eastAsia" w:ascii="宋体" w:hAnsi="宋体" w:cs="宋体"/>
                <w:szCs w:val="21"/>
              </w:rPr>
              <w:t>100亿以上</w:t>
            </w:r>
          </w:p>
        </w:tc>
        <w:tc>
          <w:tcPr>
            <w:tcW w:w="1991" w:type="dxa"/>
          </w:tcPr>
          <w:p w14:paraId="2B59F49A">
            <w:pPr>
              <w:spacing w:line="360" w:lineRule="auto"/>
              <w:rPr>
                <w:rFonts w:hint="eastAsia" w:ascii="宋体" w:hAnsi="宋体" w:cs="宋体"/>
                <w:szCs w:val="21"/>
              </w:rPr>
            </w:pPr>
            <w:r>
              <w:rPr>
                <w:rFonts w:hint="eastAsia" w:ascii="宋体" w:hAnsi="宋体" w:cs="宋体"/>
                <w:szCs w:val="21"/>
              </w:rPr>
              <w:t xml:space="preserve"> 0.004%</w:t>
            </w:r>
          </w:p>
        </w:tc>
        <w:tc>
          <w:tcPr>
            <w:tcW w:w="1839" w:type="dxa"/>
          </w:tcPr>
          <w:p w14:paraId="7DD629BA">
            <w:pPr>
              <w:spacing w:line="360" w:lineRule="auto"/>
              <w:ind w:firstLine="210" w:firstLineChars="100"/>
              <w:rPr>
                <w:rFonts w:hint="eastAsia" w:ascii="宋体" w:hAnsi="宋体" w:cs="宋体"/>
                <w:szCs w:val="21"/>
              </w:rPr>
            </w:pPr>
            <w:r>
              <w:rPr>
                <w:rFonts w:hint="eastAsia" w:ascii="宋体" w:hAnsi="宋体" w:cs="宋体"/>
                <w:szCs w:val="21"/>
              </w:rPr>
              <w:t>0.004%</w:t>
            </w:r>
          </w:p>
        </w:tc>
        <w:tc>
          <w:tcPr>
            <w:tcW w:w="1856" w:type="dxa"/>
          </w:tcPr>
          <w:p w14:paraId="10BDA3A3">
            <w:pPr>
              <w:spacing w:line="360" w:lineRule="auto"/>
              <w:ind w:firstLine="105" w:firstLineChars="50"/>
              <w:rPr>
                <w:rFonts w:hint="eastAsia" w:ascii="宋体" w:hAnsi="宋体" w:cs="宋体"/>
                <w:szCs w:val="21"/>
              </w:rPr>
            </w:pPr>
            <w:r>
              <w:rPr>
                <w:rFonts w:hint="eastAsia" w:ascii="宋体" w:hAnsi="宋体" w:cs="宋体"/>
                <w:szCs w:val="21"/>
              </w:rPr>
              <w:t>0.004%</w:t>
            </w:r>
          </w:p>
        </w:tc>
      </w:tr>
    </w:tbl>
    <w:p w14:paraId="600605B6">
      <w:pPr>
        <w:spacing w:line="360" w:lineRule="auto"/>
        <w:ind w:firstLine="420" w:firstLineChars="200"/>
        <w:contextualSpacing/>
        <w:rPr>
          <w:rFonts w:hint="eastAsia" w:ascii="宋体" w:hAnsi="宋体" w:cs="宋体"/>
        </w:rPr>
      </w:pPr>
      <w:r>
        <w:rPr>
          <w:rFonts w:hint="eastAsia" w:ascii="宋体" w:hAnsi="宋体" w:cs="宋体"/>
        </w:rPr>
        <w:t xml:space="preserve">注： </w:t>
      </w:r>
    </w:p>
    <w:p w14:paraId="00E7D31C">
      <w:pPr>
        <w:spacing w:line="360" w:lineRule="auto"/>
        <w:ind w:firstLine="420" w:firstLineChars="200"/>
        <w:contextualSpacing/>
        <w:rPr>
          <w:rFonts w:hint="eastAsia" w:ascii="宋体" w:hAnsi="宋体" w:cs="宋体"/>
        </w:rPr>
      </w:pPr>
      <w:r>
        <w:rPr>
          <w:rFonts w:hint="eastAsia" w:ascii="宋体" w:hAnsi="宋体" w:cs="宋体"/>
        </w:rPr>
        <w:t>（1）按本表费率计算的收费为采购代理的收费基准价格；</w:t>
      </w:r>
    </w:p>
    <w:p w14:paraId="12C9F25F">
      <w:pPr>
        <w:spacing w:line="360" w:lineRule="auto"/>
        <w:ind w:firstLine="420" w:firstLineChars="200"/>
        <w:contextualSpacing/>
        <w:rPr>
          <w:rFonts w:hint="eastAsia" w:ascii="宋体" w:hAnsi="宋体" w:cs="宋体"/>
        </w:rPr>
      </w:pPr>
      <w:r>
        <w:rPr>
          <w:rFonts w:hint="eastAsia" w:ascii="宋体" w:hAnsi="宋体" w:cs="宋体"/>
        </w:rPr>
        <w:t>（2）采购代理收费按差额定率累进法计算。</w:t>
      </w:r>
    </w:p>
    <w:p w14:paraId="1285212C">
      <w:pPr>
        <w:spacing w:line="360" w:lineRule="auto"/>
        <w:ind w:firstLine="420" w:firstLineChars="200"/>
        <w:contextualSpacing/>
        <w:rPr>
          <w:rFonts w:hint="eastAsia" w:ascii="宋体" w:hAnsi="宋体" w:cs="宋体"/>
        </w:rPr>
      </w:pPr>
      <w:r>
        <w:rPr>
          <w:rFonts w:hint="eastAsia" w:ascii="宋体" w:hAnsi="宋体" w:cs="宋体"/>
        </w:rPr>
        <w:t>例如：某货物采购代理业务成交金额或者暂定价为150万元，计算采购代理收费额如下：</w:t>
      </w:r>
    </w:p>
    <w:p w14:paraId="3CED0D07">
      <w:pPr>
        <w:spacing w:line="360" w:lineRule="auto"/>
        <w:ind w:firstLine="420" w:firstLineChars="200"/>
        <w:contextualSpacing/>
        <w:rPr>
          <w:rFonts w:hint="eastAsia" w:ascii="宋体" w:hAnsi="宋体" w:cs="宋体"/>
        </w:rPr>
      </w:pPr>
      <w:r>
        <w:rPr>
          <w:rFonts w:hint="eastAsia" w:ascii="宋体" w:hAnsi="宋体" w:cs="宋体"/>
        </w:rPr>
        <w:t>100 万元 ×l.5 %＝ 1.5 万元</w:t>
      </w:r>
    </w:p>
    <w:p w14:paraId="4446EB25">
      <w:pPr>
        <w:spacing w:line="360" w:lineRule="auto"/>
        <w:ind w:firstLine="420" w:firstLineChars="200"/>
        <w:contextualSpacing/>
        <w:rPr>
          <w:rFonts w:hint="eastAsia" w:ascii="宋体" w:hAnsi="宋体" w:cs="宋体"/>
        </w:rPr>
      </w:pPr>
      <w:r>
        <w:rPr>
          <w:rFonts w:hint="eastAsia" w:ascii="宋体" w:hAnsi="宋体" w:cs="宋体"/>
        </w:rPr>
        <w:t>（ 150 － 100 ）万元 ×1.1%＝ 0.55 万元</w:t>
      </w:r>
    </w:p>
    <w:p w14:paraId="79F10F42">
      <w:pPr>
        <w:spacing w:line="360" w:lineRule="auto"/>
        <w:ind w:firstLine="420" w:firstLineChars="200"/>
        <w:contextualSpacing/>
        <w:rPr>
          <w:rFonts w:hint="eastAsia" w:ascii="宋体" w:hAnsi="宋体" w:cs="宋体"/>
        </w:rPr>
      </w:pPr>
      <w:r>
        <w:rPr>
          <w:rFonts w:hint="eastAsia" w:ascii="宋体" w:hAnsi="宋体" w:cs="宋体"/>
        </w:rPr>
        <w:t>合计收费＝ 1.5 ＋ 0.55＝ 2.05 （万元）</w:t>
      </w:r>
    </w:p>
    <w:p w14:paraId="66D70BC2">
      <w:pPr>
        <w:spacing w:line="420" w:lineRule="exact"/>
        <w:ind w:firstLine="482" w:firstLineChars="200"/>
        <w:contextualSpacing/>
        <w:rPr>
          <w:rFonts w:hint="eastAsia" w:ascii="宋体" w:hAnsi="宋体" w:cs="宋体"/>
          <w:b/>
          <w:bCs/>
          <w:sz w:val="24"/>
        </w:rPr>
      </w:pPr>
      <w:r>
        <w:rPr>
          <w:rFonts w:hint="eastAsia" w:ascii="宋体" w:hAnsi="宋体" w:cs="宋体"/>
          <w:b/>
          <w:bCs/>
          <w:sz w:val="24"/>
        </w:rPr>
        <w:t>33. 需要补充的其他内容</w:t>
      </w:r>
    </w:p>
    <w:p w14:paraId="04D88608">
      <w:pPr>
        <w:spacing w:line="420" w:lineRule="exact"/>
        <w:ind w:firstLine="420" w:firstLineChars="200"/>
        <w:contextualSpacing/>
        <w:rPr>
          <w:rFonts w:hint="eastAsia" w:ascii="宋体" w:hAnsi="宋体" w:cs="宋体"/>
          <w:kern w:val="0"/>
          <w:szCs w:val="21"/>
        </w:rPr>
      </w:pPr>
      <w:r>
        <w:rPr>
          <w:rFonts w:hint="eastAsia" w:ascii="宋体" w:hAnsi="宋体" w:cs="宋体"/>
          <w:kern w:val="0"/>
          <w:szCs w:val="21"/>
        </w:rPr>
        <w:t>33.1本谈判文件解释规则详见“供应商须知前附表”。</w:t>
      </w:r>
    </w:p>
    <w:p w14:paraId="65C8552A">
      <w:pPr>
        <w:spacing w:line="420" w:lineRule="exact"/>
        <w:ind w:firstLine="420" w:firstLineChars="200"/>
        <w:contextualSpacing/>
        <w:rPr>
          <w:rFonts w:hint="eastAsia" w:ascii="宋体" w:hAnsi="宋体" w:cs="宋体"/>
        </w:rPr>
      </w:pPr>
      <w:r>
        <w:rPr>
          <w:rFonts w:hint="eastAsia" w:ascii="宋体" w:hAnsi="宋体" w:cs="宋体"/>
          <w:kern w:val="0"/>
          <w:szCs w:val="21"/>
        </w:rPr>
        <w:t>33.2 其他事</w:t>
      </w:r>
      <w:r>
        <w:rPr>
          <w:rFonts w:hint="eastAsia" w:ascii="宋体" w:hAnsi="宋体" w:cs="宋体"/>
        </w:rPr>
        <w:t>项详见“供应商须知前附表”。</w:t>
      </w:r>
    </w:p>
    <w:p w14:paraId="29574753">
      <w:pPr>
        <w:spacing w:line="420" w:lineRule="exact"/>
        <w:ind w:firstLine="400" w:firstLineChars="200"/>
        <w:contextualSpacing/>
        <w:rPr>
          <w:rFonts w:hint="eastAsia" w:ascii="宋体" w:hAnsi="宋体" w:cs="宋体"/>
          <w:kern w:val="0"/>
          <w:szCs w:val="21"/>
        </w:rPr>
      </w:pPr>
      <w:r>
        <w:rPr>
          <w:rFonts w:hint="eastAsia" w:ascii="宋体" w:hAnsi="宋体" w:cs="宋体"/>
          <w:kern w:val="0"/>
          <w:sz w:val="20"/>
          <w:szCs w:val="21"/>
        </w:rPr>
        <w:t>33.3</w:t>
      </w:r>
      <w:bookmarkStart w:id="69" w:name="_Hlk65857140"/>
      <w:r>
        <w:rPr>
          <w:rFonts w:hint="eastAsia" w:ascii="宋体" w:hAnsi="宋体" w:cs="宋体"/>
          <w:kern w:val="0"/>
          <w:szCs w:val="21"/>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2D572254">
      <w:pPr>
        <w:spacing w:line="420" w:lineRule="exact"/>
        <w:ind w:firstLine="420" w:firstLineChars="200"/>
        <w:contextualSpacing/>
        <w:rPr>
          <w:rFonts w:hint="eastAsia" w:ascii="宋体" w:hAnsi="宋体" w:cs="宋体"/>
          <w:kern w:val="0"/>
          <w:szCs w:val="21"/>
        </w:rPr>
      </w:pPr>
      <w:r>
        <w:rPr>
          <w:rFonts w:hint="eastAsia" w:ascii="宋体" w:hAnsi="宋体" w:cs="宋体"/>
          <w:kern w:val="0"/>
          <w:szCs w:val="21"/>
        </w:rPr>
        <w:t>（1）在货物采购项目中，货物由中小企业制造，即货物由中小企业生产且使用该中小企业商号或者注册商标，不对其中涉及的工程承建商和服务的承接商作出要求；</w:t>
      </w:r>
    </w:p>
    <w:p w14:paraId="62DEDC49">
      <w:pPr>
        <w:spacing w:line="420" w:lineRule="exact"/>
        <w:ind w:firstLine="420" w:firstLineChars="200"/>
        <w:contextualSpacing/>
        <w:rPr>
          <w:rFonts w:hint="eastAsia" w:ascii="宋体" w:hAnsi="宋体" w:cs="宋体"/>
          <w:kern w:val="0"/>
          <w:szCs w:val="21"/>
        </w:rPr>
      </w:pPr>
      <w:r>
        <w:rPr>
          <w:rFonts w:hint="eastAsia" w:ascii="宋体" w:hAnsi="宋体" w:cs="宋体"/>
          <w:kern w:val="0"/>
          <w:szCs w:val="21"/>
        </w:rPr>
        <w:t>（2）在工程采购项目中，工程由中小企业承建，即工程施工单位为中小企业，不对其中涉及的货物的制造商和服务的承接商作出要求；</w:t>
      </w:r>
    </w:p>
    <w:p w14:paraId="7F677C85">
      <w:pPr>
        <w:spacing w:line="420" w:lineRule="exact"/>
        <w:ind w:firstLine="420" w:firstLineChars="200"/>
        <w:contextualSpacing/>
        <w:rPr>
          <w:rFonts w:hint="eastAsia" w:ascii="宋体" w:hAnsi="宋体" w:cs="宋体"/>
          <w:kern w:val="0"/>
          <w:szCs w:val="21"/>
        </w:rPr>
      </w:pPr>
      <w:r>
        <w:rPr>
          <w:rFonts w:hint="eastAsia" w:ascii="宋体" w:hAnsi="宋体" w:cs="宋体"/>
          <w:kern w:val="0"/>
          <w:szCs w:val="21"/>
        </w:rPr>
        <w:t>（3）在服务采购项目中，服务由中小企业承接，即提供服务的人员为中小企业依照《中华人民共和国劳动合同法》订立劳动合同的从业人员，不对其中涉及的货物的制造商和工程承建商作出要求。</w:t>
      </w:r>
    </w:p>
    <w:p w14:paraId="29364E6E">
      <w:pPr>
        <w:spacing w:line="420" w:lineRule="exact"/>
        <w:ind w:firstLine="420" w:firstLineChars="200"/>
        <w:contextualSpacing/>
        <w:rPr>
          <w:rFonts w:hint="eastAsia" w:ascii="宋体" w:hAnsi="宋体" w:cs="宋体"/>
          <w:kern w:val="0"/>
          <w:szCs w:val="21"/>
        </w:rPr>
      </w:pPr>
      <w:r>
        <w:rPr>
          <w:rFonts w:hint="eastAsia" w:ascii="宋体" w:hAnsi="宋体" w:cs="宋体"/>
          <w:kern w:val="0"/>
          <w:szCs w:val="21"/>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32EFE3E6">
      <w:pPr>
        <w:spacing w:line="420" w:lineRule="exact"/>
        <w:ind w:firstLine="420" w:firstLineChars="200"/>
        <w:contextualSpacing/>
        <w:rPr>
          <w:rFonts w:hint="eastAsia" w:ascii="宋体" w:hAnsi="宋体" w:cs="宋体"/>
        </w:rPr>
        <w:sectPr>
          <w:pgSz w:w="11906" w:h="16838"/>
          <w:pgMar w:top="1134" w:right="1134" w:bottom="1134" w:left="1134" w:header="720" w:footer="720" w:gutter="0"/>
          <w:cols w:space="720" w:num="1"/>
          <w:docGrid w:type="lines" w:linePitch="331" w:charSpace="0"/>
        </w:sectPr>
      </w:pPr>
      <w:r>
        <w:rPr>
          <w:rFonts w:hint="eastAsia" w:ascii="宋体" w:hAnsi="宋体" w:cs="宋体"/>
        </w:rPr>
        <w:t>依据本谈判文件规定享受扶持政策获得政府采购合同的，小微企业不得将合同分包给大中型企业，中型企业不得将合同分包给大型企业。</w:t>
      </w:r>
      <w:bookmarkEnd w:id="69"/>
    </w:p>
    <w:p w14:paraId="6010171A">
      <w:pPr>
        <w:pStyle w:val="20"/>
      </w:pPr>
    </w:p>
    <w:p w14:paraId="10EC07E1">
      <w:pPr>
        <w:snapToGrid w:val="0"/>
        <w:rPr>
          <w:rFonts w:hint="eastAsia" w:ascii="宋体" w:hAnsi="宋体" w:cs="宋体"/>
          <w:kern w:val="0"/>
          <w:sz w:val="32"/>
          <w:szCs w:val="32"/>
        </w:rPr>
      </w:pPr>
      <w:r>
        <w:rPr>
          <w:rFonts w:hint="eastAsia" w:ascii="宋体" w:hAnsi="宋体" w:cs="宋体"/>
          <w:kern w:val="0"/>
          <w:sz w:val="32"/>
          <w:szCs w:val="32"/>
        </w:rPr>
        <w:t>附件1：</w:t>
      </w:r>
    </w:p>
    <w:p w14:paraId="234FAA7D">
      <w:pPr>
        <w:widowControl/>
        <w:shd w:val="clear" w:color="auto" w:fill="FFFFFF"/>
        <w:spacing w:line="480" w:lineRule="atLeast"/>
        <w:jc w:val="center"/>
        <w:rPr>
          <w:rFonts w:hint="eastAsia" w:ascii="宋体" w:hAnsi="宋体" w:cs="宋体"/>
          <w:b/>
          <w:bCs/>
          <w:kern w:val="0"/>
          <w:sz w:val="28"/>
          <w:szCs w:val="28"/>
        </w:rPr>
      </w:pPr>
      <w:r>
        <w:rPr>
          <w:rFonts w:hint="eastAsia" w:ascii="宋体" w:hAnsi="宋体" w:cs="宋体"/>
          <w:b/>
          <w:bCs/>
          <w:kern w:val="0"/>
          <w:sz w:val="28"/>
          <w:szCs w:val="28"/>
        </w:rPr>
        <w:t>采购项目合同验收书（格式）</w:t>
      </w:r>
    </w:p>
    <w:p w14:paraId="59D358C9">
      <w:pPr>
        <w:widowControl/>
        <w:shd w:val="clear" w:color="auto" w:fill="FFFFFF"/>
        <w:snapToGrid w:val="0"/>
        <w:spacing w:line="320" w:lineRule="atLeast"/>
        <w:ind w:firstLine="480"/>
        <w:jc w:val="left"/>
        <w:rPr>
          <w:rFonts w:hint="eastAsia" w:ascii="宋体" w:hAnsi="宋体" w:cs="宋体"/>
          <w:kern w:val="0"/>
          <w:szCs w:val="21"/>
        </w:rPr>
      </w:pPr>
    </w:p>
    <w:p w14:paraId="367D1654">
      <w:pPr>
        <w:widowControl/>
        <w:shd w:val="clear" w:color="auto" w:fill="FFFFFF"/>
        <w:snapToGrid w:val="0"/>
        <w:spacing w:line="320" w:lineRule="atLeast"/>
        <w:ind w:firstLine="480"/>
        <w:jc w:val="left"/>
        <w:rPr>
          <w:rFonts w:hint="eastAsia" w:ascii="宋体" w:hAnsi="宋体" w:cs="宋体"/>
          <w:kern w:val="0"/>
          <w:szCs w:val="21"/>
        </w:rPr>
      </w:pPr>
      <w:r>
        <w:rPr>
          <w:rFonts w:hint="eastAsia" w:ascii="宋体" w:hAnsi="宋体" w:cs="宋体"/>
          <w:kern w:val="0"/>
          <w:szCs w:val="21"/>
        </w:rPr>
        <w:t>根据采购项目（</w:t>
      </w:r>
      <w:r>
        <w:rPr>
          <w:rFonts w:hint="eastAsia" w:ascii="宋体" w:hAnsi="宋体" w:cs="宋体"/>
          <w:kern w:val="0"/>
          <w:szCs w:val="21"/>
          <w:u w:val="single"/>
        </w:rPr>
        <w:t>采购合同编号：</w:t>
      </w:r>
      <w:r>
        <w:rPr>
          <w:rFonts w:hint="eastAsia" w:ascii="宋体" w:hAnsi="宋体" w:cs="宋体"/>
          <w:kern w:val="0"/>
          <w:szCs w:val="21"/>
          <w:u w:val="single"/>
        </w:rPr>
        <w:softHyphen/>
      </w:r>
      <w:r>
        <w:rPr>
          <w:rFonts w:hint="eastAsia" w:ascii="宋体" w:hAnsi="宋体" w:cs="宋体"/>
          <w:kern w:val="0"/>
          <w:szCs w:val="21"/>
          <w:u w:val="single"/>
        </w:rPr>
        <w:t>   </w:t>
      </w:r>
      <w:r>
        <w:rPr>
          <w:rFonts w:hint="eastAsia" w:ascii="宋体" w:hAnsi="宋体" w:cs="宋体"/>
          <w:kern w:val="0"/>
          <w:szCs w:val="21"/>
        </w:rPr>
        <w:t>）的约定，我单位对（</w:t>
      </w:r>
      <w:r>
        <w:rPr>
          <w:rFonts w:hint="eastAsia" w:ascii="宋体" w:hAnsi="宋体" w:cs="宋体"/>
          <w:kern w:val="0"/>
          <w:szCs w:val="21"/>
          <w:u w:val="single"/>
        </w:rPr>
        <w:t xml:space="preserve"> 项目名称   </w:t>
      </w:r>
      <w:r>
        <w:rPr>
          <w:rFonts w:hint="eastAsia" w:ascii="宋体" w:hAnsi="宋体" w:cs="宋体"/>
          <w:kern w:val="0"/>
          <w:szCs w:val="21"/>
        </w:rPr>
        <w:t>）采购项目中标（或成交）供应商（</w:t>
      </w:r>
      <w:r>
        <w:rPr>
          <w:rFonts w:hint="eastAsia" w:ascii="宋体" w:hAnsi="宋体" w:cs="宋体"/>
          <w:kern w:val="0"/>
          <w:szCs w:val="21"/>
          <w:u w:val="single"/>
        </w:rPr>
        <w:t xml:space="preserve">            公司名称              </w:t>
      </w:r>
      <w:r>
        <w:rPr>
          <w:rFonts w:hint="eastAsia" w:ascii="宋体" w:hAnsi="宋体" w:cs="宋体"/>
          <w:kern w:val="0"/>
          <w:szCs w:val="21"/>
        </w:rPr>
        <w:t>）提供的货物（或工程、服务）进行了验收，验收情况如下：</w:t>
      </w:r>
    </w:p>
    <w:tbl>
      <w:tblPr>
        <w:tblStyle w:val="29"/>
        <w:tblW w:w="8642" w:type="dxa"/>
        <w:jc w:val="center"/>
        <w:tblLayout w:type="fixed"/>
        <w:tblCellMar>
          <w:top w:w="0" w:type="dxa"/>
          <w:left w:w="0" w:type="dxa"/>
          <w:bottom w:w="0" w:type="dxa"/>
          <w:right w:w="0" w:type="dxa"/>
        </w:tblCellMar>
      </w:tblPr>
      <w:tblGrid>
        <w:gridCol w:w="1578"/>
        <w:gridCol w:w="1681"/>
        <w:gridCol w:w="664"/>
        <w:gridCol w:w="2017"/>
        <w:gridCol w:w="186"/>
        <w:gridCol w:w="720"/>
        <w:gridCol w:w="1796"/>
      </w:tblGrid>
      <w:tr w14:paraId="44E20BA0">
        <w:tblPrEx>
          <w:tblCellMar>
            <w:top w:w="0" w:type="dxa"/>
            <w:left w:w="0" w:type="dxa"/>
            <w:bottom w:w="0" w:type="dxa"/>
            <w:right w:w="0" w:type="dxa"/>
          </w:tblCellMar>
        </w:tblPrEx>
        <w:trPr>
          <w:trHeight w:val="497" w:hRule="atLeast"/>
          <w:jc w:val="center"/>
        </w:trPr>
        <w:tc>
          <w:tcPr>
            <w:tcW w:w="3259" w:type="dxa"/>
            <w:gridSpan w:val="2"/>
            <w:tcBorders>
              <w:top w:val="single" w:color="auto" w:sz="8" w:space="0"/>
              <w:left w:val="single" w:color="auto" w:sz="8" w:space="0"/>
              <w:bottom w:val="single" w:color="auto" w:sz="8" w:space="0"/>
              <w:right w:val="single" w:color="auto" w:sz="8" w:space="0"/>
            </w:tcBorders>
            <w:vAlign w:val="center"/>
          </w:tcPr>
          <w:p w14:paraId="075F855B">
            <w:pPr>
              <w:widowControl/>
              <w:snapToGrid w:val="0"/>
              <w:spacing w:before="100" w:beforeAutospacing="1" w:after="100" w:afterAutospacing="1" w:line="320" w:lineRule="atLeast"/>
              <w:ind w:firstLine="5"/>
              <w:jc w:val="center"/>
              <w:rPr>
                <w:rFonts w:hint="eastAsia" w:ascii="宋体" w:hAnsi="宋体" w:cs="宋体"/>
                <w:kern w:val="0"/>
                <w:szCs w:val="21"/>
              </w:rPr>
            </w:pPr>
            <w:r>
              <w:rPr>
                <w:rFonts w:hint="eastAsia" w:ascii="宋体" w:hAnsi="宋体" w:cs="宋体"/>
                <w:kern w:val="0"/>
                <w:szCs w:val="21"/>
              </w:rPr>
              <w:t>验收方式：</w:t>
            </w:r>
          </w:p>
        </w:tc>
        <w:tc>
          <w:tcPr>
            <w:tcW w:w="5383" w:type="dxa"/>
            <w:gridSpan w:val="5"/>
            <w:tcBorders>
              <w:top w:val="single" w:color="auto" w:sz="8" w:space="0"/>
              <w:left w:val="nil"/>
              <w:bottom w:val="single" w:color="auto" w:sz="8" w:space="0"/>
              <w:right w:val="single" w:color="auto" w:sz="8" w:space="0"/>
            </w:tcBorders>
            <w:vAlign w:val="center"/>
          </w:tcPr>
          <w:p w14:paraId="08C0C31A">
            <w:pPr>
              <w:widowControl/>
              <w:snapToGrid w:val="0"/>
              <w:spacing w:before="100" w:beforeAutospacing="1" w:after="100" w:afterAutospacing="1" w:line="320" w:lineRule="atLeast"/>
              <w:ind w:firstLine="480"/>
              <w:jc w:val="center"/>
              <w:rPr>
                <w:rFonts w:hint="eastAsia" w:ascii="宋体" w:hAnsi="宋体" w:cs="宋体"/>
                <w:kern w:val="0"/>
                <w:szCs w:val="21"/>
              </w:rPr>
            </w:pPr>
            <w:r>
              <w:rPr>
                <w:rFonts w:hint="eastAsia" w:ascii="宋体" w:hAnsi="宋体" w:cs="宋体"/>
                <w:kern w:val="0"/>
                <w:szCs w:val="21"/>
              </w:rPr>
              <w:t>□自行验收        □委托验收</w:t>
            </w:r>
          </w:p>
        </w:tc>
      </w:tr>
      <w:tr w14:paraId="5B9BD6AA">
        <w:tblPrEx>
          <w:tblCellMar>
            <w:top w:w="0" w:type="dxa"/>
            <w:left w:w="0" w:type="dxa"/>
            <w:bottom w:w="0" w:type="dxa"/>
            <w:right w:w="0" w:type="dxa"/>
          </w:tblCellMar>
        </w:tblPrEx>
        <w:trPr>
          <w:trHeight w:val="622" w:hRule="atLeast"/>
          <w:jc w:val="center"/>
        </w:trPr>
        <w:tc>
          <w:tcPr>
            <w:tcW w:w="1578" w:type="dxa"/>
            <w:tcBorders>
              <w:top w:val="nil"/>
              <w:left w:val="single" w:color="auto" w:sz="8" w:space="0"/>
              <w:bottom w:val="single" w:color="auto" w:sz="8" w:space="0"/>
              <w:right w:val="single" w:color="auto" w:sz="8" w:space="0"/>
            </w:tcBorders>
            <w:vAlign w:val="center"/>
          </w:tcPr>
          <w:p w14:paraId="6E47899C">
            <w:pPr>
              <w:widowControl/>
              <w:snapToGrid w:val="0"/>
              <w:spacing w:before="100" w:beforeAutospacing="1" w:after="100" w:afterAutospacing="1" w:line="320" w:lineRule="atLeast"/>
              <w:ind w:firstLine="2"/>
              <w:jc w:val="center"/>
              <w:rPr>
                <w:rFonts w:hint="eastAsia" w:ascii="宋体" w:hAnsi="宋体" w:cs="宋体"/>
                <w:kern w:val="0"/>
                <w:szCs w:val="21"/>
              </w:rPr>
            </w:pPr>
            <w:r>
              <w:rPr>
                <w:rFonts w:hint="eastAsia" w:ascii="宋体" w:hAnsi="宋体" w:cs="宋体"/>
                <w:kern w:val="0"/>
                <w:szCs w:val="21"/>
              </w:rPr>
              <w:t>序号</w:t>
            </w:r>
          </w:p>
        </w:tc>
        <w:tc>
          <w:tcPr>
            <w:tcW w:w="1681" w:type="dxa"/>
            <w:tcBorders>
              <w:top w:val="nil"/>
              <w:left w:val="nil"/>
              <w:bottom w:val="single" w:color="auto" w:sz="8" w:space="0"/>
              <w:right w:val="single" w:color="auto" w:sz="8" w:space="0"/>
            </w:tcBorders>
            <w:vAlign w:val="center"/>
          </w:tcPr>
          <w:p w14:paraId="4B36923C">
            <w:pPr>
              <w:widowControl/>
              <w:snapToGrid w:val="0"/>
              <w:spacing w:before="100" w:beforeAutospacing="1" w:after="100" w:afterAutospacing="1" w:line="320" w:lineRule="atLeast"/>
              <w:ind w:firstLine="2"/>
              <w:jc w:val="center"/>
              <w:rPr>
                <w:rFonts w:hint="eastAsia" w:ascii="宋体" w:hAnsi="宋体" w:cs="宋体"/>
                <w:kern w:val="0"/>
                <w:szCs w:val="21"/>
              </w:rPr>
            </w:pPr>
            <w:r>
              <w:rPr>
                <w:rFonts w:hint="eastAsia" w:ascii="宋体" w:hAnsi="宋体" w:cs="宋体"/>
                <w:kern w:val="0"/>
                <w:szCs w:val="21"/>
              </w:rPr>
              <w:t>名 称</w:t>
            </w:r>
          </w:p>
        </w:tc>
        <w:tc>
          <w:tcPr>
            <w:tcW w:w="2681" w:type="dxa"/>
            <w:gridSpan w:val="2"/>
            <w:tcBorders>
              <w:top w:val="nil"/>
              <w:left w:val="nil"/>
              <w:bottom w:val="single" w:color="auto" w:sz="8" w:space="0"/>
              <w:right w:val="single" w:color="auto" w:sz="8" w:space="0"/>
            </w:tcBorders>
            <w:vAlign w:val="center"/>
          </w:tcPr>
          <w:p w14:paraId="3EB13814">
            <w:pPr>
              <w:widowControl/>
              <w:snapToGrid w:val="0"/>
              <w:spacing w:before="100" w:beforeAutospacing="1" w:after="100" w:afterAutospacing="1" w:line="320" w:lineRule="atLeast"/>
              <w:ind w:firstLine="2"/>
              <w:jc w:val="center"/>
              <w:rPr>
                <w:rFonts w:hint="eastAsia" w:ascii="宋体" w:hAnsi="宋体" w:cs="宋体"/>
                <w:kern w:val="0"/>
                <w:szCs w:val="21"/>
              </w:rPr>
            </w:pPr>
            <w:r>
              <w:rPr>
                <w:rFonts w:hint="eastAsia" w:ascii="宋体" w:hAnsi="宋体" w:cs="宋体"/>
                <w:kern w:val="0"/>
                <w:szCs w:val="21"/>
              </w:rPr>
              <w:t>货物型号规格、标准及配置等（或服务内容、标准）</w:t>
            </w:r>
          </w:p>
        </w:tc>
        <w:tc>
          <w:tcPr>
            <w:tcW w:w="906" w:type="dxa"/>
            <w:gridSpan w:val="2"/>
            <w:tcBorders>
              <w:top w:val="nil"/>
              <w:left w:val="nil"/>
              <w:bottom w:val="single" w:color="auto" w:sz="8" w:space="0"/>
              <w:right w:val="single" w:color="auto" w:sz="8" w:space="0"/>
            </w:tcBorders>
            <w:vAlign w:val="center"/>
          </w:tcPr>
          <w:p w14:paraId="490507E6">
            <w:pPr>
              <w:widowControl/>
              <w:snapToGrid w:val="0"/>
              <w:spacing w:before="100" w:beforeAutospacing="1" w:after="100" w:afterAutospacing="1" w:line="320" w:lineRule="atLeast"/>
              <w:jc w:val="center"/>
              <w:rPr>
                <w:rFonts w:hint="eastAsia" w:ascii="宋体" w:hAnsi="宋体" w:cs="宋体"/>
                <w:kern w:val="0"/>
                <w:szCs w:val="21"/>
              </w:rPr>
            </w:pPr>
            <w:r>
              <w:rPr>
                <w:rFonts w:hint="eastAsia" w:ascii="宋体" w:hAnsi="宋体" w:cs="宋体"/>
                <w:kern w:val="0"/>
                <w:szCs w:val="21"/>
              </w:rPr>
              <w:t>数量</w:t>
            </w:r>
          </w:p>
        </w:tc>
        <w:tc>
          <w:tcPr>
            <w:tcW w:w="1796" w:type="dxa"/>
            <w:tcBorders>
              <w:top w:val="nil"/>
              <w:left w:val="nil"/>
              <w:bottom w:val="single" w:color="auto" w:sz="8" w:space="0"/>
              <w:right w:val="single" w:color="auto" w:sz="8" w:space="0"/>
            </w:tcBorders>
            <w:vAlign w:val="center"/>
          </w:tcPr>
          <w:p w14:paraId="6535B41C">
            <w:pPr>
              <w:widowControl/>
              <w:snapToGrid w:val="0"/>
              <w:spacing w:before="100" w:beforeAutospacing="1" w:after="100" w:afterAutospacing="1" w:line="320" w:lineRule="atLeast"/>
              <w:ind w:firstLine="2"/>
              <w:jc w:val="center"/>
              <w:rPr>
                <w:rFonts w:hint="eastAsia" w:ascii="宋体" w:hAnsi="宋体" w:cs="宋体"/>
                <w:kern w:val="0"/>
                <w:szCs w:val="21"/>
              </w:rPr>
            </w:pPr>
            <w:r>
              <w:rPr>
                <w:rFonts w:hint="eastAsia" w:ascii="宋体" w:hAnsi="宋体" w:cs="宋体"/>
                <w:kern w:val="0"/>
                <w:szCs w:val="21"/>
              </w:rPr>
              <w:t>金 额</w:t>
            </w:r>
          </w:p>
        </w:tc>
      </w:tr>
      <w:tr w14:paraId="33859482">
        <w:tblPrEx>
          <w:tblCellMar>
            <w:top w:w="0" w:type="dxa"/>
            <w:left w:w="0" w:type="dxa"/>
            <w:bottom w:w="0" w:type="dxa"/>
            <w:right w:w="0" w:type="dxa"/>
          </w:tblCellMar>
        </w:tblPrEx>
        <w:trPr>
          <w:trHeight w:val="487" w:hRule="atLeast"/>
          <w:jc w:val="center"/>
        </w:trPr>
        <w:tc>
          <w:tcPr>
            <w:tcW w:w="1578" w:type="dxa"/>
            <w:tcBorders>
              <w:top w:val="nil"/>
              <w:left w:val="single" w:color="auto" w:sz="8" w:space="0"/>
              <w:bottom w:val="single" w:color="auto" w:sz="8" w:space="0"/>
              <w:right w:val="single" w:color="auto" w:sz="8" w:space="0"/>
            </w:tcBorders>
            <w:vAlign w:val="center"/>
          </w:tcPr>
          <w:p w14:paraId="2E776522">
            <w:pPr>
              <w:widowControl/>
              <w:snapToGrid w:val="0"/>
              <w:spacing w:before="100" w:beforeAutospacing="1" w:after="100" w:afterAutospacing="1" w:line="320" w:lineRule="atLeast"/>
              <w:ind w:firstLine="5"/>
              <w:jc w:val="left"/>
              <w:rPr>
                <w:rFonts w:hint="eastAsia" w:ascii="宋体" w:hAnsi="宋体" w:cs="宋体"/>
                <w:kern w:val="0"/>
                <w:szCs w:val="21"/>
              </w:rPr>
            </w:pPr>
            <w:r>
              <w:rPr>
                <w:rFonts w:hint="eastAsia" w:ascii="宋体" w:hAnsi="宋体" w:cs="宋体"/>
                <w:kern w:val="0"/>
                <w:szCs w:val="21"/>
              </w:rPr>
              <w:t> </w:t>
            </w:r>
          </w:p>
        </w:tc>
        <w:tc>
          <w:tcPr>
            <w:tcW w:w="1681" w:type="dxa"/>
            <w:tcBorders>
              <w:top w:val="nil"/>
              <w:left w:val="nil"/>
              <w:bottom w:val="single" w:color="auto" w:sz="8" w:space="0"/>
              <w:right w:val="single" w:color="auto" w:sz="8" w:space="0"/>
            </w:tcBorders>
            <w:vAlign w:val="center"/>
          </w:tcPr>
          <w:p w14:paraId="444C2390">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2681" w:type="dxa"/>
            <w:gridSpan w:val="2"/>
            <w:tcBorders>
              <w:top w:val="nil"/>
              <w:left w:val="nil"/>
              <w:bottom w:val="single" w:color="auto" w:sz="8" w:space="0"/>
              <w:right w:val="single" w:color="auto" w:sz="8" w:space="0"/>
            </w:tcBorders>
            <w:vAlign w:val="center"/>
          </w:tcPr>
          <w:p w14:paraId="00BD41BD">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906" w:type="dxa"/>
            <w:gridSpan w:val="2"/>
            <w:tcBorders>
              <w:top w:val="nil"/>
              <w:left w:val="nil"/>
              <w:bottom w:val="single" w:color="auto" w:sz="8" w:space="0"/>
              <w:right w:val="single" w:color="auto" w:sz="8" w:space="0"/>
            </w:tcBorders>
            <w:vAlign w:val="center"/>
          </w:tcPr>
          <w:p w14:paraId="0FDDDAEE">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1796" w:type="dxa"/>
            <w:tcBorders>
              <w:top w:val="nil"/>
              <w:left w:val="nil"/>
              <w:bottom w:val="single" w:color="auto" w:sz="8" w:space="0"/>
              <w:right w:val="single" w:color="auto" w:sz="8" w:space="0"/>
            </w:tcBorders>
            <w:vAlign w:val="center"/>
          </w:tcPr>
          <w:p w14:paraId="6B3E6D8A">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r>
      <w:tr w14:paraId="25C6F33B">
        <w:tblPrEx>
          <w:tblCellMar>
            <w:top w:w="0" w:type="dxa"/>
            <w:left w:w="0" w:type="dxa"/>
            <w:bottom w:w="0" w:type="dxa"/>
            <w:right w:w="0" w:type="dxa"/>
          </w:tblCellMar>
        </w:tblPrEx>
        <w:trPr>
          <w:trHeight w:val="487" w:hRule="atLeast"/>
          <w:jc w:val="center"/>
        </w:trPr>
        <w:tc>
          <w:tcPr>
            <w:tcW w:w="1578" w:type="dxa"/>
            <w:tcBorders>
              <w:top w:val="nil"/>
              <w:left w:val="single" w:color="auto" w:sz="8" w:space="0"/>
              <w:bottom w:val="single" w:color="auto" w:sz="8" w:space="0"/>
              <w:right w:val="single" w:color="auto" w:sz="8" w:space="0"/>
            </w:tcBorders>
            <w:vAlign w:val="center"/>
          </w:tcPr>
          <w:p w14:paraId="51C57C51">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1681" w:type="dxa"/>
            <w:tcBorders>
              <w:top w:val="nil"/>
              <w:left w:val="nil"/>
              <w:bottom w:val="single" w:color="auto" w:sz="8" w:space="0"/>
              <w:right w:val="single" w:color="auto" w:sz="8" w:space="0"/>
            </w:tcBorders>
            <w:vAlign w:val="center"/>
          </w:tcPr>
          <w:p w14:paraId="1449302F">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2681" w:type="dxa"/>
            <w:gridSpan w:val="2"/>
            <w:tcBorders>
              <w:top w:val="nil"/>
              <w:left w:val="nil"/>
              <w:bottom w:val="single" w:color="auto" w:sz="8" w:space="0"/>
              <w:right w:val="single" w:color="auto" w:sz="8" w:space="0"/>
            </w:tcBorders>
            <w:vAlign w:val="center"/>
          </w:tcPr>
          <w:p w14:paraId="23EF5C87">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906" w:type="dxa"/>
            <w:gridSpan w:val="2"/>
            <w:tcBorders>
              <w:top w:val="nil"/>
              <w:left w:val="nil"/>
              <w:bottom w:val="single" w:color="auto" w:sz="8" w:space="0"/>
              <w:right w:val="single" w:color="auto" w:sz="8" w:space="0"/>
            </w:tcBorders>
            <w:vAlign w:val="center"/>
          </w:tcPr>
          <w:p w14:paraId="74DDCF98">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1796" w:type="dxa"/>
            <w:tcBorders>
              <w:top w:val="nil"/>
              <w:left w:val="nil"/>
              <w:bottom w:val="single" w:color="auto" w:sz="8" w:space="0"/>
              <w:right w:val="single" w:color="auto" w:sz="8" w:space="0"/>
            </w:tcBorders>
            <w:vAlign w:val="center"/>
          </w:tcPr>
          <w:p w14:paraId="38BC725F">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r>
      <w:tr w14:paraId="51DDF271">
        <w:tblPrEx>
          <w:tblCellMar>
            <w:top w:w="0" w:type="dxa"/>
            <w:left w:w="0" w:type="dxa"/>
            <w:bottom w:w="0" w:type="dxa"/>
            <w:right w:w="0" w:type="dxa"/>
          </w:tblCellMar>
        </w:tblPrEx>
        <w:trPr>
          <w:trHeight w:val="487" w:hRule="atLeast"/>
          <w:jc w:val="center"/>
        </w:trPr>
        <w:tc>
          <w:tcPr>
            <w:tcW w:w="1578" w:type="dxa"/>
            <w:tcBorders>
              <w:top w:val="nil"/>
              <w:left w:val="single" w:color="auto" w:sz="8" w:space="0"/>
              <w:bottom w:val="single" w:color="auto" w:sz="8" w:space="0"/>
              <w:right w:val="single" w:color="auto" w:sz="8" w:space="0"/>
            </w:tcBorders>
            <w:vAlign w:val="center"/>
          </w:tcPr>
          <w:p w14:paraId="02D40DB3">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1681" w:type="dxa"/>
            <w:tcBorders>
              <w:top w:val="nil"/>
              <w:left w:val="nil"/>
              <w:bottom w:val="single" w:color="auto" w:sz="8" w:space="0"/>
              <w:right w:val="single" w:color="auto" w:sz="8" w:space="0"/>
            </w:tcBorders>
            <w:vAlign w:val="center"/>
          </w:tcPr>
          <w:p w14:paraId="2F34880E">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2681" w:type="dxa"/>
            <w:gridSpan w:val="2"/>
            <w:tcBorders>
              <w:top w:val="nil"/>
              <w:left w:val="nil"/>
              <w:bottom w:val="single" w:color="auto" w:sz="8" w:space="0"/>
              <w:right w:val="single" w:color="auto" w:sz="8" w:space="0"/>
            </w:tcBorders>
            <w:vAlign w:val="center"/>
          </w:tcPr>
          <w:p w14:paraId="4B4FB6A8">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906" w:type="dxa"/>
            <w:gridSpan w:val="2"/>
            <w:tcBorders>
              <w:top w:val="nil"/>
              <w:left w:val="nil"/>
              <w:bottom w:val="single" w:color="auto" w:sz="8" w:space="0"/>
              <w:right w:val="single" w:color="auto" w:sz="8" w:space="0"/>
            </w:tcBorders>
            <w:vAlign w:val="center"/>
          </w:tcPr>
          <w:p w14:paraId="257DC9F4">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1796" w:type="dxa"/>
            <w:tcBorders>
              <w:top w:val="nil"/>
              <w:left w:val="nil"/>
              <w:bottom w:val="single" w:color="auto" w:sz="8" w:space="0"/>
              <w:right w:val="single" w:color="auto" w:sz="8" w:space="0"/>
            </w:tcBorders>
            <w:vAlign w:val="center"/>
          </w:tcPr>
          <w:p w14:paraId="72B7C1C9">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r>
      <w:tr w14:paraId="6C082CCA">
        <w:tblPrEx>
          <w:tblCellMar>
            <w:top w:w="0" w:type="dxa"/>
            <w:left w:w="0" w:type="dxa"/>
            <w:bottom w:w="0" w:type="dxa"/>
            <w:right w:w="0" w:type="dxa"/>
          </w:tblCellMar>
        </w:tblPrEx>
        <w:trPr>
          <w:trHeight w:val="487" w:hRule="atLeast"/>
          <w:jc w:val="center"/>
        </w:trPr>
        <w:tc>
          <w:tcPr>
            <w:tcW w:w="5940" w:type="dxa"/>
            <w:gridSpan w:val="4"/>
            <w:tcBorders>
              <w:top w:val="nil"/>
              <w:left w:val="single" w:color="auto" w:sz="8" w:space="0"/>
              <w:bottom w:val="single" w:color="auto" w:sz="8" w:space="0"/>
              <w:right w:val="single" w:color="auto" w:sz="8" w:space="0"/>
            </w:tcBorders>
            <w:vAlign w:val="center"/>
          </w:tcPr>
          <w:p w14:paraId="502F152D">
            <w:pPr>
              <w:widowControl/>
              <w:snapToGrid w:val="0"/>
              <w:spacing w:before="100" w:beforeAutospacing="1" w:after="100" w:afterAutospacing="1" w:line="320" w:lineRule="atLeast"/>
              <w:ind w:firstLine="5"/>
              <w:jc w:val="center"/>
              <w:rPr>
                <w:rFonts w:hint="eastAsia" w:ascii="宋体" w:hAnsi="宋体" w:cs="宋体"/>
                <w:kern w:val="0"/>
                <w:szCs w:val="21"/>
              </w:rPr>
            </w:pPr>
            <w:r>
              <w:rPr>
                <w:rFonts w:hint="eastAsia" w:ascii="宋体" w:hAnsi="宋体" w:cs="宋体"/>
                <w:kern w:val="0"/>
                <w:szCs w:val="21"/>
              </w:rPr>
              <w:t>合       计</w:t>
            </w:r>
          </w:p>
        </w:tc>
        <w:tc>
          <w:tcPr>
            <w:tcW w:w="906" w:type="dxa"/>
            <w:gridSpan w:val="2"/>
            <w:tcBorders>
              <w:top w:val="nil"/>
              <w:left w:val="nil"/>
              <w:bottom w:val="single" w:color="auto" w:sz="8" w:space="0"/>
              <w:right w:val="single" w:color="auto" w:sz="8" w:space="0"/>
            </w:tcBorders>
            <w:vAlign w:val="center"/>
          </w:tcPr>
          <w:p w14:paraId="4ABE98E9">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1796" w:type="dxa"/>
            <w:tcBorders>
              <w:top w:val="nil"/>
              <w:left w:val="nil"/>
              <w:bottom w:val="single" w:color="auto" w:sz="8" w:space="0"/>
              <w:right w:val="single" w:color="auto" w:sz="8" w:space="0"/>
            </w:tcBorders>
            <w:vAlign w:val="center"/>
          </w:tcPr>
          <w:p w14:paraId="52FF6F21">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r>
      <w:tr w14:paraId="1360B417">
        <w:tblPrEx>
          <w:tblCellMar>
            <w:top w:w="0" w:type="dxa"/>
            <w:left w:w="0" w:type="dxa"/>
            <w:bottom w:w="0" w:type="dxa"/>
            <w:right w:w="0" w:type="dxa"/>
          </w:tblCellMar>
        </w:tblPrEx>
        <w:trPr>
          <w:trHeight w:val="641" w:hRule="atLeast"/>
          <w:jc w:val="center"/>
        </w:trPr>
        <w:tc>
          <w:tcPr>
            <w:tcW w:w="8642" w:type="dxa"/>
            <w:gridSpan w:val="7"/>
            <w:tcBorders>
              <w:top w:val="nil"/>
              <w:left w:val="single" w:color="auto" w:sz="8" w:space="0"/>
              <w:bottom w:val="single" w:color="auto" w:sz="8" w:space="0"/>
              <w:right w:val="single" w:color="auto" w:sz="8" w:space="0"/>
            </w:tcBorders>
            <w:vAlign w:val="center"/>
          </w:tcPr>
          <w:p w14:paraId="2866D177">
            <w:pPr>
              <w:widowControl/>
              <w:snapToGrid w:val="0"/>
              <w:spacing w:before="100" w:beforeAutospacing="1" w:after="100" w:afterAutospacing="1" w:line="320" w:lineRule="atLeast"/>
              <w:ind w:firstLine="2"/>
              <w:jc w:val="left"/>
              <w:rPr>
                <w:rFonts w:hint="eastAsia" w:ascii="宋体" w:hAnsi="宋体" w:cs="宋体"/>
                <w:kern w:val="0"/>
                <w:szCs w:val="21"/>
              </w:rPr>
            </w:pPr>
            <w:r>
              <w:rPr>
                <w:rFonts w:hint="eastAsia" w:ascii="宋体" w:hAnsi="宋体" w:cs="宋体"/>
                <w:kern w:val="0"/>
                <w:szCs w:val="21"/>
              </w:rPr>
              <w:t>合计大写金额：  仟   佰   拾   万   仟   佰   拾   元</w:t>
            </w:r>
          </w:p>
        </w:tc>
      </w:tr>
      <w:tr w14:paraId="31CCB6EA">
        <w:tblPrEx>
          <w:tblCellMar>
            <w:top w:w="0" w:type="dxa"/>
            <w:left w:w="0" w:type="dxa"/>
            <w:bottom w:w="0" w:type="dxa"/>
            <w:right w:w="0" w:type="dxa"/>
          </w:tblCellMar>
        </w:tblPrEx>
        <w:trPr>
          <w:trHeight w:val="641" w:hRule="atLeast"/>
          <w:jc w:val="center"/>
        </w:trPr>
        <w:tc>
          <w:tcPr>
            <w:tcW w:w="1578" w:type="dxa"/>
            <w:tcBorders>
              <w:top w:val="nil"/>
              <w:left w:val="single" w:color="auto" w:sz="8" w:space="0"/>
              <w:bottom w:val="single" w:color="auto" w:sz="8" w:space="0"/>
              <w:right w:val="single" w:color="auto" w:sz="8" w:space="0"/>
            </w:tcBorders>
            <w:vAlign w:val="center"/>
          </w:tcPr>
          <w:p w14:paraId="20879B68">
            <w:pPr>
              <w:widowControl/>
              <w:snapToGrid w:val="0"/>
              <w:spacing w:before="100" w:beforeAutospacing="1" w:after="100" w:afterAutospacing="1" w:line="320" w:lineRule="atLeast"/>
              <w:ind w:firstLine="2"/>
              <w:jc w:val="left"/>
              <w:rPr>
                <w:rFonts w:hint="eastAsia" w:ascii="宋体" w:hAnsi="宋体" w:cs="宋体"/>
                <w:kern w:val="0"/>
                <w:szCs w:val="21"/>
              </w:rPr>
            </w:pPr>
            <w:r>
              <w:rPr>
                <w:rFonts w:hint="eastAsia" w:ascii="宋体" w:hAnsi="宋体" w:cs="宋体"/>
                <w:kern w:val="0"/>
                <w:szCs w:val="21"/>
              </w:rPr>
              <w:t>实际供货日期</w:t>
            </w:r>
          </w:p>
        </w:tc>
        <w:tc>
          <w:tcPr>
            <w:tcW w:w="2345" w:type="dxa"/>
            <w:gridSpan w:val="2"/>
            <w:tcBorders>
              <w:top w:val="nil"/>
              <w:left w:val="nil"/>
              <w:bottom w:val="single" w:color="auto" w:sz="8" w:space="0"/>
              <w:right w:val="single" w:color="auto" w:sz="8" w:space="0"/>
            </w:tcBorders>
            <w:vAlign w:val="center"/>
          </w:tcPr>
          <w:p w14:paraId="1DD4D52D">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2203" w:type="dxa"/>
            <w:gridSpan w:val="2"/>
            <w:tcBorders>
              <w:top w:val="nil"/>
              <w:left w:val="nil"/>
              <w:bottom w:val="single" w:color="auto" w:sz="8" w:space="0"/>
              <w:right w:val="single" w:color="auto" w:sz="8" w:space="0"/>
            </w:tcBorders>
            <w:vAlign w:val="center"/>
          </w:tcPr>
          <w:p w14:paraId="7922E24E">
            <w:pPr>
              <w:widowControl/>
              <w:snapToGrid w:val="0"/>
              <w:spacing w:before="100" w:beforeAutospacing="1" w:after="100" w:afterAutospacing="1" w:line="320" w:lineRule="atLeast"/>
              <w:ind w:firstLine="46"/>
              <w:jc w:val="center"/>
              <w:rPr>
                <w:rFonts w:hint="eastAsia" w:ascii="宋体" w:hAnsi="宋体" w:cs="宋体"/>
                <w:kern w:val="0"/>
                <w:szCs w:val="21"/>
              </w:rPr>
            </w:pPr>
            <w:r>
              <w:rPr>
                <w:rFonts w:hint="eastAsia" w:ascii="宋体" w:hAnsi="宋体" w:cs="宋体"/>
                <w:kern w:val="0"/>
                <w:szCs w:val="21"/>
              </w:rPr>
              <w:t>合同交货验收日期</w:t>
            </w:r>
          </w:p>
        </w:tc>
        <w:tc>
          <w:tcPr>
            <w:tcW w:w="2516" w:type="dxa"/>
            <w:gridSpan w:val="2"/>
            <w:tcBorders>
              <w:top w:val="nil"/>
              <w:left w:val="nil"/>
              <w:bottom w:val="single" w:color="auto" w:sz="8" w:space="0"/>
              <w:right w:val="single" w:color="auto" w:sz="8" w:space="0"/>
            </w:tcBorders>
            <w:vAlign w:val="center"/>
          </w:tcPr>
          <w:p w14:paraId="7626C86E">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r>
      <w:tr w14:paraId="296D2144">
        <w:tblPrEx>
          <w:tblCellMar>
            <w:top w:w="0" w:type="dxa"/>
            <w:left w:w="0" w:type="dxa"/>
            <w:bottom w:w="0" w:type="dxa"/>
            <w:right w:w="0" w:type="dxa"/>
          </w:tblCellMar>
        </w:tblPrEx>
        <w:trPr>
          <w:trHeight w:val="394" w:hRule="atLeast"/>
          <w:jc w:val="center"/>
        </w:trPr>
        <w:tc>
          <w:tcPr>
            <w:tcW w:w="1578" w:type="dxa"/>
            <w:tcBorders>
              <w:top w:val="nil"/>
              <w:left w:val="single" w:color="auto" w:sz="8" w:space="0"/>
              <w:bottom w:val="single" w:color="auto" w:sz="8" w:space="0"/>
              <w:right w:val="single" w:color="auto" w:sz="8" w:space="0"/>
            </w:tcBorders>
            <w:vAlign w:val="center"/>
          </w:tcPr>
          <w:p w14:paraId="02D11F68">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2345" w:type="dxa"/>
            <w:gridSpan w:val="2"/>
            <w:tcBorders>
              <w:top w:val="nil"/>
              <w:left w:val="nil"/>
              <w:bottom w:val="single" w:color="auto" w:sz="8" w:space="0"/>
              <w:right w:val="single" w:color="auto" w:sz="8" w:space="0"/>
            </w:tcBorders>
            <w:vAlign w:val="center"/>
          </w:tcPr>
          <w:p w14:paraId="773A7E1B">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2203" w:type="dxa"/>
            <w:gridSpan w:val="2"/>
            <w:tcBorders>
              <w:top w:val="nil"/>
              <w:left w:val="nil"/>
              <w:bottom w:val="single" w:color="auto" w:sz="8" w:space="0"/>
              <w:right w:val="single" w:color="auto" w:sz="8" w:space="0"/>
            </w:tcBorders>
            <w:vAlign w:val="center"/>
          </w:tcPr>
          <w:p w14:paraId="59C0C4FA">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c>
          <w:tcPr>
            <w:tcW w:w="2516" w:type="dxa"/>
            <w:gridSpan w:val="2"/>
            <w:tcBorders>
              <w:top w:val="nil"/>
              <w:left w:val="nil"/>
              <w:bottom w:val="single" w:color="auto" w:sz="8" w:space="0"/>
              <w:right w:val="single" w:color="auto" w:sz="8" w:space="0"/>
            </w:tcBorders>
            <w:vAlign w:val="center"/>
          </w:tcPr>
          <w:p w14:paraId="5529CBED">
            <w:pPr>
              <w:widowControl/>
              <w:snapToGrid w:val="0"/>
              <w:spacing w:before="100" w:beforeAutospacing="1" w:after="100" w:afterAutospacing="1" w:line="320" w:lineRule="atLeast"/>
              <w:ind w:firstLine="480"/>
              <w:jc w:val="left"/>
              <w:rPr>
                <w:rFonts w:hint="eastAsia" w:ascii="宋体" w:hAnsi="宋体" w:cs="宋体"/>
                <w:kern w:val="0"/>
                <w:szCs w:val="21"/>
              </w:rPr>
            </w:pPr>
            <w:r>
              <w:rPr>
                <w:rFonts w:hint="eastAsia" w:ascii="宋体" w:hAnsi="宋体" w:cs="宋体"/>
                <w:kern w:val="0"/>
                <w:szCs w:val="21"/>
              </w:rPr>
              <w:t> </w:t>
            </w:r>
          </w:p>
        </w:tc>
      </w:tr>
      <w:tr w14:paraId="0A1FA547">
        <w:tblPrEx>
          <w:tblCellMar>
            <w:top w:w="0" w:type="dxa"/>
            <w:left w:w="0" w:type="dxa"/>
            <w:bottom w:w="0" w:type="dxa"/>
            <w:right w:w="0" w:type="dxa"/>
          </w:tblCellMar>
        </w:tblPrEx>
        <w:trPr>
          <w:trHeight w:val="693" w:hRule="atLeast"/>
          <w:jc w:val="center"/>
        </w:trPr>
        <w:tc>
          <w:tcPr>
            <w:tcW w:w="157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305137">
            <w:pPr>
              <w:widowControl/>
              <w:snapToGrid w:val="0"/>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验收具体内容</w:t>
            </w:r>
          </w:p>
        </w:tc>
        <w:tc>
          <w:tcPr>
            <w:tcW w:w="7064" w:type="dxa"/>
            <w:gridSpan w:val="6"/>
            <w:tcBorders>
              <w:top w:val="nil"/>
              <w:left w:val="nil"/>
              <w:bottom w:val="single" w:color="auto" w:sz="8" w:space="0"/>
              <w:right w:val="single" w:color="auto" w:sz="8" w:space="0"/>
            </w:tcBorders>
            <w:tcMar>
              <w:top w:w="0" w:type="dxa"/>
              <w:left w:w="108" w:type="dxa"/>
              <w:bottom w:w="0" w:type="dxa"/>
              <w:right w:w="108" w:type="dxa"/>
            </w:tcMar>
            <w:vAlign w:val="center"/>
          </w:tcPr>
          <w:p w14:paraId="686EB785">
            <w:pPr>
              <w:widowControl/>
              <w:snapToGrid w:val="0"/>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应按采购合同、采购文件、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734D3EBC">
        <w:tblPrEx>
          <w:tblCellMar>
            <w:top w:w="0" w:type="dxa"/>
            <w:left w:w="0" w:type="dxa"/>
            <w:bottom w:w="0" w:type="dxa"/>
            <w:right w:w="0" w:type="dxa"/>
          </w:tblCellMar>
        </w:tblPrEx>
        <w:trPr>
          <w:trHeight w:val="1281" w:hRule="atLeast"/>
          <w:jc w:val="center"/>
        </w:trPr>
        <w:tc>
          <w:tcPr>
            <w:tcW w:w="1578"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4AC9AB">
            <w:pPr>
              <w:widowControl/>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验收小组意见</w:t>
            </w:r>
          </w:p>
        </w:tc>
        <w:tc>
          <w:tcPr>
            <w:tcW w:w="7064" w:type="dxa"/>
            <w:gridSpan w:val="6"/>
            <w:tcBorders>
              <w:top w:val="nil"/>
              <w:left w:val="nil"/>
              <w:bottom w:val="single" w:color="auto" w:sz="8" w:space="0"/>
              <w:right w:val="single" w:color="auto" w:sz="8" w:space="0"/>
            </w:tcBorders>
            <w:vAlign w:val="center"/>
          </w:tcPr>
          <w:p w14:paraId="012F9A67">
            <w:pPr>
              <w:widowControl/>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 验收结论性意见：</w:t>
            </w:r>
          </w:p>
          <w:p w14:paraId="43BD13FA">
            <w:pPr>
              <w:widowControl/>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 </w:t>
            </w:r>
          </w:p>
        </w:tc>
      </w:tr>
      <w:tr w14:paraId="21C77D84">
        <w:tblPrEx>
          <w:tblCellMar>
            <w:top w:w="0" w:type="dxa"/>
            <w:left w:w="0" w:type="dxa"/>
            <w:bottom w:w="0" w:type="dxa"/>
            <w:right w:w="0" w:type="dxa"/>
          </w:tblCellMar>
        </w:tblPrEx>
        <w:trPr>
          <w:trHeight w:val="607" w:hRule="atLeast"/>
          <w:jc w:val="center"/>
        </w:trPr>
        <w:tc>
          <w:tcPr>
            <w:tcW w:w="1578" w:type="dxa"/>
            <w:vMerge w:val="continue"/>
            <w:tcBorders>
              <w:top w:val="nil"/>
              <w:left w:val="single" w:color="auto" w:sz="8" w:space="0"/>
              <w:bottom w:val="single" w:color="auto" w:sz="8" w:space="0"/>
              <w:right w:val="single" w:color="auto" w:sz="8" w:space="0"/>
            </w:tcBorders>
            <w:vAlign w:val="center"/>
          </w:tcPr>
          <w:p w14:paraId="4C15F8D8">
            <w:pPr>
              <w:widowControl/>
              <w:jc w:val="left"/>
              <w:rPr>
                <w:rFonts w:hint="eastAsia" w:ascii="宋体" w:hAnsi="宋体" w:cs="宋体"/>
                <w:kern w:val="0"/>
                <w:szCs w:val="21"/>
              </w:rPr>
            </w:pPr>
          </w:p>
        </w:tc>
        <w:tc>
          <w:tcPr>
            <w:tcW w:w="7064" w:type="dxa"/>
            <w:gridSpan w:val="6"/>
            <w:tcBorders>
              <w:top w:val="nil"/>
              <w:left w:val="nil"/>
              <w:bottom w:val="single" w:color="auto" w:sz="8" w:space="0"/>
              <w:right w:val="single" w:color="auto" w:sz="8" w:space="0"/>
            </w:tcBorders>
            <w:vAlign w:val="center"/>
          </w:tcPr>
          <w:p w14:paraId="5D69FE79">
            <w:pPr>
              <w:widowControl/>
              <w:spacing w:before="100" w:beforeAutospacing="1" w:after="100" w:afterAutospacing="1" w:line="320" w:lineRule="atLeast"/>
              <w:ind w:firstLine="96"/>
              <w:jc w:val="left"/>
              <w:rPr>
                <w:rFonts w:hint="eastAsia" w:ascii="宋体" w:hAnsi="宋体" w:cs="宋体"/>
                <w:kern w:val="0"/>
                <w:szCs w:val="21"/>
              </w:rPr>
            </w:pPr>
            <w:r>
              <w:rPr>
                <w:rFonts w:hint="eastAsia" w:ascii="宋体" w:hAnsi="宋体" w:cs="宋体"/>
                <w:kern w:val="0"/>
                <w:szCs w:val="21"/>
              </w:rPr>
              <w:t>有异议的意见和说明理由：</w:t>
            </w:r>
          </w:p>
          <w:p w14:paraId="2951B9A2">
            <w:pPr>
              <w:widowControl/>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                                      签字：</w:t>
            </w:r>
          </w:p>
        </w:tc>
      </w:tr>
      <w:tr w14:paraId="7DC5AA88">
        <w:tblPrEx>
          <w:tblCellMar>
            <w:top w:w="0" w:type="dxa"/>
            <w:left w:w="0" w:type="dxa"/>
            <w:bottom w:w="0" w:type="dxa"/>
            <w:right w:w="0" w:type="dxa"/>
          </w:tblCellMar>
        </w:tblPrEx>
        <w:trPr>
          <w:trHeight w:val="507" w:hRule="atLeast"/>
          <w:jc w:val="center"/>
        </w:trPr>
        <w:tc>
          <w:tcPr>
            <w:tcW w:w="8642"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EB0434">
            <w:pPr>
              <w:widowControl/>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验收小组成员签字：</w:t>
            </w:r>
          </w:p>
        </w:tc>
      </w:tr>
      <w:tr w14:paraId="1C45F201">
        <w:tblPrEx>
          <w:tblCellMar>
            <w:top w:w="0" w:type="dxa"/>
            <w:left w:w="0" w:type="dxa"/>
            <w:bottom w:w="0" w:type="dxa"/>
            <w:right w:w="0" w:type="dxa"/>
          </w:tblCellMar>
        </w:tblPrEx>
        <w:trPr>
          <w:trHeight w:val="736" w:hRule="atLeast"/>
          <w:jc w:val="center"/>
        </w:trPr>
        <w:tc>
          <w:tcPr>
            <w:tcW w:w="8642"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06896B">
            <w:pPr>
              <w:widowControl/>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监督人员或其他相关人员签字：</w:t>
            </w:r>
          </w:p>
          <w:p w14:paraId="688DADE0">
            <w:pPr>
              <w:widowControl/>
              <w:spacing w:before="100" w:beforeAutospacing="1" w:after="100" w:afterAutospacing="1" w:line="320" w:lineRule="atLeast"/>
              <w:ind w:firstLine="74"/>
              <w:jc w:val="left"/>
              <w:rPr>
                <w:rFonts w:hint="eastAsia" w:ascii="宋体" w:hAnsi="宋体" w:cs="宋体"/>
                <w:kern w:val="0"/>
                <w:szCs w:val="21"/>
              </w:rPr>
            </w:pPr>
            <w:r>
              <w:rPr>
                <w:rFonts w:hint="eastAsia" w:ascii="宋体" w:hAnsi="宋体" w:cs="宋体"/>
                <w:kern w:val="0"/>
                <w:szCs w:val="21"/>
              </w:rPr>
              <w:t>或受邀机构的意见（盖章）：</w:t>
            </w:r>
          </w:p>
        </w:tc>
      </w:tr>
      <w:tr w14:paraId="191FAFDF">
        <w:tblPrEx>
          <w:tblCellMar>
            <w:top w:w="0" w:type="dxa"/>
            <w:left w:w="0" w:type="dxa"/>
            <w:bottom w:w="0" w:type="dxa"/>
            <w:right w:w="0" w:type="dxa"/>
          </w:tblCellMar>
        </w:tblPrEx>
        <w:trPr>
          <w:trHeight w:val="758" w:hRule="atLeast"/>
          <w:jc w:val="center"/>
        </w:trPr>
        <w:tc>
          <w:tcPr>
            <w:tcW w:w="3923" w:type="dxa"/>
            <w:gridSpan w:val="3"/>
            <w:tcBorders>
              <w:top w:val="nil"/>
              <w:left w:val="single" w:color="auto" w:sz="8" w:space="0"/>
              <w:bottom w:val="single" w:color="auto" w:sz="8" w:space="0"/>
              <w:right w:val="nil"/>
            </w:tcBorders>
            <w:tcMar>
              <w:top w:w="0" w:type="dxa"/>
              <w:left w:w="108" w:type="dxa"/>
              <w:bottom w:w="0" w:type="dxa"/>
              <w:right w:w="108" w:type="dxa"/>
            </w:tcMar>
            <w:vAlign w:val="center"/>
          </w:tcPr>
          <w:p w14:paraId="1717F922">
            <w:pPr>
              <w:widowControl/>
              <w:spacing w:before="100" w:beforeAutospacing="1" w:after="100" w:afterAutospacing="1" w:line="320" w:lineRule="atLeast"/>
              <w:ind w:right="-223" w:rightChars="-106" w:firstLine="74"/>
              <w:jc w:val="left"/>
              <w:rPr>
                <w:rFonts w:hint="eastAsia" w:ascii="宋体" w:hAnsi="宋体" w:cs="宋体"/>
                <w:kern w:val="0"/>
                <w:szCs w:val="21"/>
              </w:rPr>
            </w:pPr>
            <w:r>
              <w:rPr>
                <w:rFonts w:hint="eastAsia" w:ascii="宋体" w:hAnsi="宋体" w:cs="宋体"/>
                <w:kern w:val="0"/>
                <w:szCs w:val="21"/>
              </w:rPr>
              <w:t>中标或者成交供应商负责人签字或盖章：</w:t>
            </w:r>
          </w:p>
          <w:p w14:paraId="0AC2E18B">
            <w:pPr>
              <w:widowControl/>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联系电话：        年 月 日</w:t>
            </w:r>
          </w:p>
        </w:tc>
        <w:tc>
          <w:tcPr>
            <w:tcW w:w="4719" w:type="dxa"/>
            <w:gridSpan w:val="4"/>
            <w:tcBorders>
              <w:top w:val="nil"/>
              <w:left w:val="nil"/>
              <w:bottom w:val="single" w:color="auto" w:sz="8" w:space="0"/>
              <w:right w:val="single" w:color="auto" w:sz="8" w:space="0"/>
            </w:tcBorders>
            <w:vAlign w:val="center"/>
          </w:tcPr>
          <w:p w14:paraId="04D09D3B">
            <w:pPr>
              <w:widowControl/>
              <w:spacing w:before="100" w:beforeAutospacing="1" w:after="100" w:afterAutospacing="1" w:line="320" w:lineRule="atLeast"/>
              <w:jc w:val="left"/>
              <w:rPr>
                <w:rFonts w:hint="eastAsia" w:ascii="宋体" w:hAnsi="宋体" w:cs="宋体"/>
                <w:kern w:val="0"/>
                <w:szCs w:val="21"/>
              </w:rPr>
            </w:pPr>
            <w:r>
              <w:rPr>
                <w:rFonts w:hint="eastAsia" w:ascii="宋体" w:hAnsi="宋体" w:cs="宋体"/>
                <w:kern w:val="0"/>
                <w:szCs w:val="21"/>
              </w:rPr>
              <w:t> 采购人或受托机构的意见（盖章）：</w:t>
            </w:r>
          </w:p>
          <w:p w14:paraId="4BBCA793">
            <w:pPr>
              <w:widowControl/>
              <w:spacing w:before="100" w:beforeAutospacing="1" w:after="100" w:afterAutospacing="1" w:line="320" w:lineRule="atLeast"/>
              <w:ind w:left="399" w:leftChars="190"/>
              <w:jc w:val="left"/>
              <w:rPr>
                <w:rFonts w:hint="eastAsia" w:ascii="宋体" w:hAnsi="宋体" w:cs="宋体"/>
                <w:kern w:val="0"/>
                <w:szCs w:val="21"/>
              </w:rPr>
            </w:pPr>
            <w:r>
              <w:rPr>
                <w:rFonts w:hint="eastAsia" w:ascii="宋体" w:hAnsi="宋体" w:cs="宋体"/>
                <w:kern w:val="0"/>
                <w:szCs w:val="21"/>
              </w:rPr>
              <w:t>联系电话：        年  月  日</w:t>
            </w:r>
          </w:p>
        </w:tc>
      </w:tr>
    </w:tbl>
    <w:p w14:paraId="19D41211">
      <w:pPr>
        <w:spacing w:line="360" w:lineRule="auto"/>
        <w:ind w:firstLine="420" w:firstLineChars="200"/>
        <w:contextualSpacing/>
        <w:rPr>
          <w:rFonts w:hint="eastAsia" w:ascii="宋体" w:hAnsi="宋体" w:cs="宋体"/>
        </w:rPr>
      </w:pPr>
    </w:p>
    <w:p w14:paraId="7374B210">
      <w:pPr>
        <w:snapToGrid w:val="0"/>
        <w:rPr>
          <w:rFonts w:hint="eastAsia" w:ascii="宋体" w:hAnsi="宋体" w:cs="宋体"/>
          <w:kern w:val="0"/>
          <w:sz w:val="32"/>
          <w:szCs w:val="32"/>
        </w:rPr>
      </w:pPr>
      <w:r>
        <w:rPr>
          <w:rFonts w:hint="eastAsia" w:ascii="宋体" w:hAnsi="宋体" w:cs="宋体"/>
          <w:kern w:val="0"/>
          <w:sz w:val="32"/>
          <w:szCs w:val="32"/>
        </w:rPr>
        <w:t>附件2：</w:t>
      </w:r>
    </w:p>
    <w:p w14:paraId="7FE33C10">
      <w:pPr>
        <w:jc w:val="center"/>
        <w:rPr>
          <w:rFonts w:hint="eastAsia" w:ascii="宋体" w:hAnsi="宋体" w:cs="宋体"/>
          <w:b/>
          <w:bCs/>
          <w:sz w:val="32"/>
          <w:szCs w:val="32"/>
        </w:rPr>
      </w:pPr>
      <w:r>
        <w:rPr>
          <w:rFonts w:hint="eastAsia" w:ascii="宋体" w:hAnsi="宋体" w:cs="宋体"/>
          <w:b/>
          <w:bCs/>
          <w:sz w:val="32"/>
          <w:szCs w:val="32"/>
        </w:rPr>
        <w:t>采购项目履约保证金退付意见书</w:t>
      </w:r>
    </w:p>
    <w:p w14:paraId="00639F86">
      <w:pPr>
        <w:jc w:val="center"/>
        <w:rPr>
          <w:rFonts w:hint="eastAsia" w:ascii="黑体" w:hAnsi="黑体" w:eastAsia="黑体"/>
          <w:sz w:val="36"/>
          <w:szCs w:val="36"/>
        </w:rPr>
      </w:pPr>
    </w:p>
    <w:tbl>
      <w:tblPr>
        <w:tblStyle w:val="29"/>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3642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69CB3B57">
            <w:pPr>
              <w:jc w:val="center"/>
              <w:rPr>
                <w:rFonts w:hint="eastAsia" w:ascii="宋体" w:hAnsi="宋体" w:cs="宋体"/>
                <w:szCs w:val="21"/>
              </w:rPr>
            </w:pPr>
            <w:r>
              <w:rPr>
                <w:rFonts w:hint="eastAsia" w:ascii="宋体" w:hAnsi="宋体" w:cs="宋体"/>
                <w:szCs w:val="21"/>
              </w:rPr>
              <w:t>供</w:t>
            </w:r>
          </w:p>
          <w:p w14:paraId="13943CD1">
            <w:pPr>
              <w:jc w:val="center"/>
              <w:rPr>
                <w:rFonts w:hint="eastAsia" w:ascii="宋体" w:hAnsi="宋体" w:cs="宋体"/>
                <w:szCs w:val="21"/>
              </w:rPr>
            </w:pPr>
            <w:r>
              <w:rPr>
                <w:rFonts w:hint="eastAsia" w:ascii="宋体" w:hAnsi="宋体" w:cs="宋体"/>
                <w:szCs w:val="21"/>
              </w:rPr>
              <w:t>应</w:t>
            </w:r>
          </w:p>
          <w:p w14:paraId="0D36F46A">
            <w:pPr>
              <w:jc w:val="center"/>
              <w:rPr>
                <w:rFonts w:hint="eastAsia" w:ascii="宋体" w:hAnsi="宋体" w:cs="宋体"/>
                <w:szCs w:val="21"/>
              </w:rPr>
            </w:pPr>
            <w:r>
              <w:rPr>
                <w:rFonts w:hint="eastAsia" w:ascii="宋体" w:hAnsi="宋体" w:cs="宋体"/>
                <w:szCs w:val="21"/>
              </w:rPr>
              <w:t>商</w:t>
            </w:r>
          </w:p>
          <w:p w14:paraId="7212D819">
            <w:pPr>
              <w:jc w:val="center"/>
              <w:rPr>
                <w:rFonts w:hint="eastAsia" w:ascii="宋体" w:hAnsi="宋体" w:cs="宋体"/>
                <w:szCs w:val="21"/>
              </w:rPr>
            </w:pPr>
            <w:r>
              <w:rPr>
                <w:rFonts w:hint="eastAsia" w:ascii="宋体" w:hAnsi="宋体" w:cs="宋体"/>
                <w:szCs w:val="21"/>
              </w:rPr>
              <w:t>申</w:t>
            </w:r>
          </w:p>
          <w:p w14:paraId="5E916A41">
            <w:pPr>
              <w:jc w:val="center"/>
              <w:rPr>
                <w:rFonts w:hint="eastAsia" w:ascii="宋体" w:hAnsi="宋体" w:cs="宋体"/>
                <w:szCs w:val="21"/>
              </w:rPr>
            </w:pPr>
            <w:r>
              <w:rPr>
                <w:rFonts w:hint="eastAsia" w:ascii="宋体" w:hAnsi="宋体" w:cs="宋体"/>
                <w:szCs w:val="21"/>
              </w:rPr>
              <w:t>请</w:t>
            </w:r>
          </w:p>
        </w:tc>
        <w:tc>
          <w:tcPr>
            <w:tcW w:w="8009" w:type="dxa"/>
            <w:vAlign w:val="center"/>
          </w:tcPr>
          <w:p w14:paraId="3E974850">
            <w:pPr>
              <w:rPr>
                <w:rFonts w:hint="eastAsia" w:ascii="宋体" w:hAnsi="宋体" w:cs="宋体"/>
                <w:szCs w:val="21"/>
              </w:rPr>
            </w:pPr>
            <w:r>
              <w:rPr>
                <w:rFonts w:hint="eastAsia" w:ascii="宋体" w:hAnsi="宋体" w:cs="宋体"/>
                <w:szCs w:val="21"/>
              </w:rPr>
              <w:t>项目编号：</w:t>
            </w:r>
          </w:p>
        </w:tc>
      </w:tr>
      <w:tr w14:paraId="3B02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166AFA58">
            <w:pPr>
              <w:rPr>
                <w:rFonts w:hint="eastAsia" w:ascii="宋体" w:hAnsi="宋体" w:cs="宋体"/>
                <w:szCs w:val="21"/>
              </w:rPr>
            </w:pPr>
          </w:p>
        </w:tc>
        <w:tc>
          <w:tcPr>
            <w:tcW w:w="8009" w:type="dxa"/>
            <w:vAlign w:val="center"/>
          </w:tcPr>
          <w:p w14:paraId="49B8952C">
            <w:pPr>
              <w:rPr>
                <w:rFonts w:hint="eastAsia" w:ascii="宋体" w:hAnsi="宋体" w:cs="宋体"/>
                <w:szCs w:val="21"/>
              </w:rPr>
            </w:pPr>
            <w:r>
              <w:rPr>
                <w:rFonts w:hint="eastAsia" w:ascii="宋体" w:hAnsi="宋体" w:cs="宋体"/>
                <w:szCs w:val="21"/>
              </w:rPr>
              <w:t>项目名称：</w:t>
            </w:r>
          </w:p>
        </w:tc>
      </w:tr>
      <w:tr w14:paraId="6F81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3A0FE5B6">
            <w:pPr>
              <w:rPr>
                <w:rFonts w:hint="eastAsia" w:ascii="宋体" w:hAnsi="宋体" w:cs="宋体"/>
                <w:szCs w:val="21"/>
              </w:rPr>
            </w:pPr>
          </w:p>
        </w:tc>
        <w:tc>
          <w:tcPr>
            <w:tcW w:w="8009" w:type="dxa"/>
          </w:tcPr>
          <w:p w14:paraId="799B2F7E">
            <w:pPr>
              <w:rPr>
                <w:rFonts w:hint="eastAsia" w:ascii="宋体" w:hAnsi="宋体" w:cs="宋体"/>
                <w:szCs w:val="21"/>
              </w:rPr>
            </w:pPr>
            <w:r>
              <w:rPr>
                <w:rFonts w:hint="eastAsia" w:ascii="宋体" w:hAnsi="宋体" w:cs="宋体"/>
                <w:szCs w:val="21"/>
              </w:rPr>
              <w:t xml:space="preserve">  </w:t>
            </w:r>
          </w:p>
          <w:p w14:paraId="184FDB48">
            <w:pPr>
              <w:ind w:firstLine="420" w:firstLineChars="200"/>
              <w:rPr>
                <w:rFonts w:hint="eastAsia" w:ascii="宋体" w:hAnsi="宋体" w:cs="宋体"/>
                <w:szCs w:val="21"/>
              </w:rPr>
            </w:pPr>
            <w:r>
              <w:rPr>
                <w:rFonts w:hint="eastAsia" w:ascii="宋体" w:hAnsi="宋体" w:cs="宋体"/>
                <w:szCs w:val="21"/>
              </w:rPr>
              <w:t>该项目已于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日验收并交付使用。根据合同规定，该项目的履约保证金期限于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日已满，请将履约保证金</w:t>
            </w:r>
          </w:p>
          <w:p w14:paraId="720D1CE6">
            <w:pPr>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rPr>
              <w:t>（大写）¥</w:t>
            </w:r>
            <w:r>
              <w:rPr>
                <w:rFonts w:hint="eastAsia" w:ascii="宋体" w:hAnsi="宋体" w:cs="宋体"/>
                <w:szCs w:val="21"/>
                <w:u w:val="single"/>
              </w:rPr>
              <w:t xml:space="preserve">          </w:t>
            </w:r>
            <w:r>
              <w:rPr>
                <w:rFonts w:hint="eastAsia" w:ascii="宋体" w:hAnsi="宋体" w:cs="宋体"/>
                <w:szCs w:val="21"/>
              </w:rPr>
              <w:t>（小写）退付到达以下帐户。</w:t>
            </w:r>
          </w:p>
          <w:p w14:paraId="053CF7F5">
            <w:pPr>
              <w:rPr>
                <w:rFonts w:hint="eastAsia" w:ascii="宋体" w:hAnsi="宋体" w:cs="宋体"/>
                <w:szCs w:val="21"/>
              </w:rPr>
            </w:pPr>
            <w:r>
              <w:rPr>
                <w:rFonts w:hint="eastAsia" w:ascii="宋体" w:hAnsi="宋体" w:cs="宋体"/>
                <w:szCs w:val="21"/>
              </w:rPr>
              <w:t>单位名称：</w:t>
            </w:r>
          </w:p>
          <w:p w14:paraId="5D657424">
            <w:pPr>
              <w:rPr>
                <w:rFonts w:hint="eastAsia" w:ascii="宋体" w:hAnsi="宋体" w:cs="宋体"/>
                <w:szCs w:val="21"/>
              </w:rPr>
            </w:pPr>
            <w:r>
              <w:rPr>
                <w:rFonts w:hint="eastAsia" w:ascii="宋体" w:hAnsi="宋体" w:cs="宋体"/>
                <w:szCs w:val="21"/>
              </w:rPr>
              <w:t>开户银行：</w:t>
            </w:r>
          </w:p>
          <w:p w14:paraId="7EBE521A">
            <w:pPr>
              <w:rPr>
                <w:rFonts w:hint="eastAsia" w:ascii="宋体" w:hAnsi="宋体" w:cs="宋体"/>
                <w:szCs w:val="21"/>
              </w:rPr>
            </w:pPr>
            <w:r>
              <w:rPr>
                <w:rFonts w:hint="eastAsia" w:ascii="宋体" w:hAnsi="宋体" w:cs="宋体"/>
                <w:szCs w:val="21"/>
              </w:rPr>
              <w:t>帐    号：</w:t>
            </w:r>
          </w:p>
          <w:p w14:paraId="38BFEE0E">
            <w:pPr>
              <w:rPr>
                <w:rFonts w:hint="eastAsia" w:ascii="宋体" w:hAnsi="宋体" w:cs="宋体"/>
                <w:szCs w:val="21"/>
              </w:rPr>
            </w:pPr>
            <w:r>
              <w:rPr>
                <w:rFonts w:hint="eastAsia" w:ascii="宋体" w:hAnsi="宋体" w:cs="宋体"/>
                <w:szCs w:val="21"/>
              </w:rPr>
              <w:t>联系人及电话：</w:t>
            </w:r>
          </w:p>
          <w:p w14:paraId="3D142580">
            <w:pPr>
              <w:rPr>
                <w:rFonts w:hint="eastAsia" w:ascii="宋体" w:hAnsi="宋体" w:cs="宋体"/>
                <w:szCs w:val="21"/>
              </w:rPr>
            </w:pPr>
          </w:p>
          <w:p w14:paraId="1E6F45EB">
            <w:pPr>
              <w:jc w:val="center"/>
              <w:rPr>
                <w:rFonts w:hint="eastAsia" w:ascii="宋体" w:hAnsi="宋体" w:cs="宋体"/>
                <w:szCs w:val="21"/>
              </w:rPr>
            </w:pPr>
            <w:r>
              <w:rPr>
                <w:rFonts w:hint="eastAsia" w:ascii="宋体" w:hAnsi="宋体" w:cs="宋体"/>
                <w:szCs w:val="21"/>
              </w:rPr>
              <w:t xml:space="preserve">                           供应商签章：</w:t>
            </w:r>
          </w:p>
          <w:p w14:paraId="0FF74837">
            <w:pPr>
              <w:jc w:val="center"/>
              <w:rPr>
                <w:rFonts w:hint="eastAsia" w:ascii="宋体" w:hAnsi="宋体" w:cs="宋体"/>
                <w:szCs w:val="21"/>
              </w:rPr>
            </w:pPr>
            <w:r>
              <w:rPr>
                <w:rFonts w:hint="eastAsia" w:ascii="宋体" w:hAnsi="宋体" w:cs="宋体"/>
                <w:szCs w:val="21"/>
              </w:rPr>
              <w:t xml:space="preserve">                                                年    月    日</w:t>
            </w:r>
          </w:p>
        </w:tc>
      </w:tr>
      <w:tr w14:paraId="3C5C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2BD91F2C">
            <w:pPr>
              <w:jc w:val="center"/>
              <w:rPr>
                <w:rFonts w:hint="eastAsia" w:ascii="宋体" w:hAnsi="宋体" w:cs="宋体"/>
                <w:szCs w:val="21"/>
              </w:rPr>
            </w:pPr>
            <w:r>
              <w:rPr>
                <w:rFonts w:hint="eastAsia" w:ascii="宋体" w:hAnsi="宋体" w:cs="宋体"/>
                <w:szCs w:val="21"/>
              </w:rPr>
              <w:t>采</w:t>
            </w:r>
          </w:p>
          <w:p w14:paraId="33599A0C">
            <w:pPr>
              <w:jc w:val="center"/>
              <w:rPr>
                <w:rFonts w:hint="eastAsia" w:ascii="宋体" w:hAnsi="宋体" w:cs="宋体"/>
                <w:szCs w:val="21"/>
              </w:rPr>
            </w:pPr>
            <w:r>
              <w:rPr>
                <w:rFonts w:hint="eastAsia" w:ascii="宋体" w:hAnsi="宋体" w:cs="宋体"/>
                <w:szCs w:val="21"/>
              </w:rPr>
              <w:t>购</w:t>
            </w:r>
          </w:p>
          <w:p w14:paraId="195BED1F">
            <w:pPr>
              <w:jc w:val="center"/>
              <w:rPr>
                <w:rFonts w:hint="eastAsia" w:ascii="宋体" w:hAnsi="宋体" w:cs="宋体"/>
                <w:szCs w:val="21"/>
              </w:rPr>
            </w:pPr>
            <w:r>
              <w:rPr>
                <w:rFonts w:hint="eastAsia" w:ascii="宋体" w:hAnsi="宋体" w:cs="宋体"/>
                <w:szCs w:val="21"/>
              </w:rPr>
              <w:t>单</w:t>
            </w:r>
          </w:p>
          <w:p w14:paraId="078727D4">
            <w:pPr>
              <w:jc w:val="center"/>
              <w:rPr>
                <w:rFonts w:hint="eastAsia" w:ascii="宋体" w:hAnsi="宋体" w:cs="宋体"/>
                <w:szCs w:val="21"/>
              </w:rPr>
            </w:pPr>
            <w:r>
              <w:rPr>
                <w:rFonts w:hint="eastAsia" w:ascii="宋体" w:hAnsi="宋体" w:cs="宋体"/>
                <w:szCs w:val="21"/>
              </w:rPr>
              <w:t>位</w:t>
            </w:r>
          </w:p>
          <w:p w14:paraId="3FD736F5">
            <w:pPr>
              <w:jc w:val="center"/>
              <w:rPr>
                <w:rFonts w:hint="eastAsia" w:ascii="宋体" w:hAnsi="宋体" w:cs="宋体"/>
                <w:szCs w:val="21"/>
              </w:rPr>
            </w:pPr>
            <w:r>
              <w:rPr>
                <w:rFonts w:hint="eastAsia" w:ascii="宋体" w:hAnsi="宋体" w:cs="宋体"/>
                <w:szCs w:val="21"/>
              </w:rPr>
              <w:t>意</w:t>
            </w:r>
          </w:p>
          <w:p w14:paraId="7CEA5C81">
            <w:pPr>
              <w:jc w:val="center"/>
              <w:rPr>
                <w:rFonts w:hint="eastAsia" w:ascii="宋体" w:hAnsi="宋体" w:cs="宋体"/>
                <w:szCs w:val="21"/>
              </w:rPr>
            </w:pPr>
            <w:r>
              <w:rPr>
                <w:rFonts w:hint="eastAsia" w:ascii="宋体" w:hAnsi="宋体" w:cs="宋体"/>
                <w:szCs w:val="21"/>
              </w:rPr>
              <w:t>见</w:t>
            </w:r>
          </w:p>
        </w:tc>
        <w:tc>
          <w:tcPr>
            <w:tcW w:w="8009" w:type="dxa"/>
          </w:tcPr>
          <w:p w14:paraId="05C7E35A">
            <w:pPr>
              <w:rPr>
                <w:rFonts w:hint="eastAsia" w:ascii="宋体" w:hAnsi="宋体" w:cs="宋体"/>
                <w:szCs w:val="21"/>
              </w:rPr>
            </w:pPr>
          </w:p>
          <w:p w14:paraId="3CA0B61C">
            <w:pPr>
              <w:rPr>
                <w:rFonts w:hint="eastAsia" w:ascii="宋体" w:hAnsi="宋体" w:cs="宋体"/>
                <w:szCs w:val="21"/>
              </w:rPr>
            </w:pPr>
            <w:r>
              <w:rPr>
                <w:rFonts w:hint="eastAsia" w:ascii="宋体" w:hAnsi="宋体" w:cs="宋体"/>
                <w:szCs w:val="21"/>
              </w:rPr>
              <w:t>退付意见：是否同意退付履约保证金及退付金额：</w:t>
            </w:r>
          </w:p>
          <w:p w14:paraId="740FB531">
            <w:pPr>
              <w:rPr>
                <w:rFonts w:hint="eastAsia" w:ascii="宋体" w:hAnsi="宋体" w:cs="宋体"/>
                <w:szCs w:val="21"/>
              </w:rPr>
            </w:pPr>
          </w:p>
          <w:p w14:paraId="186ACAE2">
            <w:pPr>
              <w:rPr>
                <w:rFonts w:hint="eastAsia" w:ascii="宋体" w:hAnsi="宋体" w:cs="宋体"/>
                <w:szCs w:val="21"/>
              </w:rPr>
            </w:pPr>
          </w:p>
          <w:p w14:paraId="3A9613E1">
            <w:pPr>
              <w:rPr>
                <w:rFonts w:hint="eastAsia" w:ascii="宋体" w:hAnsi="宋体" w:cs="宋体"/>
                <w:szCs w:val="21"/>
              </w:rPr>
            </w:pPr>
            <w:r>
              <w:rPr>
                <w:rFonts w:hint="eastAsia" w:ascii="宋体" w:hAnsi="宋体" w:cs="宋体"/>
                <w:szCs w:val="21"/>
              </w:rPr>
              <w:t xml:space="preserve">联系人及电话：                                </w:t>
            </w:r>
          </w:p>
          <w:p w14:paraId="76094889">
            <w:pPr>
              <w:rPr>
                <w:rFonts w:hint="eastAsia" w:ascii="宋体" w:hAnsi="宋体" w:cs="宋体"/>
                <w:szCs w:val="21"/>
              </w:rPr>
            </w:pPr>
          </w:p>
          <w:p w14:paraId="1DB56AE9">
            <w:pPr>
              <w:ind w:firstLine="3990" w:firstLineChars="1900"/>
              <w:rPr>
                <w:rFonts w:hint="eastAsia" w:ascii="宋体" w:hAnsi="宋体" w:cs="宋体"/>
                <w:szCs w:val="21"/>
              </w:rPr>
            </w:pPr>
            <w:r>
              <w:rPr>
                <w:rFonts w:hint="eastAsia" w:ascii="宋体" w:hAnsi="宋体" w:cs="宋体"/>
                <w:szCs w:val="21"/>
              </w:rPr>
              <w:t xml:space="preserve"> 采购人签章：</w:t>
            </w:r>
          </w:p>
          <w:p w14:paraId="645E828F">
            <w:pPr>
              <w:jc w:val="center"/>
              <w:rPr>
                <w:rFonts w:hint="eastAsia" w:ascii="宋体" w:hAnsi="宋体" w:cs="宋体"/>
                <w:szCs w:val="21"/>
              </w:rPr>
            </w:pPr>
            <w:r>
              <w:rPr>
                <w:rFonts w:hint="eastAsia" w:ascii="宋体" w:hAnsi="宋体" w:cs="宋体"/>
                <w:szCs w:val="21"/>
              </w:rPr>
              <w:t xml:space="preserve">                                                年    月    日</w:t>
            </w:r>
          </w:p>
        </w:tc>
      </w:tr>
      <w:tr w14:paraId="7E3A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3BD3ACFC">
            <w:pPr>
              <w:jc w:val="center"/>
              <w:rPr>
                <w:rFonts w:hint="eastAsia" w:ascii="宋体" w:hAnsi="宋体" w:cs="宋体"/>
                <w:szCs w:val="21"/>
              </w:rPr>
            </w:pPr>
            <w:r>
              <w:rPr>
                <w:rFonts w:hint="eastAsia" w:ascii="宋体" w:hAnsi="宋体" w:cs="宋体"/>
                <w:szCs w:val="21"/>
              </w:rPr>
              <w:t>备注</w:t>
            </w:r>
          </w:p>
        </w:tc>
        <w:tc>
          <w:tcPr>
            <w:tcW w:w="8009" w:type="dxa"/>
          </w:tcPr>
          <w:p w14:paraId="52728E4B">
            <w:pPr>
              <w:rPr>
                <w:rFonts w:hint="eastAsia" w:ascii="宋体" w:hAnsi="宋体" w:cs="宋体"/>
                <w:szCs w:val="21"/>
              </w:rPr>
            </w:pPr>
          </w:p>
        </w:tc>
      </w:tr>
    </w:tbl>
    <w:p w14:paraId="222FEE17">
      <w:pPr>
        <w:spacing w:after="120"/>
        <w:ind w:left="1" w:firstLine="2" w:firstLineChars="1"/>
        <w:rPr>
          <w:rFonts w:ascii="宋体"/>
          <w:b/>
          <w:bCs/>
          <w:sz w:val="18"/>
          <w:szCs w:val="18"/>
        </w:rPr>
      </w:pPr>
      <w:r>
        <w:rPr>
          <w:rFonts w:hint="eastAsia" w:ascii="宋体"/>
          <w:b/>
          <w:bCs/>
          <w:sz w:val="18"/>
          <w:szCs w:val="18"/>
        </w:rPr>
        <w:t>注：供应商凭经采购人审批的退付意见书到履约保证金收取单位财务部门办理履约保证金退付事宜。</w:t>
      </w:r>
    </w:p>
    <w:p w14:paraId="0F79642B">
      <w:pPr>
        <w:spacing w:line="400" w:lineRule="exact"/>
        <w:jc w:val="center"/>
        <w:rPr>
          <w:rFonts w:hint="eastAsia" w:ascii="黑体" w:hAnsi="黑体" w:eastAsia="黑体" w:cs="黑体"/>
          <w:bCs/>
          <w:sz w:val="32"/>
          <w:szCs w:val="32"/>
        </w:rPr>
      </w:pPr>
      <w:r>
        <w:rPr>
          <w:rFonts w:ascii="黑体" w:hAnsi="黑体" w:eastAsia="黑体" w:cs="黑体"/>
          <w:bCs/>
          <w:sz w:val="32"/>
          <w:szCs w:val="32"/>
        </w:rPr>
        <w:t xml:space="preserve"> </w:t>
      </w:r>
    </w:p>
    <w:p w14:paraId="2D8AD563">
      <w:pPr>
        <w:spacing w:line="360" w:lineRule="auto"/>
        <w:ind w:firstLine="640" w:firstLineChars="200"/>
        <w:contextualSpacing/>
        <w:rPr>
          <w:rFonts w:ascii="宋体"/>
          <w:b/>
          <w:bCs/>
          <w:sz w:val="18"/>
          <w:szCs w:val="18"/>
        </w:rPr>
      </w:pPr>
      <w:r>
        <w:rPr>
          <w:rFonts w:ascii="黑体" w:hAnsi="黑体" w:eastAsia="黑体" w:cs="黑体"/>
          <w:bCs/>
          <w:sz w:val="32"/>
          <w:szCs w:val="32"/>
        </w:rPr>
        <w:br w:type="page"/>
      </w:r>
    </w:p>
    <w:p w14:paraId="01290D43">
      <w:pPr>
        <w:pStyle w:val="3"/>
        <w:jc w:val="center"/>
      </w:pPr>
      <w:bookmarkStart w:id="70" w:name="_Toc3636"/>
      <w:r>
        <w:rPr>
          <w:rFonts w:hint="eastAsia"/>
        </w:rPr>
        <w:t>第三章 采购需求</w:t>
      </w:r>
      <w:bookmarkEnd w:id="70"/>
    </w:p>
    <w:p w14:paraId="2AF92ED7">
      <w:pPr>
        <w:spacing w:line="520" w:lineRule="exact"/>
        <w:jc w:val="left"/>
        <w:rPr>
          <w:rFonts w:hint="eastAsia" w:ascii="宋体" w:hAnsi="宋体" w:cs="宋体"/>
        </w:rPr>
      </w:pPr>
      <w:r>
        <w:rPr>
          <w:rFonts w:hint="eastAsia" w:ascii="宋体" w:hAnsi="宋体" w:cs="宋体"/>
        </w:rPr>
        <w:t>说明：</w:t>
      </w:r>
    </w:p>
    <w:p w14:paraId="011A788D">
      <w:pPr>
        <w:spacing w:line="520" w:lineRule="exact"/>
        <w:ind w:firstLine="420" w:firstLineChars="200"/>
        <w:jc w:val="left"/>
        <w:rPr>
          <w:rFonts w:hint="eastAsia" w:ascii="宋体" w:hAnsi="宋体" w:cs="宋体"/>
        </w:rPr>
      </w:pPr>
      <w:r>
        <w:rPr>
          <w:rFonts w:hint="eastAsia"/>
        </w:rPr>
        <w:t>1. 为落实政府采购政策需满足的要求（根据项目实际情况填写内容）</w:t>
      </w:r>
    </w:p>
    <w:p w14:paraId="7A658606">
      <w:pPr>
        <w:spacing w:line="520" w:lineRule="exact"/>
        <w:ind w:firstLine="420" w:firstLineChars="200"/>
        <w:jc w:val="left"/>
        <w:rPr>
          <w:rFonts w:hint="eastAsia" w:ascii="宋体" w:hAnsi="宋体" w:cs="宋体"/>
        </w:rPr>
      </w:pPr>
      <w:r>
        <w:rPr>
          <w:rFonts w:hint="eastAsia" w:ascii="宋体" w:hAnsi="宋体" w:cs="宋体"/>
        </w:rPr>
        <w:t>（1）本竞争性谈判采购文件所称中小企业必须符合《政府采购促进中小企业发展管理办法》（财库〔2020〕46号）的规定。</w:t>
      </w:r>
    </w:p>
    <w:p w14:paraId="7461DD3E">
      <w:pPr>
        <w:spacing w:line="520" w:lineRule="exact"/>
        <w:ind w:firstLine="420" w:firstLineChars="200"/>
        <w:jc w:val="left"/>
        <w:rPr>
          <w:rFonts w:hint="eastAsia" w:ascii="宋体" w:hAnsi="宋体" w:cs="宋体"/>
        </w:rPr>
      </w:pPr>
      <w:r>
        <w:rPr>
          <w:rFonts w:hint="eastAsia" w:ascii="宋体" w:hAnsi="宋体" w:cs="宋体"/>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0B1DB6A5">
      <w:pPr>
        <w:spacing w:line="520" w:lineRule="exact"/>
        <w:ind w:firstLine="422" w:firstLineChars="200"/>
        <w:jc w:val="left"/>
        <w:rPr>
          <w:rFonts w:hint="eastAsia" w:ascii="宋体" w:hAnsi="宋体" w:cs="宋体"/>
        </w:rPr>
      </w:pPr>
      <w:r>
        <w:rPr>
          <w:rFonts w:hint="eastAsia" w:ascii="宋体" w:hAnsi="宋体" w:cs="宋体"/>
          <w:b/>
        </w:rPr>
        <w:t>（3）根据《关于调整网络安全专用产品安全管理有关事项的公告》（2023年1号）规定，本项目采购需求中的产品如果包括《网络关键设备和网络安全专用产品目录》的网络安全专用产品，供应商在响应文件中应主动列明供货范围中属于网络安全专用产品的竞标产品，并在响应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按无效响应处理。如属于《网络关键设备和网络安全专用产品目录》中“二、网络安全专用产品”内“产品类别”中的所描述的产品，但不属于所列“产品描述”情形的，应提供相应的说明及证明材料。</w:t>
      </w:r>
    </w:p>
    <w:p w14:paraId="36BB6B24">
      <w:pPr>
        <w:spacing w:line="520" w:lineRule="exact"/>
        <w:ind w:firstLine="426" w:firstLineChars="202"/>
        <w:jc w:val="left"/>
        <w:rPr>
          <w:rFonts w:hint="eastAsia" w:ascii="宋体" w:hAnsi="宋体" w:cs="宋体"/>
          <w:b/>
          <w:bCs/>
        </w:rPr>
      </w:pPr>
      <w:r>
        <w:rPr>
          <w:rFonts w:hint="eastAsia" w:ascii="宋体" w:hAnsi="宋体" w:cs="宋体"/>
          <w:b/>
        </w:rPr>
        <w:t>2.</w:t>
      </w:r>
      <w:r>
        <w:rPr>
          <w:rFonts w:hint="eastAsia" w:ascii="宋体" w:hAnsi="宋体" w:cs="宋体"/>
          <w:b/>
          <w:bCs/>
        </w:rPr>
        <w:t>“实质性要求”是指采购需求中带“▲”的条款或者不能负偏离的条款或者已经指明不满足按响应文件作无效处理的条款。</w:t>
      </w:r>
    </w:p>
    <w:p w14:paraId="53F003DE">
      <w:pPr>
        <w:spacing w:line="520" w:lineRule="exact"/>
        <w:ind w:firstLine="426" w:firstLineChars="202"/>
        <w:jc w:val="left"/>
        <w:rPr>
          <w:rFonts w:hint="eastAsia" w:ascii="宋体" w:hAnsi="宋体" w:cs="宋体"/>
          <w:b/>
          <w:bCs/>
        </w:rPr>
      </w:pPr>
      <w:r>
        <w:rPr>
          <w:rFonts w:hint="eastAsia" w:ascii="宋体" w:hAnsi="宋体" w:cs="宋体"/>
          <w:b/>
        </w:rPr>
        <w:t>3.</w:t>
      </w:r>
      <w:r>
        <w:rPr>
          <w:rFonts w:hint="eastAsia" w:ascii="宋体" w:hAnsi="宋体" w:cs="宋体"/>
          <w:b/>
          <w:bCs/>
        </w:rPr>
        <w:t>供应商应根据自身实际情况如实响应竞争性谈判文件，否则将作无效响应处理。对于重要技术条款或技术参数应当在响应文件中提供技术支持资料，技术支持资料以竞争性谈判文件中规定的形式为准，否则将视为无效技术支持资料。</w:t>
      </w:r>
    </w:p>
    <w:p w14:paraId="22F0F702">
      <w:pPr>
        <w:spacing w:line="520" w:lineRule="exact"/>
        <w:ind w:firstLine="424" w:firstLineChars="202"/>
        <w:rPr>
          <w:rFonts w:hint="eastAsia" w:ascii="宋体" w:hAnsi="宋体" w:cs="宋体"/>
        </w:rPr>
      </w:pPr>
      <w:r>
        <w:rPr>
          <w:rFonts w:hint="eastAsia" w:ascii="宋体" w:hAnsi="宋体" w:cs="宋体"/>
        </w:rPr>
        <w:t>4. 供应商必须自行为其应标产品侵犯他人的知识产权或者专利成果的行为承担相应法律责任。</w:t>
      </w:r>
    </w:p>
    <w:p w14:paraId="11F6A4D8">
      <w:pPr>
        <w:spacing w:line="520" w:lineRule="exact"/>
        <w:ind w:firstLine="426" w:firstLineChars="202"/>
        <w:rPr>
          <w:rFonts w:hint="eastAsia" w:ascii="宋体" w:hAnsi="宋体" w:cs="宋体"/>
          <w:b/>
          <w:szCs w:val="21"/>
        </w:rPr>
      </w:pPr>
      <w:r>
        <w:rPr>
          <w:rFonts w:hint="eastAsia" w:ascii="宋体" w:hAnsi="宋体" w:cs="宋体"/>
          <w:b/>
          <w:bCs/>
        </w:rPr>
        <w:t>5. 所属行业：A分标：</w:t>
      </w:r>
      <w:r>
        <w:rPr>
          <w:rFonts w:hint="eastAsia" w:ascii="宋体" w:hAnsi="宋体" w:cs="宋体"/>
          <w:b/>
          <w:szCs w:val="21"/>
        </w:rPr>
        <w:t>工业；B分标：建筑业。</w:t>
      </w:r>
    </w:p>
    <w:p w14:paraId="2B97BF01">
      <w:pPr>
        <w:pStyle w:val="20"/>
        <w:rPr>
          <w:rFonts w:hint="eastAsia" w:ascii="宋体" w:hAnsi="宋体" w:cs="宋体"/>
          <w:b/>
          <w:szCs w:val="21"/>
        </w:rPr>
      </w:pPr>
    </w:p>
    <w:p w14:paraId="1310323E">
      <w:pPr>
        <w:pStyle w:val="20"/>
        <w:jc w:val="both"/>
        <w:rPr>
          <w:rFonts w:hint="eastAsia" w:ascii="宋体" w:hAnsi="宋体" w:cs="宋体"/>
          <w:b/>
          <w:sz w:val="30"/>
          <w:szCs w:val="30"/>
        </w:rPr>
      </w:pPr>
      <w:r>
        <w:rPr>
          <w:rFonts w:hint="eastAsia" w:ascii="宋体" w:hAnsi="宋体" w:cs="宋体"/>
          <w:b/>
          <w:sz w:val="30"/>
          <w:szCs w:val="30"/>
        </w:rPr>
        <w:t>A分标：康复楼多功能康养用房设备购置项目（设备部分）</w:t>
      </w:r>
    </w:p>
    <w:tbl>
      <w:tblPr>
        <w:tblStyle w:val="29"/>
        <w:tblpPr w:leftFromText="180" w:rightFromText="180" w:vertAnchor="text" w:horzAnchor="page" w:tblpX="1256" w:tblpY="265"/>
        <w:tblOverlap w:val="never"/>
        <w:tblW w:w="48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627"/>
        <w:gridCol w:w="65"/>
        <w:gridCol w:w="463"/>
        <w:gridCol w:w="489"/>
        <w:gridCol w:w="1508"/>
        <w:gridCol w:w="4875"/>
        <w:gridCol w:w="1139"/>
      </w:tblGrid>
      <w:tr w14:paraId="1BE7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 w:type="pct"/>
            <w:vAlign w:val="center"/>
          </w:tcPr>
          <w:p w14:paraId="159EA030">
            <w:pPr>
              <w:widowControl/>
              <w:spacing w:line="360" w:lineRule="auto"/>
              <w:jc w:val="center"/>
              <w:textAlignment w:val="center"/>
              <w:rPr>
                <w:rFonts w:hint="eastAsia" w:ascii="宋体" w:hAnsi="宋体" w:cs="宋体"/>
                <w:b/>
                <w:color w:val="auto"/>
                <w:szCs w:val="21"/>
              </w:rPr>
            </w:pPr>
            <w:r>
              <w:rPr>
                <w:rFonts w:hint="eastAsia" w:ascii="宋体" w:hAnsi="宋体" w:cs="宋体"/>
                <w:color w:val="auto"/>
                <w:kern w:val="0"/>
                <w:szCs w:val="21"/>
              </w:rPr>
              <w:t>序号</w:t>
            </w:r>
          </w:p>
        </w:tc>
        <w:tc>
          <w:tcPr>
            <w:tcW w:w="358" w:type="pct"/>
            <w:gridSpan w:val="2"/>
            <w:vAlign w:val="center"/>
          </w:tcPr>
          <w:p w14:paraId="2C27B222">
            <w:pPr>
              <w:widowControl/>
              <w:spacing w:line="360" w:lineRule="auto"/>
              <w:jc w:val="center"/>
              <w:textAlignment w:val="center"/>
              <w:rPr>
                <w:rFonts w:hint="eastAsia" w:ascii="宋体" w:hAnsi="宋体" w:cs="宋体"/>
                <w:b/>
                <w:color w:val="auto"/>
                <w:szCs w:val="21"/>
              </w:rPr>
            </w:pPr>
            <w:r>
              <w:rPr>
                <w:rFonts w:hint="eastAsia" w:ascii="宋体" w:hAnsi="宋体" w:cs="宋体"/>
                <w:color w:val="auto"/>
                <w:kern w:val="0"/>
                <w:szCs w:val="21"/>
              </w:rPr>
              <w:t>标的名称</w:t>
            </w:r>
          </w:p>
        </w:tc>
        <w:tc>
          <w:tcPr>
            <w:tcW w:w="239" w:type="pct"/>
            <w:vAlign w:val="center"/>
          </w:tcPr>
          <w:p w14:paraId="19E277BE">
            <w:pPr>
              <w:widowControl/>
              <w:spacing w:line="360" w:lineRule="auto"/>
              <w:jc w:val="center"/>
              <w:textAlignment w:val="center"/>
              <w:rPr>
                <w:rFonts w:hint="eastAsia" w:ascii="宋体" w:hAnsi="宋体" w:cs="宋体"/>
                <w:b/>
                <w:bCs/>
                <w:color w:val="auto"/>
                <w:szCs w:val="21"/>
              </w:rPr>
            </w:pPr>
            <w:r>
              <w:rPr>
                <w:rFonts w:hint="eastAsia" w:ascii="宋体" w:hAnsi="宋体" w:cs="宋体"/>
                <w:color w:val="auto"/>
                <w:kern w:val="0"/>
                <w:szCs w:val="21"/>
              </w:rPr>
              <w:t>数量</w:t>
            </w:r>
          </w:p>
        </w:tc>
        <w:tc>
          <w:tcPr>
            <w:tcW w:w="253" w:type="pct"/>
            <w:vAlign w:val="center"/>
          </w:tcPr>
          <w:p w14:paraId="38BDAD4C">
            <w:pPr>
              <w:widowControl/>
              <w:spacing w:line="360" w:lineRule="auto"/>
              <w:jc w:val="center"/>
              <w:textAlignment w:val="center"/>
              <w:rPr>
                <w:rFonts w:hint="eastAsia" w:ascii="宋体" w:hAnsi="宋体" w:cs="宋体"/>
                <w:b/>
                <w:bCs/>
                <w:color w:val="auto"/>
                <w:szCs w:val="21"/>
              </w:rPr>
            </w:pPr>
            <w:r>
              <w:rPr>
                <w:rFonts w:hint="eastAsia" w:ascii="宋体" w:hAnsi="宋体" w:cs="宋体"/>
                <w:color w:val="auto"/>
                <w:kern w:val="0"/>
                <w:szCs w:val="21"/>
              </w:rPr>
              <w:t>单位</w:t>
            </w:r>
          </w:p>
        </w:tc>
        <w:tc>
          <w:tcPr>
            <w:tcW w:w="780" w:type="pct"/>
            <w:vAlign w:val="center"/>
          </w:tcPr>
          <w:p w14:paraId="45CF5D6A">
            <w:pPr>
              <w:widowControl/>
              <w:spacing w:line="360" w:lineRule="auto"/>
              <w:jc w:val="center"/>
              <w:textAlignment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参考图片</w:t>
            </w:r>
          </w:p>
        </w:tc>
        <w:tc>
          <w:tcPr>
            <w:tcW w:w="2524" w:type="pct"/>
            <w:vAlign w:val="center"/>
          </w:tcPr>
          <w:p w14:paraId="0EF74F74">
            <w:pPr>
              <w:widowControl/>
              <w:spacing w:line="360" w:lineRule="auto"/>
              <w:jc w:val="center"/>
              <w:textAlignment w:val="center"/>
              <w:rPr>
                <w:rFonts w:hint="eastAsia" w:ascii="宋体" w:hAnsi="宋体" w:cs="宋体"/>
                <w:b/>
                <w:color w:val="auto"/>
                <w:szCs w:val="21"/>
              </w:rPr>
            </w:pPr>
            <w:r>
              <w:rPr>
                <w:rFonts w:hint="eastAsia" w:ascii="宋体" w:hAnsi="宋体" w:cs="宋体"/>
                <w:b/>
                <w:color w:val="auto"/>
                <w:szCs w:val="21"/>
              </w:rPr>
              <w:t>技术参数及配置</w:t>
            </w:r>
          </w:p>
        </w:tc>
        <w:tc>
          <w:tcPr>
            <w:tcW w:w="589" w:type="pct"/>
            <w:vAlign w:val="center"/>
          </w:tcPr>
          <w:p w14:paraId="6D10CC1A">
            <w:pPr>
              <w:widowControl/>
              <w:spacing w:line="360" w:lineRule="auto"/>
              <w:jc w:val="center"/>
              <w:textAlignment w:val="center"/>
              <w:rPr>
                <w:rFonts w:hint="eastAsia" w:ascii="宋体" w:hAnsi="宋体" w:eastAsia="宋体" w:cs="宋体"/>
                <w:b/>
                <w:color w:val="auto"/>
                <w:szCs w:val="21"/>
                <w:lang w:eastAsia="zh-CN"/>
              </w:rPr>
            </w:pPr>
            <w:r>
              <w:rPr>
                <w:rFonts w:hint="eastAsia" w:ascii="宋体" w:hAnsi="宋体" w:cs="宋体"/>
                <w:b w:val="0"/>
                <w:bCs/>
                <w:color w:val="auto"/>
                <w:szCs w:val="21"/>
                <w:lang w:eastAsia="zh-CN"/>
              </w:rPr>
              <w:t>单价上限价（超过上限价的，竞标无效）</w:t>
            </w:r>
          </w:p>
        </w:tc>
      </w:tr>
      <w:tr w14:paraId="34FA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036FCE5E">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c>
          <w:tcPr>
            <w:tcW w:w="358" w:type="pct"/>
            <w:gridSpan w:val="2"/>
            <w:vAlign w:val="center"/>
          </w:tcPr>
          <w:p w14:paraId="7F63C74A">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飞机灯</w:t>
            </w:r>
          </w:p>
        </w:tc>
        <w:tc>
          <w:tcPr>
            <w:tcW w:w="239" w:type="pct"/>
            <w:vAlign w:val="center"/>
          </w:tcPr>
          <w:p w14:paraId="256F477A">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16</w:t>
            </w:r>
          </w:p>
        </w:tc>
        <w:tc>
          <w:tcPr>
            <w:tcW w:w="253" w:type="pct"/>
            <w:vAlign w:val="center"/>
          </w:tcPr>
          <w:p w14:paraId="3D5EAA6E">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盏</w:t>
            </w:r>
          </w:p>
        </w:tc>
        <w:tc>
          <w:tcPr>
            <w:tcW w:w="780" w:type="pct"/>
            <w:shd w:val="clear" w:color="auto" w:fill="auto"/>
            <w:vAlign w:val="center"/>
          </w:tcPr>
          <w:p w14:paraId="35E1F6F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14375" cy="764540"/>
                  <wp:effectExtent l="0" t="0" r="9525" b="1651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4"/>
                          <a:stretch>
                            <a:fillRect/>
                          </a:stretch>
                        </pic:blipFill>
                        <pic:spPr>
                          <a:xfrm>
                            <a:off x="0" y="0"/>
                            <a:ext cx="714375" cy="764540"/>
                          </a:xfrm>
                          <a:prstGeom prst="rect">
                            <a:avLst/>
                          </a:prstGeom>
                          <a:noFill/>
                          <a:ln w="9525">
                            <a:noFill/>
                          </a:ln>
                        </pic:spPr>
                      </pic:pic>
                    </a:graphicData>
                  </a:graphic>
                </wp:inline>
              </w:drawing>
            </w:r>
          </w:p>
        </w:tc>
        <w:tc>
          <w:tcPr>
            <w:tcW w:w="2524" w:type="pct"/>
            <w:vAlign w:val="center"/>
          </w:tcPr>
          <w:p w14:paraId="24D9771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1、稳固牢固，为台灯使用提供良好支撑。</w:t>
            </w:r>
          </w:p>
          <w:p w14:paraId="0DD8AD8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2、战斗机模型机身表面光滑整洁，手感光滑细腻无毛刺，清洁方便，防刮耐磨，抗氧化，颜色精致饱和。</w:t>
            </w:r>
          </w:p>
          <w:p w14:paraId="484BE74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飞机模型</w:t>
            </w:r>
            <w:r>
              <w:rPr>
                <w:rFonts w:hint="eastAsia" w:ascii="宋体" w:hAnsi="宋体" w:cs="宋体"/>
                <w:color w:val="auto"/>
                <w:szCs w:val="21"/>
                <w:highlight w:val="none"/>
              </w:rPr>
              <w:t>样式，1:48（约36cm长）。</w:t>
            </w:r>
          </w:p>
          <w:p w14:paraId="787597F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4、树脂模型，弹仓灯光12W，色温3</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00K。</w:t>
            </w:r>
          </w:p>
          <w:p w14:paraId="2E311BAC">
            <w:pPr>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1136395E">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550.00</w:t>
            </w:r>
          </w:p>
        </w:tc>
      </w:tr>
      <w:tr w14:paraId="3499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32C7B273">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w:t>
            </w:r>
          </w:p>
        </w:tc>
        <w:tc>
          <w:tcPr>
            <w:tcW w:w="358" w:type="pct"/>
            <w:gridSpan w:val="2"/>
            <w:vAlign w:val="center"/>
          </w:tcPr>
          <w:p w14:paraId="531B8BFE">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手雷灯</w:t>
            </w:r>
          </w:p>
        </w:tc>
        <w:tc>
          <w:tcPr>
            <w:tcW w:w="239" w:type="pct"/>
            <w:vAlign w:val="center"/>
          </w:tcPr>
          <w:p w14:paraId="0341A71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16</w:t>
            </w:r>
          </w:p>
        </w:tc>
        <w:tc>
          <w:tcPr>
            <w:tcW w:w="253" w:type="pct"/>
            <w:vAlign w:val="center"/>
          </w:tcPr>
          <w:p w14:paraId="76808C0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盏</w:t>
            </w:r>
          </w:p>
        </w:tc>
        <w:tc>
          <w:tcPr>
            <w:tcW w:w="780" w:type="pct"/>
            <w:shd w:val="clear" w:color="auto" w:fill="auto"/>
            <w:vAlign w:val="center"/>
          </w:tcPr>
          <w:p w14:paraId="53C4D5A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285750" cy="876300"/>
                  <wp:effectExtent l="0" t="0" r="0" b="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5"/>
                          <a:stretch>
                            <a:fillRect/>
                          </a:stretch>
                        </pic:blipFill>
                        <pic:spPr>
                          <a:xfrm>
                            <a:off x="0" y="0"/>
                            <a:ext cx="285750" cy="876300"/>
                          </a:xfrm>
                          <a:prstGeom prst="rect">
                            <a:avLst/>
                          </a:prstGeom>
                          <a:noFill/>
                          <a:ln w="9525">
                            <a:noFill/>
                          </a:ln>
                        </pic:spPr>
                      </pic:pic>
                    </a:graphicData>
                  </a:graphic>
                </wp:inline>
              </w:drawing>
            </w:r>
          </w:p>
        </w:tc>
        <w:tc>
          <w:tcPr>
            <w:tcW w:w="2524" w:type="pct"/>
            <w:vAlign w:val="center"/>
          </w:tcPr>
          <w:p w14:paraId="08EBC5B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1、灯体有效承重，结实耐用。</w:t>
            </w:r>
          </w:p>
          <w:p w14:paraId="3E3C219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2、灯罩精湛切割，晶莹剔透，透光柔和，光效温馨、舒适宜人。</w:t>
            </w:r>
          </w:p>
          <w:p w14:paraId="5FDE086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3、手雷玻璃球约φ100mm，金属杆约φ3CM,长约100mm。</w:t>
            </w:r>
          </w:p>
          <w:p w14:paraId="549991B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4、仿钨丝LED灯8W,色温3</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00K。</w:t>
            </w:r>
          </w:p>
          <w:p w14:paraId="29DA7447">
            <w:pPr>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30120C40">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400.00</w:t>
            </w:r>
          </w:p>
        </w:tc>
      </w:tr>
      <w:tr w14:paraId="0E9A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599911C">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w:t>
            </w:r>
          </w:p>
        </w:tc>
        <w:tc>
          <w:tcPr>
            <w:tcW w:w="358" w:type="pct"/>
            <w:gridSpan w:val="2"/>
            <w:vAlign w:val="center"/>
          </w:tcPr>
          <w:p w14:paraId="32051EB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钢盔灯</w:t>
            </w:r>
          </w:p>
        </w:tc>
        <w:tc>
          <w:tcPr>
            <w:tcW w:w="239" w:type="pct"/>
            <w:vAlign w:val="center"/>
          </w:tcPr>
          <w:p w14:paraId="5DB3A2C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16</w:t>
            </w:r>
          </w:p>
        </w:tc>
        <w:tc>
          <w:tcPr>
            <w:tcW w:w="253" w:type="pct"/>
            <w:vAlign w:val="center"/>
          </w:tcPr>
          <w:p w14:paraId="04524BF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盏</w:t>
            </w:r>
          </w:p>
        </w:tc>
        <w:tc>
          <w:tcPr>
            <w:tcW w:w="780" w:type="pct"/>
            <w:shd w:val="clear" w:color="auto" w:fill="auto"/>
            <w:vAlign w:val="center"/>
          </w:tcPr>
          <w:p w14:paraId="3218B01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52500" cy="1095375"/>
                  <wp:effectExtent l="0" t="0" r="0" b="952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6"/>
                          <a:stretch>
                            <a:fillRect/>
                          </a:stretch>
                        </pic:blipFill>
                        <pic:spPr>
                          <a:xfrm>
                            <a:off x="0" y="0"/>
                            <a:ext cx="952500" cy="1095375"/>
                          </a:xfrm>
                          <a:prstGeom prst="rect">
                            <a:avLst/>
                          </a:prstGeom>
                          <a:noFill/>
                          <a:ln w="9525">
                            <a:noFill/>
                          </a:ln>
                        </pic:spPr>
                      </pic:pic>
                    </a:graphicData>
                  </a:graphic>
                </wp:inline>
              </w:drawing>
            </w:r>
          </w:p>
        </w:tc>
        <w:tc>
          <w:tcPr>
            <w:tcW w:w="2524" w:type="pct"/>
            <w:vAlign w:val="center"/>
          </w:tcPr>
          <w:p w14:paraId="77D2E49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1、稳固牢固，为台灯使用提供良好支撑。</w:t>
            </w:r>
          </w:p>
          <w:p w14:paraId="6EE972C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2、灯罩表面光滑整洁，手感光滑细腻无毛刺，清洁方便，防刮耐磨，抗氧化，颜色精致饱和。</w:t>
            </w:r>
          </w:p>
          <w:p w14:paraId="62CE405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3、灯罩约φ21CM。</w:t>
            </w:r>
          </w:p>
          <w:p w14:paraId="1C6C1B2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4、LED灯8W，色温3</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00K，合金模型，海军陆战队</w:t>
            </w:r>
          </w:p>
          <w:p w14:paraId="5A5F437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迷彩色。</w:t>
            </w:r>
          </w:p>
          <w:p w14:paraId="2C0A8EA4">
            <w:pPr>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044A8075">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320.00</w:t>
            </w:r>
          </w:p>
        </w:tc>
      </w:tr>
      <w:tr w14:paraId="4A32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7CDE51CC">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4</w:t>
            </w:r>
          </w:p>
        </w:tc>
        <w:tc>
          <w:tcPr>
            <w:tcW w:w="358" w:type="pct"/>
            <w:gridSpan w:val="2"/>
            <w:vAlign w:val="center"/>
          </w:tcPr>
          <w:p w14:paraId="77ABE3CC">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遮光布帘</w:t>
            </w:r>
          </w:p>
        </w:tc>
        <w:tc>
          <w:tcPr>
            <w:tcW w:w="239" w:type="pct"/>
            <w:vAlign w:val="center"/>
          </w:tcPr>
          <w:p w14:paraId="5DA3648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16</w:t>
            </w:r>
          </w:p>
        </w:tc>
        <w:tc>
          <w:tcPr>
            <w:tcW w:w="253" w:type="pct"/>
            <w:vAlign w:val="center"/>
          </w:tcPr>
          <w:p w14:paraId="2C62883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幅</w:t>
            </w:r>
          </w:p>
        </w:tc>
        <w:tc>
          <w:tcPr>
            <w:tcW w:w="780" w:type="pct"/>
            <w:shd w:val="clear" w:color="auto" w:fill="auto"/>
            <w:vAlign w:val="center"/>
          </w:tcPr>
          <w:p w14:paraId="700361D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97865" cy="1976755"/>
                  <wp:effectExtent l="0" t="0" r="6985" b="4445"/>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7"/>
                          <a:stretch>
                            <a:fillRect/>
                          </a:stretch>
                        </pic:blipFill>
                        <pic:spPr>
                          <a:xfrm>
                            <a:off x="0" y="0"/>
                            <a:ext cx="697865" cy="1976755"/>
                          </a:xfrm>
                          <a:prstGeom prst="rect">
                            <a:avLst/>
                          </a:prstGeom>
                          <a:noFill/>
                          <a:ln w="9525">
                            <a:noFill/>
                          </a:ln>
                        </pic:spPr>
                      </pic:pic>
                    </a:graphicData>
                  </a:graphic>
                </wp:inline>
              </w:drawing>
            </w:r>
          </w:p>
        </w:tc>
        <w:tc>
          <w:tcPr>
            <w:tcW w:w="2524" w:type="pct"/>
            <w:vAlign w:val="center"/>
          </w:tcPr>
          <w:p w14:paraId="6A9B940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1、规格（约）：3600×2600mm。</w:t>
            </w:r>
          </w:p>
          <w:p w14:paraId="34F6322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2、轨道类型：铝合金轨道，窗帘轨道壁厚（mm）：≥1.20，静音、轻滑，不易磨损变形。</w:t>
            </w:r>
          </w:p>
          <w:p w14:paraId="2A97716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3、布帘材质：窗帘布料为100%聚酯纤维，素色压花遮光布料，背面高密编织，加倍用料，精致走线，不易沾灰，抗皱柔软垂顺，自然挺阔。</w:t>
            </w:r>
          </w:p>
          <w:p w14:paraId="1D3CD13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4、20%粘胶纤维，80%聚酯纤维，背面加遮光布，遮</w:t>
            </w:r>
          </w:p>
          <w:p w14:paraId="4C26649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光率须达85%以上。</w:t>
            </w:r>
          </w:p>
          <w:p w14:paraId="2BB5398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5、颜色和款式参考图片，成交后由采购人要求选定。</w:t>
            </w:r>
          </w:p>
        </w:tc>
        <w:tc>
          <w:tcPr>
            <w:tcW w:w="589" w:type="pct"/>
            <w:vAlign w:val="center"/>
          </w:tcPr>
          <w:p w14:paraId="0981C5E7">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1300.00</w:t>
            </w:r>
          </w:p>
        </w:tc>
      </w:tr>
      <w:tr w14:paraId="30AC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780A40E7">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5</w:t>
            </w:r>
          </w:p>
        </w:tc>
        <w:tc>
          <w:tcPr>
            <w:tcW w:w="358" w:type="pct"/>
            <w:gridSpan w:val="2"/>
            <w:vAlign w:val="center"/>
          </w:tcPr>
          <w:p w14:paraId="1FED2B5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纱帘</w:t>
            </w:r>
          </w:p>
        </w:tc>
        <w:tc>
          <w:tcPr>
            <w:tcW w:w="239" w:type="pct"/>
            <w:vAlign w:val="center"/>
          </w:tcPr>
          <w:p w14:paraId="0D4A6E1E">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16</w:t>
            </w:r>
          </w:p>
        </w:tc>
        <w:tc>
          <w:tcPr>
            <w:tcW w:w="253" w:type="pct"/>
            <w:vAlign w:val="center"/>
          </w:tcPr>
          <w:p w14:paraId="5572211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幅</w:t>
            </w:r>
          </w:p>
        </w:tc>
        <w:tc>
          <w:tcPr>
            <w:tcW w:w="780" w:type="pct"/>
            <w:shd w:val="clear" w:color="auto" w:fill="auto"/>
            <w:vAlign w:val="center"/>
          </w:tcPr>
          <w:p w14:paraId="02A48AE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31190" cy="1786890"/>
                  <wp:effectExtent l="0" t="0" r="16510" b="381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8"/>
                          <a:stretch>
                            <a:fillRect/>
                          </a:stretch>
                        </pic:blipFill>
                        <pic:spPr>
                          <a:xfrm>
                            <a:off x="0" y="0"/>
                            <a:ext cx="631190" cy="1786890"/>
                          </a:xfrm>
                          <a:prstGeom prst="rect">
                            <a:avLst/>
                          </a:prstGeom>
                          <a:noFill/>
                          <a:ln w="9525">
                            <a:noFill/>
                          </a:ln>
                        </pic:spPr>
                      </pic:pic>
                    </a:graphicData>
                  </a:graphic>
                </wp:inline>
              </w:drawing>
            </w:r>
          </w:p>
        </w:tc>
        <w:tc>
          <w:tcPr>
            <w:tcW w:w="2524" w:type="pct"/>
            <w:vAlign w:val="center"/>
          </w:tcPr>
          <w:p w14:paraId="51966A0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1、规格（约）：3600×2600mm。</w:t>
            </w:r>
          </w:p>
          <w:p w14:paraId="7037538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2、轨道类型：铝合金轨道，窗帘轨道壁厚（mm）：≥1.20，静音、轻滑，不易磨损变形。</w:t>
            </w:r>
          </w:p>
          <w:p w14:paraId="384BC0A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3、纱帘材质：采用细腻柔软的纱帘材质，手感柔软，轻柔飘逸，采用更精密的编织方式，防刮耐磨不易勾丝，柔和透光不沉闷、遮像护隐私。</w:t>
            </w:r>
          </w:p>
          <w:p w14:paraId="7FF11F1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4、100%聚酯纤维,雪纺提花纱。</w:t>
            </w:r>
          </w:p>
          <w:p w14:paraId="219724E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5、颜色和款式参考图片，成交后由采购人要求选定。</w:t>
            </w:r>
          </w:p>
        </w:tc>
        <w:tc>
          <w:tcPr>
            <w:tcW w:w="589" w:type="pct"/>
            <w:vAlign w:val="center"/>
          </w:tcPr>
          <w:p w14:paraId="7CD3E65A">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800.00</w:t>
            </w:r>
          </w:p>
        </w:tc>
      </w:tr>
      <w:tr w14:paraId="1AFA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744F833D">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6</w:t>
            </w:r>
          </w:p>
        </w:tc>
        <w:tc>
          <w:tcPr>
            <w:tcW w:w="358" w:type="pct"/>
            <w:gridSpan w:val="2"/>
            <w:vAlign w:val="center"/>
          </w:tcPr>
          <w:p w14:paraId="7AA5C13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块地毯</w:t>
            </w:r>
          </w:p>
        </w:tc>
        <w:tc>
          <w:tcPr>
            <w:tcW w:w="239" w:type="pct"/>
            <w:vAlign w:val="center"/>
          </w:tcPr>
          <w:p w14:paraId="0428A40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16</w:t>
            </w:r>
          </w:p>
        </w:tc>
        <w:tc>
          <w:tcPr>
            <w:tcW w:w="253" w:type="pct"/>
            <w:vAlign w:val="center"/>
          </w:tcPr>
          <w:p w14:paraId="1E30B0A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块</w:t>
            </w:r>
          </w:p>
        </w:tc>
        <w:tc>
          <w:tcPr>
            <w:tcW w:w="780" w:type="pct"/>
            <w:shd w:val="clear" w:color="auto" w:fill="auto"/>
            <w:vAlign w:val="center"/>
          </w:tcPr>
          <w:p w14:paraId="22314E4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40105" cy="224790"/>
                  <wp:effectExtent l="0" t="0" r="17145" b="3810"/>
                  <wp:docPr id="1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56"/>
                          <pic:cNvPicPr>
                            <a:picLocks noChangeAspect="1"/>
                          </pic:cNvPicPr>
                        </pic:nvPicPr>
                        <pic:blipFill>
                          <a:blip r:embed="rId19"/>
                          <a:stretch>
                            <a:fillRect/>
                          </a:stretch>
                        </pic:blipFill>
                        <pic:spPr>
                          <a:xfrm>
                            <a:off x="0" y="0"/>
                            <a:ext cx="840105" cy="224790"/>
                          </a:xfrm>
                          <a:prstGeom prst="rect">
                            <a:avLst/>
                          </a:prstGeom>
                          <a:noFill/>
                          <a:ln w="9525">
                            <a:noFill/>
                          </a:ln>
                        </pic:spPr>
                      </pic:pic>
                    </a:graphicData>
                  </a:graphic>
                </wp:inline>
              </w:drawing>
            </w:r>
          </w:p>
        </w:tc>
        <w:tc>
          <w:tcPr>
            <w:tcW w:w="2524" w:type="pct"/>
            <w:vAlign w:val="center"/>
          </w:tcPr>
          <w:p w14:paraId="23C7AA7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1、规格（约）：2000×2800mm。</w:t>
            </w:r>
          </w:p>
          <w:p w14:paraId="785A96C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2、采用尼龙材质，毯面密实，不掉毛不掉色。</w:t>
            </w:r>
          </w:p>
          <w:p w14:paraId="2E6167C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3、尼龙地毯，毯面厚实耐磨，脚感舒适。</w:t>
            </w:r>
          </w:p>
          <w:p w14:paraId="1E85003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4、底背加入防水胶，毯面变软，不开裂掉渣。</w:t>
            </w:r>
          </w:p>
          <w:p w14:paraId="7ED88836">
            <w:pPr>
              <w:pStyle w:val="2"/>
              <w:ind w:left="0" w:leftChars="0" w:firstLine="0" w:firstLineChars="0"/>
              <w:rPr>
                <w:rFonts w:hint="eastAsia" w:eastAsia="宋体"/>
                <w:color w:val="auto"/>
                <w:highlight w:val="none"/>
                <w:lang w:val="en-US" w:eastAsia="zh-CN"/>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5205F37D">
            <w:pPr>
              <w:spacing w:line="360" w:lineRule="auto"/>
              <w:jc w:val="center"/>
              <w:rPr>
                <w:rFonts w:hint="default" w:ascii="宋体" w:hAnsi="宋体" w:cs="宋体"/>
                <w:color w:val="auto"/>
                <w:szCs w:val="21"/>
                <w:lang w:val="en-US" w:eastAsia="zh-CN"/>
              </w:rPr>
            </w:pPr>
            <w:r>
              <w:rPr>
                <w:rFonts w:hint="eastAsia" w:ascii="宋体" w:hAnsi="宋体" w:cs="宋体"/>
                <w:color w:val="auto"/>
                <w:szCs w:val="21"/>
                <w:lang w:val="en-US" w:eastAsia="zh-CN"/>
              </w:rPr>
              <w:t>790.00</w:t>
            </w:r>
          </w:p>
          <w:p w14:paraId="0B7BFE56">
            <w:pPr>
              <w:pStyle w:val="2"/>
              <w:rPr>
                <w:rFonts w:hint="default"/>
                <w:color w:val="auto"/>
                <w:lang w:val="en-US" w:eastAsia="zh-CN"/>
              </w:rPr>
            </w:pPr>
          </w:p>
        </w:tc>
      </w:tr>
      <w:tr w14:paraId="2ED8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2B05AFA">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7</w:t>
            </w:r>
          </w:p>
        </w:tc>
        <w:tc>
          <w:tcPr>
            <w:tcW w:w="358" w:type="pct"/>
            <w:gridSpan w:val="2"/>
            <w:vAlign w:val="center"/>
          </w:tcPr>
          <w:p w14:paraId="524D0A6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飞机灯</w:t>
            </w:r>
          </w:p>
        </w:tc>
        <w:tc>
          <w:tcPr>
            <w:tcW w:w="239" w:type="pct"/>
            <w:vAlign w:val="center"/>
          </w:tcPr>
          <w:p w14:paraId="4E9AFD0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44</w:t>
            </w:r>
          </w:p>
        </w:tc>
        <w:tc>
          <w:tcPr>
            <w:tcW w:w="253" w:type="pct"/>
            <w:vAlign w:val="center"/>
          </w:tcPr>
          <w:p w14:paraId="5B6245E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盏</w:t>
            </w:r>
          </w:p>
        </w:tc>
        <w:tc>
          <w:tcPr>
            <w:tcW w:w="780" w:type="pct"/>
            <w:shd w:val="clear" w:color="auto" w:fill="auto"/>
            <w:vAlign w:val="center"/>
          </w:tcPr>
          <w:p w14:paraId="36A9755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70560" cy="710565"/>
                  <wp:effectExtent l="0" t="0" r="15240" b="13335"/>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4"/>
                          <a:stretch>
                            <a:fillRect/>
                          </a:stretch>
                        </pic:blipFill>
                        <pic:spPr>
                          <a:xfrm>
                            <a:off x="0" y="0"/>
                            <a:ext cx="670560" cy="710565"/>
                          </a:xfrm>
                          <a:prstGeom prst="rect">
                            <a:avLst/>
                          </a:prstGeom>
                          <a:noFill/>
                          <a:ln w="9525">
                            <a:noFill/>
                          </a:ln>
                        </pic:spPr>
                      </pic:pic>
                    </a:graphicData>
                  </a:graphic>
                </wp:inline>
              </w:drawing>
            </w:r>
          </w:p>
        </w:tc>
        <w:tc>
          <w:tcPr>
            <w:tcW w:w="2524" w:type="pct"/>
            <w:vAlign w:val="center"/>
          </w:tcPr>
          <w:p w14:paraId="760BE8D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1、稳固牢固，为台灯使用提供良好支撑。</w:t>
            </w:r>
          </w:p>
          <w:p w14:paraId="3979846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2、战斗机模型机身表面光滑整洁，手感光滑细腻无毛刺，清洁方便，</w:t>
            </w:r>
          </w:p>
          <w:p w14:paraId="4DDD0A0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防刮耐磨，抗氧化，颜色精致饱和。</w:t>
            </w:r>
          </w:p>
          <w:p w14:paraId="787DC48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3、飞机模型样式，1:48（约36cm长）。</w:t>
            </w:r>
          </w:p>
          <w:p w14:paraId="7E0E8CB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4、树脂模型，弹仓灯光12W，色温3</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00K。</w:t>
            </w:r>
          </w:p>
          <w:p w14:paraId="782B257A">
            <w:pPr>
              <w:pStyle w:val="2"/>
              <w:ind w:left="0" w:leftChars="0" w:firstLine="0" w:firstLineChars="0"/>
              <w:rPr>
                <w:rFonts w:hint="eastAsia"/>
                <w:color w:val="auto"/>
                <w:highlight w:val="none"/>
              </w:rPr>
            </w:pPr>
            <w:r>
              <w:rPr>
                <w:rFonts w:hint="eastAsia" w:ascii="宋体" w:hAnsi="宋体" w:eastAsia="宋体" w:cs="宋体"/>
                <w:color w:val="auto"/>
                <w:highlight w:val="none"/>
              </w:rPr>
              <w:t>5、颜色和款式参考图片，成交后由采购人要求选定。</w:t>
            </w:r>
          </w:p>
        </w:tc>
        <w:tc>
          <w:tcPr>
            <w:tcW w:w="589" w:type="pct"/>
            <w:vAlign w:val="center"/>
          </w:tcPr>
          <w:p w14:paraId="5B6A34FE">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550.00</w:t>
            </w:r>
          </w:p>
        </w:tc>
      </w:tr>
      <w:tr w14:paraId="7E11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384B847">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8</w:t>
            </w:r>
          </w:p>
        </w:tc>
        <w:tc>
          <w:tcPr>
            <w:tcW w:w="358" w:type="pct"/>
            <w:gridSpan w:val="2"/>
            <w:vAlign w:val="center"/>
          </w:tcPr>
          <w:p w14:paraId="4F5E6A38">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手雷灯</w:t>
            </w:r>
          </w:p>
        </w:tc>
        <w:tc>
          <w:tcPr>
            <w:tcW w:w="239" w:type="pct"/>
            <w:vAlign w:val="center"/>
          </w:tcPr>
          <w:p w14:paraId="006F0F2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44</w:t>
            </w:r>
          </w:p>
        </w:tc>
        <w:tc>
          <w:tcPr>
            <w:tcW w:w="253" w:type="pct"/>
            <w:vAlign w:val="center"/>
          </w:tcPr>
          <w:p w14:paraId="5F0BE24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盏</w:t>
            </w:r>
          </w:p>
        </w:tc>
        <w:tc>
          <w:tcPr>
            <w:tcW w:w="780" w:type="pct"/>
            <w:shd w:val="clear" w:color="auto" w:fill="auto"/>
            <w:vAlign w:val="center"/>
          </w:tcPr>
          <w:p w14:paraId="2023D94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381000" cy="1190625"/>
                  <wp:effectExtent l="0" t="0" r="0" b="9525"/>
                  <wp:docPr id="1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56"/>
                          <pic:cNvPicPr>
                            <a:picLocks noChangeAspect="1"/>
                          </pic:cNvPicPr>
                        </pic:nvPicPr>
                        <pic:blipFill>
                          <a:blip r:embed="rId15"/>
                          <a:stretch>
                            <a:fillRect/>
                          </a:stretch>
                        </pic:blipFill>
                        <pic:spPr>
                          <a:xfrm>
                            <a:off x="0" y="0"/>
                            <a:ext cx="381000" cy="1190625"/>
                          </a:xfrm>
                          <a:prstGeom prst="rect">
                            <a:avLst/>
                          </a:prstGeom>
                          <a:noFill/>
                          <a:ln w="9525">
                            <a:noFill/>
                          </a:ln>
                        </pic:spPr>
                      </pic:pic>
                    </a:graphicData>
                  </a:graphic>
                </wp:inline>
              </w:drawing>
            </w:r>
          </w:p>
        </w:tc>
        <w:tc>
          <w:tcPr>
            <w:tcW w:w="2524" w:type="pct"/>
            <w:vAlign w:val="center"/>
          </w:tcPr>
          <w:p w14:paraId="5EF4E40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1、灯体有效承重，结实耐用。</w:t>
            </w:r>
          </w:p>
          <w:p w14:paraId="25D444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2、灯罩精湛切割，晶莹剔透，透光柔和，光效温馨、舒适宜人。</w:t>
            </w:r>
          </w:p>
          <w:p w14:paraId="19355BD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3、手雷玻璃球约φ100mm，金属杆约φ3CM,长约100mm。</w:t>
            </w:r>
          </w:p>
          <w:p w14:paraId="716F708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4、仿钨丝LED灯8W,色温3</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00K。</w:t>
            </w:r>
          </w:p>
          <w:p w14:paraId="42528BB6">
            <w:pPr>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0AFE1BB7">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default" w:ascii="宋体" w:hAnsi="宋体" w:cs="宋体"/>
                <w:color w:val="auto"/>
                <w:szCs w:val="21"/>
                <w:highlight w:val="none"/>
                <w:lang w:val="en-US" w:eastAsia="zh-CN"/>
              </w:rPr>
              <w:t>0</w:t>
            </w:r>
            <w:r>
              <w:rPr>
                <w:rFonts w:hint="eastAsia" w:ascii="宋体" w:hAnsi="宋体" w:cs="宋体"/>
                <w:color w:val="auto"/>
                <w:szCs w:val="21"/>
                <w:highlight w:val="none"/>
                <w:lang w:val="en-US" w:eastAsia="zh-CN"/>
              </w:rPr>
              <w:t>0.00</w:t>
            </w:r>
          </w:p>
        </w:tc>
      </w:tr>
      <w:tr w14:paraId="2A8E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4D372137">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9</w:t>
            </w:r>
          </w:p>
        </w:tc>
        <w:tc>
          <w:tcPr>
            <w:tcW w:w="358" w:type="pct"/>
            <w:gridSpan w:val="2"/>
            <w:vAlign w:val="center"/>
          </w:tcPr>
          <w:p w14:paraId="6DF32CB5">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钢盔灯</w:t>
            </w:r>
          </w:p>
        </w:tc>
        <w:tc>
          <w:tcPr>
            <w:tcW w:w="239" w:type="pct"/>
            <w:vAlign w:val="center"/>
          </w:tcPr>
          <w:p w14:paraId="5D8AC98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44</w:t>
            </w:r>
          </w:p>
        </w:tc>
        <w:tc>
          <w:tcPr>
            <w:tcW w:w="253" w:type="pct"/>
            <w:vAlign w:val="center"/>
          </w:tcPr>
          <w:p w14:paraId="350ED62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盏</w:t>
            </w:r>
          </w:p>
        </w:tc>
        <w:tc>
          <w:tcPr>
            <w:tcW w:w="780" w:type="pct"/>
            <w:shd w:val="clear" w:color="auto" w:fill="auto"/>
            <w:vAlign w:val="center"/>
          </w:tcPr>
          <w:p w14:paraId="3191B6A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14400" cy="1047750"/>
                  <wp:effectExtent l="0" t="0" r="0" b="0"/>
                  <wp:docPr id="2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56"/>
                          <pic:cNvPicPr>
                            <a:picLocks noChangeAspect="1"/>
                          </pic:cNvPicPr>
                        </pic:nvPicPr>
                        <pic:blipFill>
                          <a:blip r:embed="rId16"/>
                          <a:stretch>
                            <a:fillRect/>
                          </a:stretch>
                        </pic:blipFill>
                        <pic:spPr>
                          <a:xfrm>
                            <a:off x="0" y="0"/>
                            <a:ext cx="914400" cy="1047750"/>
                          </a:xfrm>
                          <a:prstGeom prst="rect">
                            <a:avLst/>
                          </a:prstGeom>
                          <a:noFill/>
                          <a:ln w="9525">
                            <a:noFill/>
                          </a:ln>
                        </pic:spPr>
                      </pic:pic>
                    </a:graphicData>
                  </a:graphic>
                </wp:inline>
              </w:drawing>
            </w:r>
          </w:p>
        </w:tc>
        <w:tc>
          <w:tcPr>
            <w:tcW w:w="2524" w:type="pct"/>
            <w:vAlign w:val="center"/>
          </w:tcPr>
          <w:p w14:paraId="4A00BAA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1、稳固牢固，为台灯使用提供良好支撑。</w:t>
            </w:r>
          </w:p>
          <w:p w14:paraId="00F5636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2、灯罩表面光滑整洁，手感光滑细腻无毛刺，清洁方便，防刮耐磨，抗氧化，颜色精致饱和。</w:t>
            </w:r>
          </w:p>
          <w:p w14:paraId="1AB6033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3、灯罩约φ21CM。</w:t>
            </w:r>
          </w:p>
          <w:p w14:paraId="0076C22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4、LED灯8W，色温3</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00K，合金模型，海军陆战队迷彩色。</w:t>
            </w:r>
          </w:p>
          <w:p w14:paraId="7EC5C9A7">
            <w:pPr>
              <w:pStyle w:val="2"/>
              <w:ind w:left="0" w:leftChars="0" w:firstLine="0" w:firstLineChars="0"/>
              <w:rPr>
                <w:rFonts w:hint="eastAsia"/>
                <w:color w:val="auto"/>
                <w:highlight w:val="none"/>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1993E450">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320.00</w:t>
            </w:r>
          </w:p>
        </w:tc>
      </w:tr>
      <w:tr w14:paraId="0941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41F0B7E7">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10</w:t>
            </w:r>
          </w:p>
        </w:tc>
        <w:tc>
          <w:tcPr>
            <w:tcW w:w="358" w:type="pct"/>
            <w:gridSpan w:val="2"/>
            <w:vAlign w:val="center"/>
          </w:tcPr>
          <w:p w14:paraId="2EB79DA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遮光布帘</w:t>
            </w:r>
          </w:p>
        </w:tc>
        <w:tc>
          <w:tcPr>
            <w:tcW w:w="239" w:type="pct"/>
            <w:vAlign w:val="center"/>
          </w:tcPr>
          <w:p w14:paraId="1547372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44</w:t>
            </w:r>
          </w:p>
        </w:tc>
        <w:tc>
          <w:tcPr>
            <w:tcW w:w="253" w:type="pct"/>
            <w:vAlign w:val="center"/>
          </w:tcPr>
          <w:p w14:paraId="47CAE04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幅</w:t>
            </w:r>
          </w:p>
        </w:tc>
        <w:tc>
          <w:tcPr>
            <w:tcW w:w="780" w:type="pct"/>
            <w:shd w:val="clear" w:color="auto" w:fill="auto"/>
            <w:vAlign w:val="center"/>
          </w:tcPr>
          <w:p w14:paraId="1C3D61E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73100" cy="1903730"/>
                  <wp:effectExtent l="0" t="0" r="12700" b="1270"/>
                  <wp:docPr id="2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56"/>
                          <pic:cNvPicPr>
                            <a:picLocks noChangeAspect="1"/>
                          </pic:cNvPicPr>
                        </pic:nvPicPr>
                        <pic:blipFill>
                          <a:blip r:embed="rId17"/>
                          <a:stretch>
                            <a:fillRect/>
                          </a:stretch>
                        </pic:blipFill>
                        <pic:spPr>
                          <a:xfrm>
                            <a:off x="0" y="0"/>
                            <a:ext cx="673100" cy="1903730"/>
                          </a:xfrm>
                          <a:prstGeom prst="rect">
                            <a:avLst/>
                          </a:prstGeom>
                          <a:noFill/>
                          <a:ln w="9525">
                            <a:noFill/>
                          </a:ln>
                        </pic:spPr>
                      </pic:pic>
                    </a:graphicData>
                  </a:graphic>
                </wp:inline>
              </w:drawing>
            </w:r>
          </w:p>
        </w:tc>
        <w:tc>
          <w:tcPr>
            <w:tcW w:w="2524" w:type="pct"/>
            <w:vAlign w:val="center"/>
          </w:tcPr>
          <w:p w14:paraId="443ABF1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1、规格（约）：3600×2600mm。</w:t>
            </w:r>
          </w:p>
          <w:p w14:paraId="4ACC81F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2、轨道类型：铝合金轨道，窗帘轨道壁厚（mm）：≥1.20，静音、轻滑，不易磨损变形。</w:t>
            </w:r>
          </w:p>
          <w:p w14:paraId="445EAB4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3、布帘材质：窗帘布料为100%聚酯纤维，素色压花遮光布料，背面高</w:t>
            </w:r>
          </w:p>
          <w:p w14:paraId="613083A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密编织，加倍用料，精致走线，不易沾灰，抗皱柔远垂顺，自然挺阔。</w:t>
            </w:r>
          </w:p>
          <w:p w14:paraId="01E34C4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4、20%粘胶纤维，80%聚酯纤维，背面加遮光布，遮光率须达85%以上。</w:t>
            </w:r>
          </w:p>
          <w:p w14:paraId="4A8D6480">
            <w:pPr>
              <w:pStyle w:val="2"/>
              <w:ind w:left="0" w:leftChars="0" w:firstLine="0" w:firstLineChars="0"/>
              <w:rPr>
                <w:rFonts w:hint="eastAsia"/>
                <w:color w:val="auto"/>
                <w:highlight w:val="none"/>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59F95ED9">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1300.00</w:t>
            </w:r>
          </w:p>
        </w:tc>
      </w:tr>
      <w:tr w14:paraId="495B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5EAD7340">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11</w:t>
            </w:r>
          </w:p>
        </w:tc>
        <w:tc>
          <w:tcPr>
            <w:tcW w:w="358" w:type="pct"/>
            <w:gridSpan w:val="2"/>
            <w:vAlign w:val="center"/>
          </w:tcPr>
          <w:p w14:paraId="59ED7BA9">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纱帘</w:t>
            </w:r>
          </w:p>
        </w:tc>
        <w:tc>
          <w:tcPr>
            <w:tcW w:w="239" w:type="pct"/>
            <w:vAlign w:val="center"/>
          </w:tcPr>
          <w:p w14:paraId="5DE933E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44</w:t>
            </w:r>
          </w:p>
        </w:tc>
        <w:tc>
          <w:tcPr>
            <w:tcW w:w="253" w:type="pct"/>
            <w:vAlign w:val="center"/>
          </w:tcPr>
          <w:p w14:paraId="428C2A6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幅</w:t>
            </w:r>
          </w:p>
        </w:tc>
        <w:tc>
          <w:tcPr>
            <w:tcW w:w="780" w:type="pct"/>
            <w:shd w:val="clear" w:color="auto" w:fill="auto"/>
            <w:vAlign w:val="center"/>
          </w:tcPr>
          <w:p w14:paraId="5F62C8C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09295" cy="2008505"/>
                  <wp:effectExtent l="0" t="0" r="14605" b="10795"/>
                  <wp:docPr id="2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56"/>
                          <pic:cNvPicPr>
                            <a:picLocks noChangeAspect="1"/>
                          </pic:cNvPicPr>
                        </pic:nvPicPr>
                        <pic:blipFill>
                          <a:blip r:embed="rId18"/>
                          <a:stretch>
                            <a:fillRect/>
                          </a:stretch>
                        </pic:blipFill>
                        <pic:spPr>
                          <a:xfrm>
                            <a:off x="0" y="0"/>
                            <a:ext cx="709295" cy="2008505"/>
                          </a:xfrm>
                          <a:prstGeom prst="rect">
                            <a:avLst/>
                          </a:prstGeom>
                          <a:noFill/>
                          <a:ln w="9525">
                            <a:noFill/>
                          </a:ln>
                        </pic:spPr>
                      </pic:pic>
                    </a:graphicData>
                  </a:graphic>
                </wp:inline>
              </w:drawing>
            </w:r>
          </w:p>
        </w:tc>
        <w:tc>
          <w:tcPr>
            <w:tcW w:w="2524" w:type="pct"/>
            <w:vAlign w:val="center"/>
          </w:tcPr>
          <w:p w14:paraId="30E02A4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1、规格（约）：3600×2600mm。</w:t>
            </w:r>
          </w:p>
          <w:p w14:paraId="0714AB0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2、轨道类型：铝合金轨道，窗帘轨道壁厚（mm）：≥1.20，静音、轻滑，不易磨损变形。</w:t>
            </w:r>
          </w:p>
          <w:p w14:paraId="19FF584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3、纱帘材质：采用细腻柔软的纱帘材质，手感柔远，轻柔飘逸，采用更精密的编织方式，防刮耐磨不易勾丝，柔和透光不沉闷、遮像护隐私。</w:t>
            </w:r>
          </w:p>
          <w:p w14:paraId="069AE4D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4、100%聚酯纤维，雪纺提花纱。</w:t>
            </w:r>
          </w:p>
          <w:p w14:paraId="4CFD95DD">
            <w:pPr>
              <w:pStyle w:val="2"/>
              <w:ind w:left="0" w:leftChars="0" w:firstLine="0" w:firstLineChars="0"/>
              <w:rPr>
                <w:rFonts w:hint="eastAsia"/>
                <w:color w:val="auto"/>
                <w:highlight w:val="none"/>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3BE5CE16">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800.00</w:t>
            </w:r>
          </w:p>
        </w:tc>
      </w:tr>
      <w:tr w14:paraId="3F8A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69557FDB">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12</w:t>
            </w:r>
          </w:p>
        </w:tc>
        <w:tc>
          <w:tcPr>
            <w:tcW w:w="358" w:type="pct"/>
            <w:gridSpan w:val="2"/>
            <w:vAlign w:val="center"/>
          </w:tcPr>
          <w:p w14:paraId="1E65B0FA">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块地毯</w:t>
            </w:r>
          </w:p>
        </w:tc>
        <w:tc>
          <w:tcPr>
            <w:tcW w:w="239" w:type="pct"/>
            <w:vAlign w:val="center"/>
          </w:tcPr>
          <w:p w14:paraId="2C3C207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88</w:t>
            </w:r>
          </w:p>
        </w:tc>
        <w:tc>
          <w:tcPr>
            <w:tcW w:w="253" w:type="pct"/>
            <w:vAlign w:val="center"/>
          </w:tcPr>
          <w:p w14:paraId="5F03C16E">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块</w:t>
            </w:r>
          </w:p>
        </w:tc>
        <w:tc>
          <w:tcPr>
            <w:tcW w:w="780" w:type="pct"/>
            <w:shd w:val="clear" w:color="auto" w:fill="auto"/>
            <w:vAlign w:val="center"/>
          </w:tcPr>
          <w:p w14:paraId="6EC89D2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29945" cy="221615"/>
                  <wp:effectExtent l="0" t="0" r="8255" b="6985"/>
                  <wp:docPr id="2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56"/>
                          <pic:cNvPicPr>
                            <a:picLocks noChangeAspect="1"/>
                          </pic:cNvPicPr>
                        </pic:nvPicPr>
                        <pic:blipFill>
                          <a:blip r:embed="rId19"/>
                          <a:stretch>
                            <a:fillRect/>
                          </a:stretch>
                        </pic:blipFill>
                        <pic:spPr>
                          <a:xfrm>
                            <a:off x="0" y="0"/>
                            <a:ext cx="829945" cy="221615"/>
                          </a:xfrm>
                          <a:prstGeom prst="rect">
                            <a:avLst/>
                          </a:prstGeom>
                          <a:noFill/>
                          <a:ln w="9525">
                            <a:noFill/>
                          </a:ln>
                        </pic:spPr>
                      </pic:pic>
                    </a:graphicData>
                  </a:graphic>
                </wp:inline>
              </w:drawing>
            </w:r>
          </w:p>
        </w:tc>
        <w:tc>
          <w:tcPr>
            <w:tcW w:w="2524" w:type="pct"/>
            <w:vAlign w:val="center"/>
          </w:tcPr>
          <w:p w14:paraId="1ED25B2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1、规格（约）：600×1600mm。</w:t>
            </w:r>
          </w:p>
          <w:p w14:paraId="752822A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2、采用尼龙材质，毯面密实，不掉毛不掉色。</w:t>
            </w:r>
          </w:p>
          <w:p w14:paraId="65944A4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3、尼龙地毯，毯面厚实耐磨，脚感舒适。</w:t>
            </w:r>
          </w:p>
          <w:p w14:paraId="16D9727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4、底背加入防水胶，毯面变软，不开裂掉渣。</w:t>
            </w:r>
          </w:p>
          <w:p w14:paraId="1D63CAB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5、1200克地毯尼龙块地垫。</w:t>
            </w:r>
          </w:p>
          <w:p w14:paraId="3246390F">
            <w:pPr>
              <w:pStyle w:val="2"/>
              <w:ind w:left="0" w:leftChars="0" w:firstLine="0" w:firstLineChars="0"/>
              <w:rPr>
                <w:rFonts w:hint="eastAsia"/>
                <w:color w:val="auto"/>
                <w:highlight w:val="none"/>
              </w:rPr>
            </w:pPr>
            <w:r>
              <w:rPr>
                <w:rFonts w:hint="eastAsia" w:ascii="宋体" w:hAnsi="宋体" w:cs="宋体"/>
                <w:color w:val="auto"/>
                <w:szCs w:val="21"/>
                <w:highlight w:val="none"/>
                <w:lang w:val="en-US" w:eastAsia="zh-CN"/>
              </w:rPr>
              <w:t>6、颜色和款式参考图片，成交后由采购人要求选定。</w:t>
            </w:r>
          </w:p>
        </w:tc>
        <w:tc>
          <w:tcPr>
            <w:tcW w:w="589" w:type="pct"/>
            <w:vAlign w:val="center"/>
          </w:tcPr>
          <w:p w14:paraId="6CBECB6F">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260.00</w:t>
            </w:r>
          </w:p>
        </w:tc>
      </w:tr>
      <w:tr w14:paraId="7E7C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35DBF769">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13</w:t>
            </w:r>
          </w:p>
        </w:tc>
        <w:tc>
          <w:tcPr>
            <w:tcW w:w="358" w:type="pct"/>
            <w:gridSpan w:val="2"/>
            <w:vAlign w:val="center"/>
          </w:tcPr>
          <w:p w14:paraId="137082A2">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落地灯</w:t>
            </w:r>
          </w:p>
        </w:tc>
        <w:tc>
          <w:tcPr>
            <w:tcW w:w="239" w:type="pct"/>
            <w:vAlign w:val="center"/>
          </w:tcPr>
          <w:p w14:paraId="0F32F52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16</w:t>
            </w:r>
          </w:p>
        </w:tc>
        <w:tc>
          <w:tcPr>
            <w:tcW w:w="253" w:type="pct"/>
            <w:vAlign w:val="center"/>
          </w:tcPr>
          <w:p w14:paraId="4E9504A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盏</w:t>
            </w:r>
          </w:p>
        </w:tc>
        <w:tc>
          <w:tcPr>
            <w:tcW w:w="780" w:type="pct"/>
            <w:shd w:val="clear" w:color="auto" w:fill="auto"/>
            <w:vAlign w:val="center"/>
          </w:tcPr>
          <w:p w14:paraId="48BCD6D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02615" cy="417830"/>
                  <wp:effectExtent l="0" t="0" r="0" b="1270"/>
                  <wp:docPr id="2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256"/>
                          <pic:cNvPicPr>
                            <a:picLocks noChangeAspect="1"/>
                          </pic:cNvPicPr>
                        </pic:nvPicPr>
                        <pic:blipFill>
                          <a:blip r:embed="rId20"/>
                          <a:stretch>
                            <a:fillRect/>
                          </a:stretch>
                        </pic:blipFill>
                        <pic:spPr>
                          <a:xfrm>
                            <a:off x="0" y="0"/>
                            <a:ext cx="602615" cy="417830"/>
                          </a:xfrm>
                          <a:prstGeom prst="rect">
                            <a:avLst/>
                          </a:prstGeom>
                          <a:noFill/>
                          <a:ln w="9525">
                            <a:noFill/>
                          </a:ln>
                        </pic:spPr>
                      </pic:pic>
                    </a:graphicData>
                  </a:graphic>
                </wp:inline>
              </w:drawing>
            </w:r>
          </w:p>
        </w:tc>
        <w:tc>
          <w:tcPr>
            <w:tcW w:w="2524" w:type="pct"/>
            <w:vAlign w:val="center"/>
          </w:tcPr>
          <w:p w14:paraId="6610B48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1、稳固牢固，为台灯使用提供良好支撑。</w:t>
            </w:r>
          </w:p>
          <w:p w14:paraId="3D31AB5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2、灯罩采用表面光滑整洁，手感光滑细腻无毛刺，清洁方便，防刮耐磨，抗氧化，颜色精致饱和。</w:t>
            </w:r>
          </w:p>
          <w:p w14:paraId="35BCF28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3、规格：</w:t>
            </w:r>
            <w:r>
              <w:rPr>
                <w:rFonts w:hint="eastAsia"/>
                <w:color w:val="auto"/>
                <w:highlight w:val="none"/>
              </w:rPr>
              <w:t>灯罩直径</w:t>
            </w:r>
            <w:r>
              <w:rPr>
                <w:rFonts w:hint="eastAsia" w:ascii="宋体" w:hAnsi="宋体" w:cs="宋体"/>
                <w:color w:val="auto"/>
                <w:szCs w:val="21"/>
                <w:highlight w:val="none"/>
              </w:rPr>
              <w:t>约</w:t>
            </w:r>
            <w:r>
              <w:rPr>
                <w:rFonts w:hint="eastAsia" w:ascii="宋体" w:hAnsi="宋体" w:cs="宋体"/>
                <w:color w:val="auto"/>
                <w:szCs w:val="21"/>
                <w:highlight w:val="none"/>
                <w:lang w:val="en-US" w:eastAsia="zh-CN"/>
              </w:rPr>
              <w:t>35</w:t>
            </w:r>
            <w:r>
              <w:rPr>
                <w:rFonts w:hint="eastAsia" w:ascii="宋体" w:hAnsi="宋体" w:cs="宋体"/>
                <w:color w:val="auto"/>
                <w:szCs w:val="21"/>
                <w:highlight w:val="none"/>
              </w:rPr>
              <w:t>×</w:t>
            </w:r>
            <w:r>
              <w:rPr>
                <w:rFonts w:hint="eastAsia"/>
                <w:color w:val="auto"/>
                <w:highlight w:val="none"/>
              </w:rPr>
              <w:t>高度约</w:t>
            </w:r>
            <w:r>
              <w:rPr>
                <w:rFonts w:hint="eastAsia" w:ascii="宋体" w:hAnsi="宋体" w:cs="宋体"/>
                <w:color w:val="auto"/>
                <w:szCs w:val="21"/>
                <w:highlight w:val="none"/>
                <w:lang w:val="en-US" w:eastAsia="zh-CN"/>
              </w:rPr>
              <w:t>175</w:t>
            </w:r>
            <w:r>
              <w:rPr>
                <w:rFonts w:hint="eastAsia" w:ascii="宋体" w:hAnsi="宋体" w:cs="宋体"/>
                <w:color w:val="auto"/>
                <w:szCs w:val="21"/>
                <w:highlight w:val="none"/>
              </w:rPr>
              <w:t>CM。</w:t>
            </w:r>
          </w:p>
          <w:p w14:paraId="6D4B52B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4、材质：由硅胶，铝材，铁艺组成。</w:t>
            </w:r>
          </w:p>
          <w:p w14:paraId="14CDEAC8">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5、光源：LED </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W</w:t>
            </w:r>
            <w:r>
              <w:rPr>
                <w:rFonts w:hint="eastAsia" w:ascii="宋体" w:hAnsi="宋体" w:cs="宋体"/>
                <w:color w:val="auto"/>
                <w:szCs w:val="21"/>
                <w:highlight w:val="none"/>
                <w:lang w:eastAsia="zh-CN"/>
              </w:rPr>
              <w:t>，</w:t>
            </w:r>
            <w:r>
              <w:rPr>
                <w:rFonts w:hint="eastAsia" w:ascii="宋体" w:hAnsi="宋体" w:cs="宋体"/>
                <w:color w:val="auto"/>
                <w:szCs w:val="21"/>
                <w:highlight w:val="none"/>
              </w:rPr>
              <w:t>色温3</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00K</w:t>
            </w:r>
            <w:r>
              <w:rPr>
                <w:rFonts w:hint="eastAsia" w:ascii="宋体" w:hAnsi="宋体" w:cs="宋体"/>
                <w:color w:val="auto"/>
                <w:szCs w:val="21"/>
                <w:highlight w:val="none"/>
                <w:lang w:eastAsia="zh-CN"/>
              </w:rPr>
              <w:t>。</w:t>
            </w:r>
          </w:p>
          <w:p w14:paraId="78E6DB35">
            <w:pPr>
              <w:pStyle w:val="2"/>
              <w:ind w:left="0" w:leftChars="0" w:firstLine="0" w:firstLineChars="0"/>
              <w:rPr>
                <w:rFonts w:hint="eastAsia" w:eastAsia="宋体"/>
                <w:color w:val="auto"/>
                <w:highlight w:val="none"/>
                <w:lang w:val="en-US" w:eastAsia="zh-CN"/>
              </w:rPr>
            </w:pPr>
            <w:r>
              <w:rPr>
                <w:rFonts w:hint="eastAsia" w:ascii="宋体" w:hAnsi="宋体" w:cs="宋体"/>
                <w:color w:val="auto"/>
                <w:szCs w:val="21"/>
                <w:highlight w:val="none"/>
                <w:lang w:val="en-US" w:eastAsia="zh-CN"/>
              </w:rPr>
              <w:t>6、颜色和款式参考图片，成交后由采购人要求选定。</w:t>
            </w:r>
          </w:p>
        </w:tc>
        <w:tc>
          <w:tcPr>
            <w:tcW w:w="589" w:type="pct"/>
            <w:vAlign w:val="center"/>
          </w:tcPr>
          <w:p w14:paraId="3FC33B0A">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280.00</w:t>
            </w:r>
          </w:p>
        </w:tc>
      </w:tr>
      <w:tr w14:paraId="43FB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734FF1AA">
            <w:pPr>
              <w:widowControl/>
              <w:jc w:val="center"/>
              <w:textAlignment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14</w:t>
            </w:r>
          </w:p>
        </w:tc>
        <w:tc>
          <w:tcPr>
            <w:tcW w:w="358" w:type="pct"/>
            <w:gridSpan w:val="2"/>
            <w:vAlign w:val="center"/>
          </w:tcPr>
          <w:p w14:paraId="06A46B2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遮光布帘</w:t>
            </w:r>
          </w:p>
        </w:tc>
        <w:tc>
          <w:tcPr>
            <w:tcW w:w="239" w:type="pct"/>
            <w:vAlign w:val="center"/>
          </w:tcPr>
          <w:p w14:paraId="2CA813D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16</w:t>
            </w:r>
          </w:p>
        </w:tc>
        <w:tc>
          <w:tcPr>
            <w:tcW w:w="253" w:type="pct"/>
            <w:vAlign w:val="center"/>
          </w:tcPr>
          <w:p w14:paraId="6310AD8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幅</w:t>
            </w:r>
          </w:p>
        </w:tc>
        <w:tc>
          <w:tcPr>
            <w:tcW w:w="780" w:type="pct"/>
            <w:shd w:val="clear" w:color="auto" w:fill="auto"/>
            <w:vAlign w:val="center"/>
          </w:tcPr>
          <w:p w14:paraId="2CD6C3C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72465" cy="1903095"/>
                  <wp:effectExtent l="0" t="0" r="13335" b="1905"/>
                  <wp:docPr id="3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56"/>
                          <pic:cNvPicPr>
                            <a:picLocks noChangeAspect="1"/>
                          </pic:cNvPicPr>
                        </pic:nvPicPr>
                        <pic:blipFill>
                          <a:blip r:embed="rId17"/>
                          <a:stretch>
                            <a:fillRect/>
                          </a:stretch>
                        </pic:blipFill>
                        <pic:spPr>
                          <a:xfrm>
                            <a:off x="0" y="0"/>
                            <a:ext cx="672465" cy="1903095"/>
                          </a:xfrm>
                          <a:prstGeom prst="rect">
                            <a:avLst/>
                          </a:prstGeom>
                          <a:noFill/>
                          <a:ln w="9525">
                            <a:noFill/>
                          </a:ln>
                        </pic:spPr>
                      </pic:pic>
                    </a:graphicData>
                  </a:graphic>
                </wp:inline>
              </w:drawing>
            </w:r>
          </w:p>
        </w:tc>
        <w:tc>
          <w:tcPr>
            <w:tcW w:w="2524" w:type="pct"/>
            <w:vAlign w:val="center"/>
          </w:tcPr>
          <w:p w14:paraId="5603204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1、规格（约）：3600×2600mm。</w:t>
            </w:r>
          </w:p>
          <w:p w14:paraId="051D3FB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2、轨道类型：铝合金轨道，窗帘轨道壁厚（mm）：≥1.20，静音、轻滑，不易磨损变形。</w:t>
            </w:r>
          </w:p>
          <w:p w14:paraId="3A6572F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3、布帘材质：窗帘布料为100%聚酯纤维，素色压花遮光布料，背面高密编织，加倍用料，精致走线，不易沾灰，抗皱柔软垂顺，自然挺阔。</w:t>
            </w:r>
          </w:p>
          <w:p w14:paraId="0E9779B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4、20%粘胶纤维，80%聚酯纤维，背面加遮光布，遮光率须达85%以上。</w:t>
            </w:r>
          </w:p>
          <w:p w14:paraId="6BADED32">
            <w:pPr>
              <w:pStyle w:val="2"/>
              <w:ind w:left="0" w:leftChars="0" w:firstLine="0" w:firstLineChars="0"/>
              <w:rPr>
                <w:rFonts w:hint="eastAsia" w:eastAsia="宋体"/>
                <w:color w:val="auto"/>
                <w:highlight w:val="none"/>
                <w:lang w:val="en-US" w:eastAsia="zh-CN"/>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6ACA34CD">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1300.00</w:t>
            </w:r>
          </w:p>
        </w:tc>
      </w:tr>
      <w:tr w14:paraId="40CF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6AC3E1F5">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15</w:t>
            </w:r>
          </w:p>
        </w:tc>
        <w:tc>
          <w:tcPr>
            <w:tcW w:w="358" w:type="pct"/>
            <w:gridSpan w:val="2"/>
            <w:vAlign w:val="center"/>
          </w:tcPr>
          <w:p w14:paraId="0EAEB1C0">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纱帘</w:t>
            </w:r>
          </w:p>
        </w:tc>
        <w:tc>
          <w:tcPr>
            <w:tcW w:w="239" w:type="pct"/>
            <w:vAlign w:val="center"/>
          </w:tcPr>
          <w:p w14:paraId="71B3554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16</w:t>
            </w:r>
          </w:p>
        </w:tc>
        <w:tc>
          <w:tcPr>
            <w:tcW w:w="253" w:type="pct"/>
            <w:vAlign w:val="center"/>
          </w:tcPr>
          <w:p w14:paraId="5953139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幅</w:t>
            </w:r>
          </w:p>
        </w:tc>
        <w:tc>
          <w:tcPr>
            <w:tcW w:w="780" w:type="pct"/>
            <w:shd w:val="clear" w:color="auto" w:fill="auto"/>
            <w:vAlign w:val="center"/>
          </w:tcPr>
          <w:p w14:paraId="798F1B1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99135" cy="1979930"/>
                  <wp:effectExtent l="0" t="0" r="5715" b="1270"/>
                  <wp:docPr id="3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IMG_256"/>
                          <pic:cNvPicPr>
                            <a:picLocks noChangeAspect="1"/>
                          </pic:cNvPicPr>
                        </pic:nvPicPr>
                        <pic:blipFill>
                          <a:blip r:embed="rId18"/>
                          <a:stretch>
                            <a:fillRect/>
                          </a:stretch>
                        </pic:blipFill>
                        <pic:spPr>
                          <a:xfrm>
                            <a:off x="0" y="0"/>
                            <a:ext cx="699135" cy="1979930"/>
                          </a:xfrm>
                          <a:prstGeom prst="rect">
                            <a:avLst/>
                          </a:prstGeom>
                          <a:noFill/>
                          <a:ln w="9525">
                            <a:noFill/>
                          </a:ln>
                        </pic:spPr>
                      </pic:pic>
                    </a:graphicData>
                  </a:graphic>
                </wp:inline>
              </w:drawing>
            </w:r>
          </w:p>
        </w:tc>
        <w:tc>
          <w:tcPr>
            <w:tcW w:w="2524" w:type="pct"/>
            <w:vAlign w:val="center"/>
          </w:tcPr>
          <w:p w14:paraId="2D09C80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1、规格（约）：3600×2600mm。</w:t>
            </w:r>
          </w:p>
          <w:p w14:paraId="17AFD88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2、轨道类型：铝合金轨道，窗帘轨道壁厚（mm）：≥1.20，静音、轻滑，不易磨损变形。</w:t>
            </w:r>
          </w:p>
          <w:p w14:paraId="659A3DA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3、纱帘材质：采用细腻柔软的纱帘材质，手感柔远，轻柔飘逸，采用更精密的编织方式，防刮耐磨不易勾丝，柔和透光不沉闷、遮像护隐私。</w:t>
            </w:r>
          </w:p>
          <w:p w14:paraId="229A03F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4、100%聚酯纤维，雪纺提花纱。</w:t>
            </w:r>
          </w:p>
          <w:p w14:paraId="0179778F">
            <w:pPr>
              <w:pStyle w:val="2"/>
              <w:ind w:left="0" w:leftChars="0" w:firstLine="0" w:firstLineChars="0"/>
              <w:rPr>
                <w:rFonts w:hint="eastAsia" w:eastAsia="宋体"/>
                <w:color w:val="auto"/>
                <w:highlight w:val="none"/>
                <w:lang w:val="en-US" w:eastAsia="zh-CN"/>
              </w:rPr>
            </w:pPr>
            <w:r>
              <w:rPr>
                <w:rFonts w:hint="eastAsia" w:ascii="宋体" w:hAnsi="宋体" w:cs="宋体"/>
                <w:color w:val="auto"/>
                <w:szCs w:val="21"/>
                <w:highlight w:val="none"/>
                <w:lang w:val="en-US" w:eastAsia="zh-CN"/>
              </w:rPr>
              <w:t>5、颜色和款式参考图片，成交后由采购人要求选定。</w:t>
            </w:r>
          </w:p>
        </w:tc>
        <w:tc>
          <w:tcPr>
            <w:tcW w:w="589" w:type="pct"/>
            <w:vAlign w:val="center"/>
          </w:tcPr>
          <w:p w14:paraId="306CABA7">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800.00</w:t>
            </w:r>
          </w:p>
        </w:tc>
      </w:tr>
      <w:tr w14:paraId="456C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385D91EC">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16</w:t>
            </w:r>
          </w:p>
        </w:tc>
        <w:tc>
          <w:tcPr>
            <w:tcW w:w="358" w:type="pct"/>
            <w:gridSpan w:val="2"/>
            <w:vAlign w:val="center"/>
          </w:tcPr>
          <w:p w14:paraId="4D228EB2">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地面铺卷地毯</w:t>
            </w:r>
          </w:p>
        </w:tc>
        <w:tc>
          <w:tcPr>
            <w:tcW w:w="239" w:type="pct"/>
            <w:vAlign w:val="center"/>
          </w:tcPr>
          <w:p w14:paraId="4CDBC583">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253" w:type="pct"/>
            <w:vAlign w:val="center"/>
          </w:tcPr>
          <w:p w14:paraId="6DDD2250">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项</w:t>
            </w:r>
          </w:p>
        </w:tc>
        <w:tc>
          <w:tcPr>
            <w:tcW w:w="780" w:type="pct"/>
            <w:shd w:val="clear" w:color="auto" w:fill="auto"/>
            <w:vAlign w:val="center"/>
          </w:tcPr>
          <w:p w14:paraId="066FA250">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drawing>
                <wp:inline distT="0" distB="0" distL="114300" distR="114300">
                  <wp:extent cx="762635" cy="747395"/>
                  <wp:effectExtent l="0" t="0" r="18415" b="14605"/>
                  <wp:docPr id="35"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IMG_256"/>
                          <pic:cNvPicPr>
                            <a:picLocks noChangeAspect="1"/>
                          </pic:cNvPicPr>
                        </pic:nvPicPr>
                        <pic:blipFill>
                          <a:blip r:embed="rId21"/>
                          <a:stretch>
                            <a:fillRect/>
                          </a:stretch>
                        </pic:blipFill>
                        <pic:spPr>
                          <a:xfrm>
                            <a:off x="0" y="0"/>
                            <a:ext cx="762635" cy="747395"/>
                          </a:xfrm>
                          <a:prstGeom prst="rect">
                            <a:avLst/>
                          </a:prstGeom>
                          <a:noFill/>
                          <a:ln w="9525">
                            <a:noFill/>
                          </a:ln>
                        </pic:spPr>
                      </pic:pic>
                    </a:graphicData>
                  </a:graphic>
                </wp:inline>
              </w:drawing>
            </w:r>
          </w:p>
        </w:tc>
        <w:tc>
          <w:tcPr>
            <w:tcW w:w="2524" w:type="pct"/>
            <w:vAlign w:val="center"/>
          </w:tcPr>
          <w:p w14:paraId="0CEC8DD9">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1、规格（约）</w:t>
            </w: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2200</w:t>
            </w: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300</w:t>
            </w:r>
            <w:r>
              <w:rPr>
                <w:rFonts w:hint="eastAsia" w:ascii="宋体" w:hAnsi="宋体" w:cs="宋体"/>
                <w:color w:val="auto"/>
                <w:szCs w:val="21"/>
                <w:highlight w:val="none"/>
              </w:rPr>
              <w:t>mm</w:t>
            </w:r>
          </w:p>
          <w:p w14:paraId="23F9AAFC">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、采用尼龙材质，毯面密实，不掉毛不掉色。</w:t>
            </w:r>
          </w:p>
          <w:p w14:paraId="1CB447AE">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、尼龙地毯，毯面厚实耐磨，脚感舒适。</w:t>
            </w:r>
          </w:p>
          <w:p w14:paraId="1F7A93DA">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、底背加入防水胶，毯面变软，不开裂掉渣。</w:t>
            </w:r>
          </w:p>
          <w:p w14:paraId="7C2EFEAB">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、黑色镜面不锈钢金属分隔条。</w:t>
            </w:r>
          </w:p>
          <w:p w14:paraId="201D0827">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、固定地毯，含约5mm宽不锈钢金属分隔条。</w:t>
            </w:r>
          </w:p>
          <w:p w14:paraId="345FB31B">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、1000克地毯尼龙专用地垫。</w:t>
            </w:r>
          </w:p>
          <w:p w14:paraId="4EDA62D8">
            <w:pPr>
              <w:pStyle w:val="2"/>
              <w:ind w:left="0" w:leftChars="0" w:firstLine="0" w:firstLineChars="0"/>
              <w:rPr>
                <w:rFonts w:hint="eastAsia"/>
                <w:color w:val="auto"/>
                <w:highlight w:val="none"/>
              </w:rPr>
            </w:pPr>
            <w:r>
              <w:rPr>
                <w:rFonts w:hint="eastAsia" w:ascii="宋体" w:hAnsi="宋体" w:cs="宋体"/>
                <w:color w:val="auto"/>
                <w:szCs w:val="21"/>
                <w:highlight w:val="none"/>
                <w:lang w:val="en-US" w:eastAsia="zh-CN"/>
              </w:rPr>
              <w:t>8、颜色和款式参考图片，成交后由采购人要求选定。</w:t>
            </w:r>
          </w:p>
        </w:tc>
        <w:tc>
          <w:tcPr>
            <w:tcW w:w="589" w:type="pct"/>
            <w:vAlign w:val="center"/>
          </w:tcPr>
          <w:p w14:paraId="403137A6">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14140.00</w:t>
            </w:r>
          </w:p>
        </w:tc>
      </w:tr>
      <w:tr w14:paraId="596F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4D892563">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17</w:t>
            </w:r>
          </w:p>
        </w:tc>
        <w:tc>
          <w:tcPr>
            <w:tcW w:w="358" w:type="pct"/>
            <w:gridSpan w:val="2"/>
            <w:vAlign w:val="center"/>
          </w:tcPr>
          <w:p w14:paraId="6A09C99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大堂块地毯</w:t>
            </w:r>
          </w:p>
        </w:tc>
        <w:tc>
          <w:tcPr>
            <w:tcW w:w="239" w:type="pct"/>
            <w:vAlign w:val="center"/>
          </w:tcPr>
          <w:p w14:paraId="07711C8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253" w:type="pct"/>
            <w:vAlign w:val="center"/>
          </w:tcPr>
          <w:p w14:paraId="62B9368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块</w:t>
            </w:r>
          </w:p>
        </w:tc>
        <w:tc>
          <w:tcPr>
            <w:tcW w:w="780" w:type="pct"/>
            <w:shd w:val="clear" w:color="auto" w:fill="auto"/>
            <w:vAlign w:val="center"/>
          </w:tcPr>
          <w:p w14:paraId="09E294D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64540" cy="302895"/>
                  <wp:effectExtent l="0" t="0" r="16510" b="1905"/>
                  <wp:docPr id="3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IMG_256"/>
                          <pic:cNvPicPr>
                            <a:picLocks noChangeAspect="1"/>
                          </pic:cNvPicPr>
                        </pic:nvPicPr>
                        <pic:blipFill>
                          <a:blip r:embed="rId22"/>
                          <a:stretch>
                            <a:fillRect/>
                          </a:stretch>
                        </pic:blipFill>
                        <pic:spPr>
                          <a:xfrm>
                            <a:off x="0" y="0"/>
                            <a:ext cx="764540" cy="302895"/>
                          </a:xfrm>
                          <a:prstGeom prst="rect">
                            <a:avLst/>
                          </a:prstGeom>
                          <a:noFill/>
                          <a:ln w="9525">
                            <a:noFill/>
                          </a:ln>
                        </pic:spPr>
                      </pic:pic>
                    </a:graphicData>
                  </a:graphic>
                </wp:inline>
              </w:drawing>
            </w:r>
          </w:p>
        </w:tc>
        <w:tc>
          <w:tcPr>
            <w:tcW w:w="2524" w:type="pct"/>
            <w:vAlign w:val="center"/>
          </w:tcPr>
          <w:p w14:paraId="7935DD4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1、规格（约）：6500×4000mm。</w:t>
            </w:r>
          </w:p>
          <w:p w14:paraId="2CFB287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2、采用尼龙材质，毯面密实，不掉毛不掉色。</w:t>
            </w:r>
          </w:p>
          <w:p w14:paraId="720D444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3、尼龙地毯，毯面厚实耐磨，脚感舒适。</w:t>
            </w:r>
          </w:p>
          <w:p w14:paraId="2EA8320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4、底背加入防水胶，毯面变软，不开裂掉渣。</w:t>
            </w:r>
          </w:p>
          <w:p w14:paraId="7805F66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5、1200克地毯尼龙块地垫。</w:t>
            </w:r>
          </w:p>
          <w:p w14:paraId="5897983D">
            <w:pPr>
              <w:pStyle w:val="2"/>
              <w:ind w:left="0" w:leftChars="0" w:firstLine="0" w:firstLineChars="0"/>
              <w:rPr>
                <w:rFonts w:hint="eastAsia" w:eastAsia="宋体"/>
                <w:color w:val="auto"/>
                <w:highlight w:val="none"/>
                <w:lang w:val="en-US" w:eastAsia="zh-CN"/>
              </w:rPr>
            </w:pPr>
            <w:r>
              <w:rPr>
                <w:rFonts w:hint="eastAsia" w:ascii="宋体" w:hAnsi="宋体" w:cs="宋体"/>
                <w:color w:val="auto"/>
                <w:szCs w:val="21"/>
                <w:highlight w:val="none"/>
                <w:lang w:val="en-US" w:eastAsia="zh-CN"/>
              </w:rPr>
              <w:t>6、颜色和款式参考图片，成交后由采购人要求选定。</w:t>
            </w:r>
          </w:p>
        </w:tc>
        <w:tc>
          <w:tcPr>
            <w:tcW w:w="589" w:type="pct"/>
            <w:vAlign w:val="center"/>
          </w:tcPr>
          <w:p w14:paraId="13EBD5B8">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3800.00</w:t>
            </w:r>
          </w:p>
        </w:tc>
      </w:tr>
      <w:tr w14:paraId="0D50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6BB1A7AB">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18</w:t>
            </w:r>
          </w:p>
        </w:tc>
        <w:tc>
          <w:tcPr>
            <w:tcW w:w="358" w:type="pct"/>
            <w:gridSpan w:val="2"/>
            <w:vAlign w:val="center"/>
          </w:tcPr>
          <w:p w14:paraId="46EB056E">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鹅颈会议话筒</w:t>
            </w:r>
          </w:p>
        </w:tc>
        <w:tc>
          <w:tcPr>
            <w:tcW w:w="239" w:type="pct"/>
            <w:vAlign w:val="center"/>
          </w:tcPr>
          <w:p w14:paraId="6528F48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7</w:t>
            </w:r>
          </w:p>
        </w:tc>
        <w:tc>
          <w:tcPr>
            <w:tcW w:w="253" w:type="pct"/>
            <w:vAlign w:val="center"/>
          </w:tcPr>
          <w:p w14:paraId="623229F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780" w:type="pct"/>
            <w:shd w:val="clear" w:color="auto" w:fill="auto"/>
            <w:vAlign w:val="center"/>
          </w:tcPr>
          <w:p w14:paraId="23B24F4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24230" cy="587375"/>
                  <wp:effectExtent l="0" t="0" r="13970" b="3175"/>
                  <wp:docPr id="3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IMG_256"/>
                          <pic:cNvPicPr>
                            <a:picLocks noChangeAspect="1"/>
                          </pic:cNvPicPr>
                        </pic:nvPicPr>
                        <pic:blipFill>
                          <a:blip r:embed="rId23"/>
                          <a:stretch>
                            <a:fillRect/>
                          </a:stretch>
                        </pic:blipFill>
                        <pic:spPr>
                          <a:xfrm>
                            <a:off x="0" y="0"/>
                            <a:ext cx="824230" cy="587375"/>
                          </a:xfrm>
                          <a:prstGeom prst="rect">
                            <a:avLst/>
                          </a:prstGeom>
                          <a:noFill/>
                          <a:ln w="9525">
                            <a:noFill/>
                          </a:ln>
                        </pic:spPr>
                      </pic:pic>
                    </a:graphicData>
                  </a:graphic>
                </wp:inline>
              </w:drawing>
            </w:r>
          </w:p>
        </w:tc>
        <w:tc>
          <w:tcPr>
            <w:tcW w:w="2524" w:type="pct"/>
            <w:vAlign w:val="center"/>
          </w:tcPr>
          <w:p w14:paraId="2854D4F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1、数字LCD显示屏,清晰明确地显示接收机与发射机的实时工作状态。</w:t>
            </w:r>
          </w:p>
          <w:p w14:paraId="3C578AF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2、采用专业级音频压缩-扩展技术。</w:t>
            </w:r>
          </w:p>
          <w:p w14:paraId="4AAE15F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3、应用PLL射频稳定技术。</w:t>
            </w:r>
          </w:p>
          <w:p w14:paraId="19B2ABE3">
            <w:pPr>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4、具有独立的输出(XLR)和混合(q6.3mm)输出</w:t>
            </w:r>
            <w:r>
              <w:rPr>
                <w:rFonts w:hint="eastAsia" w:ascii="宋体" w:hAnsi="宋体" w:cs="宋体"/>
                <w:color w:val="auto"/>
                <w:szCs w:val="21"/>
                <w:highlight w:val="none"/>
                <w:lang w:eastAsia="zh-CN"/>
              </w:rPr>
              <w:t>。</w:t>
            </w:r>
          </w:p>
          <w:p w14:paraId="18A77CF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5、红外线对频、发射器可以互换。</w:t>
            </w:r>
          </w:p>
          <w:p w14:paraId="7E12D27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6、平衡和非平衡两种选择输出端口，适应不同的设备连接需求。</w:t>
            </w:r>
          </w:p>
          <w:p w14:paraId="46BB49F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7、能有效抑制由外部带来的噪音干扰及同频干扰。</w:t>
            </w:r>
          </w:p>
          <w:p w14:paraId="03B1F5D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8、接收机频道数：</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频道。</w:t>
            </w:r>
          </w:p>
          <w:p w14:paraId="5CDABF0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9、接收方式：CPU控制自动选讯。</w:t>
            </w:r>
          </w:p>
          <w:p w14:paraId="3A28E05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10、接收频率震荡模式：PLL锁相环回路。</w:t>
            </w:r>
          </w:p>
          <w:p w14:paraId="4340162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11、载波频段：UHF 640-690MHz (可使用的频率取决于当地的规定)。</w:t>
            </w:r>
          </w:p>
          <w:p w14:paraId="2E25E9B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12、频率配对：-键红外对频设定。</w:t>
            </w:r>
          </w:p>
          <w:p w14:paraId="3E071D1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13、频率稳定度：s +0.005%(-10～60℃)。</w:t>
            </w:r>
          </w:p>
          <w:p w14:paraId="2FBB28E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14、动态范围：≥100dB。</w:t>
            </w:r>
          </w:p>
          <w:p w14:paraId="44C4AB0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15、最大频偏：+45KHz。</w:t>
            </w:r>
          </w:p>
          <w:p w14:paraId="4223C1E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16、灵敏度：12dBuV (80dBS/N)。</w:t>
            </w:r>
          </w:p>
          <w:p w14:paraId="0595490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17、功能显示方式：数字LCD显示。</w:t>
            </w:r>
          </w:p>
          <w:p w14:paraId="09A4EE8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18、音头：动圈式手持麦克风。</w:t>
            </w:r>
          </w:p>
          <w:p w14:paraId="48DD144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19、电容式：鹅颈会议麦克风/领夹麦克风/头戴麦克风频率震荡。</w:t>
            </w:r>
          </w:p>
          <w:p w14:paraId="0B516C4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20、模式：PLL锁相环回路。</w:t>
            </w:r>
          </w:p>
          <w:p w14:paraId="38AD36B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21、载波频段：UHF 640～690MHz。</w:t>
            </w:r>
          </w:p>
          <w:p w14:paraId="6BEB3E0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22、频带宽度：50MHz。</w:t>
            </w:r>
          </w:p>
          <w:p w14:paraId="32DB773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23、RF输出：10mW～15mW。</w:t>
            </w:r>
          </w:p>
          <w:p w14:paraId="01B8F5C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24、假象干扰比：≤-50dBC。</w:t>
            </w:r>
          </w:p>
          <w:p w14:paraId="11C7CD4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25、镜像抑制：≥50dB。</w:t>
            </w:r>
          </w:p>
          <w:p w14:paraId="7F06F18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26、调制频偏：≥25Hz</w:t>
            </w:r>
          </w:p>
          <w:p w14:paraId="7B63183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27、离散抑制：≥60dB</w:t>
            </w:r>
          </w:p>
          <w:p w14:paraId="5ED1D58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28、OLED显示：频道、频率、电量显示。</w:t>
            </w:r>
          </w:p>
          <w:p w14:paraId="6E9DBB3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29、频道转换方式：自动对频。</w:t>
            </w:r>
          </w:p>
          <w:p w14:paraId="6E4D5AB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30、电池型式：5号(AA)碱性电池×2。</w:t>
            </w:r>
          </w:p>
          <w:p w14:paraId="4D6B4AD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31、电池寿命：≥30mWh，可使用≥8个小时。</w:t>
            </w:r>
          </w:p>
        </w:tc>
        <w:tc>
          <w:tcPr>
            <w:tcW w:w="589" w:type="pct"/>
            <w:vAlign w:val="center"/>
          </w:tcPr>
          <w:p w14:paraId="4F2D531B">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900.00</w:t>
            </w:r>
          </w:p>
        </w:tc>
      </w:tr>
      <w:tr w14:paraId="78DF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36A513AB">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19</w:t>
            </w:r>
          </w:p>
        </w:tc>
        <w:tc>
          <w:tcPr>
            <w:tcW w:w="358" w:type="pct"/>
            <w:gridSpan w:val="2"/>
            <w:vAlign w:val="center"/>
          </w:tcPr>
          <w:p w14:paraId="55DF70B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无线头戴话筒</w:t>
            </w:r>
          </w:p>
        </w:tc>
        <w:tc>
          <w:tcPr>
            <w:tcW w:w="239" w:type="pct"/>
            <w:vAlign w:val="center"/>
          </w:tcPr>
          <w:p w14:paraId="1D07F0A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w:t>
            </w:r>
          </w:p>
        </w:tc>
        <w:tc>
          <w:tcPr>
            <w:tcW w:w="253" w:type="pct"/>
            <w:vAlign w:val="center"/>
          </w:tcPr>
          <w:p w14:paraId="5E18881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780" w:type="pct"/>
            <w:shd w:val="clear" w:color="auto" w:fill="auto"/>
            <w:vAlign w:val="center"/>
          </w:tcPr>
          <w:p w14:paraId="3758B89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29945" cy="591820"/>
                  <wp:effectExtent l="0" t="0" r="8255" b="17780"/>
                  <wp:docPr id="41"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IMG_256"/>
                          <pic:cNvPicPr>
                            <a:picLocks noChangeAspect="1"/>
                          </pic:cNvPicPr>
                        </pic:nvPicPr>
                        <pic:blipFill>
                          <a:blip r:embed="rId24"/>
                          <a:stretch>
                            <a:fillRect/>
                          </a:stretch>
                        </pic:blipFill>
                        <pic:spPr>
                          <a:xfrm>
                            <a:off x="0" y="0"/>
                            <a:ext cx="829945" cy="591820"/>
                          </a:xfrm>
                          <a:prstGeom prst="rect">
                            <a:avLst/>
                          </a:prstGeom>
                          <a:noFill/>
                          <a:ln w="9525">
                            <a:noFill/>
                          </a:ln>
                        </pic:spPr>
                      </pic:pic>
                    </a:graphicData>
                  </a:graphic>
                </wp:inline>
              </w:drawing>
            </w:r>
          </w:p>
        </w:tc>
        <w:tc>
          <w:tcPr>
            <w:tcW w:w="2524" w:type="pct"/>
            <w:vAlign w:val="center"/>
          </w:tcPr>
          <w:p w14:paraId="382E0F9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1、数字LCD显示屏,清晰明确地显示接收机与发射机的实时工作状态。</w:t>
            </w:r>
          </w:p>
          <w:p w14:paraId="2AE5D9E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2、采用专业级音频压缩-扩展技术。</w:t>
            </w:r>
          </w:p>
          <w:p w14:paraId="0C9EFDE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3、应用PLL射频稳定技术。</w:t>
            </w:r>
          </w:p>
          <w:p w14:paraId="73A69582">
            <w:pPr>
              <w:spacing w:line="360" w:lineRule="auto"/>
              <w:rPr>
                <w:rFonts w:hint="eastAsia" w:ascii="宋体" w:hAnsi="宋体" w:cs="宋体"/>
                <w:color w:val="auto"/>
                <w:szCs w:val="21"/>
                <w:highlight w:val="none"/>
                <w:lang w:eastAsia="zh-CN"/>
              </w:rPr>
            </w:pPr>
            <w:r>
              <w:rPr>
                <w:rFonts w:hint="eastAsia" w:ascii="宋体" w:hAnsi="宋体" w:cs="宋体"/>
                <w:color w:val="auto"/>
                <w:szCs w:val="21"/>
                <w:highlight w:val="none"/>
              </w:rPr>
              <w:t>4、具有独立的输出(XLR)和混合(q6.3mm)输出</w:t>
            </w:r>
            <w:r>
              <w:rPr>
                <w:rFonts w:hint="eastAsia" w:ascii="宋体" w:hAnsi="宋体" w:cs="宋体"/>
                <w:color w:val="auto"/>
                <w:szCs w:val="21"/>
                <w:highlight w:val="none"/>
                <w:lang w:eastAsia="zh-CN"/>
              </w:rPr>
              <w:t>。</w:t>
            </w:r>
          </w:p>
          <w:p w14:paraId="0C0A42A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5、红外线对频、发射器可以互换。</w:t>
            </w:r>
          </w:p>
          <w:p w14:paraId="5269E9C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6、平衡和非平衡两种选择输出端口，适应不同的设备连接需求。</w:t>
            </w:r>
          </w:p>
          <w:p w14:paraId="212FEFB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7、能有效抑制由外部带来的噪音干扰及同频干扰。</w:t>
            </w:r>
          </w:p>
          <w:p w14:paraId="70853C7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8、接收机频道数：二频道。</w:t>
            </w:r>
          </w:p>
          <w:p w14:paraId="726B68D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9、接收方式：CPU控制自动选讯。</w:t>
            </w:r>
          </w:p>
          <w:p w14:paraId="32329D0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10、接收频率震荡模式：PLL锁相环回路。</w:t>
            </w:r>
          </w:p>
          <w:p w14:paraId="0C9BA3A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11、载波频段：UHF 640-690MHz (可使用的频率取决于当地的规定)。</w:t>
            </w:r>
          </w:p>
          <w:p w14:paraId="458E1C9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12、频率配对：-键红外对频设定。</w:t>
            </w:r>
          </w:p>
          <w:p w14:paraId="692F698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13、频率稳定度：s +0.005%(-10～60℃)。</w:t>
            </w:r>
          </w:p>
          <w:p w14:paraId="19B32C2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14、动态范围：≥100dB。</w:t>
            </w:r>
          </w:p>
          <w:p w14:paraId="151BAAA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15、最大频偏：+45KHz。</w:t>
            </w:r>
          </w:p>
          <w:p w14:paraId="714809A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16、灵敏度：12dBuV (80dBS/N)。</w:t>
            </w:r>
          </w:p>
          <w:p w14:paraId="3BE82DC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17、功能显示方式：数字LCD显示。</w:t>
            </w:r>
          </w:p>
          <w:p w14:paraId="0A76138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18、音头：动圈式手持麦克风。</w:t>
            </w:r>
          </w:p>
          <w:p w14:paraId="16DC656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19、电容式：鹅颈会议麦克风/领夹麦克风/头戴麦克风频率震荡。</w:t>
            </w:r>
          </w:p>
          <w:p w14:paraId="55EA4D4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20、模式：PLL锁相环回路。</w:t>
            </w:r>
          </w:p>
          <w:p w14:paraId="48BC09F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21、载波频段：UHF 640～690MHz。</w:t>
            </w:r>
          </w:p>
          <w:p w14:paraId="318BA8D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22、频带宽度：50MHz。</w:t>
            </w:r>
          </w:p>
          <w:p w14:paraId="7A3C3BC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23、RF输出：10mW～15mW。</w:t>
            </w:r>
          </w:p>
          <w:p w14:paraId="1BCEC93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24、假象干扰比：≤-50dBC。</w:t>
            </w:r>
          </w:p>
          <w:p w14:paraId="4BDE1C3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25、镜像抑制：≥50dB。</w:t>
            </w:r>
          </w:p>
          <w:p w14:paraId="1F93CD7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26、调制频偏：≥25Hz</w:t>
            </w:r>
          </w:p>
          <w:p w14:paraId="53F4F32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27、离散抑制：≥60dB</w:t>
            </w:r>
          </w:p>
          <w:p w14:paraId="6F4401B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28、OLED显示：频道、频率、电量显示。</w:t>
            </w:r>
          </w:p>
          <w:p w14:paraId="05306DD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29、频道转换方式：自动对频。</w:t>
            </w:r>
          </w:p>
          <w:p w14:paraId="0E1130C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30、杂讯锁定静噪控制+音码导航锁定静噪控制。</w:t>
            </w:r>
          </w:p>
          <w:p w14:paraId="4D5AA25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31、电池型式：5号(AA)碱性电池×2。</w:t>
            </w:r>
          </w:p>
          <w:p w14:paraId="766398E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32、电池寿命：≥30mWh，可使用≥8个小时。</w:t>
            </w:r>
          </w:p>
        </w:tc>
        <w:tc>
          <w:tcPr>
            <w:tcW w:w="589" w:type="pct"/>
            <w:vAlign w:val="center"/>
          </w:tcPr>
          <w:p w14:paraId="7DEFF82E">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800.00</w:t>
            </w:r>
          </w:p>
        </w:tc>
      </w:tr>
      <w:tr w14:paraId="6289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B32278A">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20</w:t>
            </w:r>
          </w:p>
        </w:tc>
        <w:tc>
          <w:tcPr>
            <w:tcW w:w="358" w:type="pct"/>
            <w:gridSpan w:val="2"/>
            <w:vAlign w:val="center"/>
          </w:tcPr>
          <w:p w14:paraId="10CC4506">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音频处理器</w:t>
            </w:r>
          </w:p>
        </w:tc>
        <w:tc>
          <w:tcPr>
            <w:tcW w:w="239" w:type="pct"/>
            <w:vAlign w:val="center"/>
          </w:tcPr>
          <w:p w14:paraId="44CE825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253" w:type="pct"/>
            <w:vAlign w:val="center"/>
          </w:tcPr>
          <w:p w14:paraId="12A3720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台</w:t>
            </w:r>
          </w:p>
        </w:tc>
        <w:tc>
          <w:tcPr>
            <w:tcW w:w="780" w:type="pct"/>
            <w:shd w:val="clear" w:color="auto" w:fill="auto"/>
            <w:vAlign w:val="center"/>
          </w:tcPr>
          <w:p w14:paraId="597CCAC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69315" cy="172085"/>
                  <wp:effectExtent l="0" t="0" r="6985" b="18415"/>
                  <wp:docPr id="4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descr="IMG_256"/>
                          <pic:cNvPicPr>
                            <a:picLocks noChangeAspect="1"/>
                          </pic:cNvPicPr>
                        </pic:nvPicPr>
                        <pic:blipFill>
                          <a:blip r:embed="rId25"/>
                          <a:stretch>
                            <a:fillRect/>
                          </a:stretch>
                        </pic:blipFill>
                        <pic:spPr>
                          <a:xfrm flipV="1">
                            <a:off x="0" y="0"/>
                            <a:ext cx="869315" cy="172085"/>
                          </a:xfrm>
                          <a:prstGeom prst="rect">
                            <a:avLst/>
                          </a:prstGeom>
                          <a:noFill/>
                          <a:ln w="9525">
                            <a:noFill/>
                          </a:ln>
                        </pic:spPr>
                      </pic:pic>
                    </a:graphicData>
                  </a:graphic>
                </wp:inline>
              </w:drawing>
            </w:r>
          </w:p>
        </w:tc>
        <w:tc>
          <w:tcPr>
            <w:tcW w:w="2524" w:type="pct"/>
            <w:vAlign w:val="center"/>
          </w:tcPr>
          <w:p w14:paraId="109F468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1、模拟通道数：≥16路输入/输出。</w:t>
            </w:r>
          </w:p>
          <w:p w14:paraId="0D432A1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2、输入增益放大：-24～18dB，6dB,一级共7级。</w:t>
            </w:r>
          </w:p>
          <w:p w14:paraId="0DF15FC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3、量化位数：≥24bit。</w:t>
            </w:r>
          </w:p>
          <w:p w14:paraId="4C19D12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4、采样率：≥48KHz。</w:t>
            </w:r>
          </w:p>
          <w:p w14:paraId="1571F7C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5、幻象电源：48V。</w:t>
            </w:r>
          </w:p>
          <w:p w14:paraId="6F5231F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6、频率响应：20-20KHz，±0.2dB。</w:t>
            </w:r>
          </w:p>
          <w:p w14:paraId="3EA44B3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7、THD+N：≤0.004%@4dBu。</w:t>
            </w:r>
          </w:p>
          <w:p w14:paraId="4EFC321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8、模数动态范围：≥120dB。</w:t>
            </w:r>
          </w:p>
          <w:p w14:paraId="6502EC8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9、数模动态范围：≥120dB。</w:t>
            </w:r>
          </w:p>
          <w:p w14:paraId="65C3903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10、输入阻抗（平衡式）：20KΩ。</w:t>
            </w:r>
          </w:p>
          <w:p w14:paraId="70A7604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11、输出阻抗（平衡式）：100Ω。</w:t>
            </w:r>
          </w:p>
          <w:p w14:paraId="5369E43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12、通道隔离度：≥104dB@1KHz。</w:t>
            </w:r>
          </w:p>
          <w:p w14:paraId="575182B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13、共模抑制：≥70dB@80Hz。</w:t>
            </w:r>
          </w:p>
          <w:p w14:paraId="75B5707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14、最大输入电平：18dBu。</w:t>
            </w:r>
          </w:p>
          <w:p w14:paraId="7AD478E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15、最大输出电平：18dBu。</w:t>
            </w:r>
          </w:p>
          <w:p w14:paraId="544D7B5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16、本底噪声：≤-90dBu</w:t>
            </w:r>
          </w:p>
          <w:p w14:paraId="130F4A9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17、工作电源：DC12V/2A。</w:t>
            </w:r>
          </w:p>
          <w:p w14:paraId="0F70E71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18、尺寸（宽×深×高）：约482×258×45（mm）。</w:t>
            </w:r>
          </w:p>
          <w:p w14:paraId="22787CF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19、核心算法：自动混音、自动增益、反馈消除。</w:t>
            </w:r>
          </w:p>
        </w:tc>
        <w:tc>
          <w:tcPr>
            <w:tcW w:w="589" w:type="pct"/>
            <w:vAlign w:val="center"/>
          </w:tcPr>
          <w:p w14:paraId="276ADCAA">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10000.00</w:t>
            </w:r>
          </w:p>
        </w:tc>
      </w:tr>
      <w:tr w14:paraId="1E98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2566E9CE">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21</w:t>
            </w:r>
          </w:p>
        </w:tc>
        <w:tc>
          <w:tcPr>
            <w:tcW w:w="358" w:type="pct"/>
            <w:gridSpan w:val="2"/>
            <w:vAlign w:val="center"/>
          </w:tcPr>
          <w:p w14:paraId="79CF582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视频处理器</w:t>
            </w:r>
          </w:p>
        </w:tc>
        <w:tc>
          <w:tcPr>
            <w:tcW w:w="239" w:type="pct"/>
            <w:vAlign w:val="center"/>
          </w:tcPr>
          <w:p w14:paraId="18685AD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253" w:type="pct"/>
            <w:vAlign w:val="center"/>
          </w:tcPr>
          <w:p w14:paraId="33997F3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台</w:t>
            </w:r>
          </w:p>
        </w:tc>
        <w:tc>
          <w:tcPr>
            <w:tcW w:w="780" w:type="pct"/>
            <w:shd w:val="clear" w:color="auto" w:fill="auto"/>
            <w:vAlign w:val="center"/>
          </w:tcPr>
          <w:p w14:paraId="6E72C37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47700" cy="200025"/>
                  <wp:effectExtent l="0" t="0" r="0" b="9525"/>
                  <wp:docPr id="4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IMG_256"/>
                          <pic:cNvPicPr>
                            <a:picLocks noChangeAspect="1"/>
                          </pic:cNvPicPr>
                        </pic:nvPicPr>
                        <pic:blipFill>
                          <a:blip r:embed="rId26"/>
                          <a:stretch>
                            <a:fillRect/>
                          </a:stretch>
                        </pic:blipFill>
                        <pic:spPr>
                          <a:xfrm>
                            <a:off x="0" y="0"/>
                            <a:ext cx="647700" cy="200025"/>
                          </a:xfrm>
                          <a:prstGeom prst="rect">
                            <a:avLst/>
                          </a:prstGeom>
                          <a:noFill/>
                          <a:ln w="9525">
                            <a:noFill/>
                          </a:ln>
                        </pic:spPr>
                      </pic:pic>
                    </a:graphicData>
                  </a:graphic>
                </wp:inline>
              </w:drawing>
            </w:r>
          </w:p>
        </w:tc>
        <w:tc>
          <w:tcPr>
            <w:tcW w:w="2524" w:type="pct"/>
            <w:vAlign w:val="center"/>
          </w:tcPr>
          <w:p w14:paraId="6B92744A">
            <w:pPr>
              <w:spacing w:line="360" w:lineRule="auto"/>
              <w:rPr>
                <w:rFonts w:hint="eastAsia" w:ascii="宋体" w:hAnsi="宋体" w:cs="宋体"/>
                <w:color w:val="auto"/>
                <w:szCs w:val="21"/>
              </w:rPr>
            </w:pPr>
            <w:r>
              <w:rPr>
                <w:rFonts w:hint="eastAsia" w:ascii="宋体" w:hAnsi="宋体" w:cs="宋体"/>
                <w:color w:val="auto"/>
                <w:szCs w:val="21"/>
              </w:rPr>
              <w:t>1、网口输出的集视频处理、视频控制功能于一体的二合一控制服务器。</w:t>
            </w:r>
          </w:p>
          <w:p w14:paraId="21A6063C">
            <w:pPr>
              <w:spacing w:line="360" w:lineRule="auto"/>
              <w:rPr>
                <w:rFonts w:hint="eastAsia" w:ascii="宋体" w:hAnsi="宋体" w:cs="宋体"/>
                <w:color w:val="auto"/>
                <w:szCs w:val="21"/>
              </w:rPr>
            </w:pPr>
            <w:r>
              <w:rPr>
                <w:rFonts w:hint="eastAsia" w:ascii="宋体" w:hAnsi="宋体" w:cs="宋体"/>
                <w:color w:val="auto"/>
                <w:szCs w:val="21"/>
              </w:rPr>
              <w:t xml:space="preserve">2、单台设备最大带载1560万像素点，最大宽度可达16384 像素，最高8192像素，满足现场超宽、超高显示屏控制。 </w:t>
            </w:r>
          </w:p>
          <w:p w14:paraId="616A1249">
            <w:pPr>
              <w:spacing w:line="360" w:lineRule="auto"/>
              <w:rPr>
                <w:rFonts w:hint="eastAsia" w:ascii="宋体" w:hAnsi="宋体" w:cs="宋体"/>
                <w:color w:val="auto"/>
                <w:szCs w:val="21"/>
              </w:rPr>
            </w:pPr>
            <w:r>
              <w:rPr>
                <w:rFonts w:hint="eastAsia" w:ascii="宋体" w:hAnsi="宋体" w:cs="宋体"/>
                <w:color w:val="auto"/>
                <w:szCs w:val="21"/>
              </w:rPr>
              <w:t xml:space="preserve">3、具备强大的视频信号接收能力，最大支持4K×2K@60Hz 视频输入，并最大可支持9路视频信号输入，最多支持12个图层资源并支持输出画面无级缩放、逐点亮色度校正等功能，可提供优异的图像显示。 </w:t>
            </w:r>
          </w:p>
          <w:p w14:paraId="44E94F5F">
            <w:pPr>
              <w:spacing w:line="360" w:lineRule="auto"/>
              <w:rPr>
                <w:rFonts w:hint="eastAsia" w:ascii="宋体" w:hAnsi="宋体" w:cs="宋体"/>
                <w:color w:val="auto"/>
                <w:szCs w:val="21"/>
              </w:rPr>
            </w:pPr>
            <w:r>
              <w:rPr>
                <w:rFonts w:hint="eastAsia" w:ascii="宋体" w:hAnsi="宋体" w:cs="宋体"/>
                <w:color w:val="auto"/>
                <w:szCs w:val="21"/>
              </w:rPr>
              <w:t>4、同时，支持多种操控方式，可通过设备前面板旋钮、NovaLCT、Unico 软件、可视化智控平台、微信小程序操控设备。</w:t>
            </w:r>
          </w:p>
        </w:tc>
        <w:tc>
          <w:tcPr>
            <w:tcW w:w="589" w:type="pct"/>
            <w:vAlign w:val="center"/>
          </w:tcPr>
          <w:p w14:paraId="513E8ACF">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12000.00</w:t>
            </w:r>
          </w:p>
        </w:tc>
      </w:tr>
      <w:tr w14:paraId="11B5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75CA2BE3">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22</w:t>
            </w:r>
          </w:p>
        </w:tc>
        <w:tc>
          <w:tcPr>
            <w:tcW w:w="358" w:type="pct"/>
            <w:gridSpan w:val="2"/>
            <w:vAlign w:val="center"/>
          </w:tcPr>
          <w:p w14:paraId="20FDEC12">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线性阵列全频音箱</w:t>
            </w:r>
          </w:p>
        </w:tc>
        <w:tc>
          <w:tcPr>
            <w:tcW w:w="239" w:type="pct"/>
            <w:vAlign w:val="center"/>
          </w:tcPr>
          <w:p w14:paraId="6DB39DD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w:t>
            </w:r>
          </w:p>
        </w:tc>
        <w:tc>
          <w:tcPr>
            <w:tcW w:w="253" w:type="pct"/>
            <w:vAlign w:val="center"/>
          </w:tcPr>
          <w:p w14:paraId="63EC552E">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台</w:t>
            </w:r>
          </w:p>
        </w:tc>
        <w:tc>
          <w:tcPr>
            <w:tcW w:w="780" w:type="pct"/>
            <w:shd w:val="clear" w:color="auto" w:fill="auto"/>
            <w:vAlign w:val="center"/>
          </w:tcPr>
          <w:p w14:paraId="4453626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62025" cy="2000250"/>
                  <wp:effectExtent l="0" t="0" r="9525" b="0"/>
                  <wp:docPr id="47"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descr="IMG_256"/>
                          <pic:cNvPicPr>
                            <a:picLocks noChangeAspect="1"/>
                          </pic:cNvPicPr>
                        </pic:nvPicPr>
                        <pic:blipFill>
                          <a:blip r:embed="rId27"/>
                          <a:stretch>
                            <a:fillRect/>
                          </a:stretch>
                        </pic:blipFill>
                        <pic:spPr>
                          <a:xfrm>
                            <a:off x="0" y="0"/>
                            <a:ext cx="962025" cy="2000250"/>
                          </a:xfrm>
                          <a:prstGeom prst="rect">
                            <a:avLst/>
                          </a:prstGeom>
                          <a:noFill/>
                          <a:ln w="9525">
                            <a:noFill/>
                          </a:ln>
                        </pic:spPr>
                      </pic:pic>
                    </a:graphicData>
                  </a:graphic>
                </wp:inline>
              </w:drawing>
            </w:r>
          </w:p>
        </w:tc>
        <w:tc>
          <w:tcPr>
            <w:tcW w:w="2524" w:type="pct"/>
            <w:vAlign w:val="center"/>
          </w:tcPr>
          <w:p w14:paraId="4D24531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1、功率：≥100W。</w:t>
            </w:r>
          </w:p>
          <w:p w14:paraId="150A62F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2、阻抗：8Ω。</w:t>
            </w:r>
          </w:p>
          <w:p w14:paraId="1AA925F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3、输入接口：凤凰端+欧姆头。</w:t>
            </w:r>
          </w:p>
          <w:p w14:paraId="318CD0F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4、叭单元：≥3寸全频喇叭×4。</w:t>
            </w:r>
          </w:p>
          <w:p w14:paraId="72C5767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5、灵敏度（1W@1m）：≥92dB。</w:t>
            </w:r>
          </w:p>
          <w:p w14:paraId="24C8A90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6、频率响应：120-20kHz。</w:t>
            </w:r>
          </w:p>
          <w:p w14:paraId="7A3CEBE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7、最大声压级：112dB。</w:t>
            </w:r>
          </w:p>
          <w:p w14:paraId="4A8EA5B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8、覆盖角度：120°(H)×90°(V)。</w:t>
            </w:r>
          </w:p>
          <w:p w14:paraId="0AE3B3C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9、材质：ABS塑胶+金属网罩。        </w:t>
            </w:r>
          </w:p>
          <w:p w14:paraId="380822D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10、颜色：黑、白。</w:t>
            </w:r>
          </w:p>
          <w:p w14:paraId="5320B34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11、尺寸（约）：468.5×87×98mm。</w:t>
            </w:r>
          </w:p>
        </w:tc>
        <w:tc>
          <w:tcPr>
            <w:tcW w:w="589" w:type="pct"/>
            <w:vAlign w:val="center"/>
          </w:tcPr>
          <w:p w14:paraId="5CD0F91A">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1260.00</w:t>
            </w:r>
          </w:p>
        </w:tc>
      </w:tr>
      <w:tr w14:paraId="01CC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4C19C68E">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23</w:t>
            </w:r>
          </w:p>
        </w:tc>
        <w:tc>
          <w:tcPr>
            <w:tcW w:w="358" w:type="pct"/>
            <w:gridSpan w:val="2"/>
            <w:vAlign w:val="center"/>
          </w:tcPr>
          <w:p w14:paraId="03289C4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监控摄像</w:t>
            </w:r>
          </w:p>
        </w:tc>
        <w:tc>
          <w:tcPr>
            <w:tcW w:w="239" w:type="pct"/>
            <w:vAlign w:val="center"/>
          </w:tcPr>
          <w:p w14:paraId="3A099BD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w:t>
            </w:r>
          </w:p>
        </w:tc>
        <w:tc>
          <w:tcPr>
            <w:tcW w:w="253" w:type="pct"/>
            <w:vAlign w:val="center"/>
          </w:tcPr>
          <w:p w14:paraId="558EB507">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780" w:type="pct"/>
            <w:shd w:val="clear" w:color="auto" w:fill="auto"/>
            <w:vAlign w:val="center"/>
          </w:tcPr>
          <w:p w14:paraId="2F5029C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82955" cy="860425"/>
                  <wp:effectExtent l="0" t="0" r="17145" b="15875"/>
                  <wp:docPr id="49"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descr="IMG_256"/>
                          <pic:cNvPicPr>
                            <a:picLocks noChangeAspect="1"/>
                          </pic:cNvPicPr>
                        </pic:nvPicPr>
                        <pic:blipFill>
                          <a:blip r:embed="rId28"/>
                          <a:stretch>
                            <a:fillRect/>
                          </a:stretch>
                        </pic:blipFill>
                        <pic:spPr>
                          <a:xfrm>
                            <a:off x="0" y="0"/>
                            <a:ext cx="782955" cy="860425"/>
                          </a:xfrm>
                          <a:prstGeom prst="rect">
                            <a:avLst/>
                          </a:prstGeom>
                          <a:noFill/>
                          <a:ln w="9525">
                            <a:noFill/>
                          </a:ln>
                        </pic:spPr>
                      </pic:pic>
                    </a:graphicData>
                  </a:graphic>
                </wp:inline>
              </w:drawing>
            </w:r>
          </w:p>
        </w:tc>
        <w:tc>
          <w:tcPr>
            <w:tcW w:w="2524" w:type="pct"/>
            <w:vAlign w:val="center"/>
          </w:tcPr>
          <w:p w14:paraId="20DCDE7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1、≥3MP高清像素</w:t>
            </w:r>
            <w:r>
              <w:rPr>
                <w:rFonts w:hint="eastAsia" w:ascii="宋体" w:hAnsi="宋体" w:cs="宋体"/>
                <w:color w:val="auto"/>
                <w:szCs w:val="21"/>
                <w:highlight w:val="none"/>
                <w:lang w:eastAsia="zh-CN"/>
              </w:rPr>
              <w:t>，</w:t>
            </w:r>
            <w:r>
              <w:rPr>
                <w:rFonts w:hint="eastAsia" w:ascii="宋体" w:hAnsi="宋体" w:cs="宋体"/>
                <w:color w:val="auto"/>
                <w:szCs w:val="21"/>
                <w:highlight w:val="none"/>
              </w:rPr>
              <w:t>不需要网络的摄像机,</w:t>
            </w:r>
          </w:p>
          <w:p w14:paraId="03F9BAF1">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2、终身免流量</w:t>
            </w:r>
            <w:r>
              <w:rPr>
                <w:rFonts w:hint="eastAsia" w:ascii="宋体" w:hAnsi="宋体" w:cs="宋体"/>
                <w:color w:val="auto"/>
                <w:szCs w:val="21"/>
                <w:highlight w:val="none"/>
                <w:lang w:eastAsia="zh-CN"/>
              </w:rPr>
              <w:t>，</w:t>
            </w:r>
            <w:r>
              <w:rPr>
                <w:rFonts w:hint="eastAsia" w:ascii="宋体" w:hAnsi="宋体" w:cs="宋体"/>
                <w:color w:val="auto"/>
                <w:szCs w:val="21"/>
                <w:highlight w:val="none"/>
              </w:rPr>
              <w:t>通电即用</w:t>
            </w:r>
            <w:r>
              <w:rPr>
                <w:rFonts w:hint="eastAsia" w:ascii="宋体" w:hAnsi="宋体" w:cs="宋体"/>
                <w:color w:val="auto"/>
                <w:szCs w:val="21"/>
                <w:highlight w:val="none"/>
                <w:lang w:eastAsia="zh-CN"/>
              </w:rPr>
              <w:t>。</w:t>
            </w:r>
          </w:p>
          <w:p w14:paraId="36A1A2A5">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3、人形检测</w:t>
            </w:r>
            <w:r>
              <w:rPr>
                <w:rFonts w:hint="eastAsia" w:ascii="宋体" w:hAnsi="宋体" w:cs="宋体"/>
                <w:color w:val="auto"/>
                <w:szCs w:val="21"/>
                <w:highlight w:val="none"/>
                <w:lang w:eastAsia="zh-CN"/>
              </w:rPr>
              <w:t>、</w:t>
            </w:r>
            <w:r>
              <w:rPr>
                <w:rFonts w:hint="eastAsia" w:ascii="宋体" w:hAnsi="宋体" w:cs="宋体"/>
                <w:color w:val="auto"/>
                <w:szCs w:val="21"/>
                <w:highlight w:val="none"/>
              </w:rPr>
              <w:t>移动追踪</w:t>
            </w:r>
            <w:r>
              <w:rPr>
                <w:rFonts w:hint="eastAsia" w:ascii="宋体" w:hAnsi="宋体" w:cs="宋体"/>
                <w:color w:val="auto"/>
                <w:szCs w:val="21"/>
                <w:highlight w:val="none"/>
                <w:lang w:eastAsia="zh-CN"/>
              </w:rPr>
              <w:t>、</w:t>
            </w:r>
            <w:r>
              <w:rPr>
                <w:rFonts w:hint="eastAsia" w:ascii="宋体" w:hAnsi="宋体" w:cs="宋体"/>
                <w:color w:val="auto"/>
                <w:szCs w:val="21"/>
                <w:highlight w:val="none"/>
              </w:rPr>
              <w:t>移动侦测</w:t>
            </w:r>
            <w:r>
              <w:rPr>
                <w:rFonts w:hint="eastAsia" w:ascii="宋体" w:hAnsi="宋体" w:cs="宋体"/>
                <w:color w:val="auto"/>
                <w:szCs w:val="21"/>
                <w:highlight w:val="none"/>
                <w:lang w:eastAsia="zh-CN"/>
              </w:rPr>
              <w:t>、</w:t>
            </w:r>
            <w:r>
              <w:rPr>
                <w:rFonts w:hint="eastAsia" w:ascii="宋体" w:hAnsi="宋体" w:cs="宋体"/>
                <w:color w:val="auto"/>
                <w:szCs w:val="21"/>
                <w:highlight w:val="none"/>
              </w:rPr>
              <w:t>噪声检测</w:t>
            </w:r>
            <w:r>
              <w:rPr>
                <w:rFonts w:hint="eastAsia" w:ascii="宋体" w:hAnsi="宋体" w:cs="宋体"/>
                <w:color w:val="auto"/>
                <w:szCs w:val="21"/>
                <w:highlight w:val="none"/>
                <w:lang w:eastAsia="zh-CN"/>
              </w:rPr>
              <w:t>、</w:t>
            </w:r>
            <w:r>
              <w:rPr>
                <w:rFonts w:hint="eastAsia" w:ascii="宋体" w:hAnsi="宋体" w:cs="宋体"/>
                <w:color w:val="auto"/>
                <w:szCs w:val="21"/>
                <w:highlight w:val="none"/>
              </w:rPr>
              <w:t>区域报警</w:t>
            </w:r>
            <w:r>
              <w:rPr>
                <w:rFonts w:hint="eastAsia" w:ascii="宋体" w:hAnsi="宋体" w:cs="宋体"/>
                <w:color w:val="auto"/>
                <w:szCs w:val="21"/>
                <w:highlight w:val="none"/>
                <w:lang w:eastAsia="zh-CN"/>
              </w:rPr>
              <w:t>。</w:t>
            </w:r>
          </w:p>
          <w:p w14:paraId="6A648C62">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4、预置点</w:t>
            </w:r>
            <w:r>
              <w:rPr>
                <w:rFonts w:hint="eastAsia" w:ascii="宋体" w:hAnsi="宋体" w:cs="宋体"/>
                <w:color w:val="auto"/>
                <w:szCs w:val="21"/>
                <w:highlight w:val="none"/>
                <w:lang w:eastAsia="zh-CN"/>
              </w:rPr>
              <w:t>设置、</w:t>
            </w:r>
            <w:r>
              <w:rPr>
                <w:rFonts w:hint="eastAsia" w:ascii="宋体" w:hAnsi="宋体" w:cs="宋体"/>
                <w:color w:val="auto"/>
                <w:szCs w:val="21"/>
                <w:highlight w:val="none"/>
              </w:rPr>
              <w:t>一键巡视</w:t>
            </w:r>
            <w:r>
              <w:rPr>
                <w:rFonts w:hint="eastAsia" w:ascii="宋体" w:hAnsi="宋体" w:cs="宋体"/>
                <w:color w:val="auto"/>
                <w:szCs w:val="21"/>
                <w:highlight w:val="none"/>
                <w:lang w:eastAsia="zh-CN"/>
              </w:rPr>
              <w:t>、</w:t>
            </w:r>
            <w:r>
              <w:rPr>
                <w:rFonts w:hint="eastAsia" w:ascii="宋体" w:hAnsi="宋体" w:cs="宋体"/>
                <w:color w:val="auto"/>
                <w:szCs w:val="21"/>
                <w:highlight w:val="none"/>
              </w:rPr>
              <w:t>定时巡视</w:t>
            </w:r>
            <w:r>
              <w:rPr>
                <w:rFonts w:hint="eastAsia" w:ascii="宋体" w:hAnsi="宋体" w:cs="宋体"/>
                <w:color w:val="auto"/>
                <w:szCs w:val="21"/>
                <w:highlight w:val="none"/>
                <w:lang w:eastAsia="zh-CN"/>
              </w:rPr>
              <w:t>。</w:t>
            </w:r>
          </w:p>
          <w:p w14:paraId="014E761B">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5、双向对讲</w:t>
            </w:r>
            <w:r>
              <w:rPr>
                <w:rFonts w:hint="eastAsia" w:ascii="宋体" w:hAnsi="宋体" w:cs="宋体"/>
                <w:color w:val="auto"/>
                <w:szCs w:val="21"/>
                <w:highlight w:val="none"/>
                <w:lang w:eastAsia="zh-CN"/>
              </w:rPr>
              <w:t>、</w:t>
            </w:r>
            <w:r>
              <w:rPr>
                <w:rFonts w:hint="eastAsia" w:ascii="宋体" w:hAnsi="宋体" w:cs="宋体"/>
                <w:color w:val="auto"/>
                <w:szCs w:val="21"/>
                <w:highlight w:val="none"/>
              </w:rPr>
              <w:t>隐私保护</w:t>
            </w:r>
            <w:r>
              <w:rPr>
                <w:rFonts w:hint="eastAsia" w:ascii="宋体" w:hAnsi="宋体" w:cs="宋体"/>
                <w:color w:val="auto"/>
                <w:szCs w:val="21"/>
                <w:highlight w:val="none"/>
                <w:lang w:eastAsia="zh-CN"/>
              </w:rPr>
              <w:t>、</w:t>
            </w:r>
            <w:r>
              <w:rPr>
                <w:rFonts w:hint="eastAsia" w:ascii="宋体" w:hAnsi="宋体" w:cs="宋体"/>
                <w:color w:val="auto"/>
                <w:szCs w:val="21"/>
                <w:highlight w:val="none"/>
              </w:rPr>
              <w:t>高级图像加密</w:t>
            </w:r>
            <w:r>
              <w:rPr>
                <w:rFonts w:hint="eastAsia" w:ascii="宋体" w:hAnsi="宋体" w:cs="宋体"/>
                <w:color w:val="auto"/>
                <w:szCs w:val="21"/>
                <w:highlight w:val="none"/>
                <w:lang w:eastAsia="zh-CN"/>
              </w:rPr>
              <w:t>。</w:t>
            </w:r>
          </w:p>
          <w:p w14:paraId="5E80F254">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6、内置存储：≥128GB</w:t>
            </w:r>
            <w:r>
              <w:rPr>
                <w:rFonts w:hint="eastAsia" w:ascii="宋体" w:hAnsi="宋体" w:cs="宋体"/>
                <w:color w:val="auto"/>
                <w:szCs w:val="21"/>
                <w:highlight w:val="none"/>
                <w:lang w:eastAsia="zh-CN"/>
              </w:rPr>
              <w:t>。</w:t>
            </w:r>
          </w:p>
          <w:p w14:paraId="2AA65D26">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7、终身免费云存储</w:t>
            </w:r>
            <w:r>
              <w:rPr>
                <w:rFonts w:hint="eastAsia" w:ascii="宋体" w:hAnsi="宋体" w:cs="宋体"/>
                <w:color w:val="auto"/>
                <w:szCs w:val="21"/>
                <w:highlight w:val="none"/>
                <w:lang w:eastAsia="zh-CN"/>
              </w:rPr>
              <w:t>。</w:t>
            </w:r>
          </w:p>
          <w:p w14:paraId="0EF72347">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8、支持同时多人同时访问 分享设备无上限</w:t>
            </w:r>
            <w:r>
              <w:rPr>
                <w:rFonts w:hint="eastAsia" w:ascii="宋体" w:hAnsi="宋体" w:cs="宋体"/>
                <w:color w:val="auto"/>
                <w:szCs w:val="21"/>
                <w:highlight w:val="none"/>
                <w:lang w:eastAsia="zh-CN"/>
              </w:rPr>
              <w:t>。</w:t>
            </w:r>
          </w:p>
        </w:tc>
        <w:tc>
          <w:tcPr>
            <w:tcW w:w="589" w:type="pct"/>
            <w:vAlign w:val="center"/>
          </w:tcPr>
          <w:p w14:paraId="480BFEA8">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350.00</w:t>
            </w:r>
          </w:p>
        </w:tc>
      </w:tr>
      <w:tr w14:paraId="3D5C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550D9367">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24</w:t>
            </w:r>
          </w:p>
        </w:tc>
        <w:tc>
          <w:tcPr>
            <w:tcW w:w="358" w:type="pct"/>
            <w:gridSpan w:val="2"/>
            <w:vAlign w:val="center"/>
          </w:tcPr>
          <w:p w14:paraId="3E3E0F8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无线话筒</w:t>
            </w:r>
          </w:p>
        </w:tc>
        <w:tc>
          <w:tcPr>
            <w:tcW w:w="239" w:type="pct"/>
            <w:vAlign w:val="center"/>
          </w:tcPr>
          <w:p w14:paraId="505BAFA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253" w:type="pct"/>
            <w:vAlign w:val="center"/>
          </w:tcPr>
          <w:p w14:paraId="6593225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套</w:t>
            </w:r>
          </w:p>
        </w:tc>
        <w:tc>
          <w:tcPr>
            <w:tcW w:w="780" w:type="pct"/>
            <w:shd w:val="clear" w:color="auto" w:fill="auto"/>
            <w:vAlign w:val="center"/>
          </w:tcPr>
          <w:p w14:paraId="49D0BB3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57555" cy="480060"/>
                  <wp:effectExtent l="0" t="0" r="4445" b="15240"/>
                  <wp:docPr id="51"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descr="IMG_256"/>
                          <pic:cNvPicPr>
                            <a:picLocks noChangeAspect="1"/>
                          </pic:cNvPicPr>
                        </pic:nvPicPr>
                        <pic:blipFill>
                          <a:blip r:embed="rId29"/>
                          <a:stretch>
                            <a:fillRect/>
                          </a:stretch>
                        </pic:blipFill>
                        <pic:spPr>
                          <a:xfrm>
                            <a:off x="0" y="0"/>
                            <a:ext cx="757555" cy="480060"/>
                          </a:xfrm>
                          <a:prstGeom prst="rect">
                            <a:avLst/>
                          </a:prstGeom>
                          <a:noFill/>
                          <a:ln w="9525">
                            <a:noFill/>
                          </a:ln>
                        </pic:spPr>
                      </pic:pic>
                    </a:graphicData>
                  </a:graphic>
                </wp:inline>
              </w:drawing>
            </w:r>
          </w:p>
        </w:tc>
        <w:tc>
          <w:tcPr>
            <w:tcW w:w="2524" w:type="pct"/>
            <w:vAlign w:val="center"/>
          </w:tcPr>
          <w:p w14:paraId="106DA2FC">
            <w:pPr>
              <w:spacing w:line="360" w:lineRule="auto"/>
              <w:rPr>
                <w:rFonts w:hint="eastAsia" w:ascii="宋体" w:hAnsi="宋体" w:cs="宋体"/>
                <w:color w:val="auto"/>
                <w:szCs w:val="21"/>
              </w:rPr>
            </w:pPr>
            <w:r>
              <w:rPr>
                <w:rFonts w:hint="eastAsia" w:ascii="宋体" w:hAnsi="宋体" w:cs="宋体"/>
                <w:color w:val="auto"/>
                <w:szCs w:val="21"/>
              </w:rPr>
              <w:t>1、数字LCD显示屏,清晰明确地显示接收机与发射机的实时工作状态。</w:t>
            </w:r>
          </w:p>
          <w:p w14:paraId="60877502">
            <w:pPr>
              <w:spacing w:line="360" w:lineRule="auto"/>
              <w:rPr>
                <w:rFonts w:hint="eastAsia" w:ascii="宋体" w:hAnsi="宋体" w:cs="宋体"/>
                <w:color w:val="auto"/>
                <w:szCs w:val="21"/>
              </w:rPr>
            </w:pPr>
            <w:r>
              <w:rPr>
                <w:rFonts w:hint="eastAsia" w:ascii="宋体" w:hAnsi="宋体" w:cs="宋体"/>
                <w:color w:val="auto"/>
                <w:szCs w:val="21"/>
              </w:rPr>
              <w:t>2、采用专业级音频压缩-扩展技术。</w:t>
            </w:r>
          </w:p>
          <w:p w14:paraId="57FEBC86">
            <w:pPr>
              <w:spacing w:line="360" w:lineRule="auto"/>
              <w:rPr>
                <w:rFonts w:hint="eastAsia" w:ascii="宋体" w:hAnsi="宋体" w:cs="宋体"/>
                <w:color w:val="auto"/>
                <w:szCs w:val="21"/>
              </w:rPr>
            </w:pPr>
            <w:r>
              <w:rPr>
                <w:rFonts w:hint="eastAsia" w:ascii="宋体" w:hAnsi="宋体" w:cs="宋体"/>
                <w:color w:val="auto"/>
                <w:szCs w:val="21"/>
              </w:rPr>
              <w:t>3、应用PLL射频稳定技术。</w:t>
            </w:r>
          </w:p>
          <w:p w14:paraId="232D624C">
            <w:pPr>
              <w:spacing w:line="360" w:lineRule="auto"/>
              <w:rPr>
                <w:rFonts w:hint="eastAsia" w:ascii="宋体" w:hAnsi="宋体" w:cs="宋体"/>
                <w:color w:val="auto"/>
                <w:szCs w:val="21"/>
              </w:rPr>
            </w:pPr>
            <w:r>
              <w:rPr>
                <w:rFonts w:hint="eastAsia" w:ascii="宋体" w:hAnsi="宋体" w:cs="宋体"/>
                <w:color w:val="auto"/>
                <w:szCs w:val="21"/>
              </w:rPr>
              <w:t>4、具有独立的输出(XLR)和混合(q6.3mm)输出。</w:t>
            </w:r>
          </w:p>
          <w:p w14:paraId="516A5EC1">
            <w:pPr>
              <w:spacing w:line="360" w:lineRule="auto"/>
              <w:rPr>
                <w:rFonts w:hint="eastAsia" w:ascii="宋体" w:hAnsi="宋体" w:cs="宋体"/>
                <w:color w:val="auto"/>
                <w:szCs w:val="21"/>
              </w:rPr>
            </w:pPr>
            <w:r>
              <w:rPr>
                <w:rFonts w:hint="eastAsia" w:ascii="宋体" w:hAnsi="宋体" w:cs="宋体"/>
                <w:color w:val="auto"/>
                <w:szCs w:val="21"/>
              </w:rPr>
              <w:t>5、红外线对频、发射器可以互换。</w:t>
            </w:r>
          </w:p>
          <w:p w14:paraId="107225D2">
            <w:pPr>
              <w:spacing w:line="360" w:lineRule="auto"/>
              <w:rPr>
                <w:rFonts w:hint="eastAsia" w:ascii="宋体" w:hAnsi="宋体" w:cs="宋体"/>
                <w:color w:val="auto"/>
                <w:szCs w:val="21"/>
              </w:rPr>
            </w:pPr>
            <w:r>
              <w:rPr>
                <w:rFonts w:hint="eastAsia" w:ascii="宋体" w:hAnsi="宋体" w:cs="宋体"/>
                <w:color w:val="auto"/>
                <w:szCs w:val="21"/>
              </w:rPr>
              <w:t>6、平衡和非平衡两种选择输出端口，适应不同的设备连接需求。</w:t>
            </w:r>
          </w:p>
          <w:p w14:paraId="2FF76EAC">
            <w:pPr>
              <w:spacing w:line="360" w:lineRule="auto"/>
              <w:rPr>
                <w:rFonts w:hint="eastAsia" w:ascii="宋体" w:hAnsi="宋体" w:cs="宋体"/>
                <w:color w:val="auto"/>
                <w:szCs w:val="21"/>
              </w:rPr>
            </w:pPr>
            <w:r>
              <w:rPr>
                <w:rFonts w:hint="eastAsia" w:ascii="宋体" w:hAnsi="宋体" w:cs="宋体"/>
                <w:color w:val="auto"/>
                <w:szCs w:val="21"/>
              </w:rPr>
              <w:t>7、能有效抑制由外部带来的噪音干扰及同频干扰。</w:t>
            </w:r>
          </w:p>
          <w:p w14:paraId="2D6FC23B">
            <w:pPr>
              <w:spacing w:line="360" w:lineRule="auto"/>
              <w:rPr>
                <w:rFonts w:hint="eastAsia" w:ascii="宋体" w:hAnsi="宋体" w:cs="宋体"/>
                <w:color w:val="auto"/>
                <w:szCs w:val="21"/>
              </w:rPr>
            </w:pPr>
            <w:r>
              <w:rPr>
                <w:rFonts w:hint="eastAsia" w:ascii="宋体" w:hAnsi="宋体" w:cs="宋体"/>
                <w:color w:val="auto"/>
                <w:szCs w:val="21"/>
              </w:rPr>
              <w:t>8、接收机频道数：二频道。</w:t>
            </w:r>
          </w:p>
          <w:p w14:paraId="03926020">
            <w:pPr>
              <w:spacing w:line="360" w:lineRule="auto"/>
              <w:rPr>
                <w:rFonts w:hint="eastAsia" w:ascii="宋体" w:hAnsi="宋体" w:cs="宋体"/>
                <w:color w:val="auto"/>
                <w:szCs w:val="21"/>
              </w:rPr>
            </w:pPr>
            <w:r>
              <w:rPr>
                <w:rFonts w:hint="eastAsia" w:ascii="宋体" w:hAnsi="宋体" w:cs="宋体"/>
                <w:color w:val="auto"/>
                <w:szCs w:val="21"/>
              </w:rPr>
              <w:t>9、接收方式：CPU控制自动选讯。</w:t>
            </w:r>
          </w:p>
          <w:p w14:paraId="3853D16A">
            <w:pPr>
              <w:spacing w:line="360" w:lineRule="auto"/>
              <w:rPr>
                <w:rFonts w:hint="eastAsia" w:ascii="宋体" w:hAnsi="宋体" w:cs="宋体"/>
                <w:color w:val="auto"/>
                <w:szCs w:val="21"/>
              </w:rPr>
            </w:pPr>
            <w:r>
              <w:rPr>
                <w:rFonts w:hint="eastAsia" w:ascii="宋体" w:hAnsi="宋体" w:cs="宋体"/>
                <w:color w:val="auto"/>
                <w:szCs w:val="21"/>
              </w:rPr>
              <w:t>10、接收频率震荡模式：PLL锁相环回路。</w:t>
            </w:r>
          </w:p>
          <w:p w14:paraId="33A5B4B8">
            <w:pPr>
              <w:spacing w:line="360" w:lineRule="auto"/>
              <w:rPr>
                <w:rFonts w:hint="eastAsia" w:ascii="宋体" w:hAnsi="宋体" w:cs="宋体"/>
                <w:color w:val="auto"/>
                <w:szCs w:val="21"/>
              </w:rPr>
            </w:pPr>
            <w:r>
              <w:rPr>
                <w:rFonts w:hint="eastAsia" w:ascii="宋体" w:hAnsi="宋体" w:cs="宋体"/>
                <w:color w:val="auto"/>
                <w:szCs w:val="21"/>
              </w:rPr>
              <w:t>11、载波频段：UHF 640-690MHz (可使用的频率取决于当地的规定)。</w:t>
            </w:r>
          </w:p>
          <w:p w14:paraId="27885897">
            <w:pPr>
              <w:spacing w:line="360" w:lineRule="auto"/>
              <w:rPr>
                <w:rFonts w:hint="eastAsia" w:ascii="宋体" w:hAnsi="宋体" w:cs="宋体"/>
                <w:color w:val="auto"/>
                <w:szCs w:val="21"/>
              </w:rPr>
            </w:pPr>
            <w:r>
              <w:rPr>
                <w:rFonts w:hint="eastAsia" w:ascii="宋体" w:hAnsi="宋体" w:cs="宋体"/>
                <w:color w:val="auto"/>
                <w:szCs w:val="21"/>
              </w:rPr>
              <w:t>12、频率配对：-键红外对频设定。</w:t>
            </w:r>
          </w:p>
          <w:p w14:paraId="3F84BA19">
            <w:pPr>
              <w:spacing w:line="360" w:lineRule="auto"/>
              <w:rPr>
                <w:rFonts w:hint="eastAsia" w:ascii="宋体" w:hAnsi="宋体" w:cs="宋体"/>
                <w:color w:val="auto"/>
                <w:szCs w:val="21"/>
              </w:rPr>
            </w:pPr>
            <w:r>
              <w:rPr>
                <w:rFonts w:hint="eastAsia" w:ascii="宋体" w:hAnsi="宋体" w:cs="宋体"/>
                <w:color w:val="auto"/>
                <w:szCs w:val="21"/>
              </w:rPr>
              <w:t>13、频率稳定度：s +0.005%(-10～60℃)。</w:t>
            </w:r>
          </w:p>
          <w:p w14:paraId="60730693">
            <w:pPr>
              <w:spacing w:line="360" w:lineRule="auto"/>
              <w:rPr>
                <w:rFonts w:hint="eastAsia" w:ascii="宋体" w:hAnsi="宋体" w:cs="宋体"/>
                <w:color w:val="auto"/>
                <w:szCs w:val="21"/>
              </w:rPr>
            </w:pPr>
            <w:r>
              <w:rPr>
                <w:rFonts w:hint="eastAsia" w:ascii="宋体" w:hAnsi="宋体" w:cs="宋体"/>
                <w:color w:val="auto"/>
                <w:szCs w:val="21"/>
              </w:rPr>
              <w:t>14、动态范围：≥100dB。</w:t>
            </w:r>
          </w:p>
          <w:p w14:paraId="1CC4ED84">
            <w:pPr>
              <w:spacing w:line="360" w:lineRule="auto"/>
              <w:rPr>
                <w:rFonts w:hint="eastAsia" w:ascii="宋体" w:hAnsi="宋体" w:cs="宋体"/>
                <w:color w:val="auto"/>
                <w:szCs w:val="21"/>
              </w:rPr>
            </w:pPr>
            <w:r>
              <w:rPr>
                <w:rFonts w:hint="eastAsia" w:ascii="宋体" w:hAnsi="宋体" w:cs="宋体"/>
                <w:color w:val="auto"/>
                <w:szCs w:val="21"/>
              </w:rPr>
              <w:t>15、最大频偏：+45KHz。</w:t>
            </w:r>
          </w:p>
          <w:p w14:paraId="60A974A8">
            <w:pPr>
              <w:spacing w:line="360" w:lineRule="auto"/>
              <w:rPr>
                <w:rFonts w:hint="eastAsia" w:ascii="宋体" w:hAnsi="宋体" w:cs="宋体"/>
                <w:color w:val="auto"/>
                <w:szCs w:val="21"/>
              </w:rPr>
            </w:pPr>
            <w:r>
              <w:rPr>
                <w:rFonts w:hint="eastAsia" w:ascii="宋体" w:hAnsi="宋体" w:cs="宋体"/>
                <w:color w:val="auto"/>
                <w:szCs w:val="21"/>
              </w:rPr>
              <w:t>16、灵敏度：12dBuV (80dBS/N)。</w:t>
            </w:r>
          </w:p>
          <w:p w14:paraId="12C64916">
            <w:pPr>
              <w:spacing w:line="360" w:lineRule="auto"/>
              <w:rPr>
                <w:rFonts w:hint="eastAsia" w:ascii="宋体" w:hAnsi="宋体" w:cs="宋体"/>
                <w:color w:val="auto"/>
                <w:szCs w:val="21"/>
              </w:rPr>
            </w:pPr>
            <w:r>
              <w:rPr>
                <w:rFonts w:hint="eastAsia" w:ascii="宋体" w:hAnsi="宋体" w:cs="宋体"/>
                <w:color w:val="auto"/>
                <w:szCs w:val="21"/>
              </w:rPr>
              <w:t>17、功能显示方式：数字LCD显示。</w:t>
            </w:r>
          </w:p>
          <w:p w14:paraId="4CA2F9C9">
            <w:pPr>
              <w:spacing w:line="360" w:lineRule="auto"/>
              <w:rPr>
                <w:rFonts w:hint="eastAsia" w:ascii="宋体" w:hAnsi="宋体" w:cs="宋体"/>
                <w:color w:val="auto"/>
                <w:szCs w:val="21"/>
              </w:rPr>
            </w:pPr>
            <w:r>
              <w:rPr>
                <w:rFonts w:hint="eastAsia" w:ascii="宋体" w:hAnsi="宋体" w:cs="宋体"/>
                <w:color w:val="auto"/>
                <w:szCs w:val="21"/>
              </w:rPr>
              <w:t>18、音头：动圈式手持麦克风。</w:t>
            </w:r>
          </w:p>
          <w:p w14:paraId="4300E767">
            <w:pPr>
              <w:spacing w:line="360" w:lineRule="auto"/>
              <w:rPr>
                <w:rFonts w:hint="eastAsia" w:ascii="宋体" w:hAnsi="宋体" w:cs="宋体"/>
                <w:color w:val="auto"/>
                <w:szCs w:val="21"/>
              </w:rPr>
            </w:pPr>
            <w:r>
              <w:rPr>
                <w:rFonts w:hint="eastAsia" w:ascii="宋体" w:hAnsi="宋体" w:cs="宋体"/>
                <w:color w:val="auto"/>
                <w:szCs w:val="21"/>
              </w:rPr>
              <w:t>19、电容式：鹅颈会议麦克风/领夹麦克风/头戴麦克风频率震荡。</w:t>
            </w:r>
          </w:p>
          <w:p w14:paraId="5C15D309">
            <w:pPr>
              <w:spacing w:line="360" w:lineRule="auto"/>
              <w:rPr>
                <w:rFonts w:hint="eastAsia" w:ascii="宋体" w:hAnsi="宋体" w:cs="宋体"/>
                <w:color w:val="auto"/>
                <w:szCs w:val="21"/>
              </w:rPr>
            </w:pPr>
            <w:r>
              <w:rPr>
                <w:rFonts w:hint="eastAsia" w:ascii="宋体" w:hAnsi="宋体" w:cs="宋体"/>
                <w:color w:val="auto"/>
                <w:szCs w:val="21"/>
              </w:rPr>
              <w:t>20、模式：PLL锁相环回路。</w:t>
            </w:r>
          </w:p>
          <w:p w14:paraId="06314ACF">
            <w:pPr>
              <w:spacing w:line="360" w:lineRule="auto"/>
              <w:rPr>
                <w:rFonts w:hint="eastAsia" w:ascii="宋体" w:hAnsi="宋体" w:cs="宋体"/>
                <w:color w:val="auto"/>
                <w:szCs w:val="21"/>
              </w:rPr>
            </w:pPr>
            <w:r>
              <w:rPr>
                <w:rFonts w:hint="eastAsia" w:ascii="宋体" w:hAnsi="宋体" w:cs="宋体"/>
                <w:color w:val="auto"/>
                <w:szCs w:val="21"/>
              </w:rPr>
              <w:t>21、载波频段：UHF 640～690MHz。</w:t>
            </w:r>
          </w:p>
          <w:p w14:paraId="17A0B825">
            <w:pPr>
              <w:spacing w:line="360" w:lineRule="auto"/>
              <w:rPr>
                <w:rFonts w:hint="eastAsia" w:ascii="宋体" w:hAnsi="宋体" w:cs="宋体"/>
                <w:color w:val="auto"/>
                <w:szCs w:val="21"/>
              </w:rPr>
            </w:pPr>
            <w:r>
              <w:rPr>
                <w:rFonts w:hint="eastAsia" w:ascii="宋体" w:hAnsi="宋体" w:cs="宋体"/>
                <w:color w:val="auto"/>
                <w:szCs w:val="21"/>
              </w:rPr>
              <w:t>22、频带宽度：50MHz。</w:t>
            </w:r>
          </w:p>
          <w:p w14:paraId="12713EE0">
            <w:pPr>
              <w:spacing w:line="360" w:lineRule="auto"/>
              <w:rPr>
                <w:rFonts w:hint="eastAsia" w:ascii="宋体" w:hAnsi="宋体" w:cs="宋体"/>
                <w:color w:val="auto"/>
                <w:szCs w:val="21"/>
              </w:rPr>
            </w:pPr>
            <w:r>
              <w:rPr>
                <w:rFonts w:hint="eastAsia" w:ascii="宋体" w:hAnsi="宋体" w:cs="宋体"/>
                <w:color w:val="auto"/>
                <w:szCs w:val="21"/>
              </w:rPr>
              <w:t>23、RF输出：10mW～15mW。</w:t>
            </w:r>
          </w:p>
          <w:p w14:paraId="42A2176D">
            <w:pPr>
              <w:spacing w:line="360" w:lineRule="auto"/>
              <w:rPr>
                <w:rFonts w:hint="eastAsia" w:ascii="宋体" w:hAnsi="宋体" w:cs="宋体"/>
                <w:color w:val="auto"/>
                <w:szCs w:val="21"/>
              </w:rPr>
            </w:pPr>
            <w:r>
              <w:rPr>
                <w:rFonts w:hint="eastAsia" w:ascii="宋体" w:hAnsi="宋体" w:cs="宋体"/>
                <w:color w:val="auto"/>
                <w:szCs w:val="21"/>
              </w:rPr>
              <w:t>24、假象干扰比：≤-50dBC。</w:t>
            </w:r>
          </w:p>
          <w:p w14:paraId="4C87F44A">
            <w:pPr>
              <w:spacing w:line="360" w:lineRule="auto"/>
              <w:rPr>
                <w:rFonts w:hint="eastAsia" w:ascii="宋体" w:hAnsi="宋体" w:cs="宋体"/>
                <w:color w:val="auto"/>
                <w:szCs w:val="21"/>
              </w:rPr>
            </w:pPr>
            <w:r>
              <w:rPr>
                <w:rFonts w:hint="eastAsia" w:ascii="宋体" w:hAnsi="宋体" w:cs="宋体"/>
                <w:color w:val="auto"/>
                <w:szCs w:val="21"/>
              </w:rPr>
              <w:t>25、镜像抑制：≥50dB。</w:t>
            </w:r>
          </w:p>
          <w:p w14:paraId="78F9A02D">
            <w:pPr>
              <w:spacing w:line="360" w:lineRule="auto"/>
              <w:rPr>
                <w:rFonts w:hint="eastAsia" w:ascii="宋体" w:hAnsi="宋体" w:cs="宋体"/>
                <w:color w:val="auto"/>
                <w:szCs w:val="21"/>
              </w:rPr>
            </w:pPr>
            <w:r>
              <w:rPr>
                <w:rFonts w:hint="eastAsia" w:ascii="宋体" w:hAnsi="宋体" w:cs="宋体"/>
                <w:color w:val="auto"/>
                <w:szCs w:val="21"/>
              </w:rPr>
              <w:t>26、调制频偏：≥25Hz</w:t>
            </w:r>
          </w:p>
          <w:p w14:paraId="18AF59EE">
            <w:pPr>
              <w:spacing w:line="360" w:lineRule="auto"/>
              <w:rPr>
                <w:rFonts w:hint="eastAsia" w:ascii="宋体" w:hAnsi="宋体" w:cs="宋体"/>
                <w:color w:val="auto"/>
                <w:szCs w:val="21"/>
              </w:rPr>
            </w:pPr>
            <w:r>
              <w:rPr>
                <w:rFonts w:hint="eastAsia" w:ascii="宋体" w:hAnsi="宋体" w:cs="宋体"/>
                <w:color w:val="auto"/>
                <w:szCs w:val="21"/>
              </w:rPr>
              <w:t>27、离散抑制：≥60dB</w:t>
            </w:r>
          </w:p>
          <w:p w14:paraId="14929FB1">
            <w:pPr>
              <w:spacing w:line="360" w:lineRule="auto"/>
              <w:rPr>
                <w:rFonts w:hint="eastAsia" w:ascii="宋体" w:hAnsi="宋体" w:cs="宋体"/>
                <w:color w:val="auto"/>
                <w:szCs w:val="21"/>
              </w:rPr>
            </w:pPr>
            <w:r>
              <w:rPr>
                <w:rFonts w:hint="eastAsia" w:ascii="宋体" w:hAnsi="宋体" w:cs="宋体"/>
                <w:color w:val="auto"/>
                <w:szCs w:val="21"/>
              </w:rPr>
              <w:t>28、OLED显示：频道、频率、电量显示。</w:t>
            </w:r>
          </w:p>
          <w:p w14:paraId="68268B60">
            <w:pPr>
              <w:spacing w:line="360" w:lineRule="auto"/>
              <w:rPr>
                <w:rFonts w:hint="eastAsia" w:ascii="宋体" w:hAnsi="宋体" w:cs="宋体"/>
                <w:color w:val="auto"/>
                <w:szCs w:val="21"/>
              </w:rPr>
            </w:pPr>
            <w:r>
              <w:rPr>
                <w:rFonts w:hint="eastAsia" w:ascii="宋体" w:hAnsi="宋体" w:cs="宋体"/>
                <w:color w:val="auto"/>
                <w:szCs w:val="21"/>
              </w:rPr>
              <w:t>29、频道转换方式：自动对频。</w:t>
            </w:r>
          </w:p>
          <w:p w14:paraId="1CB7E534">
            <w:pPr>
              <w:spacing w:line="360" w:lineRule="auto"/>
              <w:rPr>
                <w:rFonts w:hint="eastAsia" w:ascii="宋体" w:hAnsi="宋体" w:eastAsia="宋体" w:cs="宋体"/>
                <w:color w:val="auto"/>
                <w:szCs w:val="21"/>
                <w:lang w:eastAsia="zh-CN"/>
              </w:rPr>
            </w:pPr>
            <w:r>
              <w:rPr>
                <w:rFonts w:hint="eastAsia" w:ascii="宋体" w:hAnsi="宋体" w:cs="宋体"/>
                <w:color w:val="auto"/>
                <w:szCs w:val="21"/>
              </w:rPr>
              <w:t>30、  红外对频，频率同步技术</w:t>
            </w:r>
            <w:r>
              <w:rPr>
                <w:rFonts w:hint="eastAsia" w:ascii="宋体" w:hAnsi="宋体" w:cs="宋体"/>
                <w:color w:val="auto"/>
                <w:szCs w:val="21"/>
                <w:lang w:eastAsia="zh-CN"/>
              </w:rPr>
              <w:t>。</w:t>
            </w:r>
          </w:p>
          <w:p w14:paraId="7B962A38">
            <w:pPr>
              <w:spacing w:line="360" w:lineRule="auto"/>
              <w:rPr>
                <w:rFonts w:hint="eastAsia" w:ascii="宋体" w:hAnsi="宋体" w:eastAsia="宋体" w:cs="宋体"/>
                <w:color w:val="auto"/>
                <w:szCs w:val="21"/>
                <w:lang w:eastAsia="zh-CN"/>
              </w:rPr>
            </w:pPr>
            <w:r>
              <w:rPr>
                <w:rFonts w:hint="eastAsia" w:ascii="宋体" w:hAnsi="宋体" w:cs="宋体"/>
                <w:color w:val="auto"/>
                <w:szCs w:val="21"/>
              </w:rPr>
              <w:t>31、 显示屏可显示发射器电池电量</w:t>
            </w:r>
            <w:r>
              <w:rPr>
                <w:rFonts w:hint="eastAsia" w:ascii="宋体" w:hAnsi="宋体" w:cs="宋体"/>
                <w:color w:val="auto"/>
                <w:szCs w:val="21"/>
                <w:lang w:eastAsia="zh-CN"/>
              </w:rPr>
              <w:t>。</w:t>
            </w:r>
          </w:p>
          <w:p w14:paraId="1D6B66C9">
            <w:pPr>
              <w:spacing w:line="360" w:lineRule="auto"/>
              <w:rPr>
                <w:rFonts w:hint="eastAsia" w:ascii="宋体" w:hAnsi="宋体" w:eastAsia="宋体" w:cs="宋体"/>
                <w:color w:val="auto"/>
                <w:szCs w:val="21"/>
                <w:lang w:eastAsia="zh-CN"/>
              </w:rPr>
            </w:pPr>
            <w:r>
              <w:rPr>
                <w:rFonts w:hint="eastAsia" w:ascii="宋体" w:hAnsi="宋体" w:cs="宋体"/>
                <w:color w:val="auto"/>
                <w:szCs w:val="21"/>
              </w:rPr>
              <w:t>32、 S/N信噪比：≥105dB</w:t>
            </w:r>
            <w:r>
              <w:rPr>
                <w:rFonts w:hint="eastAsia" w:ascii="宋体" w:hAnsi="宋体" w:cs="宋体"/>
                <w:color w:val="auto"/>
                <w:szCs w:val="21"/>
                <w:lang w:eastAsia="zh-CN"/>
              </w:rPr>
              <w:t>。</w:t>
            </w:r>
          </w:p>
          <w:p w14:paraId="619F52A5">
            <w:pPr>
              <w:spacing w:line="360" w:lineRule="auto"/>
              <w:rPr>
                <w:rFonts w:hint="eastAsia" w:ascii="宋体" w:hAnsi="宋体" w:eastAsia="宋体" w:cs="宋体"/>
                <w:color w:val="auto"/>
                <w:szCs w:val="21"/>
                <w:lang w:eastAsia="zh-CN"/>
              </w:rPr>
            </w:pPr>
            <w:r>
              <w:rPr>
                <w:rFonts w:hint="eastAsia" w:ascii="宋体" w:hAnsi="宋体" w:cs="宋体"/>
                <w:color w:val="auto"/>
                <w:szCs w:val="21"/>
              </w:rPr>
              <w:t>33、工作频率：500-950MHz</w:t>
            </w:r>
            <w:r>
              <w:rPr>
                <w:rFonts w:hint="eastAsia" w:ascii="宋体" w:hAnsi="宋体" w:cs="宋体"/>
                <w:color w:val="auto"/>
                <w:szCs w:val="21"/>
                <w:lang w:eastAsia="zh-CN"/>
              </w:rPr>
              <w:t>。</w:t>
            </w:r>
          </w:p>
          <w:p w14:paraId="624E7E10">
            <w:pPr>
              <w:spacing w:line="360" w:lineRule="auto"/>
              <w:rPr>
                <w:rFonts w:hint="eastAsia" w:ascii="宋体" w:hAnsi="宋体" w:eastAsia="宋体" w:cs="宋体"/>
                <w:color w:val="auto"/>
                <w:szCs w:val="21"/>
                <w:lang w:eastAsia="zh-CN"/>
              </w:rPr>
            </w:pPr>
            <w:r>
              <w:rPr>
                <w:rFonts w:hint="eastAsia" w:ascii="宋体" w:hAnsi="宋体" w:cs="宋体"/>
                <w:color w:val="auto"/>
                <w:szCs w:val="21"/>
              </w:rPr>
              <w:t>34、 T.H.D失真：≤0.5%</w:t>
            </w:r>
            <w:r>
              <w:rPr>
                <w:rFonts w:hint="eastAsia" w:ascii="宋体" w:hAnsi="宋体" w:cs="宋体"/>
                <w:color w:val="auto"/>
                <w:szCs w:val="21"/>
                <w:lang w:eastAsia="zh-CN"/>
              </w:rPr>
              <w:t>。</w:t>
            </w:r>
          </w:p>
          <w:p w14:paraId="64ACDE0F">
            <w:pPr>
              <w:spacing w:line="360" w:lineRule="auto"/>
              <w:rPr>
                <w:rFonts w:hint="eastAsia" w:ascii="宋体" w:hAnsi="宋体" w:eastAsia="宋体" w:cs="宋体"/>
                <w:color w:val="auto"/>
                <w:szCs w:val="21"/>
                <w:lang w:eastAsia="zh-CN"/>
              </w:rPr>
            </w:pPr>
            <w:r>
              <w:rPr>
                <w:rFonts w:hint="eastAsia" w:ascii="宋体" w:hAnsi="宋体" w:cs="宋体"/>
                <w:color w:val="auto"/>
                <w:szCs w:val="21"/>
              </w:rPr>
              <w:t>35、 频率响应：40Hz-18KHz</w:t>
            </w:r>
            <w:r>
              <w:rPr>
                <w:rFonts w:hint="eastAsia" w:ascii="宋体" w:hAnsi="宋体" w:cs="宋体"/>
                <w:color w:val="auto"/>
                <w:szCs w:val="21"/>
                <w:lang w:eastAsia="zh-CN"/>
              </w:rPr>
              <w:t>。</w:t>
            </w:r>
          </w:p>
          <w:p w14:paraId="0FA232EB">
            <w:pPr>
              <w:spacing w:line="360" w:lineRule="auto"/>
              <w:rPr>
                <w:rFonts w:hint="eastAsia" w:ascii="宋体" w:hAnsi="宋体" w:cs="宋体"/>
                <w:color w:val="auto"/>
                <w:szCs w:val="21"/>
              </w:rPr>
            </w:pPr>
            <w:r>
              <w:rPr>
                <w:rFonts w:hint="eastAsia" w:ascii="宋体" w:hAnsi="宋体" w:cs="宋体"/>
                <w:color w:val="auto"/>
                <w:szCs w:val="21"/>
              </w:rPr>
              <w:t>36、 杂讯锁定静噪控制+音码导航锁定静噪控制。</w:t>
            </w:r>
          </w:p>
          <w:p w14:paraId="7E7E1CD6">
            <w:pPr>
              <w:spacing w:line="360" w:lineRule="auto"/>
              <w:rPr>
                <w:rFonts w:hint="eastAsia" w:ascii="宋体" w:hAnsi="宋体" w:cs="宋体"/>
                <w:color w:val="auto"/>
                <w:szCs w:val="21"/>
              </w:rPr>
            </w:pPr>
            <w:r>
              <w:rPr>
                <w:rFonts w:hint="eastAsia" w:ascii="宋体" w:hAnsi="宋体" w:cs="宋体"/>
                <w:color w:val="auto"/>
                <w:szCs w:val="21"/>
              </w:rPr>
              <w:t>37、电池型式：5号(AA)碱性电池×2。</w:t>
            </w:r>
          </w:p>
          <w:p w14:paraId="2E58B9F5">
            <w:pPr>
              <w:spacing w:line="360" w:lineRule="auto"/>
              <w:rPr>
                <w:rFonts w:hint="eastAsia" w:ascii="宋体" w:hAnsi="宋体" w:cs="宋体"/>
                <w:color w:val="auto"/>
                <w:szCs w:val="21"/>
              </w:rPr>
            </w:pPr>
            <w:r>
              <w:rPr>
                <w:rFonts w:hint="eastAsia" w:ascii="宋体" w:hAnsi="宋体" w:cs="宋体"/>
                <w:color w:val="auto"/>
                <w:szCs w:val="21"/>
              </w:rPr>
              <w:t>38、电池寿命：≥30mWh，可使用≥8个小时。</w:t>
            </w:r>
          </w:p>
        </w:tc>
        <w:tc>
          <w:tcPr>
            <w:tcW w:w="589" w:type="pct"/>
            <w:vAlign w:val="center"/>
          </w:tcPr>
          <w:p w14:paraId="06BF3B83">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1012.00</w:t>
            </w:r>
          </w:p>
        </w:tc>
      </w:tr>
      <w:tr w14:paraId="1A44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D3EB9CA">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25</w:t>
            </w:r>
          </w:p>
        </w:tc>
        <w:tc>
          <w:tcPr>
            <w:tcW w:w="358" w:type="pct"/>
            <w:gridSpan w:val="2"/>
            <w:vAlign w:val="center"/>
          </w:tcPr>
          <w:p w14:paraId="678F8F4C">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无线头戴话筒</w:t>
            </w:r>
          </w:p>
        </w:tc>
        <w:tc>
          <w:tcPr>
            <w:tcW w:w="239" w:type="pct"/>
            <w:vAlign w:val="center"/>
          </w:tcPr>
          <w:p w14:paraId="6235DCD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253" w:type="pct"/>
            <w:vAlign w:val="center"/>
          </w:tcPr>
          <w:p w14:paraId="658AEBF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套</w:t>
            </w:r>
          </w:p>
        </w:tc>
        <w:tc>
          <w:tcPr>
            <w:tcW w:w="780" w:type="pct"/>
            <w:shd w:val="clear" w:color="auto" w:fill="auto"/>
            <w:vAlign w:val="center"/>
          </w:tcPr>
          <w:p w14:paraId="68FAD4F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67715" cy="402590"/>
                  <wp:effectExtent l="0" t="0" r="13335" b="16510"/>
                  <wp:docPr id="53"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descr="IMG_256"/>
                          <pic:cNvPicPr>
                            <a:picLocks noChangeAspect="1"/>
                          </pic:cNvPicPr>
                        </pic:nvPicPr>
                        <pic:blipFill>
                          <a:blip r:embed="rId30"/>
                          <a:stretch>
                            <a:fillRect/>
                          </a:stretch>
                        </pic:blipFill>
                        <pic:spPr>
                          <a:xfrm>
                            <a:off x="0" y="0"/>
                            <a:ext cx="767715" cy="402590"/>
                          </a:xfrm>
                          <a:prstGeom prst="rect">
                            <a:avLst/>
                          </a:prstGeom>
                          <a:noFill/>
                          <a:ln w="9525">
                            <a:noFill/>
                          </a:ln>
                        </pic:spPr>
                      </pic:pic>
                    </a:graphicData>
                  </a:graphic>
                </wp:inline>
              </w:drawing>
            </w:r>
          </w:p>
        </w:tc>
        <w:tc>
          <w:tcPr>
            <w:tcW w:w="2524" w:type="pct"/>
            <w:vAlign w:val="center"/>
          </w:tcPr>
          <w:p w14:paraId="3CAE461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1、数字LCD显示屏,清晰明确地显示接收机与发射机的实时工作状态。</w:t>
            </w:r>
          </w:p>
          <w:p w14:paraId="0BEB919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2、采用专业级音频压缩-扩展技术。</w:t>
            </w:r>
          </w:p>
          <w:p w14:paraId="77B5737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3、应用PLL射频稳定技术。</w:t>
            </w:r>
          </w:p>
          <w:p w14:paraId="6C24624D">
            <w:pPr>
              <w:spacing w:line="360" w:lineRule="auto"/>
              <w:rPr>
                <w:rFonts w:hint="eastAsia" w:ascii="宋体" w:hAnsi="宋体" w:cs="宋体"/>
                <w:color w:val="auto"/>
                <w:szCs w:val="21"/>
                <w:highlight w:val="none"/>
                <w:lang w:eastAsia="zh-CN"/>
              </w:rPr>
            </w:pPr>
            <w:r>
              <w:rPr>
                <w:rFonts w:hint="eastAsia" w:ascii="宋体" w:hAnsi="宋体" w:cs="宋体"/>
                <w:color w:val="auto"/>
                <w:szCs w:val="21"/>
                <w:highlight w:val="none"/>
              </w:rPr>
              <w:t>4、具有独立的输出(XLR)和混合(q6.3mm)输出</w:t>
            </w:r>
            <w:r>
              <w:rPr>
                <w:rFonts w:hint="eastAsia" w:ascii="宋体" w:hAnsi="宋体" w:cs="宋体"/>
                <w:color w:val="auto"/>
                <w:szCs w:val="21"/>
                <w:highlight w:val="none"/>
                <w:lang w:eastAsia="zh-CN"/>
              </w:rPr>
              <w:t>。</w:t>
            </w:r>
          </w:p>
          <w:p w14:paraId="284AFB5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5、红外线对频、发射器可以互换。</w:t>
            </w:r>
          </w:p>
          <w:p w14:paraId="52BF839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6、平衡和非平衡两种选择输出端口，适应不同的设备连接需求。</w:t>
            </w:r>
          </w:p>
          <w:p w14:paraId="4D4AB7F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7、能有效抑制由外部带来的噪音干扰及同频干扰</w:t>
            </w:r>
          </w:p>
          <w:p w14:paraId="47B7D4D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8、接收机频道数：二频道。</w:t>
            </w:r>
          </w:p>
          <w:p w14:paraId="073F7E3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9、接收方式：CPU控制自动选讯。</w:t>
            </w:r>
          </w:p>
          <w:p w14:paraId="3667596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10、接收频率震荡模式：PLL锁相环回路。</w:t>
            </w:r>
          </w:p>
          <w:p w14:paraId="54FF1B1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11、载波频段：UHF 640-690MHz (可使用的频率取决于当地的规定)。</w:t>
            </w:r>
          </w:p>
          <w:p w14:paraId="633C54F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12、频率配对：-键红外对频设定。</w:t>
            </w:r>
          </w:p>
          <w:p w14:paraId="2CD2DE9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13、频率稳定度：s +0.005%(-10～60℃)。</w:t>
            </w:r>
          </w:p>
          <w:p w14:paraId="4047BEC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14、动态范围：≥100dB。</w:t>
            </w:r>
          </w:p>
          <w:p w14:paraId="623FFDE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15、最大频偏：+45KHz。</w:t>
            </w:r>
          </w:p>
          <w:p w14:paraId="605F027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16、灵敏度：12dBuV (80dBS/N)。</w:t>
            </w:r>
          </w:p>
          <w:p w14:paraId="26857BD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17、功能显示方式：数字LCD显示。</w:t>
            </w:r>
          </w:p>
          <w:p w14:paraId="65B5615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18、音头：动圈式手持麦克风。</w:t>
            </w:r>
          </w:p>
          <w:p w14:paraId="28795CA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19、电容式：鹅颈会议麦克风/领夹麦克风/头戴麦克风频率震荡。</w:t>
            </w:r>
          </w:p>
          <w:p w14:paraId="19FF85D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20、模式：PLL锁相环回路。</w:t>
            </w:r>
          </w:p>
          <w:p w14:paraId="7A0DBF0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21、载波频段：UHF 640～690MHz。</w:t>
            </w:r>
          </w:p>
          <w:p w14:paraId="03AC9E6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22、频带宽度：50MHz。</w:t>
            </w:r>
          </w:p>
          <w:p w14:paraId="7AA9F6A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23、RF输出：10mW～15mW。</w:t>
            </w:r>
          </w:p>
          <w:p w14:paraId="12BADEB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24、假象干扰比：≤-50dBC。</w:t>
            </w:r>
          </w:p>
          <w:p w14:paraId="76ED8B4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25、镜像抑制：≥50dB。</w:t>
            </w:r>
          </w:p>
          <w:p w14:paraId="3920D26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26、调制频偏：≥25Hz</w:t>
            </w:r>
          </w:p>
          <w:p w14:paraId="64FA90E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27、离散抑制：≥60dB</w:t>
            </w:r>
          </w:p>
          <w:p w14:paraId="35B3B11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28、OLED显示：频道、频率、电量显示。</w:t>
            </w:r>
          </w:p>
          <w:p w14:paraId="3CEC1FE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29、频道转换方式：自动对频。</w:t>
            </w:r>
          </w:p>
          <w:p w14:paraId="5C1DAD0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30、电池型式：5号(AA)碱性电池×2。</w:t>
            </w:r>
          </w:p>
          <w:p w14:paraId="59D4198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31、电池寿命：≥30mWh，可使用≥8个小时。</w:t>
            </w:r>
          </w:p>
        </w:tc>
        <w:tc>
          <w:tcPr>
            <w:tcW w:w="589" w:type="pct"/>
            <w:vAlign w:val="center"/>
          </w:tcPr>
          <w:p w14:paraId="7FF67E16">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700.00</w:t>
            </w:r>
          </w:p>
        </w:tc>
      </w:tr>
      <w:tr w14:paraId="2887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2BE753DC">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26</w:t>
            </w:r>
          </w:p>
        </w:tc>
        <w:tc>
          <w:tcPr>
            <w:tcW w:w="358" w:type="pct"/>
            <w:gridSpan w:val="2"/>
            <w:vAlign w:val="center"/>
          </w:tcPr>
          <w:p w14:paraId="0EBEA078">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音频处理器</w:t>
            </w:r>
          </w:p>
        </w:tc>
        <w:tc>
          <w:tcPr>
            <w:tcW w:w="239" w:type="pct"/>
            <w:vAlign w:val="center"/>
          </w:tcPr>
          <w:p w14:paraId="46515AC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253" w:type="pct"/>
            <w:vAlign w:val="center"/>
          </w:tcPr>
          <w:p w14:paraId="3CE5CE2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套</w:t>
            </w:r>
          </w:p>
        </w:tc>
        <w:tc>
          <w:tcPr>
            <w:tcW w:w="780" w:type="pct"/>
            <w:shd w:val="clear" w:color="auto" w:fill="auto"/>
            <w:vAlign w:val="center"/>
          </w:tcPr>
          <w:p w14:paraId="4A73FA0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80720" cy="134620"/>
                  <wp:effectExtent l="0" t="0" r="5080" b="17780"/>
                  <wp:docPr id="5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descr="IMG_256"/>
                          <pic:cNvPicPr>
                            <a:picLocks noChangeAspect="1"/>
                          </pic:cNvPicPr>
                        </pic:nvPicPr>
                        <pic:blipFill>
                          <a:blip r:embed="rId25"/>
                          <a:stretch>
                            <a:fillRect/>
                          </a:stretch>
                        </pic:blipFill>
                        <pic:spPr>
                          <a:xfrm>
                            <a:off x="0" y="0"/>
                            <a:ext cx="680720" cy="134620"/>
                          </a:xfrm>
                          <a:prstGeom prst="rect">
                            <a:avLst/>
                          </a:prstGeom>
                          <a:noFill/>
                          <a:ln w="9525">
                            <a:noFill/>
                          </a:ln>
                        </pic:spPr>
                      </pic:pic>
                    </a:graphicData>
                  </a:graphic>
                </wp:inline>
              </w:drawing>
            </w:r>
          </w:p>
        </w:tc>
        <w:tc>
          <w:tcPr>
            <w:tcW w:w="2524" w:type="pct"/>
            <w:vAlign w:val="center"/>
          </w:tcPr>
          <w:p w14:paraId="469F3BE7">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1、适用于各种场合，现场演出和厅堂扩声均可以实现优异的音质和音色，采用DSP技术的高性能专业音频处理器</w:t>
            </w:r>
          </w:p>
          <w:p w14:paraId="56FB15C9">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提供≥2路平衡输入，≥4路平衡输出。</w:t>
            </w:r>
          </w:p>
          <w:p w14:paraId="3576CB3F">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2、分频、EQ、压限、延时、信号发生器、矩阵混音等功能。</w:t>
            </w:r>
          </w:p>
          <w:p w14:paraId="0585CB10">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3、输入、输出每通道提供≥10段PEQ和高低通。</w:t>
            </w:r>
          </w:p>
          <w:p w14:paraId="6F15874A">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4、输入、输出每通道提供长达≥500ms的延时设置。</w:t>
            </w:r>
          </w:p>
          <w:p w14:paraId="2E6E2E5B">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5、提供网口、RS-485、和USB端口实现完善的连接管理功能。</w:t>
            </w:r>
          </w:p>
          <w:p w14:paraId="3DC6E02B">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6、设备提供信号发生器：正弦、粉噪、白噪。</w:t>
            </w:r>
          </w:p>
          <w:p w14:paraId="78F74A07">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7、采用≥1.77寸IPS真彩屏。                                                                                                                                                                          8、全显示屏上面全中文界面显示。                                                                                                                                                                       9、面板一键飞梭功能：                                                                                                                                                                               （1）通过面板一键飞梭功能控制设备路由任意切换、混音。                                                                                                                                                       （2）通过面板一键飞梭功能控制设备输入输出任意通道的静音开启和关闭。                                                                                                                         10、上位机软件全中文界面，技术员操作无任何文字障碍。                                                                                                                                                        </w:t>
            </w:r>
          </w:p>
          <w:p w14:paraId="20D5FC7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11、DSP芯片：信号处理采用 32-bit fixed/floating-point DSP。 </w:t>
            </w:r>
          </w:p>
          <w:p w14:paraId="598F6A19">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12、音频系统延迟：≤2ms。 </w:t>
            </w:r>
          </w:p>
          <w:p w14:paraId="48BFF010">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13、数模转换：≥24-bit。 </w:t>
            </w:r>
          </w:p>
          <w:p w14:paraId="2A7A6F2D">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14、采样率：≥96kHz。</w:t>
            </w:r>
          </w:p>
          <w:p w14:paraId="3C481898">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15、输入通道有 2、3、4路几个类别。</w:t>
            </w:r>
          </w:p>
          <w:p w14:paraId="59D023DE">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16、音频接口：XLR。 </w:t>
            </w:r>
          </w:p>
          <w:p w14:paraId="79F6C47B">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17、输入阻抗：10kΩ。 </w:t>
            </w:r>
          </w:p>
          <w:p w14:paraId="30C9D438">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18、最大输入电平：14dBu。 </w:t>
            </w:r>
          </w:p>
          <w:p w14:paraId="5E9B4B5B">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19、输入通道延时：0 ～500ms每通道。 </w:t>
            </w:r>
          </w:p>
          <w:p w14:paraId="0E816634">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20、功能 噪声门、压缩器、滤波器、HPF、LPF、7PEQs。 </w:t>
            </w:r>
          </w:p>
          <w:p w14:paraId="0039507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21、信号发生器 正弦、粉噪、白噪。 </w:t>
            </w:r>
          </w:p>
          <w:p w14:paraId="4FD3F283">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22、输出接口有4路、6路、8路几个类型。 </w:t>
            </w:r>
          </w:p>
          <w:p w14:paraId="4048B3B6">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23、输出阻抗 100Ω。 </w:t>
            </w:r>
          </w:p>
          <w:p w14:paraId="6D115763">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24、最大输出电平：+14dBu。 </w:t>
            </w:r>
          </w:p>
          <w:p w14:paraId="28ACD132">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25、输出通道延时：0～500ms 每通道。 </w:t>
            </w:r>
          </w:p>
          <w:p w14:paraId="191726D4">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26、频率响应：20～20k Hz ±1dB。 </w:t>
            </w:r>
          </w:p>
          <w:p w14:paraId="55EC804B">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27、总谐波失真：＜0.003% THD+N @1kHz。 </w:t>
            </w:r>
          </w:p>
          <w:p w14:paraId="0BFE8AF8">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28、信噪比≥112dB@A计权，≥110dB@不计权。 </w:t>
            </w:r>
          </w:p>
          <w:p w14:paraId="5FE36326">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29、本底噪声：＜-93dB。 </w:t>
            </w:r>
          </w:p>
          <w:p w14:paraId="0DD1B26B">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30、通道串音：＜-100dB @1kHz。 </w:t>
            </w:r>
          </w:p>
          <w:p w14:paraId="6864B123">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31、上位机接口：RJ-45网口，USB口：RS-485。 </w:t>
            </w:r>
          </w:p>
          <w:p w14:paraId="188A3960">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32、显示屏：≥1.77寸IPS彩屏。 </w:t>
            </w:r>
          </w:p>
          <w:p w14:paraId="017A204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32、指示灯：输入输出音频信号、输出禁音、CLIP。 </w:t>
            </w:r>
          </w:p>
          <w:p w14:paraId="106FF495">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33、电源要求：AC 220V-50Hz。 </w:t>
            </w:r>
          </w:p>
          <w:p w14:paraId="4D078500">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34、尺寸（约）：482×44.5×265mm。 </w:t>
            </w:r>
          </w:p>
          <w:p w14:paraId="526E937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35、工作温度 -10℃～+60℃。</w:t>
            </w:r>
          </w:p>
        </w:tc>
        <w:tc>
          <w:tcPr>
            <w:tcW w:w="589" w:type="pct"/>
            <w:vAlign w:val="center"/>
          </w:tcPr>
          <w:p w14:paraId="5AC9CB43">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2200.00</w:t>
            </w:r>
          </w:p>
        </w:tc>
      </w:tr>
      <w:tr w14:paraId="3F67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211C67C7">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27</w:t>
            </w:r>
          </w:p>
        </w:tc>
        <w:tc>
          <w:tcPr>
            <w:tcW w:w="358" w:type="pct"/>
            <w:gridSpan w:val="2"/>
            <w:vAlign w:val="center"/>
          </w:tcPr>
          <w:p w14:paraId="53029419">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扩音箱</w:t>
            </w:r>
          </w:p>
        </w:tc>
        <w:tc>
          <w:tcPr>
            <w:tcW w:w="239" w:type="pct"/>
            <w:vAlign w:val="center"/>
          </w:tcPr>
          <w:p w14:paraId="5762EB2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w:t>
            </w:r>
          </w:p>
        </w:tc>
        <w:tc>
          <w:tcPr>
            <w:tcW w:w="253" w:type="pct"/>
            <w:vAlign w:val="center"/>
          </w:tcPr>
          <w:p w14:paraId="15DB565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台</w:t>
            </w:r>
          </w:p>
        </w:tc>
        <w:tc>
          <w:tcPr>
            <w:tcW w:w="780" w:type="pct"/>
            <w:shd w:val="clear" w:color="auto" w:fill="auto"/>
            <w:vAlign w:val="center"/>
          </w:tcPr>
          <w:p w14:paraId="44C59F0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47395" cy="466090"/>
                  <wp:effectExtent l="0" t="0" r="14605" b="10160"/>
                  <wp:docPr id="5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descr="IMG_256"/>
                          <pic:cNvPicPr>
                            <a:picLocks noChangeAspect="1"/>
                          </pic:cNvPicPr>
                        </pic:nvPicPr>
                        <pic:blipFill>
                          <a:blip r:embed="rId31"/>
                          <a:stretch>
                            <a:fillRect/>
                          </a:stretch>
                        </pic:blipFill>
                        <pic:spPr>
                          <a:xfrm>
                            <a:off x="0" y="0"/>
                            <a:ext cx="747395" cy="466090"/>
                          </a:xfrm>
                          <a:prstGeom prst="rect">
                            <a:avLst/>
                          </a:prstGeom>
                          <a:noFill/>
                          <a:ln w="9525">
                            <a:noFill/>
                          </a:ln>
                        </pic:spPr>
                      </pic:pic>
                    </a:graphicData>
                  </a:graphic>
                </wp:inline>
              </w:drawing>
            </w:r>
          </w:p>
        </w:tc>
        <w:tc>
          <w:tcPr>
            <w:tcW w:w="2524" w:type="pct"/>
            <w:vAlign w:val="center"/>
          </w:tcPr>
          <w:p w14:paraId="5551909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1、系统 System2-WAY FULL RANGE。</w:t>
            </w:r>
          </w:p>
          <w:p w14:paraId="01BA148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2、频率范围：57HZ～18KHZ。</w:t>
            </w:r>
          </w:p>
          <w:p w14:paraId="2886A97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3、单元配置：LF:8"×1，HF:3"×2。</w:t>
            </w:r>
          </w:p>
          <w:p w14:paraId="02C8D3B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4、阻抗：8Ω。</w:t>
            </w:r>
          </w:p>
          <w:p w14:paraId="177F561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5、灵敏度（1W@1m）≥91dB。</w:t>
            </w:r>
          </w:p>
          <w:p w14:paraId="55E691E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6、额定功率：80W。</w:t>
            </w:r>
          </w:p>
          <w:p w14:paraId="40E81F4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7、最大功率：160W。</w:t>
            </w:r>
          </w:p>
          <w:p w14:paraId="4EE39D7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8、最大声压114DB。</w:t>
            </w:r>
          </w:p>
          <w:p w14:paraId="5AC4858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9、箱体 ：约12mm中纤。</w:t>
            </w:r>
          </w:p>
          <w:p w14:paraId="71042AD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10、表面处理：灰色PVC。</w:t>
            </w:r>
          </w:p>
          <w:p w14:paraId="2C164BC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11、外型尺寸（约）：514L×277D×295Hmm。</w:t>
            </w:r>
          </w:p>
        </w:tc>
        <w:tc>
          <w:tcPr>
            <w:tcW w:w="589" w:type="pct"/>
            <w:vAlign w:val="center"/>
          </w:tcPr>
          <w:p w14:paraId="5D171573">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600.00</w:t>
            </w:r>
          </w:p>
        </w:tc>
      </w:tr>
      <w:tr w14:paraId="4548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2EDD3A3D">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28</w:t>
            </w:r>
          </w:p>
        </w:tc>
        <w:tc>
          <w:tcPr>
            <w:tcW w:w="358" w:type="pct"/>
            <w:gridSpan w:val="2"/>
            <w:vAlign w:val="center"/>
          </w:tcPr>
          <w:p w14:paraId="28CA86D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监控摄像</w:t>
            </w:r>
          </w:p>
        </w:tc>
        <w:tc>
          <w:tcPr>
            <w:tcW w:w="239" w:type="pct"/>
            <w:vAlign w:val="center"/>
          </w:tcPr>
          <w:p w14:paraId="78A9CBC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w:t>
            </w:r>
          </w:p>
        </w:tc>
        <w:tc>
          <w:tcPr>
            <w:tcW w:w="253" w:type="pct"/>
            <w:vAlign w:val="center"/>
          </w:tcPr>
          <w:p w14:paraId="6CDBAEF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780" w:type="pct"/>
            <w:shd w:val="clear" w:color="auto" w:fill="auto"/>
            <w:vAlign w:val="center"/>
          </w:tcPr>
          <w:p w14:paraId="2363137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90575" cy="869315"/>
                  <wp:effectExtent l="0" t="0" r="9525" b="6985"/>
                  <wp:docPr id="59"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descr="IMG_256"/>
                          <pic:cNvPicPr>
                            <a:picLocks noChangeAspect="1"/>
                          </pic:cNvPicPr>
                        </pic:nvPicPr>
                        <pic:blipFill>
                          <a:blip r:embed="rId32"/>
                          <a:stretch>
                            <a:fillRect/>
                          </a:stretch>
                        </pic:blipFill>
                        <pic:spPr>
                          <a:xfrm>
                            <a:off x="0" y="0"/>
                            <a:ext cx="790575" cy="869315"/>
                          </a:xfrm>
                          <a:prstGeom prst="rect">
                            <a:avLst/>
                          </a:prstGeom>
                          <a:noFill/>
                          <a:ln w="9525">
                            <a:noFill/>
                          </a:ln>
                        </pic:spPr>
                      </pic:pic>
                    </a:graphicData>
                  </a:graphic>
                </wp:inline>
              </w:drawing>
            </w:r>
          </w:p>
        </w:tc>
        <w:tc>
          <w:tcPr>
            <w:tcW w:w="2524" w:type="pct"/>
            <w:vAlign w:val="center"/>
          </w:tcPr>
          <w:p w14:paraId="7DD3592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1、≥3MP高清像素</w:t>
            </w:r>
            <w:r>
              <w:rPr>
                <w:rFonts w:hint="eastAsia" w:ascii="宋体" w:hAnsi="宋体" w:cs="宋体"/>
                <w:color w:val="auto"/>
                <w:szCs w:val="21"/>
                <w:highlight w:val="none"/>
                <w:lang w:eastAsia="zh-CN"/>
              </w:rPr>
              <w:t>，</w:t>
            </w:r>
            <w:r>
              <w:rPr>
                <w:rFonts w:hint="eastAsia" w:ascii="宋体" w:hAnsi="宋体" w:cs="宋体"/>
                <w:color w:val="auto"/>
                <w:szCs w:val="21"/>
                <w:highlight w:val="none"/>
              </w:rPr>
              <w:t>不需要网络的摄像机,</w:t>
            </w:r>
          </w:p>
          <w:p w14:paraId="548AA250">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2、终身免流量</w:t>
            </w:r>
            <w:r>
              <w:rPr>
                <w:rFonts w:hint="eastAsia" w:ascii="宋体" w:hAnsi="宋体" w:cs="宋体"/>
                <w:color w:val="auto"/>
                <w:szCs w:val="21"/>
                <w:highlight w:val="none"/>
                <w:lang w:eastAsia="zh-CN"/>
              </w:rPr>
              <w:t>，</w:t>
            </w:r>
            <w:r>
              <w:rPr>
                <w:rFonts w:hint="eastAsia" w:ascii="宋体" w:hAnsi="宋体" w:cs="宋体"/>
                <w:color w:val="auto"/>
                <w:szCs w:val="21"/>
                <w:highlight w:val="none"/>
              </w:rPr>
              <w:t>通电即用</w:t>
            </w:r>
            <w:r>
              <w:rPr>
                <w:rFonts w:hint="eastAsia" w:ascii="宋体" w:hAnsi="宋体" w:cs="宋体"/>
                <w:color w:val="auto"/>
                <w:szCs w:val="21"/>
                <w:highlight w:val="none"/>
                <w:lang w:eastAsia="zh-CN"/>
              </w:rPr>
              <w:t>。</w:t>
            </w:r>
          </w:p>
          <w:p w14:paraId="1AB181D2">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3、人形检测</w:t>
            </w:r>
            <w:r>
              <w:rPr>
                <w:rFonts w:hint="eastAsia" w:ascii="宋体" w:hAnsi="宋体" w:cs="宋体"/>
                <w:color w:val="auto"/>
                <w:szCs w:val="21"/>
                <w:highlight w:val="none"/>
                <w:lang w:eastAsia="zh-CN"/>
              </w:rPr>
              <w:t>、</w:t>
            </w:r>
            <w:r>
              <w:rPr>
                <w:rFonts w:hint="eastAsia" w:ascii="宋体" w:hAnsi="宋体" w:cs="宋体"/>
                <w:color w:val="auto"/>
                <w:szCs w:val="21"/>
                <w:highlight w:val="none"/>
              </w:rPr>
              <w:t>移动追踪</w:t>
            </w:r>
            <w:r>
              <w:rPr>
                <w:rFonts w:hint="eastAsia" w:ascii="宋体" w:hAnsi="宋体" w:cs="宋体"/>
                <w:color w:val="auto"/>
                <w:szCs w:val="21"/>
                <w:highlight w:val="none"/>
                <w:lang w:eastAsia="zh-CN"/>
              </w:rPr>
              <w:t>、</w:t>
            </w:r>
            <w:r>
              <w:rPr>
                <w:rFonts w:hint="eastAsia" w:ascii="宋体" w:hAnsi="宋体" w:cs="宋体"/>
                <w:color w:val="auto"/>
                <w:szCs w:val="21"/>
                <w:highlight w:val="none"/>
              </w:rPr>
              <w:t>移动侦测</w:t>
            </w:r>
            <w:r>
              <w:rPr>
                <w:rFonts w:hint="eastAsia" w:ascii="宋体" w:hAnsi="宋体" w:cs="宋体"/>
                <w:color w:val="auto"/>
                <w:szCs w:val="21"/>
                <w:highlight w:val="none"/>
                <w:lang w:eastAsia="zh-CN"/>
              </w:rPr>
              <w:t>、</w:t>
            </w:r>
            <w:r>
              <w:rPr>
                <w:rFonts w:hint="eastAsia" w:ascii="宋体" w:hAnsi="宋体" w:cs="宋体"/>
                <w:color w:val="auto"/>
                <w:szCs w:val="21"/>
                <w:highlight w:val="none"/>
              </w:rPr>
              <w:t>噪声检测</w:t>
            </w:r>
            <w:r>
              <w:rPr>
                <w:rFonts w:hint="eastAsia" w:ascii="宋体" w:hAnsi="宋体" w:cs="宋体"/>
                <w:color w:val="auto"/>
                <w:szCs w:val="21"/>
                <w:highlight w:val="none"/>
                <w:lang w:eastAsia="zh-CN"/>
              </w:rPr>
              <w:t>、</w:t>
            </w:r>
            <w:r>
              <w:rPr>
                <w:rFonts w:hint="eastAsia" w:ascii="宋体" w:hAnsi="宋体" w:cs="宋体"/>
                <w:color w:val="auto"/>
                <w:szCs w:val="21"/>
                <w:highlight w:val="none"/>
              </w:rPr>
              <w:t>区域报警</w:t>
            </w:r>
            <w:r>
              <w:rPr>
                <w:rFonts w:hint="eastAsia" w:ascii="宋体" w:hAnsi="宋体" w:cs="宋体"/>
                <w:color w:val="auto"/>
                <w:szCs w:val="21"/>
                <w:highlight w:val="none"/>
                <w:lang w:eastAsia="zh-CN"/>
              </w:rPr>
              <w:t>。</w:t>
            </w:r>
          </w:p>
          <w:p w14:paraId="7BA935FC">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4、预置点</w:t>
            </w:r>
            <w:r>
              <w:rPr>
                <w:rFonts w:hint="eastAsia" w:ascii="宋体" w:hAnsi="宋体" w:cs="宋体"/>
                <w:color w:val="auto"/>
                <w:szCs w:val="21"/>
                <w:highlight w:val="none"/>
                <w:lang w:eastAsia="zh-CN"/>
              </w:rPr>
              <w:t>设置、</w:t>
            </w:r>
            <w:r>
              <w:rPr>
                <w:rFonts w:hint="eastAsia" w:ascii="宋体" w:hAnsi="宋体" w:cs="宋体"/>
                <w:color w:val="auto"/>
                <w:szCs w:val="21"/>
                <w:highlight w:val="none"/>
              </w:rPr>
              <w:t>一键巡视</w:t>
            </w:r>
            <w:r>
              <w:rPr>
                <w:rFonts w:hint="eastAsia" w:ascii="宋体" w:hAnsi="宋体" w:cs="宋体"/>
                <w:color w:val="auto"/>
                <w:szCs w:val="21"/>
                <w:highlight w:val="none"/>
                <w:lang w:eastAsia="zh-CN"/>
              </w:rPr>
              <w:t>、</w:t>
            </w:r>
            <w:r>
              <w:rPr>
                <w:rFonts w:hint="eastAsia" w:ascii="宋体" w:hAnsi="宋体" w:cs="宋体"/>
                <w:color w:val="auto"/>
                <w:szCs w:val="21"/>
                <w:highlight w:val="none"/>
              </w:rPr>
              <w:t>定时巡视</w:t>
            </w:r>
            <w:r>
              <w:rPr>
                <w:rFonts w:hint="eastAsia" w:ascii="宋体" w:hAnsi="宋体" w:cs="宋体"/>
                <w:color w:val="auto"/>
                <w:szCs w:val="21"/>
                <w:highlight w:val="none"/>
                <w:lang w:eastAsia="zh-CN"/>
              </w:rPr>
              <w:t>。</w:t>
            </w:r>
          </w:p>
          <w:p w14:paraId="026AE252">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5、双向对讲</w:t>
            </w:r>
            <w:r>
              <w:rPr>
                <w:rFonts w:hint="eastAsia" w:ascii="宋体" w:hAnsi="宋体" w:cs="宋体"/>
                <w:color w:val="auto"/>
                <w:szCs w:val="21"/>
                <w:highlight w:val="none"/>
                <w:lang w:eastAsia="zh-CN"/>
              </w:rPr>
              <w:t>、</w:t>
            </w:r>
            <w:r>
              <w:rPr>
                <w:rFonts w:hint="eastAsia" w:ascii="宋体" w:hAnsi="宋体" w:cs="宋体"/>
                <w:color w:val="auto"/>
                <w:szCs w:val="21"/>
                <w:highlight w:val="none"/>
              </w:rPr>
              <w:t>隐私保护</w:t>
            </w:r>
            <w:r>
              <w:rPr>
                <w:rFonts w:hint="eastAsia" w:ascii="宋体" w:hAnsi="宋体" w:cs="宋体"/>
                <w:color w:val="auto"/>
                <w:szCs w:val="21"/>
                <w:highlight w:val="none"/>
                <w:lang w:eastAsia="zh-CN"/>
              </w:rPr>
              <w:t>、</w:t>
            </w:r>
            <w:r>
              <w:rPr>
                <w:rFonts w:hint="eastAsia" w:ascii="宋体" w:hAnsi="宋体" w:cs="宋体"/>
                <w:color w:val="auto"/>
                <w:szCs w:val="21"/>
                <w:highlight w:val="none"/>
              </w:rPr>
              <w:t>高级图像加密</w:t>
            </w:r>
            <w:r>
              <w:rPr>
                <w:rFonts w:hint="eastAsia" w:ascii="宋体" w:hAnsi="宋体" w:cs="宋体"/>
                <w:color w:val="auto"/>
                <w:szCs w:val="21"/>
                <w:highlight w:val="none"/>
                <w:lang w:eastAsia="zh-CN"/>
              </w:rPr>
              <w:t>。</w:t>
            </w:r>
          </w:p>
          <w:p w14:paraId="226D595D">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6、内置存储：≥</w:t>
            </w:r>
            <w:r>
              <w:rPr>
                <w:rFonts w:hint="eastAsia" w:ascii="宋体" w:hAnsi="宋体" w:cs="宋体"/>
                <w:color w:val="auto"/>
                <w:szCs w:val="21"/>
                <w:highlight w:val="none"/>
                <w:lang w:val="en-US" w:eastAsia="zh-CN"/>
              </w:rPr>
              <w:t>64</w:t>
            </w:r>
            <w:r>
              <w:rPr>
                <w:rFonts w:hint="eastAsia" w:ascii="宋体" w:hAnsi="宋体" w:cs="宋体"/>
                <w:color w:val="auto"/>
                <w:szCs w:val="21"/>
                <w:highlight w:val="none"/>
              </w:rPr>
              <w:t>GB</w:t>
            </w:r>
            <w:r>
              <w:rPr>
                <w:rFonts w:hint="eastAsia" w:ascii="宋体" w:hAnsi="宋体" w:cs="宋体"/>
                <w:color w:val="auto"/>
                <w:szCs w:val="21"/>
                <w:highlight w:val="none"/>
                <w:lang w:eastAsia="zh-CN"/>
              </w:rPr>
              <w:t>。</w:t>
            </w:r>
          </w:p>
          <w:p w14:paraId="1C212E12">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7、终身免费云存储</w:t>
            </w:r>
            <w:r>
              <w:rPr>
                <w:rFonts w:hint="eastAsia" w:ascii="宋体" w:hAnsi="宋体" w:cs="宋体"/>
                <w:color w:val="auto"/>
                <w:szCs w:val="21"/>
                <w:highlight w:val="none"/>
                <w:lang w:eastAsia="zh-CN"/>
              </w:rPr>
              <w:t>。</w:t>
            </w:r>
          </w:p>
          <w:p w14:paraId="0C0C92E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8、支持同时多人同时访问 分享设备无上限</w:t>
            </w:r>
            <w:r>
              <w:rPr>
                <w:rFonts w:hint="eastAsia" w:ascii="宋体" w:hAnsi="宋体" w:cs="宋体"/>
                <w:color w:val="auto"/>
                <w:szCs w:val="21"/>
                <w:highlight w:val="none"/>
                <w:lang w:eastAsia="zh-CN"/>
              </w:rPr>
              <w:t>。</w:t>
            </w:r>
          </w:p>
        </w:tc>
        <w:tc>
          <w:tcPr>
            <w:tcW w:w="589" w:type="pct"/>
            <w:vAlign w:val="center"/>
          </w:tcPr>
          <w:p w14:paraId="4975834E">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300.00</w:t>
            </w:r>
          </w:p>
        </w:tc>
      </w:tr>
      <w:tr w14:paraId="3596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2C4B7167">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29</w:t>
            </w:r>
          </w:p>
        </w:tc>
        <w:tc>
          <w:tcPr>
            <w:tcW w:w="358" w:type="pct"/>
            <w:gridSpan w:val="2"/>
            <w:vAlign w:val="center"/>
          </w:tcPr>
          <w:p w14:paraId="331D4F56">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客房电话机</w:t>
            </w:r>
          </w:p>
        </w:tc>
        <w:tc>
          <w:tcPr>
            <w:tcW w:w="239" w:type="pct"/>
            <w:vAlign w:val="center"/>
          </w:tcPr>
          <w:p w14:paraId="305DD50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60</w:t>
            </w:r>
          </w:p>
        </w:tc>
        <w:tc>
          <w:tcPr>
            <w:tcW w:w="253" w:type="pct"/>
            <w:vAlign w:val="center"/>
          </w:tcPr>
          <w:p w14:paraId="51D4249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台</w:t>
            </w:r>
          </w:p>
        </w:tc>
        <w:tc>
          <w:tcPr>
            <w:tcW w:w="780" w:type="pct"/>
            <w:shd w:val="clear" w:color="auto" w:fill="auto"/>
            <w:vAlign w:val="center"/>
          </w:tcPr>
          <w:p w14:paraId="364298E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590550" cy="457200"/>
                  <wp:effectExtent l="0" t="0" r="0" b="0"/>
                  <wp:docPr id="61"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9" descr="IMG_256"/>
                          <pic:cNvPicPr>
                            <a:picLocks noChangeAspect="1"/>
                          </pic:cNvPicPr>
                        </pic:nvPicPr>
                        <pic:blipFill>
                          <a:blip r:embed="rId33"/>
                          <a:stretch>
                            <a:fillRect/>
                          </a:stretch>
                        </pic:blipFill>
                        <pic:spPr>
                          <a:xfrm>
                            <a:off x="0" y="0"/>
                            <a:ext cx="590550" cy="457200"/>
                          </a:xfrm>
                          <a:prstGeom prst="rect">
                            <a:avLst/>
                          </a:prstGeom>
                          <a:noFill/>
                          <a:ln w="9525">
                            <a:noFill/>
                          </a:ln>
                        </pic:spPr>
                      </pic:pic>
                    </a:graphicData>
                  </a:graphic>
                </wp:inline>
              </w:drawing>
            </w:r>
          </w:p>
        </w:tc>
        <w:tc>
          <w:tcPr>
            <w:tcW w:w="2524" w:type="pct"/>
            <w:vAlign w:val="center"/>
          </w:tcPr>
          <w:p w14:paraId="51F8A1A1">
            <w:pPr>
              <w:spacing w:line="360" w:lineRule="auto"/>
              <w:rPr>
                <w:rFonts w:hint="eastAsia" w:ascii="宋体" w:hAnsi="宋体" w:cs="宋体"/>
                <w:color w:val="auto"/>
                <w:szCs w:val="21"/>
              </w:rPr>
            </w:pPr>
            <w:r>
              <w:rPr>
                <w:rFonts w:hint="eastAsia" w:ascii="宋体" w:hAnsi="宋体" w:cs="宋体"/>
                <w:color w:val="auto"/>
                <w:szCs w:val="21"/>
              </w:rPr>
              <w:t>高清免提通话，60S忙音自动挂机，免电池设计即插即用，一键转接，来电显示，支持静音免打扰设定，内置按键灯。</w:t>
            </w:r>
          </w:p>
        </w:tc>
        <w:tc>
          <w:tcPr>
            <w:tcW w:w="589" w:type="pct"/>
            <w:vAlign w:val="center"/>
          </w:tcPr>
          <w:p w14:paraId="1F7C17BD">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80.00</w:t>
            </w:r>
          </w:p>
        </w:tc>
      </w:tr>
      <w:tr w14:paraId="445C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51F64B0D">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30</w:t>
            </w:r>
          </w:p>
        </w:tc>
        <w:tc>
          <w:tcPr>
            <w:tcW w:w="358" w:type="pct"/>
            <w:gridSpan w:val="2"/>
            <w:vAlign w:val="center"/>
          </w:tcPr>
          <w:p w14:paraId="6C67079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吹风机（含袋子）</w:t>
            </w:r>
          </w:p>
        </w:tc>
        <w:tc>
          <w:tcPr>
            <w:tcW w:w="239" w:type="pct"/>
            <w:vAlign w:val="center"/>
          </w:tcPr>
          <w:p w14:paraId="0040ACA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60</w:t>
            </w:r>
          </w:p>
        </w:tc>
        <w:tc>
          <w:tcPr>
            <w:tcW w:w="253" w:type="pct"/>
            <w:vAlign w:val="center"/>
          </w:tcPr>
          <w:p w14:paraId="4A91DD3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780" w:type="pct"/>
            <w:shd w:val="clear" w:color="auto" w:fill="auto"/>
            <w:vAlign w:val="center"/>
          </w:tcPr>
          <w:p w14:paraId="3AD6034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74700" cy="560070"/>
                  <wp:effectExtent l="0" t="0" r="6350" b="11430"/>
                  <wp:docPr id="63"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descr="IMG_256"/>
                          <pic:cNvPicPr>
                            <a:picLocks noChangeAspect="1"/>
                          </pic:cNvPicPr>
                        </pic:nvPicPr>
                        <pic:blipFill>
                          <a:blip r:embed="rId34"/>
                          <a:stretch>
                            <a:fillRect/>
                          </a:stretch>
                        </pic:blipFill>
                        <pic:spPr>
                          <a:xfrm>
                            <a:off x="0" y="0"/>
                            <a:ext cx="774700" cy="560070"/>
                          </a:xfrm>
                          <a:prstGeom prst="rect">
                            <a:avLst/>
                          </a:prstGeom>
                          <a:noFill/>
                          <a:ln w="9525">
                            <a:noFill/>
                          </a:ln>
                        </pic:spPr>
                      </pic:pic>
                    </a:graphicData>
                  </a:graphic>
                </wp:inline>
              </w:drawing>
            </w:r>
          </w:p>
        </w:tc>
        <w:tc>
          <w:tcPr>
            <w:tcW w:w="2524" w:type="pct"/>
            <w:vAlign w:val="center"/>
          </w:tcPr>
          <w:p w14:paraId="3756FC1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1、手柄可折叠设计，内置高强度耐磨转轴，低音高速强劲大电机，涡轮增压，静音降噪机芯设计，智能恒温技术，保护头皮发肤，大功率大风力，双重回路过热保护，六重降噪优化。</w:t>
            </w:r>
          </w:p>
          <w:p w14:paraId="7C237CA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2、功率：1000W～1600W。 </w:t>
            </w:r>
          </w:p>
        </w:tc>
        <w:tc>
          <w:tcPr>
            <w:tcW w:w="589" w:type="pct"/>
            <w:vAlign w:val="center"/>
          </w:tcPr>
          <w:p w14:paraId="17DA6CBE">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70.00</w:t>
            </w:r>
          </w:p>
        </w:tc>
      </w:tr>
      <w:tr w14:paraId="378B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B50CA3B">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31</w:t>
            </w:r>
          </w:p>
        </w:tc>
        <w:tc>
          <w:tcPr>
            <w:tcW w:w="358" w:type="pct"/>
            <w:gridSpan w:val="2"/>
            <w:vAlign w:val="center"/>
          </w:tcPr>
          <w:p w14:paraId="5498AB3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枕套</w:t>
            </w:r>
          </w:p>
        </w:tc>
        <w:tc>
          <w:tcPr>
            <w:tcW w:w="239" w:type="pct"/>
            <w:vAlign w:val="center"/>
          </w:tcPr>
          <w:p w14:paraId="6CD53F7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300</w:t>
            </w:r>
          </w:p>
        </w:tc>
        <w:tc>
          <w:tcPr>
            <w:tcW w:w="253" w:type="pct"/>
            <w:vAlign w:val="center"/>
          </w:tcPr>
          <w:p w14:paraId="138D88D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780" w:type="pct"/>
            <w:shd w:val="clear" w:color="auto" w:fill="auto"/>
            <w:vAlign w:val="center"/>
          </w:tcPr>
          <w:p w14:paraId="04A8092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94385" cy="597535"/>
                  <wp:effectExtent l="0" t="0" r="5715" b="12065"/>
                  <wp:docPr id="65"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descr="IMG_256"/>
                          <pic:cNvPicPr>
                            <a:picLocks noChangeAspect="1"/>
                          </pic:cNvPicPr>
                        </pic:nvPicPr>
                        <pic:blipFill>
                          <a:blip r:embed="rId35"/>
                          <a:stretch>
                            <a:fillRect/>
                          </a:stretch>
                        </pic:blipFill>
                        <pic:spPr>
                          <a:xfrm>
                            <a:off x="0" y="0"/>
                            <a:ext cx="794385" cy="597535"/>
                          </a:xfrm>
                          <a:prstGeom prst="rect">
                            <a:avLst/>
                          </a:prstGeom>
                          <a:noFill/>
                          <a:ln w="9525">
                            <a:noFill/>
                          </a:ln>
                        </pic:spPr>
                      </pic:pic>
                    </a:graphicData>
                  </a:graphic>
                </wp:inline>
              </w:drawing>
            </w:r>
          </w:p>
        </w:tc>
        <w:tc>
          <w:tcPr>
            <w:tcW w:w="2524" w:type="pct"/>
            <w:vAlign w:val="center"/>
          </w:tcPr>
          <w:p w14:paraId="08EB9CA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1、符合 GB/T22796-2021《床上用品》检测标准，枕套色泽鲜亮，纱织密度高且均匀，耐磨不起球，不易褶皱，不褪色、不缩水，柔软、亲肤、吸汗、透气，四边缝线均匀，缝线密度≥13 针/3cm，无过敏、无异味、无甲醛、无致癌染料等有害化学物质残留，安全性高。</w:t>
            </w:r>
          </w:p>
          <w:p w14:paraId="5D12041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2、尺寸规格（约）：</w:t>
            </w:r>
            <w:r>
              <w:rPr>
                <w:rFonts w:hint="eastAsia" w:ascii="宋体" w:hAnsi="宋体" w:cs="宋体"/>
                <w:color w:val="auto"/>
                <w:szCs w:val="21"/>
                <w:highlight w:val="none"/>
                <w:lang w:val="en-US" w:eastAsia="zh-CN"/>
              </w:rPr>
              <w:t>53</w:t>
            </w:r>
            <w:r>
              <w:rPr>
                <w:rFonts w:hint="eastAsia" w:ascii="宋体" w:hAnsi="宋体" w:cs="宋体"/>
                <w:color w:val="auto"/>
                <w:szCs w:val="21"/>
                <w:highlight w:val="none"/>
              </w:rPr>
              <w:t>0×8</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0mm。</w:t>
            </w:r>
          </w:p>
          <w:p w14:paraId="5754973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3、枕套面料要求：</w:t>
            </w:r>
          </w:p>
          <w:p w14:paraId="726AA58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（1）纤维含量：棉100%。</w:t>
            </w:r>
          </w:p>
          <w:p w14:paraId="279EB3D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（2）甲醛（mg/kg）：≤20。</w:t>
            </w:r>
          </w:p>
          <w:p w14:paraId="30F6989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（3）PH 值：4.0～8.5。</w:t>
            </w:r>
          </w:p>
          <w:p w14:paraId="1C38B88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（4）耐皂洗色牢度（级）：≥4-5。</w:t>
            </w:r>
          </w:p>
          <w:p w14:paraId="1DEB62E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（5）起球（级）：≥4。</w:t>
            </w:r>
          </w:p>
          <w:p w14:paraId="7BE87F3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（6）异味：无。</w:t>
            </w:r>
          </w:p>
          <w:p w14:paraId="3498B99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（7）织物密度：经密（575±10）根/10cm，纬密：（315±10）根/10cm。</w:t>
            </w:r>
          </w:p>
          <w:p w14:paraId="3AB1752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（8）织物纱线密度：经纱（13.5±2）tex，纬纱（13.5±2）tex。</w:t>
            </w:r>
          </w:p>
          <w:p w14:paraId="31AF70F5">
            <w:pPr>
              <w:pStyle w:val="2"/>
              <w:ind w:firstLine="0"/>
              <w:rPr>
                <w:rFonts w:hint="default" w:eastAsia="宋体"/>
                <w:color w:val="auto"/>
                <w:highlight w:val="none"/>
                <w:lang w:val="en-US" w:eastAsia="zh-CN"/>
              </w:rPr>
            </w:pPr>
            <w:r>
              <w:rPr>
                <w:rFonts w:hint="eastAsia" w:ascii="宋体" w:hAnsi="宋体" w:cs="宋体"/>
                <w:color w:val="auto"/>
                <w:szCs w:val="21"/>
                <w:highlight w:val="none"/>
                <w:lang w:val="en-US" w:eastAsia="zh-CN"/>
              </w:rPr>
              <w:t>4、颜色要求：白色</w:t>
            </w:r>
          </w:p>
        </w:tc>
        <w:tc>
          <w:tcPr>
            <w:tcW w:w="589" w:type="pct"/>
            <w:vAlign w:val="center"/>
          </w:tcPr>
          <w:p w14:paraId="4B13C56B">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40.00</w:t>
            </w:r>
          </w:p>
        </w:tc>
      </w:tr>
      <w:tr w14:paraId="153E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72BF83D4">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32</w:t>
            </w:r>
          </w:p>
        </w:tc>
        <w:tc>
          <w:tcPr>
            <w:tcW w:w="358" w:type="pct"/>
            <w:gridSpan w:val="2"/>
            <w:vAlign w:val="center"/>
          </w:tcPr>
          <w:p w14:paraId="07E9B36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被套</w:t>
            </w:r>
          </w:p>
        </w:tc>
        <w:tc>
          <w:tcPr>
            <w:tcW w:w="239" w:type="pct"/>
            <w:vAlign w:val="center"/>
          </w:tcPr>
          <w:p w14:paraId="2BE18BA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300</w:t>
            </w:r>
          </w:p>
        </w:tc>
        <w:tc>
          <w:tcPr>
            <w:tcW w:w="253" w:type="pct"/>
            <w:vAlign w:val="center"/>
          </w:tcPr>
          <w:p w14:paraId="562CBE1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5BDBFA9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19150" cy="1066800"/>
                  <wp:effectExtent l="0" t="0" r="0" b="0"/>
                  <wp:docPr id="67"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descr="IMG_256"/>
                          <pic:cNvPicPr>
                            <a:picLocks noChangeAspect="1"/>
                          </pic:cNvPicPr>
                        </pic:nvPicPr>
                        <pic:blipFill>
                          <a:blip r:embed="rId36"/>
                          <a:stretch>
                            <a:fillRect/>
                          </a:stretch>
                        </pic:blipFill>
                        <pic:spPr>
                          <a:xfrm>
                            <a:off x="0" y="0"/>
                            <a:ext cx="819150" cy="1066800"/>
                          </a:xfrm>
                          <a:prstGeom prst="rect">
                            <a:avLst/>
                          </a:prstGeom>
                          <a:noFill/>
                          <a:ln w="9525">
                            <a:noFill/>
                          </a:ln>
                        </pic:spPr>
                      </pic:pic>
                    </a:graphicData>
                  </a:graphic>
                </wp:inline>
              </w:drawing>
            </w:r>
          </w:p>
        </w:tc>
        <w:tc>
          <w:tcPr>
            <w:tcW w:w="2524" w:type="pct"/>
            <w:vAlign w:val="center"/>
          </w:tcPr>
          <w:p w14:paraId="228F707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1、符合 GB/T22796-2021《床上用品》检测标准，被套色泽鲜亮，纱织密度高且均匀，耐磨不起球，不易褶皱，不褪色、不缩水，柔软、亲肤、吸汗、透气，四边缝线均匀，缝线密度≥13 针/3cm，无过敏、无异味、无甲醛、无致癌染料等有害化学物质残留，安全性高。</w:t>
            </w:r>
          </w:p>
          <w:p w14:paraId="1331042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2、尺寸规格（约）：适用于1.3米单人床布草使用规格。</w:t>
            </w:r>
          </w:p>
          <w:p w14:paraId="17EF16A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▲3、被套面料要求：</w:t>
            </w:r>
          </w:p>
          <w:p w14:paraId="7979D43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（1）纤维含量：棉100%。</w:t>
            </w:r>
          </w:p>
          <w:p w14:paraId="32FF889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（2）甲醛（mg/kg）：≤20。</w:t>
            </w:r>
          </w:p>
          <w:p w14:paraId="17015E6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（3）PH 值：4.0～8.5。</w:t>
            </w:r>
          </w:p>
          <w:p w14:paraId="41E781A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（4）耐皂洗色牢度（级）：≥4-5。</w:t>
            </w:r>
          </w:p>
          <w:p w14:paraId="4D73620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（5）起球（级）：≥4。</w:t>
            </w:r>
          </w:p>
          <w:p w14:paraId="3543956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（6）异味：无。</w:t>
            </w:r>
          </w:p>
          <w:p w14:paraId="42E3D12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（7）织物密度：经密（575±10）根/10cm，纬密：（315±10）根/10cm。</w:t>
            </w:r>
          </w:p>
          <w:p w14:paraId="5F9D752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（8）织物纱线密度：经纱（13.5±2）tex，纬纱（13.5±2）tex。</w:t>
            </w:r>
          </w:p>
          <w:p w14:paraId="3FE6341B">
            <w:pPr>
              <w:pStyle w:val="2"/>
              <w:ind w:firstLine="0"/>
              <w:rPr>
                <w:rFonts w:hint="default" w:eastAsia="宋体"/>
                <w:color w:val="auto"/>
                <w:highlight w:val="none"/>
                <w:lang w:val="en-US" w:eastAsia="zh-CN"/>
              </w:rPr>
            </w:pPr>
            <w:r>
              <w:rPr>
                <w:rFonts w:hint="eastAsia" w:ascii="宋体" w:hAnsi="宋体" w:cs="宋体"/>
                <w:color w:val="auto"/>
                <w:szCs w:val="21"/>
                <w:highlight w:val="none"/>
                <w:lang w:val="en-US" w:eastAsia="zh-CN"/>
              </w:rPr>
              <w:t>5、颜色要求：白色</w:t>
            </w:r>
          </w:p>
          <w:p w14:paraId="3161272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6、供货时须提供竞标人或者本次竞标货物生产厂家自2024年1月1日起被套面料经国家认可的质量检验部门的出具的具有CMA标识的面料检验报告原件，</w:t>
            </w:r>
            <w:r>
              <w:rPr>
                <w:rFonts w:hint="eastAsia" w:ascii="宋体" w:hAnsi="宋体" w:cs="宋体"/>
                <w:color w:val="auto"/>
                <w:szCs w:val="21"/>
                <w:highlight w:val="none"/>
              </w:rPr>
              <w:t>检测内容包括</w:t>
            </w:r>
            <w:r>
              <w:rPr>
                <w:rFonts w:hint="eastAsia" w:ascii="宋体" w:hAnsi="宋体" w:cs="宋体"/>
                <w:color w:val="auto"/>
                <w:szCs w:val="21"/>
                <w:highlight w:val="none"/>
                <w:lang w:val="en-US" w:eastAsia="zh-CN"/>
              </w:rPr>
              <w:t>上述</w:t>
            </w:r>
            <w:r>
              <w:rPr>
                <w:rFonts w:hint="eastAsia" w:ascii="宋体" w:hAnsi="宋体" w:cs="宋体"/>
                <w:color w:val="auto"/>
                <w:szCs w:val="21"/>
                <w:highlight w:val="none"/>
              </w:rPr>
              <w:t>第3项参数</w:t>
            </w:r>
            <w:r>
              <w:rPr>
                <w:rFonts w:hint="eastAsia" w:ascii="宋体" w:hAnsi="宋体" w:cs="宋体"/>
                <w:color w:val="auto"/>
                <w:szCs w:val="21"/>
                <w:highlight w:val="none"/>
                <w:lang w:eastAsia="zh-CN"/>
              </w:rPr>
              <w:t>，</w:t>
            </w:r>
            <w:r>
              <w:rPr>
                <w:rFonts w:hint="eastAsia" w:ascii="宋体" w:hAnsi="宋体" w:cs="宋体"/>
                <w:color w:val="auto"/>
                <w:szCs w:val="21"/>
                <w:highlight w:val="none"/>
              </w:rPr>
              <w:t>检验依据：GB/T22796-2021《床上用品》</w:t>
            </w:r>
            <w:r>
              <w:rPr>
                <w:rFonts w:hint="eastAsia" w:ascii="宋体" w:hAnsi="宋体" w:cs="宋体"/>
                <w:color w:val="auto"/>
                <w:szCs w:val="21"/>
                <w:highlight w:val="none"/>
                <w:lang w:eastAsia="zh-CN"/>
              </w:rPr>
              <w:t>。</w:t>
            </w:r>
          </w:p>
        </w:tc>
        <w:tc>
          <w:tcPr>
            <w:tcW w:w="589" w:type="pct"/>
            <w:vAlign w:val="center"/>
          </w:tcPr>
          <w:p w14:paraId="5E08D231">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110.00</w:t>
            </w:r>
          </w:p>
        </w:tc>
      </w:tr>
      <w:tr w14:paraId="7597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0AEF37F8">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33</w:t>
            </w:r>
          </w:p>
        </w:tc>
        <w:tc>
          <w:tcPr>
            <w:tcW w:w="358" w:type="pct"/>
            <w:gridSpan w:val="2"/>
            <w:vAlign w:val="center"/>
          </w:tcPr>
          <w:p w14:paraId="6AF47AFC">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床单</w:t>
            </w:r>
          </w:p>
        </w:tc>
        <w:tc>
          <w:tcPr>
            <w:tcW w:w="239" w:type="pct"/>
            <w:vAlign w:val="center"/>
          </w:tcPr>
          <w:p w14:paraId="4C660967">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300</w:t>
            </w:r>
          </w:p>
        </w:tc>
        <w:tc>
          <w:tcPr>
            <w:tcW w:w="253" w:type="pct"/>
            <w:vAlign w:val="center"/>
          </w:tcPr>
          <w:p w14:paraId="05FDCC8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3D570CB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19150" cy="1066800"/>
                  <wp:effectExtent l="0" t="0" r="0" b="0"/>
                  <wp:docPr id="69"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descr="IMG_256"/>
                          <pic:cNvPicPr>
                            <a:picLocks noChangeAspect="1"/>
                          </pic:cNvPicPr>
                        </pic:nvPicPr>
                        <pic:blipFill>
                          <a:blip r:embed="rId36"/>
                          <a:stretch>
                            <a:fillRect/>
                          </a:stretch>
                        </pic:blipFill>
                        <pic:spPr>
                          <a:xfrm>
                            <a:off x="0" y="0"/>
                            <a:ext cx="819150" cy="1066800"/>
                          </a:xfrm>
                          <a:prstGeom prst="rect">
                            <a:avLst/>
                          </a:prstGeom>
                          <a:noFill/>
                          <a:ln w="9525">
                            <a:noFill/>
                          </a:ln>
                        </pic:spPr>
                      </pic:pic>
                    </a:graphicData>
                  </a:graphic>
                </wp:inline>
              </w:drawing>
            </w:r>
          </w:p>
        </w:tc>
        <w:tc>
          <w:tcPr>
            <w:tcW w:w="2524" w:type="pct"/>
            <w:vAlign w:val="center"/>
          </w:tcPr>
          <w:p w14:paraId="6C44702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1、符合 GB/T22796-2021《床上用品》检测标准，床单色泽鲜亮，纱织密度高且均匀，耐磨不起球，不易褶皱，不褪色、不缩水，柔软、亲肤、吸汗、透气，四边缝线均匀，缝线密度≥13 针/3cm，无过敏、无异味、无甲醛、无致癌染料等有害化学物质残留，安全性高。</w:t>
            </w:r>
          </w:p>
          <w:p w14:paraId="69B6CA9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2.尺寸规格：适用于1.3米单人床布草使用规格。</w:t>
            </w:r>
          </w:p>
          <w:p w14:paraId="5F4D85B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▲3、床单面料要求：</w:t>
            </w:r>
          </w:p>
          <w:p w14:paraId="31F4AFB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（1）纤维含量：棉100%。</w:t>
            </w:r>
          </w:p>
          <w:p w14:paraId="3F575D6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（2）甲醛（mg/kg）：≤20。</w:t>
            </w:r>
          </w:p>
          <w:p w14:paraId="1031971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（3）PH 值：4.0～8.5。</w:t>
            </w:r>
          </w:p>
          <w:p w14:paraId="10D6947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（4）耐皂洗色牢度（级）：≥4-5。</w:t>
            </w:r>
          </w:p>
          <w:p w14:paraId="297F4E8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（5）起球（级）：≥4。</w:t>
            </w:r>
          </w:p>
          <w:p w14:paraId="43BE70A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（6）异味：无。</w:t>
            </w:r>
          </w:p>
          <w:p w14:paraId="789A4FD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（7）织物密度：经密（500±10）根/10cm，纬密：（385±10）根/10cm。</w:t>
            </w:r>
          </w:p>
          <w:p w14:paraId="7531D3C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（8）织物纱线密度：经纱（13.5±2）tex，纬纱（13.5±2）tex。</w:t>
            </w:r>
          </w:p>
          <w:p w14:paraId="7834273B">
            <w:pPr>
              <w:pStyle w:val="2"/>
              <w:ind w:firstLine="0"/>
              <w:rPr>
                <w:rFonts w:hint="default" w:eastAsia="宋体"/>
                <w:color w:val="auto"/>
                <w:highlight w:val="none"/>
                <w:lang w:val="en-US" w:eastAsia="zh-CN"/>
              </w:rPr>
            </w:pPr>
            <w:r>
              <w:rPr>
                <w:rFonts w:hint="eastAsia" w:ascii="宋体" w:hAnsi="宋体" w:cs="宋体"/>
                <w:color w:val="auto"/>
                <w:szCs w:val="21"/>
                <w:highlight w:val="none"/>
                <w:lang w:val="en-US" w:eastAsia="zh-CN"/>
              </w:rPr>
              <w:t>4、颜色要求：白色</w:t>
            </w:r>
          </w:p>
          <w:p w14:paraId="217A18F6">
            <w:pPr>
              <w:spacing w:line="360" w:lineRule="auto"/>
              <w:rPr>
                <w:rFonts w:hint="eastAsia" w:ascii="宋体" w:hAnsi="宋体" w:cs="宋体"/>
                <w:color w:val="auto"/>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w:t>
            </w:r>
            <w:r>
              <w:rPr>
                <w:rFonts w:hint="eastAsia" w:ascii="宋体" w:hAnsi="宋体" w:cs="宋体"/>
                <w:color w:val="auto"/>
                <w:szCs w:val="21"/>
                <w:highlight w:val="none"/>
                <w:lang w:val="en-US" w:eastAsia="zh-CN"/>
              </w:rPr>
              <w:t>供货时须</w:t>
            </w:r>
            <w:r>
              <w:rPr>
                <w:rFonts w:hint="default" w:ascii="宋体" w:hAnsi="宋体" w:cs="宋体"/>
                <w:color w:val="auto"/>
                <w:szCs w:val="21"/>
                <w:highlight w:val="none"/>
                <w:lang w:val="en-US" w:eastAsia="zh-CN"/>
              </w:rPr>
              <w:t>提供竞标人或者本次竞标货物生产厂家自2024年1月1日起床单面料经国家认可的质量检验部门的出具的具有CMA标识的面料检验报告原件</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检测内容包括</w:t>
            </w:r>
            <w:r>
              <w:rPr>
                <w:rFonts w:hint="eastAsia" w:ascii="宋体" w:hAnsi="宋体" w:cs="宋体"/>
                <w:color w:val="auto"/>
                <w:szCs w:val="21"/>
                <w:highlight w:val="none"/>
                <w:lang w:val="en-US" w:eastAsia="zh-CN"/>
              </w:rPr>
              <w:t>上述</w:t>
            </w:r>
            <w:r>
              <w:rPr>
                <w:rFonts w:hint="eastAsia" w:ascii="宋体" w:hAnsi="宋体" w:cs="宋体"/>
                <w:color w:val="auto"/>
                <w:szCs w:val="21"/>
                <w:highlight w:val="none"/>
              </w:rPr>
              <w:t>第3项参数</w:t>
            </w:r>
            <w:r>
              <w:rPr>
                <w:rFonts w:hint="eastAsia" w:ascii="宋体" w:hAnsi="宋体" w:cs="宋体"/>
                <w:color w:val="auto"/>
                <w:szCs w:val="21"/>
                <w:highlight w:val="none"/>
                <w:lang w:eastAsia="zh-CN"/>
              </w:rPr>
              <w:t>，</w:t>
            </w:r>
            <w:r>
              <w:rPr>
                <w:rFonts w:hint="eastAsia" w:ascii="宋体" w:hAnsi="宋体" w:cs="宋体"/>
                <w:color w:val="auto"/>
                <w:szCs w:val="21"/>
                <w:highlight w:val="none"/>
              </w:rPr>
              <w:t>检验依据：GB/T22796-2021《床上用品》</w:t>
            </w:r>
            <w:r>
              <w:rPr>
                <w:rFonts w:hint="eastAsia" w:ascii="宋体" w:hAnsi="宋体" w:cs="宋体"/>
                <w:color w:val="auto"/>
                <w:szCs w:val="21"/>
                <w:highlight w:val="none"/>
                <w:lang w:eastAsia="zh-CN"/>
              </w:rPr>
              <w:t>。</w:t>
            </w:r>
          </w:p>
        </w:tc>
        <w:tc>
          <w:tcPr>
            <w:tcW w:w="589" w:type="pct"/>
            <w:vAlign w:val="center"/>
          </w:tcPr>
          <w:p w14:paraId="52AD6A30">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60.00</w:t>
            </w:r>
          </w:p>
        </w:tc>
      </w:tr>
      <w:tr w14:paraId="773D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35FEFB30">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34</w:t>
            </w:r>
          </w:p>
        </w:tc>
        <w:tc>
          <w:tcPr>
            <w:tcW w:w="358" w:type="pct"/>
            <w:gridSpan w:val="2"/>
            <w:vAlign w:val="center"/>
          </w:tcPr>
          <w:p w14:paraId="2C77EF3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枕套</w:t>
            </w:r>
          </w:p>
        </w:tc>
        <w:tc>
          <w:tcPr>
            <w:tcW w:w="239" w:type="pct"/>
            <w:vAlign w:val="center"/>
          </w:tcPr>
          <w:p w14:paraId="262CEAE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80</w:t>
            </w:r>
          </w:p>
        </w:tc>
        <w:tc>
          <w:tcPr>
            <w:tcW w:w="253" w:type="pct"/>
            <w:vAlign w:val="center"/>
          </w:tcPr>
          <w:p w14:paraId="4D928AF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0B2BFF9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11835" cy="535940"/>
                  <wp:effectExtent l="0" t="0" r="12065" b="16510"/>
                  <wp:docPr id="71"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descr="IMG_256"/>
                          <pic:cNvPicPr>
                            <a:picLocks noChangeAspect="1"/>
                          </pic:cNvPicPr>
                        </pic:nvPicPr>
                        <pic:blipFill>
                          <a:blip r:embed="rId35"/>
                          <a:stretch>
                            <a:fillRect/>
                          </a:stretch>
                        </pic:blipFill>
                        <pic:spPr>
                          <a:xfrm>
                            <a:off x="0" y="0"/>
                            <a:ext cx="711835" cy="535940"/>
                          </a:xfrm>
                          <a:prstGeom prst="rect">
                            <a:avLst/>
                          </a:prstGeom>
                          <a:noFill/>
                          <a:ln w="9525">
                            <a:noFill/>
                          </a:ln>
                        </pic:spPr>
                      </pic:pic>
                    </a:graphicData>
                  </a:graphic>
                </wp:inline>
              </w:drawing>
            </w:r>
          </w:p>
        </w:tc>
        <w:tc>
          <w:tcPr>
            <w:tcW w:w="2524" w:type="pct"/>
            <w:vAlign w:val="center"/>
          </w:tcPr>
          <w:p w14:paraId="78CC90F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1、符合 GB/T22796-2021《床上用品》检测标准，枕套色泽鲜亮，纱织密度高且均匀，耐磨不起球，不易褶皱，不褪色、不缩水，柔软、亲肤、吸汗、透气，四边缝线均匀，缝线密度≥13 针/3cm，无过敏、无异味、无甲醛、无致癌染料等有害化学物质残留，安全性高。</w:t>
            </w:r>
          </w:p>
          <w:p w14:paraId="33F9B8D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2、尺寸规格（约）：550×880mm。</w:t>
            </w:r>
          </w:p>
          <w:p w14:paraId="2A157D6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3、枕套面料要求：</w:t>
            </w:r>
          </w:p>
          <w:p w14:paraId="4B0629E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（1）纤维含量：棉100%。</w:t>
            </w:r>
          </w:p>
          <w:p w14:paraId="0F72A05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（2）甲醛（mg/kg）：≤20。</w:t>
            </w:r>
          </w:p>
          <w:p w14:paraId="6892F03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（3）PH 值：4.0～8.5。</w:t>
            </w:r>
          </w:p>
          <w:p w14:paraId="793B6FB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（4）耐皂洗色牢度（级）：≥4-5。</w:t>
            </w:r>
          </w:p>
          <w:p w14:paraId="1146052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（5）起球（级）：≥4。</w:t>
            </w:r>
          </w:p>
          <w:p w14:paraId="54C9FAF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（6）异味：无。</w:t>
            </w:r>
          </w:p>
          <w:p w14:paraId="0733147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（7）织物密度：经密（575±10）根/10cm，纬密：（315±10）根/10cm。</w:t>
            </w:r>
          </w:p>
          <w:p w14:paraId="572C372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（8）织物纱线密度：经纱（13.5±2）tex，纬纱（13.5±2）tex。</w:t>
            </w:r>
          </w:p>
          <w:p w14:paraId="56482EDC">
            <w:pPr>
              <w:pStyle w:val="2"/>
              <w:ind w:firstLine="0"/>
              <w:rPr>
                <w:rFonts w:hint="default" w:eastAsia="宋体"/>
                <w:color w:val="auto"/>
                <w:highlight w:val="none"/>
                <w:lang w:val="en-US" w:eastAsia="zh-CN"/>
              </w:rPr>
            </w:pPr>
            <w:r>
              <w:rPr>
                <w:rFonts w:hint="eastAsia" w:ascii="宋体" w:hAnsi="宋体" w:cs="宋体"/>
                <w:color w:val="auto"/>
                <w:szCs w:val="21"/>
                <w:highlight w:val="none"/>
                <w:lang w:val="en-US" w:eastAsia="zh-CN"/>
              </w:rPr>
              <w:t>4、颜色要求：白色</w:t>
            </w:r>
          </w:p>
        </w:tc>
        <w:tc>
          <w:tcPr>
            <w:tcW w:w="589" w:type="pct"/>
            <w:vAlign w:val="center"/>
          </w:tcPr>
          <w:p w14:paraId="3D840565">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60.00</w:t>
            </w:r>
          </w:p>
        </w:tc>
      </w:tr>
      <w:tr w14:paraId="6CA4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21FBCC5F">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35</w:t>
            </w:r>
          </w:p>
        </w:tc>
        <w:tc>
          <w:tcPr>
            <w:tcW w:w="358" w:type="pct"/>
            <w:gridSpan w:val="2"/>
            <w:vAlign w:val="center"/>
          </w:tcPr>
          <w:p w14:paraId="37574C32">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被套</w:t>
            </w:r>
          </w:p>
        </w:tc>
        <w:tc>
          <w:tcPr>
            <w:tcW w:w="239" w:type="pct"/>
            <w:vAlign w:val="center"/>
          </w:tcPr>
          <w:p w14:paraId="1364832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80</w:t>
            </w:r>
          </w:p>
        </w:tc>
        <w:tc>
          <w:tcPr>
            <w:tcW w:w="253" w:type="pct"/>
            <w:vAlign w:val="center"/>
          </w:tcPr>
          <w:p w14:paraId="3E3BA63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238B29A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05485" cy="919480"/>
                  <wp:effectExtent l="0" t="0" r="18415" b="13970"/>
                  <wp:docPr id="73"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5" descr="IMG_256"/>
                          <pic:cNvPicPr>
                            <a:picLocks noChangeAspect="1"/>
                          </pic:cNvPicPr>
                        </pic:nvPicPr>
                        <pic:blipFill>
                          <a:blip r:embed="rId36"/>
                          <a:stretch>
                            <a:fillRect/>
                          </a:stretch>
                        </pic:blipFill>
                        <pic:spPr>
                          <a:xfrm>
                            <a:off x="0" y="0"/>
                            <a:ext cx="705485" cy="919480"/>
                          </a:xfrm>
                          <a:prstGeom prst="rect">
                            <a:avLst/>
                          </a:prstGeom>
                          <a:noFill/>
                          <a:ln w="9525">
                            <a:noFill/>
                          </a:ln>
                        </pic:spPr>
                      </pic:pic>
                    </a:graphicData>
                  </a:graphic>
                </wp:inline>
              </w:drawing>
            </w:r>
          </w:p>
        </w:tc>
        <w:tc>
          <w:tcPr>
            <w:tcW w:w="2524" w:type="pct"/>
            <w:vAlign w:val="center"/>
          </w:tcPr>
          <w:p w14:paraId="31792B7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1、符合 GB/T22796-2021《床上用品》检测标准，被套色泽鲜亮，纱织密度高且均匀，耐磨不起球，不易褶皱，不褪色、不缩水，柔软、亲肤、吸汗、透气，四边缝线均匀，缝线密度≥13 针/3cm，无过敏、无异味、无甲醛、无致癌染料等有害化学物质残留，安全性高。</w:t>
            </w:r>
          </w:p>
          <w:p w14:paraId="654ED2A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2、尺寸规格：适用于1.8米单人床布草使用规格。</w:t>
            </w:r>
          </w:p>
          <w:p w14:paraId="1AE75B7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▲3、被套面料要求：</w:t>
            </w:r>
          </w:p>
          <w:p w14:paraId="0CE60B2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（1）纤维含量：棉100%。</w:t>
            </w:r>
          </w:p>
          <w:p w14:paraId="63EA963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（2）甲醛（mg/kg）：≤20。</w:t>
            </w:r>
          </w:p>
          <w:p w14:paraId="4C670BA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（3）PH 值：4.0～8.0。</w:t>
            </w:r>
          </w:p>
          <w:p w14:paraId="34AAE02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（4）耐皂洗色牢度（级）：≥4-5。</w:t>
            </w:r>
          </w:p>
          <w:p w14:paraId="11AFFFF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（5）起球（级）：≥4。</w:t>
            </w:r>
          </w:p>
          <w:p w14:paraId="4209981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（6）异味：无。</w:t>
            </w:r>
          </w:p>
          <w:p w14:paraId="6B9D5EF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（7）织物密度：经密（575±10）根/10cm，纬密：（315±10）根/10cm。</w:t>
            </w:r>
          </w:p>
          <w:p w14:paraId="6D3158C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（8）织物纱线密度：经纱（13.5±2）tex，纬纱（13.5±2）tex。</w:t>
            </w:r>
          </w:p>
          <w:p w14:paraId="6D5015E5">
            <w:pPr>
              <w:pStyle w:val="2"/>
              <w:ind w:firstLine="0"/>
              <w:rPr>
                <w:rFonts w:hint="default" w:eastAsia="宋体"/>
                <w:color w:val="auto"/>
                <w:highlight w:val="none"/>
                <w:lang w:val="en-US" w:eastAsia="zh-CN"/>
              </w:rPr>
            </w:pPr>
            <w:r>
              <w:rPr>
                <w:rFonts w:hint="eastAsia" w:ascii="宋体" w:hAnsi="宋体" w:cs="宋体"/>
                <w:color w:val="auto"/>
                <w:szCs w:val="21"/>
                <w:highlight w:val="none"/>
                <w:lang w:val="en-US" w:eastAsia="zh-CN"/>
              </w:rPr>
              <w:t>4、颜色要求：白色</w:t>
            </w:r>
          </w:p>
          <w:p w14:paraId="776C7262">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5、供货时须提供</w:t>
            </w:r>
            <w:r>
              <w:rPr>
                <w:rFonts w:hint="default" w:ascii="宋体" w:hAnsi="宋体" w:cs="宋体"/>
                <w:color w:val="auto"/>
                <w:szCs w:val="21"/>
                <w:highlight w:val="none"/>
                <w:lang w:val="en-US" w:eastAsia="zh-CN"/>
              </w:rPr>
              <w:t>竞标人或者本次竞标货物生产厂家自2024年1月1日起被套面料经国家认可的质量检验部门的出具的具有CMA标识的面料检验报告</w:t>
            </w:r>
            <w:r>
              <w:rPr>
                <w:rFonts w:hint="eastAsia" w:ascii="宋体" w:hAnsi="宋体" w:cs="宋体"/>
                <w:color w:val="auto"/>
                <w:szCs w:val="21"/>
                <w:highlight w:val="none"/>
                <w:lang w:val="en-US" w:eastAsia="zh-CN"/>
              </w:rPr>
              <w:t>原件，</w:t>
            </w:r>
            <w:r>
              <w:rPr>
                <w:rFonts w:hint="eastAsia" w:ascii="宋体" w:hAnsi="宋体" w:cs="宋体"/>
                <w:color w:val="auto"/>
                <w:szCs w:val="21"/>
                <w:highlight w:val="none"/>
              </w:rPr>
              <w:t>检测内容包括</w:t>
            </w:r>
            <w:r>
              <w:rPr>
                <w:rFonts w:hint="eastAsia" w:ascii="宋体" w:hAnsi="宋体" w:cs="宋体"/>
                <w:color w:val="auto"/>
                <w:szCs w:val="21"/>
                <w:highlight w:val="none"/>
                <w:lang w:val="en-US" w:eastAsia="zh-CN"/>
              </w:rPr>
              <w:t>上述</w:t>
            </w:r>
            <w:r>
              <w:rPr>
                <w:rFonts w:hint="eastAsia" w:ascii="宋体" w:hAnsi="宋体" w:cs="宋体"/>
                <w:color w:val="auto"/>
                <w:szCs w:val="21"/>
                <w:highlight w:val="none"/>
              </w:rPr>
              <w:t>第3项参数。检验依据：GB/T22796-2021《床上用品》</w:t>
            </w:r>
            <w:r>
              <w:rPr>
                <w:rFonts w:hint="eastAsia" w:ascii="宋体" w:hAnsi="宋体" w:cs="宋体"/>
                <w:color w:val="auto"/>
                <w:szCs w:val="21"/>
                <w:highlight w:val="none"/>
                <w:lang w:eastAsia="zh-CN"/>
              </w:rPr>
              <w:t>。</w:t>
            </w:r>
          </w:p>
        </w:tc>
        <w:tc>
          <w:tcPr>
            <w:tcW w:w="589" w:type="pct"/>
            <w:vAlign w:val="center"/>
          </w:tcPr>
          <w:p w14:paraId="0E85684E">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130.00</w:t>
            </w:r>
          </w:p>
        </w:tc>
      </w:tr>
      <w:tr w14:paraId="3F6E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726EDBF6">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36</w:t>
            </w:r>
          </w:p>
        </w:tc>
        <w:tc>
          <w:tcPr>
            <w:tcW w:w="358" w:type="pct"/>
            <w:gridSpan w:val="2"/>
            <w:vAlign w:val="center"/>
          </w:tcPr>
          <w:p w14:paraId="3F2D368C">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床单</w:t>
            </w:r>
          </w:p>
        </w:tc>
        <w:tc>
          <w:tcPr>
            <w:tcW w:w="239" w:type="pct"/>
            <w:vAlign w:val="center"/>
          </w:tcPr>
          <w:p w14:paraId="16E4F507">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80</w:t>
            </w:r>
          </w:p>
        </w:tc>
        <w:tc>
          <w:tcPr>
            <w:tcW w:w="253" w:type="pct"/>
            <w:vAlign w:val="center"/>
          </w:tcPr>
          <w:p w14:paraId="7F4770E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7F51239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19150" cy="1066800"/>
                  <wp:effectExtent l="0" t="0" r="0" b="0"/>
                  <wp:docPr id="75"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6" descr="IMG_256"/>
                          <pic:cNvPicPr>
                            <a:picLocks noChangeAspect="1"/>
                          </pic:cNvPicPr>
                        </pic:nvPicPr>
                        <pic:blipFill>
                          <a:blip r:embed="rId36"/>
                          <a:stretch>
                            <a:fillRect/>
                          </a:stretch>
                        </pic:blipFill>
                        <pic:spPr>
                          <a:xfrm>
                            <a:off x="0" y="0"/>
                            <a:ext cx="819150" cy="1066800"/>
                          </a:xfrm>
                          <a:prstGeom prst="rect">
                            <a:avLst/>
                          </a:prstGeom>
                          <a:noFill/>
                          <a:ln w="9525">
                            <a:noFill/>
                          </a:ln>
                        </pic:spPr>
                      </pic:pic>
                    </a:graphicData>
                  </a:graphic>
                </wp:inline>
              </w:drawing>
            </w:r>
          </w:p>
        </w:tc>
        <w:tc>
          <w:tcPr>
            <w:tcW w:w="2524" w:type="pct"/>
            <w:vAlign w:val="center"/>
          </w:tcPr>
          <w:p w14:paraId="3747CBD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1、符合 GB/T22796-2021《床上用品》检测标准，床单色泽鲜亮，纱织密度高且均匀，耐磨不起球，不易褶皱，不褪色、不缩水，柔软、亲肤、吸汗、透气，四边缝线均匀，缝线密度≥13 针/3cm，无过敏、无异味、无甲醛、无致癌染料等有害化学物质残留，安全性高。</w:t>
            </w:r>
          </w:p>
          <w:p w14:paraId="21C2A02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2、尺寸规格：适用于1.8米单人床布草使用规格。</w:t>
            </w:r>
          </w:p>
          <w:p w14:paraId="7A68FAA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▲3、床单面料要求：</w:t>
            </w:r>
          </w:p>
          <w:p w14:paraId="7BCAE50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（1）纤维含量：棉100%。</w:t>
            </w:r>
          </w:p>
          <w:p w14:paraId="71B9DE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（2）甲醛（mg/kg）：≤20。</w:t>
            </w:r>
          </w:p>
          <w:p w14:paraId="02621F5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（3）PH 值：4.0～8.5。</w:t>
            </w:r>
          </w:p>
          <w:p w14:paraId="1B7569E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（4）耐皂洗色牢度（级）：≥4-5。</w:t>
            </w:r>
          </w:p>
          <w:p w14:paraId="2006617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（5）起球（级）：≥4。</w:t>
            </w:r>
          </w:p>
          <w:p w14:paraId="79E348D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（6）异味：无。</w:t>
            </w:r>
          </w:p>
          <w:p w14:paraId="6AC42D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（7）织物密度：经密（500±10）根/10cm，纬密：（385±10）根/10cm。</w:t>
            </w:r>
          </w:p>
          <w:p w14:paraId="46C1786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（8）织物纱线密度：经纱（13.5±2）tex，纬纱（13.5±2）tex。</w:t>
            </w:r>
          </w:p>
          <w:p w14:paraId="02288964">
            <w:pPr>
              <w:pStyle w:val="2"/>
              <w:ind w:firstLine="0"/>
              <w:rPr>
                <w:rFonts w:hint="default" w:eastAsia="宋体"/>
                <w:color w:val="auto"/>
                <w:highlight w:val="none"/>
                <w:lang w:val="en-US" w:eastAsia="zh-CN"/>
              </w:rPr>
            </w:pPr>
            <w:r>
              <w:rPr>
                <w:rFonts w:hint="eastAsia" w:ascii="宋体" w:hAnsi="宋体" w:cs="宋体"/>
                <w:color w:val="auto"/>
                <w:szCs w:val="21"/>
                <w:highlight w:val="none"/>
                <w:lang w:val="en-US" w:eastAsia="zh-CN"/>
              </w:rPr>
              <w:t>4、颜色要求：白色</w:t>
            </w:r>
          </w:p>
          <w:p w14:paraId="1920932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供货时须提供</w:t>
            </w:r>
            <w:r>
              <w:rPr>
                <w:rFonts w:hint="default" w:ascii="宋体" w:hAnsi="宋体" w:cs="宋体"/>
                <w:color w:val="auto"/>
                <w:szCs w:val="21"/>
                <w:highlight w:val="none"/>
                <w:lang w:val="en-US" w:eastAsia="zh-CN"/>
              </w:rPr>
              <w:t>竞标人或者本次竞标货物生产厂家自2024年1月1日起床单面料经国家认可的质量检验部门的出具的具有CMA标识的面料检验报告原件</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检测内容包括</w:t>
            </w:r>
            <w:r>
              <w:rPr>
                <w:rFonts w:hint="eastAsia" w:ascii="宋体" w:hAnsi="宋体" w:cs="宋体"/>
                <w:color w:val="auto"/>
                <w:szCs w:val="21"/>
                <w:highlight w:val="none"/>
                <w:lang w:val="en-US" w:eastAsia="zh-CN"/>
              </w:rPr>
              <w:t>上述</w:t>
            </w:r>
            <w:r>
              <w:rPr>
                <w:rFonts w:hint="eastAsia" w:ascii="宋体" w:hAnsi="宋体" w:cs="宋体"/>
                <w:color w:val="auto"/>
                <w:szCs w:val="21"/>
                <w:highlight w:val="none"/>
              </w:rPr>
              <w:t>第 3 项参数</w:t>
            </w:r>
            <w:r>
              <w:rPr>
                <w:rFonts w:hint="eastAsia" w:ascii="宋体" w:hAnsi="宋体" w:cs="宋体"/>
                <w:color w:val="auto"/>
                <w:szCs w:val="21"/>
                <w:highlight w:val="none"/>
                <w:lang w:eastAsia="zh-CN"/>
              </w:rPr>
              <w:t>，</w:t>
            </w:r>
            <w:r>
              <w:rPr>
                <w:rFonts w:hint="eastAsia" w:ascii="宋体" w:hAnsi="宋体" w:cs="宋体"/>
                <w:color w:val="auto"/>
                <w:szCs w:val="21"/>
                <w:highlight w:val="none"/>
              </w:rPr>
              <w:t>检验依据：GB/T22796-2021《床上用品》。</w:t>
            </w:r>
          </w:p>
        </w:tc>
        <w:tc>
          <w:tcPr>
            <w:tcW w:w="589" w:type="pct"/>
            <w:vAlign w:val="center"/>
          </w:tcPr>
          <w:p w14:paraId="77FB76FE">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90.00</w:t>
            </w:r>
          </w:p>
        </w:tc>
      </w:tr>
      <w:tr w14:paraId="5419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D05A60C">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37</w:t>
            </w:r>
          </w:p>
        </w:tc>
        <w:tc>
          <w:tcPr>
            <w:tcW w:w="358" w:type="pct"/>
            <w:gridSpan w:val="2"/>
            <w:vAlign w:val="center"/>
          </w:tcPr>
          <w:p w14:paraId="318EE026">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保护垫</w:t>
            </w:r>
          </w:p>
        </w:tc>
        <w:tc>
          <w:tcPr>
            <w:tcW w:w="239" w:type="pct"/>
            <w:vAlign w:val="center"/>
          </w:tcPr>
          <w:p w14:paraId="08B6303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200</w:t>
            </w:r>
          </w:p>
        </w:tc>
        <w:tc>
          <w:tcPr>
            <w:tcW w:w="253" w:type="pct"/>
            <w:vAlign w:val="center"/>
          </w:tcPr>
          <w:p w14:paraId="7D13CF3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217F2E2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53745" cy="485140"/>
                  <wp:effectExtent l="0" t="0" r="8255" b="10160"/>
                  <wp:docPr id="7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descr="IMG_256"/>
                          <pic:cNvPicPr>
                            <a:picLocks noChangeAspect="1"/>
                          </pic:cNvPicPr>
                        </pic:nvPicPr>
                        <pic:blipFill>
                          <a:blip r:embed="rId37"/>
                          <a:stretch>
                            <a:fillRect/>
                          </a:stretch>
                        </pic:blipFill>
                        <pic:spPr>
                          <a:xfrm>
                            <a:off x="0" y="0"/>
                            <a:ext cx="753745" cy="485140"/>
                          </a:xfrm>
                          <a:prstGeom prst="rect">
                            <a:avLst/>
                          </a:prstGeom>
                          <a:noFill/>
                          <a:ln w="9525">
                            <a:noFill/>
                          </a:ln>
                        </pic:spPr>
                      </pic:pic>
                    </a:graphicData>
                  </a:graphic>
                </wp:inline>
              </w:drawing>
            </w:r>
          </w:p>
        </w:tc>
        <w:tc>
          <w:tcPr>
            <w:tcW w:w="2524" w:type="pct"/>
            <w:vAlign w:val="center"/>
          </w:tcPr>
          <w:p w14:paraId="646D9E6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1、适用于1.3米单人床布草使用规格。</w:t>
            </w:r>
          </w:p>
          <w:p w14:paraId="3158A11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2、面料：100%聚酯纤维，克重：100g/m</w:t>
            </w:r>
            <w:r>
              <w:rPr>
                <w:rFonts w:hint="eastAsia" w:ascii="宋体" w:hAnsi="宋体" w:cs="宋体"/>
                <w:color w:val="auto"/>
                <w:szCs w:val="21"/>
                <w:highlight w:val="none"/>
                <w:vertAlign w:val="superscript"/>
              </w:rPr>
              <w:t>2</w:t>
            </w:r>
            <w:r>
              <w:rPr>
                <w:rFonts w:hint="eastAsia" w:ascii="宋体" w:hAnsi="宋体" w:cs="宋体"/>
                <w:color w:val="auto"/>
                <w:szCs w:val="21"/>
                <w:highlight w:val="none"/>
              </w:rPr>
              <w:t>。</w:t>
            </w:r>
          </w:p>
          <w:p w14:paraId="356CEF5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3、填充：整张定型棉120g/m</w:t>
            </w:r>
            <w:r>
              <w:rPr>
                <w:rFonts w:hint="eastAsia" w:ascii="宋体" w:hAnsi="宋体" w:cs="宋体"/>
                <w:color w:val="auto"/>
                <w:szCs w:val="21"/>
                <w:highlight w:val="none"/>
                <w:vertAlign w:val="superscript"/>
              </w:rPr>
              <w:t>2</w:t>
            </w:r>
            <w:r>
              <w:rPr>
                <w:rFonts w:hint="eastAsia" w:ascii="宋体" w:hAnsi="宋体" w:cs="宋体"/>
                <w:color w:val="auto"/>
                <w:szCs w:val="21"/>
                <w:highlight w:val="none"/>
              </w:rPr>
              <w:t>，蓬松透气，不变形。</w:t>
            </w:r>
          </w:p>
          <w:p w14:paraId="6BED7C1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4、采用三针五线锁边，不跑棉不结团，平整耐用。</w:t>
            </w:r>
          </w:p>
          <w:p w14:paraId="7D4D3458">
            <w:pPr>
              <w:pStyle w:val="2"/>
              <w:ind w:firstLine="0"/>
              <w:rPr>
                <w:rFonts w:hint="default" w:eastAsia="宋体"/>
                <w:color w:val="auto"/>
                <w:highlight w:val="none"/>
                <w:lang w:val="en-US" w:eastAsia="zh-CN"/>
              </w:rPr>
            </w:pPr>
            <w:r>
              <w:rPr>
                <w:rFonts w:hint="eastAsia" w:ascii="宋体" w:hAnsi="宋体" w:cs="宋体"/>
                <w:color w:val="auto"/>
                <w:szCs w:val="21"/>
                <w:highlight w:val="none"/>
                <w:lang w:val="en-US" w:eastAsia="zh-CN"/>
              </w:rPr>
              <w:t>5、颜色要求：白色</w:t>
            </w:r>
          </w:p>
        </w:tc>
        <w:tc>
          <w:tcPr>
            <w:tcW w:w="589" w:type="pct"/>
            <w:vAlign w:val="center"/>
          </w:tcPr>
          <w:p w14:paraId="57274AFE">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195.00</w:t>
            </w:r>
          </w:p>
        </w:tc>
      </w:tr>
      <w:tr w14:paraId="614C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59A4B4CA">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38</w:t>
            </w:r>
          </w:p>
        </w:tc>
        <w:tc>
          <w:tcPr>
            <w:tcW w:w="358" w:type="pct"/>
            <w:gridSpan w:val="2"/>
            <w:vAlign w:val="center"/>
          </w:tcPr>
          <w:p w14:paraId="478EB86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保护垫</w:t>
            </w:r>
          </w:p>
        </w:tc>
        <w:tc>
          <w:tcPr>
            <w:tcW w:w="239" w:type="pct"/>
            <w:vAlign w:val="center"/>
          </w:tcPr>
          <w:p w14:paraId="0E69D7A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60</w:t>
            </w:r>
          </w:p>
        </w:tc>
        <w:tc>
          <w:tcPr>
            <w:tcW w:w="253" w:type="pct"/>
            <w:vAlign w:val="center"/>
          </w:tcPr>
          <w:p w14:paraId="5697C1BE">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7640E79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87400" cy="506730"/>
                  <wp:effectExtent l="0" t="0" r="12700" b="7620"/>
                  <wp:docPr id="79"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8" descr="IMG_256"/>
                          <pic:cNvPicPr>
                            <a:picLocks noChangeAspect="1"/>
                          </pic:cNvPicPr>
                        </pic:nvPicPr>
                        <pic:blipFill>
                          <a:blip r:embed="rId38"/>
                          <a:stretch>
                            <a:fillRect/>
                          </a:stretch>
                        </pic:blipFill>
                        <pic:spPr>
                          <a:xfrm>
                            <a:off x="0" y="0"/>
                            <a:ext cx="787400" cy="506730"/>
                          </a:xfrm>
                          <a:prstGeom prst="rect">
                            <a:avLst/>
                          </a:prstGeom>
                          <a:noFill/>
                          <a:ln w="9525">
                            <a:noFill/>
                          </a:ln>
                        </pic:spPr>
                      </pic:pic>
                    </a:graphicData>
                  </a:graphic>
                </wp:inline>
              </w:drawing>
            </w:r>
          </w:p>
        </w:tc>
        <w:tc>
          <w:tcPr>
            <w:tcW w:w="2524" w:type="pct"/>
            <w:vAlign w:val="center"/>
          </w:tcPr>
          <w:p w14:paraId="1604A2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1、适用于1.8米单人床布草使用规格。</w:t>
            </w:r>
          </w:p>
          <w:p w14:paraId="5943ECE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2、面料：面料：100%聚酯纤维，克重：100g/m</w:t>
            </w:r>
            <w:r>
              <w:rPr>
                <w:rFonts w:hint="eastAsia" w:ascii="宋体" w:hAnsi="宋体" w:cs="宋体"/>
                <w:color w:val="auto"/>
                <w:szCs w:val="21"/>
                <w:highlight w:val="none"/>
                <w:vertAlign w:val="superscript"/>
              </w:rPr>
              <w:t>2</w:t>
            </w:r>
            <w:r>
              <w:rPr>
                <w:rFonts w:hint="eastAsia" w:ascii="宋体" w:hAnsi="宋体" w:cs="宋体"/>
                <w:color w:val="auto"/>
                <w:szCs w:val="21"/>
                <w:highlight w:val="none"/>
              </w:rPr>
              <w:t>。</w:t>
            </w:r>
          </w:p>
          <w:p w14:paraId="3FA60C0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3、填充：整张定型棉120g/m</w:t>
            </w:r>
            <w:r>
              <w:rPr>
                <w:rFonts w:hint="eastAsia" w:ascii="宋体" w:hAnsi="宋体" w:cs="宋体"/>
                <w:color w:val="auto"/>
                <w:szCs w:val="21"/>
                <w:highlight w:val="none"/>
                <w:vertAlign w:val="superscript"/>
              </w:rPr>
              <w:t>2</w:t>
            </w:r>
            <w:r>
              <w:rPr>
                <w:rFonts w:hint="eastAsia" w:ascii="宋体" w:hAnsi="宋体" w:cs="宋体"/>
                <w:color w:val="auto"/>
                <w:szCs w:val="21"/>
                <w:highlight w:val="none"/>
              </w:rPr>
              <w:t>，蓬松透气，不变形。</w:t>
            </w:r>
          </w:p>
          <w:p w14:paraId="100CF26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4、采用三针五线锁边，不跑棉不结团，平整耐用。</w:t>
            </w:r>
          </w:p>
          <w:p w14:paraId="4D35C929">
            <w:pPr>
              <w:pStyle w:val="2"/>
              <w:ind w:firstLine="0"/>
              <w:rPr>
                <w:rFonts w:hint="default" w:eastAsia="宋体"/>
                <w:color w:val="auto"/>
                <w:highlight w:val="none"/>
                <w:lang w:val="en-US" w:eastAsia="zh-CN"/>
              </w:rPr>
            </w:pPr>
            <w:r>
              <w:rPr>
                <w:rFonts w:hint="eastAsia" w:ascii="宋体" w:hAnsi="宋体" w:cs="宋体"/>
                <w:color w:val="auto"/>
                <w:szCs w:val="21"/>
                <w:highlight w:val="none"/>
                <w:lang w:val="en-US" w:eastAsia="zh-CN"/>
              </w:rPr>
              <w:t>5、颜色要求：白色</w:t>
            </w:r>
          </w:p>
        </w:tc>
        <w:tc>
          <w:tcPr>
            <w:tcW w:w="589" w:type="pct"/>
            <w:vAlign w:val="center"/>
          </w:tcPr>
          <w:p w14:paraId="2D6C6422">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260.00</w:t>
            </w:r>
          </w:p>
        </w:tc>
      </w:tr>
      <w:tr w14:paraId="1E99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05262D5">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39</w:t>
            </w:r>
          </w:p>
        </w:tc>
        <w:tc>
          <w:tcPr>
            <w:tcW w:w="358" w:type="pct"/>
            <w:gridSpan w:val="2"/>
            <w:vAlign w:val="center"/>
          </w:tcPr>
          <w:p w14:paraId="7A947BB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羽绒枕芯</w:t>
            </w:r>
          </w:p>
        </w:tc>
        <w:tc>
          <w:tcPr>
            <w:tcW w:w="239" w:type="pct"/>
            <w:vAlign w:val="center"/>
          </w:tcPr>
          <w:p w14:paraId="0E48BF6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200</w:t>
            </w:r>
          </w:p>
        </w:tc>
        <w:tc>
          <w:tcPr>
            <w:tcW w:w="253" w:type="pct"/>
            <w:vAlign w:val="center"/>
          </w:tcPr>
          <w:p w14:paraId="387FCB6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780" w:type="pct"/>
            <w:shd w:val="clear" w:color="auto" w:fill="auto"/>
            <w:vAlign w:val="center"/>
          </w:tcPr>
          <w:p w14:paraId="2E5C54C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89940" cy="547370"/>
                  <wp:effectExtent l="0" t="0" r="10160" b="5080"/>
                  <wp:docPr id="81"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9" descr="IMG_256"/>
                          <pic:cNvPicPr>
                            <a:picLocks noChangeAspect="1"/>
                          </pic:cNvPicPr>
                        </pic:nvPicPr>
                        <pic:blipFill>
                          <a:blip r:embed="rId39"/>
                          <a:stretch>
                            <a:fillRect/>
                          </a:stretch>
                        </pic:blipFill>
                        <pic:spPr>
                          <a:xfrm>
                            <a:off x="0" y="0"/>
                            <a:ext cx="789940" cy="547370"/>
                          </a:xfrm>
                          <a:prstGeom prst="rect">
                            <a:avLst/>
                          </a:prstGeom>
                          <a:noFill/>
                          <a:ln w="9525">
                            <a:noFill/>
                          </a:ln>
                        </pic:spPr>
                      </pic:pic>
                    </a:graphicData>
                  </a:graphic>
                </wp:inline>
              </w:drawing>
            </w:r>
          </w:p>
        </w:tc>
        <w:tc>
          <w:tcPr>
            <w:tcW w:w="2524" w:type="pct"/>
            <w:vAlign w:val="center"/>
          </w:tcPr>
          <w:p w14:paraId="6547C30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1、规格（mm）：约300×500；重量（g）：整重约250。</w:t>
            </w:r>
          </w:p>
          <w:p w14:paraId="4BA243C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2、面料：</w:t>
            </w:r>
            <w:r>
              <w:rPr>
                <w:rFonts w:hint="eastAsia" w:ascii="宋体" w:hAnsi="宋体" w:cs="宋体"/>
                <w:color w:val="auto"/>
                <w:szCs w:val="21"/>
                <w:highlight w:val="none"/>
                <w:lang w:val="en-US" w:eastAsia="zh-CN"/>
              </w:rPr>
              <w:t>白</w:t>
            </w:r>
            <w:r>
              <w:rPr>
                <w:rFonts w:hint="eastAsia" w:ascii="宋体" w:hAnsi="宋体" w:cs="宋体"/>
                <w:color w:val="auto"/>
                <w:szCs w:val="21"/>
                <w:highlight w:val="none"/>
              </w:rPr>
              <w:t>色印花水洗磨毛布；100%聚酯纤维；克重：100g/m²（允许负偏差5g）。</w:t>
            </w:r>
          </w:p>
          <w:p w14:paraId="11D60E5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3、填充物：羽丝绒，100%聚酯纤维。</w:t>
            </w:r>
          </w:p>
          <w:p w14:paraId="590CD4F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4、填充物原料符合《絮用纤维制品通用技术要求》。 </w:t>
            </w:r>
          </w:p>
          <w:p w14:paraId="68C5E26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5、甲醛（mg/kg）：≤75；PH 值：4.0～8.5；可分解芳香胺：禁用。</w:t>
            </w:r>
          </w:p>
          <w:p w14:paraId="5C6B918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6、外观平展，手感柔软舒适，线迹需紧密且均匀，无漏缝、跳针、浮线。</w:t>
            </w:r>
          </w:p>
        </w:tc>
        <w:tc>
          <w:tcPr>
            <w:tcW w:w="589" w:type="pct"/>
            <w:vAlign w:val="center"/>
          </w:tcPr>
          <w:p w14:paraId="0EA55A1F">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60.00</w:t>
            </w:r>
          </w:p>
        </w:tc>
      </w:tr>
      <w:tr w14:paraId="572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D88876E">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40</w:t>
            </w:r>
          </w:p>
        </w:tc>
        <w:tc>
          <w:tcPr>
            <w:tcW w:w="358" w:type="pct"/>
            <w:gridSpan w:val="2"/>
            <w:vAlign w:val="center"/>
          </w:tcPr>
          <w:p w14:paraId="78E1D8FC">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被芯（厚）</w:t>
            </w:r>
          </w:p>
        </w:tc>
        <w:tc>
          <w:tcPr>
            <w:tcW w:w="239" w:type="pct"/>
            <w:vAlign w:val="center"/>
          </w:tcPr>
          <w:p w14:paraId="15D06C6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200</w:t>
            </w:r>
          </w:p>
        </w:tc>
        <w:tc>
          <w:tcPr>
            <w:tcW w:w="253" w:type="pct"/>
            <w:vAlign w:val="center"/>
          </w:tcPr>
          <w:p w14:paraId="392D012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5B7B09B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19125" cy="333375"/>
                  <wp:effectExtent l="0" t="0" r="9525" b="9525"/>
                  <wp:docPr id="83"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0" descr="IMG_256"/>
                          <pic:cNvPicPr>
                            <a:picLocks noChangeAspect="1"/>
                          </pic:cNvPicPr>
                        </pic:nvPicPr>
                        <pic:blipFill>
                          <a:blip r:embed="rId40"/>
                          <a:stretch>
                            <a:fillRect/>
                          </a:stretch>
                        </pic:blipFill>
                        <pic:spPr>
                          <a:xfrm>
                            <a:off x="0" y="0"/>
                            <a:ext cx="619125" cy="333375"/>
                          </a:xfrm>
                          <a:prstGeom prst="rect">
                            <a:avLst/>
                          </a:prstGeom>
                          <a:noFill/>
                          <a:ln w="9525">
                            <a:noFill/>
                          </a:ln>
                        </pic:spPr>
                      </pic:pic>
                    </a:graphicData>
                  </a:graphic>
                </wp:inline>
              </w:drawing>
            </w:r>
          </w:p>
        </w:tc>
        <w:tc>
          <w:tcPr>
            <w:tcW w:w="2524" w:type="pct"/>
            <w:vAlign w:val="center"/>
          </w:tcPr>
          <w:p w14:paraId="45C0AAF3">
            <w:pPr>
              <w:spacing w:line="360" w:lineRule="auto"/>
              <w:rPr>
                <w:rFonts w:hint="eastAsia" w:ascii="宋体" w:hAnsi="宋体" w:cs="宋体"/>
                <w:color w:val="auto"/>
                <w:szCs w:val="21"/>
              </w:rPr>
            </w:pPr>
            <w:r>
              <w:rPr>
                <w:rFonts w:hint="eastAsia" w:ascii="宋体" w:hAnsi="宋体" w:cs="宋体"/>
                <w:color w:val="auto"/>
                <w:szCs w:val="21"/>
              </w:rPr>
              <w:t>1、填充物：100%羽丝棉（聚酯纤维），纤维纤维细度达0.7D-0.9D，经加硅处理和适度卷曲后，具备柔软纤细的触感，使纤维更光滑。</w:t>
            </w:r>
          </w:p>
          <w:p w14:paraId="0839A3E1">
            <w:pPr>
              <w:spacing w:line="360" w:lineRule="auto"/>
              <w:rPr>
                <w:rFonts w:hint="eastAsia" w:ascii="宋体" w:hAnsi="宋体" w:cs="宋体"/>
                <w:color w:val="auto"/>
                <w:szCs w:val="21"/>
              </w:rPr>
            </w:pPr>
            <w:r>
              <w:rPr>
                <w:rFonts w:hint="eastAsia" w:ascii="宋体" w:hAnsi="宋体" w:cs="宋体"/>
                <w:color w:val="auto"/>
                <w:szCs w:val="21"/>
              </w:rPr>
              <w:t>2、规格尺寸：约1500×2000mm。</w:t>
            </w:r>
          </w:p>
          <w:p w14:paraId="44544DFA">
            <w:pPr>
              <w:spacing w:line="360" w:lineRule="auto"/>
              <w:rPr>
                <w:rFonts w:hint="eastAsia" w:ascii="宋体" w:hAnsi="宋体" w:cs="宋体"/>
                <w:color w:val="auto"/>
                <w:szCs w:val="21"/>
              </w:rPr>
            </w:pPr>
            <w:r>
              <w:rPr>
                <w:rFonts w:hint="eastAsia" w:ascii="宋体" w:hAnsi="宋体" w:cs="宋体"/>
                <w:color w:val="auto"/>
                <w:szCs w:val="21"/>
              </w:rPr>
              <w:t>3、重量：≥2.5kg。</w:t>
            </w:r>
          </w:p>
          <w:p w14:paraId="6A49F471">
            <w:pPr>
              <w:spacing w:line="360" w:lineRule="auto"/>
              <w:rPr>
                <w:rFonts w:hint="eastAsia" w:ascii="宋体" w:hAnsi="宋体" w:cs="宋体"/>
                <w:color w:val="auto"/>
                <w:szCs w:val="21"/>
              </w:rPr>
            </w:pPr>
            <w:r>
              <w:rPr>
                <w:rFonts w:hint="eastAsia" w:ascii="宋体" w:hAnsi="宋体" w:cs="宋体"/>
                <w:color w:val="auto"/>
                <w:szCs w:val="21"/>
              </w:rPr>
              <w:t>4、蓬松度保持：经20次标准水洗后，蓬松度保持率超过85%。</w:t>
            </w:r>
          </w:p>
          <w:p w14:paraId="1F309DF5">
            <w:pPr>
              <w:spacing w:line="360" w:lineRule="auto"/>
              <w:rPr>
                <w:rFonts w:hint="eastAsia" w:ascii="宋体" w:hAnsi="宋体" w:cs="宋体"/>
                <w:color w:val="auto"/>
                <w:szCs w:val="21"/>
              </w:rPr>
            </w:pPr>
            <w:r>
              <w:rPr>
                <w:rFonts w:hint="eastAsia" w:ascii="宋体" w:hAnsi="宋体" w:cs="宋体"/>
                <w:color w:val="auto"/>
                <w:szCs w:val="21"/>
              </w:rPr>
              <w:t>5、制造工艺：绗缝工艺，防止纤维移位；双针滚边，提升被子边缘牢固度。</w:t>
            </w:r>
          </w:p>
          <w:p w14:paraId="0362D587">
            <w:pPr>
              <w:spacing w:line="360" w:lineRule="auto"/>
              <w:rPr>
                <w:rFonts w:hint="eastAsia" w:ascii="宋体" w:hAnsi="宋体" w:cs="宋体"/>
                <w:color w:val="auto"/>
                <w:szCs w:val="21"/>
              </w:rPr>
            </w:pPr>
            <w:r>
              <w:rPr>
                <w:rFonts w:hint="eastAsia" w:ascii="宋体" w:hAnsi="宋体" w:cs="宋体"/>
                <w:color w:val="auto"/>
                <w:szCs w:val="21"/>
              </w:rPr>
              <w:t>6、外观：</w:t>
            </w:r>
            <w:r>
              <w:rPr>
                <w:rFonts w:hint="eastAsia" w:ascii="宋体" w:hAnsi="宋体" w:cs="宋体"/>
                <w:color w:val="auto"/>
                <w:szCs w:val="21"/>
                <w:lang w:val="en-US" w:eastAsia="zh-CN"/>
              </w:rPr>
              <w:t>白色，</w:t>
            </w:r>
            <w:r>
              <w:rPr>
                <w:rFonts w:hint="eastAsia" w:ascii="宋体" w:hAnsi="宋体" w:cs="宋体"/>
                <w:color w:val="auto"/>
                <w:szCs w:val="21"/>
              </w:rPr>
              <w:t>填充物均匀、平坦，厚薄一致，手感无棉块，四角方正，无缺花，不塌边，四边扎边，线路顺直，缝合牢固，无开线、断线、出套等缺陷。</w:t>
            </w:r>
          </w:p>
        </w:tc>
        <w:tc>
          <w:tcPr>
            <w:tcW w:w="589" w:type="pct"/>
            <w:vAlign w:val="center"/>
          </w:tcPr>
          <w:p w14:paraId="52ECE7F5">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200.00</w:t>
            </w:r>
          </w:p>
        </w:tc>
      </w:tr>
      <w:tr w14:paraId="06FC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3EB6DAF4">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41</w:t>
            </w:r>
          </w:p>
        </w:tc>
        <w:tc>
          <w:tcPr>
            <w:tcW w:w="358" w:type="pct"/>
            <w:gridSpan w:val="2"/>
            <w:vAlign w:val="center"/>
          </w:tcPr>
          <w:p w14:paraId="3B7E731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被芯（薄）</w:t>
            </w:r>
          </w:p>
        </w:tc>
        <w:tc>
          <w:tcPr>
            <w:tcW w:w="239" w:type="pct"/>
            <w:vAlign w:val="center"/>
          </w:tcPr>
          <w:p w14:paraId="5587EA8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200</w:t>
            </w:r>
          </w:p>
        </w:tc>
        <w:tc>
          <w:tcPr>
            <w:tcW w:w="253" w:type="pct"/>
            <w:vAlign w:val="center"/>
          </w:tcPr>
          <w:p w14:paraId="4F4EE3D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029F923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57225" cy="438150"/>
                  <wp:effectExtent l="0" t="0" r="9525" b="0"/>
                  <wp:docPr id="85"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1" descr="IMG_256"/>
                          <pic:cNvPicPr>
                            <a:picLocks noChangeAspect="1"/>
                          </pic:cNvPicPr>
                        </pic:nvPicPr>
                        <pic:blipFill>
                          <a:blip r:embed="rId41"/>
                          <a:stretch>
                            <a:fillRect/>
                          </a:stretch>
                        </pic:blipFill>
                        <pic:spPr>
                          <a:xfrm>
                            <a:off x="0" y="0"/>
                            <a:ext cx="657225" cy="438150"/>
                          </a:xfrm>
                          <a:prstGeom prst="rect">
                            <a:avLst/>
                          </a:prstGeom>
                          <a:noFill/>
                          <a:ln w="9525">
                            <a:noFill/>
                          </a:ln>
                        </pic:spPr>
                      </pic:pic>
                    </a:graphicData>
                  </a:graphic>
                </wp:inline>
              </w:drawing>
            </w:r>
          </w:p>
        </w:tc>
        <w:tc>
          <w:tcPr>
            <w:tcW w:w="2524" w:type="pct"/>
            <w:vAlign w:val="center"/>
          </w:tcPr>
          <w:p w14:paraId="23507EE0">
            <w:pPr>
              <w:spacing w:line="360" w:lineRule="auto"/>
              <w:rPr>
                <w:rFonts w:hint="eastAsia" w:ascii="宋体" w:hAnsi="宋体" w:cs="宋体"/>
                <w:color w:val="auto"/>
                <w:szCs w:val="21"/>
              </w:rPr>
            </w:pPr>
            <w:r>
              <w:rPr>
                <w:rFonts w:hint="eastAsia" w:ascii="宋体" w:hAnsi="宋体" w:cs="宋体"/>
                <w:color w:val="auto"/>
                <w:szCs w:val="21"/>
              </w:rPr>
              <w:t>1、填充物：100%羽丝棉（聚酯纤维），纤维纤维细度达0.7D-0.9D，经加硅处理和适度卷曲后，具备柔软纤细的触感，使纤维更光滑。</w:t>
            </w:r>
          </w:p>
          <w:p w14:paraId="62335B36">
            <w:pPr>
              <w:spacing w:line="360" w:lineRule="auto"/>
              <w:rPr>
                <w:rFonts w:hint="eastAsia" w:ascii="宋体" w:hAnsi="宋体" w:cs="宋体"/>
                <w:color w:val="auto"/>
                <w:szCs w:val="21"/>
              </w:rPr>
            </w:pPr>
            <w:r>
              <w:rPr>
                <w:rFonts w:hint="eastAsia" w:ascii="宋体" w:hAnsi="宋体" w:cs="宋体"/>
                <w:color w:val="auto"/>
                <w:szCs w:val="21"/>
              </w:rPr>
              <w:t>2、规格尺寸：约1500×2000mm。</w:t>
            </w:r>
          </w:p>
          <w:p w14:paraId="1D1DF9E2">
            <w:pPr>
              <w:spacing w:line="360" w:lineRule="auto"/>
              <w:rPr>
                <w:rFonts w:hint="eastAsia" w:ascii="宋体" w:hAnsi="宋体" w:cs="宋体"/>
                <w:color w:val="auto"/>
                <w:szCs w:val="21"/>
              </w:rPr>
            </w:pPr>
            <w:r>
              <w:rPr>
                <w:rFonts w:hint="eastAsia" w:ascii="宋体" w:hAnsi="宋体" w:cs="宋体"/>
                <w:color w:val="auto"/>
                <w:szCs w:val="21"/>
              </w:rPr>
              <w:t>3、重量：≥1.5kg。</w:t>
            </w:r>
          </w:p>
          <w:p w14:paraId="3BC94071">
            <w:pPr>
              <w:spacing w:line="360" w:lineRule="auto"/>
              <w:rPr>
                <w:rFonts w:hint="eastAsia" w:ascii="宋体" w:hAnsi="宋体" w:cs="宋体"/>
                <w:color w:val="auto"/>
                <w:szCs w:val="21"/>
              </w:rPr>
            </w:pPr>
            <w:r>
              <w:rPr>
                <w:rFonts w:hint="eastAsia" w:ascii="宋体" w:hAnsi="宋体" w:cs="宋体"/>
                <w:color w:val="auto"/>
                <w:szCs w:val="21"/>
              </w:rPr>
              <w:t>4、蓬松度保持：经20次标准水洗后，蓬松度保持率超过85%。</w:t>
            </w:r>
          </w:p>
          <w:p w14:paraId="15B22844">
            <w:pPr>
              <w:spacing w:line="360" w:lineRule="auto"/>
              <w:rPr>
                <w:rFonts w:hint="eastAsia" w:ascii="宋体" w:hAnsi="宋体" w:cs="宋体"/>
                <w:color w:val="auto"/>
                <w:szCs w:val="21"/>
              </w:rPr>
            </w:pPr>
            <w:r>
              <w:rPr>
                <w:rFonts w:hint="eastAsia" w:ascii="宋体" w:hAnsi="宋体" w:cs="宋体"/>
                <w:color w:val="auto"/>
                <w:szCs w:val="21"/>
              </w:rPr>
              <w:t>5、制造工艺：绗缝工艺，防止纤维移位；双针滚边，提升被子边缘牢固度。</w:t>
            </w:r>
          </w:p>
          <w:p w14:paraId="44F76BF2">
            <w:pPr>
              <w:spacing w:line="360" w:lineRule="auto"/>
              <w:rPr>
                <w:rFonts w:hint="eastAsia" w:ascii="宋体" w:hAnsi="宋体" w:cs="宋体"/>
                <w:color w:val="auto"/>
                <w:szCs w:val="21"/>
              </w:rPr>
            </w:pPr>
            <w:r>
              <w:rPr>
                <w:rFonts w:hint="eastAsia" w:ascii="宋体" w:hAnsi="宋体" w:cs="宋体"/>
                <w:color w:val="auto"/>
                <w:szCs w:val="21"/>
              </w:rPr>
              <w:t>6、外观：</w:t>
            </w:r>
            <w:r>
              <w:rPr>
                <w:rFonts w:hint="eastAsia" w:ascii="宋体" w:hAnsi="宋体" w:cs="宋体"/>
                <w:color w:val="auto"/>
                <w:szCs w:val="21"/>
                <w:lang w:val="en-US" w:eastAsia="zh-CN"/>
              </w:rPr>
              <w:t>白色，</w:t>
            </w:r>
            <w:r>
              <w:rPr>
                <w:rFonts w:hint="eastAsia" w:ascii="宋体" w:hAnsi="宋体" w:cs="宋体"/>
                <w:color w:val="auto"/>
                <w:szCs w:val="21"/>
              </w:rPr>
              <w:t>填充物均匀、平坦，厚薄一致，手感无棉块，四角方正，无缺花，不塌边，四边扎边，线路顺直，缝合牢固，无开线、断线、出套等缺陷。</w:t>
            </w:r>
          </w:p>
        </w:tc>
        <w:tc>
          <w:tcPr>
            <w:tcW w:w="589" w:type="pct"/>
            <w:vAlign w:val="center"/>
          </w:tcPr>
          <w:p w14:paraId="6043AEA2">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190.00</w:t>
            </w:r>
          </w:p>
        </w:tc>
      </w:tr>
      <w:tr w14:paraId="0BA0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6B1864CA">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42</w:t>
            </w:r>
          </w:p>
        </w:tc>
        <w:tc>
          <w:tcPr>
            <w:tcW w:w="358" w:type="pct"/>
            <w:gridSpan w:val="2"/>
            <w:vAlign w:val="center"/>
          </w:tcPr>
          <w:p w14:paraId="6E811C8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被芯（厚）</w:t>
            </w:r>
          </w:p>
        </w:tc>
        <w:tc>
          <w:tcPr>
            <w:tcW w:w="239" w:type="pct"/>
            <w:vAlign w:val="center"/>
          </w:tcPr>
          <w:p w14:paraId="1543380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80</w:t>
            </w:r>
          </w:p>
        </w:tc>
        <w:tc>
          <w:tcPr>
            <w:tcW w:w="253" w:type="pct"/>
            <w:vAlign w:val="center"/>
          </w:tcPr>
          <w:p w14:paraId="39B8EF0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47A4EFD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19125" cy="323850"/>
                  <wp:effectExtent l="0" t="0" r="9525" b="0"/>
                  <wp:docPr id="87"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2" descr="IMG_256"/>
                          <pic:cNvPicPr>
                            <a:picLocks noChangeAspect="1"/>
                          </pic:cNvPicPr>
                        </pic:nvPicPr>
                        <pic:blipFill>
                          <a:blip r:embed="rId42"/>
                          <a:stretch>
                            <a:fillRect/>
                          </a:stretch>
                        </pic:blipFill>
                        <pic:spPr>
                          <a:xfrm>
                            <a:off x="0" y="0"/>
                            <a:ext cx="619125" cy="323850"/>
                          </a:xfrm>
                          <a:prstGeom prst="rect">
                            <a:avLst/>
                          </a:prstGeom>
                          <a:noFill/>
                          <a:ln w="9525">
                            <a:noFill/>
                          </a:ln>
                        </pic:spPr>
                      </pic:pic>
                    </a:graphicData>
                  </a:graphic>
                </wp:inline>
              </w:drawing>
            </w:r>
          </w:p>
        </w:tc>
        <w:tc>
          <w:tcPr>
            <w:tcW w:w="2524" w:type="pct"/>
            <w:vAlign w:val="center"/>
          </w:tcPr>
          <w:p w14:paraId="0AC15212">
            <w:pPr>
              <w:spacing w:line="360" w:lineRule="auto"/>
              <w:rPr>
                <w:rFonts w:hint="eastAsia" w:ascii="宋体" w:hAnsi="宋体" w:cs="宋体"/>
                <w:color w:val="auto"/>
                <w:szCs w:val="21"/>
              </w:rPr>
            </w:pPr>
            <w:r>
              <w:rPr>
                <w:rFonts w:hint="eastAsia" w:ascii="宋体" w:hAnsi="宋体" w:cs="宋体"/>
                <w:color w:val="auto"/>
                <w:szCs w:val="21"/>
              </w:rPr>
              <w:t>1、填充物：100%羽丝棉（聚酯纤维），纤维纤维细度达0.7D-0.9D，经加硅处理和适度卷曲后，具备柔软纤细的触感，使纤维更光滑。</w:t>
            </w:r>
          </w:p>
          <w:p w14:paraId="3B33A90F">
            <w:pPr>
              <w:spacing w:line="360" w:lineRule="auto"/>
              <w:rPr>
                <w:rFonts w:hint="eastAsia" w:ascii="宋体" w:hAnsi="宋体" w:cs="宋体"/>
                <w:color w:val="auto"/>
                <w:szCs w:val="21"/>
              </w:rPr>
            </w:pPr>
            <w:r>
              <w:rPr>
                <w:rFonts w:hint="eastAsia" w:ascii="宋体" w:hAnsi="宋体" w:cs="宋体"/>
                <w:color w:val="auto"/>
                <w:szCs w:val="21"/>
              </w:rPr>
              <w:t>2、规格尺寸：约1800×2200mm。</w:t>
            </w:r>
          </w:p>
          <w:p w14:paraId="2C561150">
            <w:pPr>
              <w:spacing w:line="360" w:lineRule="auto"/>
              <w:rPr>
                <w:rFonts w:hint="eastAsia" w:ascii="宋体" w:hAnsi="宋体" w:cs="宋体"/>
                <w:color w:val="auto"/>
                <w:szCs w:val="21"/>
              </w:rPr>
            </w:pPr>
            <w:r>
              <w:rPr>
                <w:rFonts w:hint="eastAsia" w:ascii="宋体" w:hAnsi="宋体" w:cs="宋体"/>
                <w:color w:val="auto"/>
                <w:szCs w:val="21"/>
              </w:rPr>
              <w:t>3、重量：≥3kg。</w:t>
            </w:r>
          </w:p>
          <w:p w14:paraId="7022EAAF">
            <w:pPr>
              <w:spacing w:line="360" w:lineRule="auto"/>
              <w:rPr>
                <w:rFonts w:hint="eastAsia" w:ascii="宋体" w:hAnsi="宋体" w:cs="宋体"/>
                <w:color w:val="auto"/>
                <w:szCs w:val="21"/>
              </w:rPr>
            </w:pPr>
            <w:r>
              <w:rPr>
                <w:rFonts w:hint="eastAsia" w:ascii="宋体" w:hAnsi="宋体" w:cs="宋体"/>
                <w:color w:val="auto"/>
                <w:szCs w:val="21"/>
              </w:rPr>
              <w:t>4、蓬松度保持：经20次标准水洗后，蓬松度保持率超过85%。</w:t>
            </w:r>
          </w:p>
          <w:p w14:paraId="7920C7E1">
            <w:pPr>
              <w:spacing w:line="360" w:lineRule="auto"/>
              <w:rPr>
                <w:rFonts w:hint="eastAsia" w:ascii="宋体" w:hAnsi="宋体" w:cs="宋体"/>
                <w:color w:val="auto"/>
                <w:szCs w:val="21"/>
              </w:rPr>
            </w:pPr>
            <w:r>
              <w:rPr>
                <w:rFonts w:hint="eastAsia" w:ascii="宋体" w:hAnsi="宋体" w:cs="宋体"/>
                <w:color w:val="auto"/>
                <w:szCs w:val="21"/>
              </w:rPr>
              <w:t>5、制造工艺：绗缝工艺，防止纤维移位；双针滚边，提升被子边缘牢固度。</w:t>
            </w:r>
          </w:p>
          <w:p w14:paraId="3CB276A0">
            <w:pPr>
              <w:spacing w:line="360" w:lineRule="auto"/>
              <w:rPr>
                <w:rFonts w:hint="eastAsia" w:ascii="宋体" w:hAnsi="宋体" w:cs="宋体"/>
                <w:color w:val="auto"/>
                <w:szCs w:val="21"/>
              </w:rPr>
            </w:pPr>
            <w:r>
              <w:rPr>
                <w:rFonts w:hint="eastAsia" w:ascii="宋体" w:hAnsi="宋体" w:cs="宋体"/>
                <w:color w:val="auto"/>
                <w:szCs w:val="21"/>
              </w:rPr>
              <w:t>6、外观：</w:t>
            </w:r>
            <w:r>
              <w:rPr>
                <w:rFonts w:hint="eastAsia" w:ascii="宋体" w:hAnsi="宋体" w:cs="宋体"/>
                <w:color w:val="auto"/>
                <w:szCs w:val="21"/>
                <w:lang w:val="en-US" w:eastAsia="zh-CN"/>
              </w:rPr>
              <w:t>白色，</w:t>
            </w:r>
            <w:r>
              <w:rPr>
                <w:rFonts w:hint="eastAsia" w:ascii="宋体" w:hAnsi="宋体" w:cs="宋体"/>
                <w:color w:val="auto"/>
                <w:szCs w:val="21"/>
              </w:rPr>
              <w:t>填充物均匀、平坦，厚薄一致，手感无棉块，四角方正，无缺花，不塌边，四边扎边，线路顺直，缝合牢固，无开线、断线、出套等缺陷。</w:t>
            </w:r>
          </w:p>
        </w:tc>
        <w:tc>
          <w:tcPr>
            <w:tcW w:w="589" w:type="pct"/>
            <w:vAlign w:val="center"/>
          </w:tcPr>
          <w:p w14:paraId="54F5C91F">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250.00</w:t>
            </w:r>
          </w:p>
        </w:tc>
      </w:tr>
      <w:tr w14:paraId="5158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7B49E82E">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43</w:t>
            </w:r>
          </w:p>
        </w:tc>
        <w:tc>
          <w:tcPr>
            <w:tcW w:w="358" w:type="pct"/>
            <w:gridSpan w:val="2"/>
            <w:vAlign w:val="center"/>
          </w:tcPr>
          <w:p w14:paraId="14297C7E">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被芯（薄）</w:t>
            </w:r>
          </w:p>
        </w:tc>
        <w:tc>
          <w:tcPr>
            <w:tcW w:w="239" w:type="pct"/>
            <w:vAlign w:val="center"/>
          </w:tcPr>
          <w:p w14:paraId="765FB19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80</w:t>
            </w:r>
          </w:p>
        </w:tc>
        <w:tc>
          <w:tcPr>
            <w:tcW w:w="253" w:type="pct"/>
            <w:vAlign w:val="center"/>
          </w:tcPr>
          <w:p w14:paraId="6C55368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2FFED08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57225" cy="438150"/>
                  <wp:effectExtent l="0" t="0" r="9525" b="0"/>
                  <wp:docPr id="89"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3" descr="IMG_256"/>
                          <pic:cNvPicPr>
                            <a:picLocks noChangeAspect="1"/>
                          </pic:cNvPicPr>
                        </pic:nvPicPr>
                        <pic:blipFill>
                          <a:blip r:embed="rId41"/>
                          <a:stretch>
                            <a:fillRect/>
                          </a:stretch>
                        </pic:blipFill>
                        <pic:spPr>
                          <a:xfrm>
                            <a:off x="0" y="0"/>
                            <a:ext cx="657225" cy="438150"/>
                          </a:xfrm>
                          <a:prstGeom prst="rect">
                            <a:avLst/>
                          </a:prstGeom>
                          <a:noFill/>
                          <a:ln w="9525">
                            <a:noFill/>
                          </a:ln>
                        </pic:spPr>
                      </pic:pic>
                    </a:graphicData>
                  </a:graphic>
                </wp:inline>
              </w:drawing>
            </w:r>
          </w:p>
        </w:tc>
        <w:tc>
          <w:tcPr>
            <w:tcW w:w="2524" w:type="pct"/>
            <w:vAlign w:val="center"/>
          </w:tcPr>
          <w:p w14:paraId="680F46A4">
            <w:pPr>
              <w:spacing w:line="360" w:lineRule="auto"/>
              <w:rPr>
                <w:rFonts w:hint="eastAsia" w:ascii="宋体" w:hAnsi="宋体" w:cs="宋体"/>
                <w:color w:val="auto"/>
                <w:szCs w:val="21"/>
              </w:rPr>
            </w:pPr>
            <w:r>
              <w:rPr>
                <w:rFonts w:hint="eastAsia" w:ascii="宋体" w:hAnsi="宋体" w:cs="宋体"/>
                <w:color w:val="auto"/>
                <w:szCs w:val="21"/>
              </w:rPr>
              <w:t>1、填充物：100%羽丝棉（聚酯纤维），纤维纤维细度达0.7D-0.9D，经加硅处理和适度卷曲后，具备柔软纤细的触感，使纤维更光滑，</w:t>
            </w:r>
          </w:p>
          <w:p w14:paraId="264B0784">
            <w:pPr>
              <w:spacing w:line="360" w:lineRule="auto"/>
              <w:rPr>
                <w:rFonts w:hint="eastAsia" w:ascii="宋体" w:hAnsi="宋体" w:cs="宋体"/>
                <w:color w:val="auto"/>
                <w:szCs w:val="21"/>
              </w:rPr>
            </w:pPr>
            <w:r>
              <w:rPr>
                <w:rFonts w:hint="eastAsia" w:ascii="宋体" w:hAnsi="宋体" w:cs="宋体"/>
                <w:color w:val="auto"/>
                <w:szCs w:val="21"/>
              </w:rPr>
              <w:t>2、规格尺寸：</w:t>
            </w:r>
            <w:r>
              <w:rPr>
                <w:rFonts w:hint="eastAsia" w:ascii="宋体" w:hAnsi="宋体" w:cs="宋体"/>
                <w:color w:val="auto"/>
                <w:szCs w:val="21"/>
                <w:lang w:eastAsia="zh-CN"/>
              </w:rPr>
              <w:t>约</w:t>
            </w:r>
            <w:r>
              <w:rPr>
                <w:rFonts w:hint="eastAsia" w:ascii="宋体" w:hAnsi="宋体" w:cs="宋体"/>
                <w:color w:val="auto"/>
                <w:szCs w:val="21"/>
              </w:rPr>
              <w:t>1800×2200mm。</w:t>
            </w:r>
          </w:p>
          <w:p w14:paraId="4A28E041">
            <w:pPr>
              <w:spacing w:line="360" w:lineRule="auto"/>
              <w:rPr>
                <w:rFonts w:hint="eastAsia" w:ascii="宋体" w:hAnsi="宋体" w:cs="宋体"/>
                <w:color w:val="auto"/>
                <w:szCs w:val="21"/>
              </w:rPr>
            </w:pPr>
            <w:r>
              <w:rPr>
                <w:rFonts w:hint="eastAsia" w:ascii="宋体" w:hAnsi="宋体" w:cs="宋体"/>
                <w:color w:val="auto"/>
                <w:szCs w:val="21"/>
              </w:rPr>
              <w:t>3、重量：≥2kg。</w:t>
            </w:r>
          </w:p>
          <w:p w14:paraId="0CCEA4A2">
            <w:pPr>
              <w:spacing w:line="360" w:lineRule="auto"/>
              <w:rPr>
                <w:rFonts w:hint="eastAsia" w:ascii="宋体" w:hAnsi="宋体" w:cs="宋体"/>
                <w:color w:val="auto"/>
                <w:szCs w:val="21"/>
              </w:rPr>
            </w:pPr>
            <w:r>
              <w:rPr>
                <w:rFonts w:hint="eastAsia" w:ascii="宋体" w:hAnsi="宋体" w:cs="宋体"/>
                <w:color w:val="auto"/>
                <w:szCs w:val="21"/>
              </w:rPr>
              <w:t>4、蓬松度保持：经20次标准水洗后，蓬松度保持率超过85%。</w:t>
            </w:r>
          </w:p>
          <w:p w14:paraId="53C17CF5">
            <w:pPr>
              <w:spacing w:line="360" w:lineRule="auto"/>
              <w:rPr>
                <w:rFonts w:hint="eastAsia" w:ascii="宋体" w:hAnsi="宋体" w:cs="宋体"/>
                <w:color w:val="auto"/>
                <w:szCs w:val="21"/>
              </w:rPr>
            </w:pPr>
            <w:r>
              <w:rPr>
                <w:rFonts w:hint="eastAsia" w:ascii="宋体" w:hAnsi="宋体" w:cs="宋体"/>
                <w:color w:val="auto"/>
                <w:szCs w:val="21"/>
              </w:rPr>
              <w:t>5、制造工艺：绗缝工艺，防止纤维移位；双针滚边，提升被子边缘牢固度。</w:t>
            </w:r>
          </w:p>
          <w:p w14:paraId="29A45D5A">
            <w:pPr>
              <w:spacing w:line="360" w:lineRule="auto"/>
              <w:rPr>
                <w:rFonts w:hint="eastAsia" w:ascii="宋体" w:hAnsi="宋体" w:cs="宋体"/>
                <w:color w:val="auto"/>
                <w:szCs w:val="21"/>
              </w:rPr>
            </w:pPr>
            <w:r>
              <w:rPr>
                <w:rFonts w:hint="eastAsia" w:ascii="宋体" w:hAnsi="宋体" w:cs="宋体"/>
                <w:color w:val="auto"/>
                <w:szCs w:val="21"/>
              </w:rPr>
              <w:t>6、外观：</w:t>
            </w:r>
            <w:r>
              <w:rPr>
                <w:rFonts w:hint="eastAsia" w:ascii="宋体" w:hAnsi="宋体" w:cs="宋体"/>
                <w:color w:val="auto"/>
                <w:szCs w:val="21"/>
                <w:lang w:val="en-US" w:eastAsia="zh-CN"/>
              </w:rPr>
              <w:t>白色，</w:t>
            </w:r>
            <w:r>
              <w:rPr>
                <w:rFonts w:hint="eastAsia" w:ascii="宋体" w:hAnsi="宋体" w:cs="宋体"/>
                <w:color w:val="auto"/>
                <w:szCs w:val="21"/>
              </w:rPr>
              <w:t>填充物均匀、平坦，厚薄一致，手感无棉块，四角方正，无缺花，不塌边，四边扎边，线路顺直，缝合牢固，无开线、断线、出套等缺陷。</w:t>
            </w:r>
          </w:p>
        </w:tc>
        <w:tc>
          <w:tcPr>
            <w:tcW w:w="589" w:type="pct"/>
            <w:vAlign w:val="center"/>
          </w:tcPr>
          <w:p w14:paraId="3C573CFF">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230.00</w:t>
            </w:r>
          </w:p>
        </w:tc>
      </w:tr>
      <w:tr w14:paraId="0272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3B2BF5B1">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44</w:t>
            </w:r>
          </w:p>
        </w:tc>
        <w:tc>
          <w:tcPr>
            <w:tcW w:w="358" w:type="pct"/>
            <w:gridSpan w:val="2"/>
            <w:vAlign w:val="center"/>
          </w:tcPr>
          <w:p w14:paraId="2DE2648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大浴巾</w:t>
            </w:r>
          </w:p>
        </w:tc>
        <w:tc>
          <w:tcPr>
            <w:tcW w:w="239" w:type="pct"/>
            <w:vAlign w:val="center"/>
          </w:tcPr>
          <w:p w14:paraId="58E491F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300</w:t>
            </w:r>
          </w:p>
        </w:tc>
        <w:tc>
          <w:tcPr>
            <w:tcW w:w="253" w:type="pct"/>
            <w:vAlign w:val="center"/>
          </w:tcPr>
          <w:p w14:paraId="2A5C3EE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14E9209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03275" cy="358140"/>
                  <wp:effectExtent l="0" t="0" r="15875" b="3810"/>
                  <wp:docPr id="91"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4" descr="IMG_256"/>
                          <pic:cNvPicPr>
                            <a:picLocks noChangeAspect="1"/>
                          </pic:cNvPicPr>
                        </pic:nvPicPr>
                        <pic:blipFill>
                          <a:blip r:embed="rId43"/>
                          <a:stretch>
                            <a:fillRect/>
                          </a:stretch>
                        </pic:blipFill>
                        <pic:spPr>
                          <a:xfrm>
                            <a:off x="0" y="0"/>
                            <a:ext cx="803275" cy="358140"/>
                          </a:xfrm>
                          <a:prstGeom prst="rect">
                            <a:avLst/>
                          </a:prstGeom>
                          <a:noFill/>
                          <a:ln w="9525">
                            <a:noFill/>
                          </a:ln>
                        </pic:spPr>
                      </pic:pic>
                    </a:graphicData>
                  </a:graphic>
                </wp:inline>
              </w:drawing>
            </w:r>
          </w:p>
        </w:tc>
        <w:tc>
          <w:tcPr>
            <w:tcW w:w="2524" w:type="pct"/>
            <w:vAlign w:val="center"/>
          </w:tcPr>
          <w:p w14:paraId="7BF882D1">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1、质量等级：A类，一等品。</w:t>
            </w:r>
          </w:p>
          <w:p w14:paraId="53475474">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2、材质要求：</w:t>
            </w:r>
          </w:p>
          <w:p w14:paraId="20F86D36">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（1）纤维含量（%）：100%棉。</w:t>
            </w:r>
          </w:p>
          <w:p w14:paraId="484A67B2">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（2）甲醛（mg/kg）：≤20。</w:t>
            </w:r>
          </w:p>
          <w:p w14:paraId="5602376C">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（3）PH 值：4.0～8.5。</w:t>
            </w:r>
          </w:p>
          <w:p w14:paraId="0828FBB3">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（4）耐水色牢度（级）：≥4-5级。</w:t>
            </w:r>
          </w:p>
          <w:p w14:paraId="4345DD94">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（5）耐皂洗色牢度（级）：≥4-5级。</w:t>
            </w:r>
          </w:p>
          <w:p w14:paraId="69256484">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（6）吸水性（s）：≤20s。</w:t>
            </w:r>
          </w:p>
          <w:p w14:paraId="0B48FECA">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（7）脱毛率（%）：≤1.5%。</w:t>
            </w:r>
          </w:p>
          <w:p w14:paraId="6FE5CC62">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（8）单位面积干燥质量：450±5g/㎡。</w:t>
            </w:r>
          </w:p>
          <w:p w14:paraId="01B43E56">
            <w:pPr>
              <w:pStyle w:val="2"/>
              <w:spacing w:line="360" w:lineRule="auto"/>
              <w:ind w:firstLine="0"/>
              <w:jc w:val="left"/>
              <w:rPr>
                <w:rFonts w:hint="eastAsia" w:ascii="宋体" w:hAnsi="宋体" w:cs="宋体"/>
                <w:color w:val="auto"/>
                <w:szCs w:val="21"/>
                <w:highlight w:val="none"/>
              </w:rPr>
            </w:pPr>
            <w:r>
              <w:rPr>
                <w:rFonts w:hint="eastAsia" w:ascii="宋体" w:hAnsi="宋体" w:cs="宋体"/>
                <w:color w:val="auto"/>
                <w:szCs w:val="21"/>
                <w:highlight w:val="none"/>
              </w:rPr>
              <w:t>（9）异味：无异味。</w:t>
            </w:r>
          </w:p>
          <w:p w14:paraId="7F07880E">
            <w:pPr>
              <w:pStyle w:val="2"/>
              <w:keepNext w:val="0"/>
              <w:keepLines w:val="0"/>
              <w:pageBreakBefore w:val="0"/>
              <w:widowControl w:val="0"/>
              <w:kinsoku/>
              <w:wordWrap/>
              <w:overflowPunct/>
              <w:topLinePunct w:val="0"/>
              <w:autoSpaceDE/>
              <w:autoSpaceDN/>
              <w:bidi w:val="0"/>
              <w:adjustRightInd/>
              <w:snapToGrid/>
              <w:spacing w:line="360" w:lineRule="auto"/>
              <w:ind w:firstLine="0"/>
              <w:jc w:val="left"/>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3、颜色要求：白色</w:t>
            </w:r>
          </w:p>
        </w:tc>
        <w:tc>
          <w:tcPr>
            <w:tcW w:w="589" w:type="pct"/>
            <w:vAlign w:val="center"/>
          </w:tcPr>
          <w:p w14:paraId="7C0FA4CA">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50.00</w:t>
            </w:r>
          </w:p>
        </w:tc>
      </w:tr>
      <w:tr w14:paraId="2F5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35E47550">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45</w:t>
            </w:r>
          </w:p>
        </w:tc>
        <w:tc>
          <w:tcPr>
            <w:tcW w:w="358" w:type="pct"/>
            <w:gridSpan w:val="2"/>
            <w:vAlign w:val="center"/>
          </w:tcPr>
          <w:p w14:paraId="1BA54BC9">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抱枕</w:t>
            </w:r>
          </w:p>
        </w:tc>
        <w:tc>
          <w:tcPr>
            <w:tcW w:w="239" w:type="pct"/>
            <w:vAlign w:val="center"/>
          </w:tcPr>
          <w:p w14:paraId="45CBAB4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100</w:t>
            </w:r>
          </w:p>
        </w:tc>
        <w:tc>
          <w:tcPr>
            <w:tcW w:w="253" w:type="pct"/>
            <w:vAlign w:val="center"/>
          </w:tcPr>
          <w:p w14:paraId="37EC1E2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780" w:type="pct"/>
            <w:shd w:val="clear" w:color="auto" w:fill="auto"/>
            <w:vAlign w:val="center"/>
          </w:tcPr>
          <w:p w14:paraId="7B01F97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78510" cy="616585"/>
                  <wp:effectExtent l="0" t="0" r="2540" b="12065"/>
                  <wp:docPr id="93"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5" descr="IMG_256"/>
                          <pic:cNvPicPr>
                            <a:picLocks noChangeAspect="1"/>
                          </pic:cNvPicPr>
                        </pic:nvPicPr>
                        <pic:blipFill>
                          <a:blip r:embed="rId44"/>
                          <a:stretch>
                            <a:fillRect/>
                          </a:stretch>
                        </pic:blipFill>
                        <pic:spPr>
                          <a:xfrm>
                            <a:off x="0" y="0"/>
                            <a:ext cx="778510" cy="616585"/>
                          </a:xfrm>
                          <a:prstGeom prst="rect">
                            <a:avLst/>
                          </a:prstGeom>
                          <a:noFill/>
                          <a:ln w="9525">
                            <a:noFill/>
                          </a:ln>
                        </pic:spPr>
                      </pic:pic>
                    </a:graphicData>
                  </a:graphic>
                </wp:inline>
              </w:drawing>
            </w:r>
          </w:p>
        </w:tc>
        <w:tc>
          <w:tcPr>
            <w:tcW w:w="2524" w:type="pct"/>
            <w:vAlign w:val="center"/>
          </w:tcPr>
          <w:p w14:paraId="151F75D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1、采用舒适亚麻面料，透气干爽，亲肤健康，舒适耐用，精细做工，走线均匀细密。</w:t>
            </w:r>
          </w:p>
          <w:p w14:paraId="2DC6AE4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2、采用PP棉填充，弹性好，蓬松度强，造型美观，不怕挤压。</w:t>
            </w:r>
          </w:p>
          <w:p w14:paraId="5494797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3、采用精致拉链，顺滑不卡位，经久耐用，拆洗方便。</w:t>
            </w:r>
          </w:p>
          <w:p w14:paraId="45A53C7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4、克重：150g/m²。</w:t>
            </w:r>
          </w:p>
          <w:p w14:paraId="3C9D251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5、甲醛含量：≤75mg/kg。</w:t>
            </w:r>
          </w:p>
          <w:p w14:paraId="67452A1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6、pH 数值：4.0～8.5之间。</w:t>
            </w:r>
          </w:p>
          <w:p w14:paraId="426CAD48">
            <w:pPr>
              <w:pStyle w:val="2"/>
              <w:ind w:left="0" w:leftChars="0" w:firstLine="0" w:firstLineChars="0"/>
              <w:rPr>
                <w:rFonts w:hint="eastAsia"/>
                <w:color w:val="auto"/>
                <w:highlight w:val="none"/>
              </w:rPr>
            </w:pPr>
            <w:r>
              <w:rPr>
                <w:rFonts w:hint="eastAsia" w:ascii="宋体" w:hAnsi="宋体" w:eastAsia="宋体" w:cs="宋体"/>
                <w:color w:val="auto"/>
                <w:highlight w:val="none"/>
              </w:rPr>
              <w:t>7、颜色和款式参考图片，成交后由采购人要求选定。</w:t>
            </w:r>
          </w:p>
        </w:tc>
        <w:tc>
          <w:tcPr>
            <w:tcW w:w="589" w:type="pct"/>
            <w:vAlign w:val="center"/>
          </w:tcPr>
          <w:p w14:paraId="5882AAAE">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50.00</w:t>
            </w:r>
          </w:p>
        </w:tc>
      </w:tr>
      <w:tr w14:paraId="070D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1FBD0B90">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46</w:t>
            </w:r>
          </w:p>
        </w:tc>
        <w:tc>
          <w:tcPr>
            <w:tcW w:w="358" w:type="pct"/>
            <w:gridSpan w:val="2"/>
            <w:vAlign w:val="center"/>
          </w:tcPr>
          <w:p w14:paraId="0D8604C8">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面巾</w:t>
            </w:r>
          </w:p>
        </w:tc>
        <w:tc>
          <w:tcPr>
            <w:tcW w:w="239" w:type="pct"/>
            <w:vAlign w:val="center"/>
          </w:tcPr>
          <w:p w14:paraId="45022B3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300</w:t>
            </w:r>
          </w:p>
        </w:tc>
        <w:tc>
          <w:tcPr>
            <w:tcW w:w="253" w:type="pct"/>
            <w:vAlign w:val="center"/>
          </w:tcPr>
          <w:p w14:paraId="71C31AC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张</w:t>
            </w:r>
          </w:p>
        </w:tc>
        <w:tc>
          <w:tcPr>
            <w:tcW w:w="780" w:type="pct"/>
            <w:shd w:val="clear" w:color="auto" w:fill="auto"/>
            <w:vAlign w:val="center"/>
          </w:tcPr>
          <w:p w14:paraId="19E3645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23595" cy="367030"/>
                  <wp:effectExtent l="0" t="0" r="14605" b="13970"/>
                  <wp:docPr id="95"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6" descr="IMG_256"/>
                          <pic:cNvPicPr>
                            <a:picLocks noChangeAspect="1"/>
                          </pic:cNvPicPr>
                        </pic:nvPicPr>
                        <pic:blipFill>
                          <a:blip r:embed="rId43"/>
                          <a:stretch>
                            <a:fillRect/>
                          </a:stretch>
                        </pic:blipFill>
                        <pic:spPr>
                          <a:xfrm>
                            <a:off x="0" y="0"/>
                            <a:ext cx="823595" cy="367030"/>
                          </a:xfrm>
                          <a:prstGeom prst="rect">
                            <a:avLst/>
                          </a:prstGeom>
                          <a:noFill/>
                          <a:ln w="9525">
                            <a:noFill/>
                          </a:ln>
                        </pic:spPr>
                      </pic:pic>
                    </a:graphicData>
                  </a:graphic>
                </wp:inline>
              </w:drawing>
            </w:r>
          </w:p>
        </w:tc>
        <w:tc>
          <w:tcPr>
            <w:tcW w:w="2524" w:type="pct"/>
            <w:vAlign w:val="center"/>
          </w:tcPr>
          <w:p w14:paraId="2CEFAD6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1、质量等级：A类，一等品。</w:t>
            </w:r>
          </w:p>
          <w:p w14:paraId="7362EDA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▲2、材质要求：</w:t>
            </w:r>
          </w:p>
          <w:p w14:paraId="464EBC3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（1）纤维含量（%）：100%棉。</w:t>
            </w:r>
          </w:p>
          <w:p w14:paraId="11A9E7F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（2）甲醛（mg/kg）：≤20。</w:t>
            </w:r>
          </w:p>
          <w:p w14:paraId="0EF683E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（3）PH 值：4.0～8.5。</w:t>
            </w:r>
          </w:p>
          <w:p w14:paraId="4C38CC0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（4）耐水色牢度（级）：≥4-5级。</w:t>
            </w:r>
          </w:p>
          <w:p w14:paraId="0794E3A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（5）耐皂洗色牢度（级）：≥4-5级。</w:t>
            </w:r>
          </w:p>
          <w:p w14:paraId="4C2FD39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（6）吸水性（s）：≤20s。</w:t>
            </w:r>
          </w:p>
          <w:p w14:paraId="276BB85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（7）脱毛率（%）：≤1.5%。</w:t>
            </w:r>
          </w:p>
          <w:p w14:paraId="65EA7A5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（8）尺寸（cm）：78*36±2cm。</w:t>
            </w:r>
          </w:p>
          <w:p w14:paraId="13455EA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（9）单位面积干燥质量：450±5g/㎡。</w:t>
            </w:r>
          </w:p>
          <w:p w14:paraId="6D79CF8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（10）异味：无异味。</w:t>
            </w:r>
          </w:p>
          <w:p w14:paraId="4B5479DE">
            <w:pPr>
              <w:pStyle w:val="2"/>
              <w:ind w:firstLine="0"/>
              <w:rPr>
                <w:rFonts w:hint="default" w:eastAsia="宋体"/>
                <w:color w:val="auto"/>
                <w:highlight w:val="none"/>
                <w:lang w:val="en-US" w:eastAsia="zh-CN"/>
              </w:rPr>
            </w:pPr>
            <w:r>
              <w:rPr>
                <w:rFonts w:hint="eastAsia" w:ascii="宋体" w:hAnsi="宋体" w:cs="宋体"/>
                <w:color w:val="auto"/>
                <w:szCs w:val="21"/>
                <w:highlight w:val="none"/>
                <w:lang w:val="en-US" w:eastAsia="zh-CN"/>
              </w:rPr>
              <w:t>3、颜色要求：白色</w:t>
            </w:r>
          </w:p>
          <w:p w14:paraId="4F3605C4">
            <w:pPr>
              <w:spacing w:line="360" w:lineRule="auto"/>
              <w:rPr>
                <w:rFonts w:hint="eastAsia" w:ascii="宋体" w:hAnsi="宋体" w:cs="宋体"/>
                <w:color w:val="auto"/>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b w:val="0"/>
                <w:bCs w:val="0"/>
                <w:szCs w:val="21"/>
                <w:highlight w:val="none"/>
                <w:lang w:val="en-US" w:eastAsia="zh-CN"/>
              </w:rPr>
              <w:t>供货时须提供</w:t>
            </w:r>
            <w:r>
              <w:rPr>
                <w:rFonts w:hint="default" w:ascii="宋体" w:hAnsi="宋体" w:cs="宋体"/>
                <w:b w:val="0"/>
                <w:bCs w:val="0"/>
                <w:szCs w:val="21"/>
                <w:highlight w:val="none"/>
                <w:lang w:val="en-US" w:eastAsia="zh-CN"/>
              </w:rPr>
              <w:t>竞标人或者本次竞标货物生产厂家自2024年1月1日起</w:t>
            </w:r>
            <w:r>
              <w:rPr>
                <w:rFonts w:hint="default" w:ascii="宋体" w:hAnsi="宋体" w:cs="宋体"/>
                <w:szCs w:val="21"/>
                <w:highlight w:val="none"/>
                <w:lang w:val="en-US"/>
              </w:rPr>
              <w:t>面巾经国家认可的质量检验部门的出具的具有</w:t>
            </w:r>
            <w:r>
              <w:rPr>
                <w:rFonts w:hint="default" w:ascii="宋体" w:hAnsi="宋体" w:cs="宋体"/>
                <w:color w:val="auto"/>
                <w:szCs w:val="21"/>
                <w:highlight w:val="none"/>
                <w:lang w:val="en-US" w:eastAsia="zh-CN"/>
              </w:rPr>
              <w:t>CMA</w:t>
            </w:r>
            <w:r>
              <w:rPr>
                <w:rFonts w:hint="default" w:ascii="宋体" w:hAnsi="宋体" w:cs="宋体"/>
                <w:szCs w:val="21"/>
                <w:highlight w:val="none"/>
                <w:lang w:val="en-US"/>
              </w:rPr>
              <w:t>标识的面料检验报告原件，检</w:t>
            </w:r>
            <w:r>
              <w:rPr>
                <w:rFonts w:hint="eastAsia" w:ascii="宋体" w:hAnsi="宋体" w:cs="宋体"/>
                <w:szCs w:val="21"/>
                <w:highlight w:val="none"/>
              </w:rPr>
              <w:t>，检测内容包括</w:t>
            </w:r>
            <w:r>
              <w:rPr>
                <w:rFonts w:hint="eastAsia" w:ascii="宋体" w:hAnsi="宋体" w:cs="宋体"/>
                <w:szCs w:val="21"/>
                <w:highlight w:val="none"/>
                <w:lang w:val="en-US" w:eastAsia="zh-CN"/>
              </w:rPr>
              <w:t>上述</w:t>
            </w:r>
            <w:r>
              <w:rPr>
                <w:rFonts w:hint="eastAsia" w:ascii="宋体" w:hAnsi="宋体" w:cs="宋体"/>
                <w:szCs w:val="21"/>
                <w:highlight w:val="none"/>
              </w:rPr>
              <w:t>第2项参数</w:t>
            </w:r>
            <w:r>
              <w:rPr>
                <w:rFonts w:hint="eastAsia" w:ascii="宋体" w:hAnsi="宋体" w:cs="宋体"/>
                <w:szCs w:val="21"/>
                <w:highlight w:val="none"/>
                <w:lang w:eastAsia="zh-CN"/>
              </w:rPr>
              <w:t>，</w:t>
            </w:r>
            <w:r>
              <w:rPr>
                <w:rFonts w:hint="eastAsia" w:ascii="宋体" w:hAnsi="宋体" w:cs="宋体"/>
                <w:szCs w:val="21"/>
                <w:highlight w:val="none"/>
              </w:rPr>
              <w:t>检验依据：GB/T22864-2020《毛巾》</w:t>
            </w:r>
            <w:r>
              <w:rPr>
                <w:rFonts w:hint="eastAsia" w:ascii="宋体" w:hAnsi="宋体" w:cs="宋体"/>
                <w:szCs w:val="21"/>
                <w:highlight w:val="none"/>
                <w:lang w:eastAsia="zh-CN"/>
              </w:rPr>
              <w:t>。</w:t>
            </w:r>
          </w:p>
        </w:tc>
        <w:tc>
          <w:tcPr>
            <w:tcW w:w="589" w:type="pct"/>
            <w:vAlign w:val="center"/>
          </w:tcPr>
          <w:p w14:paraId="47BAD742">
            <w:pPr>
              <w:spacing w:line="360" w:lineRule="auto"/>
              <w:rPr>
                <w:rFonts w:hint="default" w:ascii="宋体" w:hAnsi="宋体" w:cs="宋体"/>
                <w:color w:val="auto"/>
                <w:szCs w:val="21"/>
                <w:lang w:val="en-US"/>
              </w:rPr>
            </w:pPr>
            <w:r>
              <w:rPr>
                <w:rFonts w:hint="default" w:ascii="宋体" w:hAnsi="宋体" w:cs="宋体"/>
                <w:color w:val="auto"/>
                <w:szCs w:val="21"/>
                <w:lang w:val="en-US"/>
              </w:rPr>
              <w:t>25.00</w:t>
            </w:r>
          </w:p>
        </w:tc>
      </w:tr>
      <w:tr w14:paraId="38FF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53" w:type="pct"/>
            <w:vAlign w:val="center"/>
          </w:tcPr>
          <w:p w14:paraId="3B48DE8C">
            <w:pPr>
              <w:widowControl/>
              <w:jc w:val="center"/>
              <w:textAlignment w:val="center"/>
              <w:rPr>
                <w:rFonts w:hint="eastAsia" w:ascii="宋体" w:hAnsi="宋体" w:cs="宋体"/>
                <w:color w:val="auto"/>
                <w:kern w:val="0"/>
                <w:szCs w:val="21"/>
              </w:rPr>
            </w:pPr>
            <w:r>
              <w:rPr>
                <w:rFonts w:hint="eastAsia" w:ascii="宋体" w:hAnsi="宋体" w:cs="宋体"/>
                <w:color w:val="auto"/>
                <w:kern w:val="0"/>
                <w:szCs w:val="21"/>
                <w:lang w:bidi="ar"/>
              </w:rPr>
              <w:t>47</w:t>
            </w:r>
          </w:p>
        </w:tc>
        <w:tc>
          <w:tcPr>
            <w:tcW w:w="358" w:type="pct"/>
            <w:gridSpan w:val="2"/>
            <w:vAlign w:val="center"/>
          </w:tcPr>
          <w:p w14:paraId="696384B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电热水壶</w:t>
            </w:r>
          </w:p>
        </w:tc>
        <w:tc>
          <w:tcPr>
            <w:tcW w:w="239" w:type="pct"/>
            <w:vAlign w:val="center"/>
          </w:tcPr>
          <w:p w14:paraId="2E43F88E">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60</w:t>
            </w:r>
          </w:p>
        </w:tc>
        <w:tc>
          <w:tcPr>
            <w:tcW w:w="253" w:type="pct"/>
            <w:vAlign w:val="center"/>
          </w:tcPr>
          <w:p w14:paraId="2CE33E4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780" w:type="pct"/>
            <w:shd w:val="clear" w:color="auto" w:fill="auto"/>
            <w:vAlign w:val="center"/>
          </w:tcPr>
          <w:p w14:paraId="5C07701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596900" cy="706755"/>
                  <wp:effectExtent l="0" t="0" r="12700" b="17145"/>
                  <wp:docPr id="9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7" descr="IMG_256"/>
                          <pic:cNvPicPr>
                            <a:picLocks noChangeAspect="1"/>
                          </pic:cNvPicPr>
                        </pic:nvPicPr>
                        <pic:blipFill>
                          <a:blip r:embed="rId45"/>
                          <a:stretch>
                            <a:fillRect/>
                          </a:stretch>
                        </pic:blipFill>
                        <pic:spPr>
                          <a:xfrm>
                            <a:off x="0" y="0"/>
                            <a:ext cx="596900" cy="706755"/>
                          </a:xfrm>
                          <a:prstGeom prst="rect">
                            <a:avLst/>
                          </a:prstGeom>
                          <a:noFill/>
                          <a:ln w="9525">
                            <a:noFill/>
                          </a:ln>
                        </pic:spPr>
                      </pic:pic>
                    </a:graphicData>
                  </a:graphic>
                </wp:inline>
              </w:drawing>
            </w:r>
          </w:p>
        </w:tc>
        <w:tc>
          <w:tcPr>
            <w:tcW w:w="2524" w:type="pct"/>
            <w:vAlign w:val="center"/>
          </w:tcPr>
          <w:p w14:paraId="75FC2070">
            <w:pPr>
              <w:spacing w:line="360" w:lineRule="auto"/>
              <w:rPr>
                <w:rFonts w:hint="eastAsia" w:ascii="宋体" w:hAnsi="宋体" w:cs="宋体"/>
                <w:color w:val="auto"/>
                <w:szCs w:val="21"/>
              </w:rPr>
            </w:pPr>
            <w:r>
              <w:rPr>
                <w:rFonts w:hint="eastAsia" w:ascii="宋体" w:hAnsi="宋体" w:cs="宋体"/>
                <w:color w:val="auto"/>
                <w:szCs w:val="21"/>
              </w:rPr>
              <w:t>1、1.5L容量，额定功率：1800W，额定电压：220V，额定频率：50HZ。</w:t>
            </w:r>
          </w:p>
          <w:p w14:paraId="7499F117">
            <w:pPr>
              <w:spacing w:line="360" w:lineRule="auto"/>
              <w:rPr>
                <w:rFonts w:hint="eastAsia" w:ascii="宋体" w:hAnsi="宋体" w:cs="宋体"/>
                <w:color w:val="auto"/>
                <w:szCs w:val="21"/>
              </w:rPr>
            </w:pPr>
            <w:r>
              <w:rPr>
                <w:rFonts w:hint="eastAsia" w:ascii="宋体" w:hAnsi="宋体" w:cs="宋体"/>
                <w:color w:val="auto"/>
                <w:szCs w:val="21"/>
              </w:rPr>
              <w:t>2、材质：304不锈钢内胆。</w:t>
            </w:r>
          </w:p>
          <w:p w14:paraId="16597336">
            <w:pPr>
              <w:spacing w:line="360" w:lineRule="auto"/>
              <w:rPr>
                <w:rFonts w:hint="eastAsia" w:ascii="宋体" w:hAnsi="宋体" w:cs="宋体"/>
                <w:color w:val="auto"/>
                <w:szCs w:val="21"/>
              </w:rPr>
            </w:pPr>
            <w:r>
              <w:rPr>
                <w:rFonts w:hint="eastAsia" w:ascii="宋体" w:hAnsi="宋体" w:cs="宋体"/>
                <w:color w:val="auto"/>
                <w:szCs w:val="21"/>
              </w:rPr>
              <w:t>3、电源收纳线、可视化加热灯、一键开盖、双重防干烧，零缝隙零拼接。</w:t>
            </w:r>
          </w:p>
        </w:tc>
        <w:tc>
          <w:tcPr>
            <w:tcW w:w="589" w:type="pct"/>
            <w:vAlign w:val="center"/>
          </w:tcPr>
          <w:p w14:paraId="52F20349">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80.00</w:t>
            </w:r>
          </w:p>
        </w:tc>
      </w:tr>
      <w:tr w14:paraId="0A6B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5000" w:type="pct"/>
            <w:gridSpan w:val="8"/>
            <w:vAlign w:val="center"/>
          </w:tcPr>
          <w:p w14:paraId="4FD86981">
            <w:pPr>
              <w:widowControl/>
              <w:spacing w:line="460" w:lineRule="exact"/>
              <w:rPr>
                <w:rFonts w:hint="eastAsia" w:ascii="宋体" w:hAnsi="宋体" w:cs="宋体"/>
                <w:b/>
                <w:color w:val="auto"/>
                <w:szCs w:val="21"/>
              </w:rPr>
            </w:pPr>
            <w:r>
              <w:rPr>
                <w:rFonts w:hint="eastAsia" w:ascii="宋体" w:hAnsi="宋体" w:cs="宋体"/>
                <w:b/>
                <w:color w:val="auto"/>
                <w:szCs w:val="21"/>
              </w:rPr>
              <w:t>一、商务条款</w:t>
            </w:r>
          </w:p>
        </w:tc>
      </w:tr>
      <w:tr w14:paraId="30FA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24E4E987">
            <w:pPr>
              <w:widowControl/>
              <w:tabs>
                <w:tab w:val="left" w:pos="5450"/>
              </w:tabs>
              <w:adjustRightInd w:val="0"/>
              <w:snapToGrid w:val="0"/>
              <w:spacing w:line="460" w:lineRule="exact"/>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color w:val="auto"/>
                <w:szCs w:val="21"/>
              </w:rPr>
              <w:t>规范标准</w:t>
            </w:r>
          </w:p>
        </w:tc>
        <w:tc>
          <w:tcPr>
            <w:tcW w:w="4422" w:type="pct"/>
            <w:gridSpan w:val="6"/>
            <w:vAlign w:val="center"/>
          </w:tcPr>
          <w:p w14:paraId="374955C5">
            <w:pPr>
              <w:widowControl/>
              <w:tabs>
                <w:tab w:val="left" w:pos="5450"/>
              </w:tabs>
              <w:adjustRightInd w:val="0"/>
              <w:snapToGrid w:val="0"/>
              <w:spacing w:line="460" w:lineRule="exact"/>
              <w:rPr>
                <w:rFonts w:hint="eastAsia" w:ascii="宋体" w:hAnsi="宋体" w:cs="宋体"/>
                <w:color w:val="auto"/>
                <w:szCs w:val="21"/>
              </w:rPr>
            </w:pPr>
            <w:r>
              <w:rPr>
                <w:rFonts w:hint="eastAsia" w:ascii="宋体" w:hAnsi="宋体" w:cs="宋体"/>
                <w:color w:val="auto"/>
                <w:szCs w:val="21"/>
              </w:rPr>
              <w:t>采购标的需执行的国家标准、行业标准、地方标准或者其他标准、规范。多项标准的，按最新标准或较高标准执行。</w:t>
            </w:r>
          </w:p>
        </w:tc>
      </w:tr>
      <w:tr w14:paraId="1E9E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348A349E">
            <w:pPr>
              <w:spacing w:line="360" w:lineRule="auto"/>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color w:val="auto"/>
                <w:szCs w:val="21"/>
              </w:rPr>
              <w:t>验收标准</w:t>
            </w:r>
          </w:p>
        </w:tc>
        <w:tc>
          <w:tcPr>
            <w:tcW w:w="4422" w:type="pct"/>
            <w:gridSpan w:val="6"/>
            <w:vAlign w:val="center"/>
          </w:tcPr>
          <w:p w14:paraId="30F76AA9">
            <w:pPr>
              <w:spacing w:line="360" w:lineRule="auto"/>
              <w:rPr>
                <w:rFonts w:hint="eastAsia" w:ascii="宋体" w:hAnsi="宋体" w:cs="宋体"/>
                <w:color w:val="auto"/>
                <w:szCs w:val="21"/>
              </w:rPr>
            </w:pPr>
            <w:r>
              <w:rPr>
                <w:rFonts w:hint="eastAsia" w:ascii="宋体" w:hAnsi="宋体" w:cs="宋体"/>
                <w:color w:val="auto"/>
                <w:szCs w:val="21"/>
              </w:rPr>
              <w:t>参照（桂财采〔2015〕22号）《关于印发广西壮族自治区政府采购项目履约验收管理办法的通知》执行。</w:t>
            </w:r>
          </w:p>
        </w:tc>
      </w:tr>
      <w:tr w14:paraId="4C25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6C73182E">
            <w:pPr>
              <w:widowControl/>
              <w:tabs>
                <w:tab w:val="left" w:pos="5450"/>
              </w:tabs>
              <w:adjustRightInd w:val="0"/>
              <w:snapToGrid w:val="0"/>
              <w:spacing w:line="460" w:lineRule="exact"/>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color w:val="auto"/>
                <w:szCs w:val="21"/>
              </w:rPr>
              <w:t>合同签订期</w:t>
            </w:r>
          </w:p>
        </w:tc>
        <w:tc>
          <w:tcPr>
            <w:tcW w:w="4422" w:type="pct"/>
            <w:gridSpan w:val="6"/>
            <w:vAlign w:val="center"/>
          </w:tcPr>
          <w:p w14:paraId="4236F40E">
            <w:pPr>
              <w:widowControl/>
              <w:tabs>
                <w:tab w:val="left" w:pos="5450"/>
              </w:tabs>
              <w:adjustRightInd w:val="0"/>
              <w:snapToGrid w:val="0"/>
              <w:spacing w:line="460" w:lineRule="exact"/>
              <w:rPr>
                <w:rFonts w:hint="eastAsia" w:ascii="宋体" w:hAnsi="宋体" w:cs="宋体"/>
                <w:color w:val="auto"/>
                <w:szCs w:val="21"/>
              </w:rPr>
            </w:pPr>
            <w:r>
              <w:rPr>
                <w:rFonts w:hint="eastAsia" w:ascii="宋体" w:hAnsi="宋体" w:cs="宋体"/>
                <w:color w:val="auto"/>
                <w:szCs w:val="21"/>
              </w:rPr>
              <w:t>自成交通知书发出之日起25日内。</w:t>
            </w:r>
          </w:p>
        </w:tc>
      </w:tr>
      <w:tr w14:paraId="571E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5E6E0E54">
            <w:pPr>
              <w:widowControl/>
              <w:tabs>
                <w:tab w:val="left" w:pos="5450"/>
              </w:tabs>
              <w:adjustRightInd w:val="0"/>
              <w:snapToGrid w:val="0"/>
              <w:spacing w:line="460" w:lineRule="exact"/>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color w:val="auto"/>
                <w:szCs w:val="21"/>
              </w:rPr>
              <w:t>交货时间及地点</w:t>
            </w:r>
          </w:p>
        </w:tc>
        <w:tc>
          <w:tcPr>
            <w:tcW w:w="4422" w:type="pct"/>
            <w:gridSpan w:val="6"/>
            <w:vAlign w:val="center"/>
          </w:tcPr>
          <w:p w14:paraId="1519E365">
            <w:pPr>
              <w:widowControl/>
              <w:tabs>
                <w:tab w:val="left" w:pos="5450"/>
              </w:tabs>
              <w:adjustRightInd w:val="0"/>
              <w:snapToGrid w:val="0"/>
              <w:spacing w:line="460" w:lineRule="exact"/>
              <w:rPr>
                <w:rFonts w:hint="eastAsia" w:ascii="宋体" w:hAnsi="宋体" w:cs="宋体"/>
                <w:color w:val="auto"/>
                <w:szCs w:val="21"/>
              </w:rPr>
            </w:pPr>
            <w:r>
              <w:rPr>
                <w:rFonts w:hint="eastAsia" w:ascii="宋体" w:hAnsi="宋体" w:cs="宋体"/>
                <w:color w:val="auto"/>
                <w:szCs w:val="21"/>
              </w:rPr>
              <w:t>1、交货时间：自签订合同之日起20日历日内全部交货安装完成并验收合格。</w:t>
            </w:r>
          </w:p>
          <w:p w14:paraId="2387B65D">
            <w:pPr>
              <w:widowControl/>
              <w:tabs>
                <w:tab w:val="left" w:pos="5450"/>
              </w:tabs>
              <w:adjustRightInd w:val="0"/>
              <w:snapToGrid w:val="0"/>
              <w:spacing w:line="460" w:lineRule="exact"/>
              <w:rPr>
                <w:rFonts w:hint="eastAsia" w:ascii="宋体" w:hAnsi="宋体" w:cs="宋体"/>
                <w:color w:val="auto"/>
                <w:szCs w:val="21"/>
              </w:rPr>
            </w:pPr>
            <w:r>
              <w:rPr>
                <w:rFonts w:hint="eastAsia" w:ascii="宋体" w:hAnsi="宋体" w:cs="宋体"/>
                <w:color w:val="auto"/>
                <w:szCs w:val="21"/>
              </w:rPr>
              <w:t>2、交货地点：广西区内（南宁市指定地点）。</w:t>
            </w:r>
          </w:p>
        </w:tc>
      </w:tr>
      <w:tr w14:paraId="1505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71A9940E">
            <w:pPr>
              <w:widowControl/>
              <w:tabs>
                <w:tab w:val="left" w:pos="5450"/>
              </w:tabs>
              <w:adjustRightInd w:val="0"/>
              <w:snapToGrid w:val="0"/>
              <w:spacing w:line="460" w:lineRule="exact"/>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color w:val="auto"/>
                <w:szCs w:val="21"/>
              </w:rPr>
              <w:t>质量保证</w:t>
            </w:r>
          </w:p>
        </w:tc>
        <w:tc>
          <w:tcPr>
            <w:tcW w:w="4422" w:type="pct"/>
            <w:gridSpan w:val="6"/>
            <w:vAlign w:val="center"/>
          </w:tcPr>
          <w:p w14:paraId="689DECE5">
            <w:pPr>
              <w:spacing w:line="460" w:lineRule="exact"/>
              <w:rPr>
                <w:rFonts w:hint="eastAsia" w:ascii="宋体" w:hAnsi="宋体" w:cs="宋体"/>
                <w:color w:val="auto"/>
                <w:szCs w:val="21"/>
              </w:rPr>
            </w:pPr>
            <w:r>
              <w:rPr>
                <w:rFonts w:hint="eastAsia" w:ascii="宋体" w:hAnsi="宋体" w:cs="宋体"/>
                <w:color w:val="auto"/>
                <w:szCs w:val="21"/>
              </w:rPr>
              <w:t>1.按国家有关产品“三包”规定执行“三包”， 自交货验收合格之日起所有货物提供不少于1年的质保服务。</w:t>
            </w:r>
          </w:p>
          <w:p w14:paraId="07E80924">
            <w:pPr>
              <w:spacing w:line="460" w:lineRule="exact"/>
              <w:rPr>
                <w:rFonts w:hint="eastAsia" w:ascii="宋体" w:hAnsi="宋体" w:cs="宋体"/>
                <w:color w:val="auto"/>
                <w:szCs w:val="21"/>
              </w:rPr>
            </w:pPr>
            <w:r>
              <w:rPr>
                <w:rFonts w:hint="eastAsia" w:ascii="宋体" w:hAnsi="宋体" w:cs="宋体"/>
                <w:color w:val="auto"/>
                <w:szCs w:val="21"/>
              </w:rPr>
              <w:t>2.成交供应商完成本项目相关安装、调试、运行等，须符合国家相关标准和规范；安装前应向采购人提交安装方案并经采购人确认后方可实施。实施过程有关安全生产由成交供应商负责，与采购人无关。</w:t>
            </w:r>
          </w:p>
          <w:p w14:paraId="12040269">
            <w:pPr>
              <w:spacing w:line="460" w:lineRule="exact"/>
              <w:rPr>
                <w:rFonts w:hint="eastAsia" w:ascii="宋体" w:hAnsi="宋体" w:cs="宋体"/>
                <w:color w:val="auto"/>
                <w:szCs w:val="21"/>
              </w:rPr>
            </w:pPr>
            <w:r>
              <w:rPr>
                <w:rFonts w:hint="eastAsia" w:ascii="宋体" w:hAnsi="宋体" w:cs="宋体"/>
                <w:color w:val="auto"/>
                <w:szCs w:val="21"/>
              </w:rPr>
              <w:t>3.从通过验收即日起质保期内所有由于质量问题导致产品故障以负责保修、负责人工及负责更换备件标准上门服务，并提供终身维护（其报价包含在竞标报价中，竞标人须综合考虑）。</w:t>
            </w:r>
          </w:p>
          <w:p w14:paraId="72A299B4">
            <w:pPr>
              <w:spacing w:line="460" w:lineRule="exact"/>
              <w:rPr>
                <w:rFonts w:hint="eastAsia" w:ascii="宋体" w:hAnsi="宋体" w:cs="宋体"/>
                <w:color w:val="auto"/>
                <w:szCs w:val="21"/>
              </w:rPr>
            </w:pPr>
            <w:r>
              <w:rPr>
                <w:rFonts w:hint="eastAsia" w:ascii="宋体" w:hAnsi="宋体" w:cs="宋体"/>
                <w:color w:val="auto"/>
                <w:szCs w:val="21"/>
              </w:rPr>
              <w:t>4.质保期第一年内出现非人为操作失误引发的重大故障，应予以负责换货。保修期满前1个月内成交供应商应负责一次全面检查，并对发现的问题负责整改好；质保期满后，以不高于市场同类同期的价格提供优惠维修服务和备件更换，所更换备件须提供原厂备件。</w:t>
            </w:r>
          </w:p>
        </w:tc>
      </w:tr>
      <w:tr w14:paraId="32FE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4B790808">
            <w:pPr>
              <w:widowControl/>
              <w:spacing w:line="460" w:lineRule="exact"/>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color w:val="auto"/>
                <w:szCs w:val="21"/>
              </w:rPr>
              <w:t>付款方式</w:t>
            </w:r>
          </w:p>
        </w:tc>
        <w:tc>
          <w:tcPr>
            <w:tcW w:w="4422" w:type="pct"/>
            <w:gridSpan w:val="6"/>
            <w:vAlign w:val="center"/>
          </w:tcPr>
          <w:p w14:paraId="1EFB3A19">
            <w:pPr>
              <w:spacing w:line="460" w:lineRule="exact"/>
              <w:rPr>
                <w:rFonts w:hint="eastAsia" w:ascii="宋体" w:hAnsi="宋体" w:cs="宋体"/>
                <w:color w:val="auto"/>
                <w:szCs w:val="21"/>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本项目无预付款，</w:t>
            </w:r>
            <w:r>
              <w:rPr>
                <w:rFonts w:hint="eastAsia" w:ascii="宋体" w:hAnsi="宋体" w:cs="宋体"/>
                <w:color w:val="auto"/>
                <w:szCs w:val="21"/>
                <w:highlight w:val="none"/>
              </w:rPr>
              <w:t>全部货物</w:t>
            </w:r>
            <w:r>
              <w:rPr>
                <w:rFonts w:hint="eastAsia" w:ascii="宋体" w:hAnsi="宋体" w:cs="宋体"/>
                <w:color w:val="auto"/>
                <w:szCs w:val="21"/>
              </w:rPr>
              <w:t>交货完毕并安装调试且验收合格后</w:t>
            </w:r>
            <w:r>
              <w:rPr>
                <w:rFonts w:hint="eastAsia" w:ascii="宋体" w:hAnsi="宋体" w:cs="宋体"/>
                <w:color w:val="auto"/>
                <w:szCs w:val="21"/>
                <w:lang w:val="en-US" w:eastAsia="zh-CN"/>
              </w:rPr>
              <w:t>7</w:t>
            </w:r>
            <w:r>
              <w:rPr>
                <w:rFonts w:hint="eastAsia" w:ascii="宋体" w:hAnsi="宋体" w:cs="宋体"/>
                <w:color w:val="auto"/>
                <w:szCs w:val="21"/>
              </w:rPr>
              <w:t>个工作日内，采购人向成交供应商一次性支付至合同金额的100%。</w:t>
            </w:r>
          </w:p>
          <w:p w14:paraId="37AC9AAB">
            <w:pPr>
              <w:spacing w:line="460" w:lineRule="exact"/>
              <w:rPr>
                <w:rFonts w:hint="eastAsia" w:ascii="宋体" w:hAnsi="宋体" w:cs="宋体"/>
                <w:color w:val="auto"/>
                <w:szCs w:val="21"/>
              </w:rPr>
            </w:pPr>
            <w:r>
              <w:rPr>
                <w:rFonts w:hint="eastAsia" w:ascii="宋体" w:hAnsi="宋体" w:cs="宋体"/>
                <w:color w:val="auto"/>
                <w:szCs w:val="21"/>
              </w:rPr>
              <w:t>2.采购人付款前，成交供应商应向采购人开具等额有效的增值税普通发票，采购人未收到发票的，有权不予支付相应款项直至成交供应商提供合格发票，并不承担延迟付款责任。发票认证通过是付款的必要前提之一。</w:t>
            </w:r>
          </w:p>
        </w:tc>
      </w:tr>
      <w:tr w14:paraId="7530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48FF506E">
            <w:pPr>
              <w:widowControl/>
              <w:spacing w:line="460" w:lineRule="exact"/>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color w:val="auto"/>
                <w:szCs w:val="21"/>
              </w:rPr>
              <w:t>报价要求</w:t>
            </w:r>
          </w:p>
        </w:tc>
        <w:tc>
          <w:tcPr>
            <w:tcW w:w="4422" w:type="pct"/>
            <w:gridSpan w:val="6"/>
            <w:vAlign w:val="center"/>
          </w:tcPr>
          <w:p w14:paraId="0E7BCB2C">
            <w:pPr>
              <w:spacing w:line="460" w:lineRule="exact"/>
              <w:rPr>
                <w:rFonts w:hint="eastAsia" w:ascii="宋体" w:hAnsi="宋体" w:cs="宋体"/>
                <w:color w:val="auto"/>
                <w:szCs w:val="21"/>
              </w:rPr>
            </w:pPr>
            <w:r>
              <w:rPr>
                <w:rFonts w:hint="eastAsia" w:ascii="宋体" w:hAnsi="宋体" w:cs="宋体"/>
                <w:color w:val="auto"/>
                <w:szCs w:val="21"/>
              </w:rPr>
              <w:t>报价必须含以下部分，包括：</w:t>
            </w:r>
          </w:p>
          <w:p w14:paraId="08918B7F">
            <w:pPr>
              <w:spacing w:line="460" w:lineRule="exact"/>
              <w:rPr>
                <w:rFonts w:hint="eastAsia" w:ascii="宋体" w:hAnsi="宋体" w:cs="宋体"/>
                <w:color w:val="auto"/>
                <w:szCs w:val="21"/>
              </w:rPr>
            </w:pPr>
            <w:r>
              <w:rPr>
                <w:rFonts w:hint="eastAsia" w:ascii="宋体" w:hAnsi="宋体" w:cs="宋体"/>
                <w:color w:val="auto"/>
                <w:szCs w:val="21"/>
              </w:rPr>
              <w:t>（1）货物的价格；</w:t>
            </w:r>
          </w:p>
          <w:p w14:paraId="613C2347">
            <w:pPr>
              <w:spacing w:line="460" w:lineRule="exact"/>
              <w:rPr>
                <w:rFonts w:hint="eastAsia" w:ascii="宋体" w:hAnsi="宋体" w:cs="宋体"/>
                <w:color w:val="auto"/>
                <w:szCs w:val="21"/>
              </w:rPr>
            </w:pPr>
            <w:r>
              <w:rPr>
                <w:rFonts w:hint="eastAsia" w:ascii="宋体" w:hAnsi="宋体" w:cs="宋体"/>
                <w:color w:val="auto"/>
                <w:szCs w:val="21"/>
              </w:rPr>
              <w:t>（2）必要的保险费用和各项税金；</w:t>
            </w:r>
          </w:p>
          <w:p w14:paraId="2FC985EF">
            <w:pPr>
              <w:spacing w:line="460" w:lineRule="exact"/>
              <w:rPr>
                <w:rFonts w:hint="eastAsia" w:ascii="宋体" w:hAnsi="宋体" w:cs="宋体"/>
                <w:color w:val="auto"/>
                <w:szCs w:val="21"/>
              </w:rPr>
            </w:pPr>
            <w:r>
              <w:rPr>
                <w:rFonts w:hint="eastAsia" w:ascii="宋体" w:hAnsi="宋体" w:cs="宋体"/>
                <w:color w:val="auto"/>
                <w:szCs w:val="21"/>
              </w:rPr>
              <w:t>（3）其他（如运输、装卸、安装、调试、培训、技术支持、售后货物、更新升级等费用，根据项目具体情况填写）： 包括货款、随配附件、备品备件、专用工具、包装、运输、装卸、保险、运抵指定交货地点、送货上门服务、现场安装调试、保修等各种费用和售后服务、培训、税金、招标代理服务费及其他所有成本费用的总和。</w:t>
            </w:r>
          </w:p>
        </w:tc>
      </w:tr>
      <w:tr w14:paraId="3898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5FC9C598">
            <w:pPr>
              <w:widowControl/>
              <w:spacing w:line="460" w:lineRule="exact"/>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color w:val="auto"/>
                <w:szCs w:val="21"/>
              </w:rPr>
              <w:t>其它要求</w:t>
            </w:r>
          </w:p>
        </w:tc>
        <w:tc>
          <w:tcPr>
            <w:tcW w:w="4422" w:type="pct"/>
            <w:gridSpan w:val="6"/>
            <w:vAlign w:val="center"/>
          </w:tcPr>
          <w:p w14:paraId="61E914CB">
            <w:pPr>
              <w:spacing w:line="460" w:lineRule="exact"/>
              <w:rPr>
                <w:rFonts w:hint="eastAsia" w:ascii="宋体" w:hAnsi="宋体" w:cs="宋体"/>
                <w:color w:val="auto"/>
                <w:szCs w:val="21"/>
              </w:rPr>
            </w:pPr>
            <w:r>
              <w:rPr>
                <w:rFonts w:hint="eastAsia" w:ascii="宋体" w:hAnsi="宋体" w:cs="宋体"/>
                <w:color w:val="auto"/>
                <w:szCs w:val="21"/>
              </w:rPr>
              <w:t>本项目采购需求中带▲号的内容或“须”、“必须”的内容描述均为实质性要求，必须全部满足。采购人有权利追究成交供应商的相关责任。成交供应商保证向采购人提供的货物是符合国家质量标准和本项目规定标准的全新、完整、未使用过的，本次采购货物不接受进口产品且所有产品必须有合格证书。</w:t>
            </w:r>
          </w:p>
          <w:p w14:paraId="5D48352C">
            <w:pPr>
              <w:spacing w:line="460" w:lineRule="exact"/>
              <w:rPr>
                <w:rFonts w:hint="eastAsia" w:ascii="宋体" w:hAnsi="宋体" w:cs="宋体"/>
                <w:color w:val="auto"/>
                <w:szCs w:val="21"/>
              </w:rPr>
            </w:pPr>
            <w:r>
              <w:rPr>
                <w:rFonts w:hint="eastAsia" w:ascii="宋体" w:hAnsi="宋体" w:cs="宋体"/>
                <w:color w:val="auto"/>
                <w:szCs w:val="21"/>
              </w:rPr>
              <w:t>1.为确保售后服务质量，成交供应商必须提供不少于1人的运维服务人员名单、联系电话。</w:t>
            </w:r>
          </w:p>
          <w:p w14:paraId="164E78A9">
            <w:pPr>
              <w:spacing w:line="460" w:lineRule="exact"/>
              <w:rPr>
                <w:rFonts w:hint="eastAsia" w:ascii="宋体" w:hAnsi="宋体" w:cs="宋体"/>
                <w:color w:val="auto"/>
                <w:szCs w:val="21"/>
              </w:rPr>
            </w:pPr>
            <w:r>
              <w:rPr>
                <w:rFonts w:hint="eastAsia" w:ascii="宋体" w:hAnsi="宋体" w:cs="宋体"/>
                <w:color w:val="auto"/>
                <w:szCs w:val="21"/>
              </w:rPr>
              <w:t>2.成交供应商必须严格按时间进度和本项目要求完成所有工作，若出现不按要求完成相关工作的，经双方协商未果，采购方有权解除合同并追究成交供应商相关责任。</w:t>
            </w:r>
          </w:p>
          <w:p w14:paraId="3C87CAD1">
            <w:pPr>
              <w:spacing w:line="460" w:lineRule="exact"/>
              <w:rPr>
                <w:rFonts w:hint="eastAsia" w:ascii="宋体" w:hAnsi="宋体" w:cs="宋体"/>
                <w:color w:val="auto"/>
                <w:szCs w:val="21"/>
              </w:rPr>
            </w:pPr>
            <w:r>
              <w:rPr>
                <w:rFonts w:hint="eastAsia" w:ascii="宋体" w:hAnsi="宋体" w:cs="宋体"/>
                <w:color w:val="auto"/>
                <w:szCs w:val="21"/>
              </w:rPr>
              <w:t>3.成交供应商必须实质性能够满足产品带▲参数要求，为避免假冒伪劣产品，保障货物为全新原厂整机产品，对不能满足参数要求，或者无法正常交货，或者提供非原厂整机产品影响采购人使用的，采购人有权不支付相关费用，一切后果由成交供应商自己承担。</w:t>
            </w:r>
          </w:p>
          <w:p w14:paraId="0C9D273B">
            <w:pPr>
              <w:spacing w:line="460" w:lineRule="exact"/>
              <w:rPr>
                <w:rFonts w:hint="eastAsia" w:ascii="宋体" w:hAnsi="宋体" w:cs="宋体"/>
                <w:color w:val="auto"/>
                <w:szCs w:val="21"/>
              </w:rPr>
            </w:pPr>
            <w:r>
              <w:rPr>
                <w:rFonts w:hint="eastAsia" w:ascii="宋体" w:hAnsi="宋体" w:cs="宋体"/>
                <w:color w:val="auto"/>
                <w:szCs w:val="21"/>
              </w:rPr>
              <w:t>4.验收要求：（1）按合同要求及国家标准进行验收；（2）本项目验收如委托第三方机构组织实施的，验收过程中所产生的一切费用均由成交供应商承担，报价时应考虑相关费用。（3）验收时，成交供应商须对采购文件的产品功能逐一演示，以确认竞标产品是否满足采购文件要求；(4)验收中发现任何不符合采购文件的技术需求及要求、提供虚假承诺或虚假应标的行为，采购人有权要求成交供应商进行整改，整改后仍不符合要求的，采购人有权取消合同，并保留对成交供应商追究相关责任的权利。</w:t>
            </w:r>
          </w:p>
        </w:tc>
      </w:tr>
      <w:tr w14:paraId="5AC4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13D90836">
            <w:pPr>
              <w:spacing w:line="360" w:lineRule="exact"/>
              <w:rPr>
                <w:rFonts w:hint="eastAsia" w:ascii="宋体" w:hAnsi="宋体" w:cs="宋体"/>
                <w:color w:val="auto"/>
                <w:szCs w:val="21"/>
              </w:rPr>
            </w:pPr>
            <w:r>
              <w:rPr>
                <w:rFonts w:hint="eastAsia" w:ascii="宋体" w:hAnsi="宋体" w:cs="宋体"/>
                <w:b/>
                <w:bCs/>
                <w:color w:val="auto"/>
                <w:szCs w:val="21"/>
              </w:rPr>
              <w:t>▲</w:t>
            </w:r>
            <w:r>
              <w:rPr>
                <w:rFonts w:hint="eastAsia" w:ascii="宋体" w:hAnsi="宋体" w:cs="宋体"/>
                <w:bCs/>
                <w:color w:val="auto"/>
                <w:szCs w:val="21"/>
              </w:rPr>
              <w:t>其他说明</w:t>
            </w:r>
          </w:p>
        </w:tc>
        <w:tc>
          <w:tcPr>
            <w:tcW w:w="4422" w:type="pct"/>
            <w:gridSpan w:val="6"/>
            <w:vAlign w:val="center"/>
          </w:tcPr>
          <w:p w14:paraId="4F590EFD">
            <w:pPr>
              <w:spacing w:line="460" w:lineRule="exact"/>
              <w:rPr>
                <w:rFonts w:hint="eastAsia" w:ascii="宋体" w:hAnsi="宋体" w:cs="宋体"/>
                <w:color w:val="auto"/>
                <w:szCs w:val="21"/>
              </w:rPr>
            </w:pPr>
            <w:r>
              <w:rPr>
                <w:rFonts w:hint="eastAsia" w:ascii="宋体" w:hAnsi="宋体" w:cs="宋体"/>
                <w:color w:val="auto"/>
                <w:szCs w:val="21"/>
              </w:rPr>
              <w:t>1.在合同有效期内，因不可抗力事件导致影响正常履行合同，任何一方提供相关部门的有效文件，则合同履行期可延长（延长期与不可抗力影响期相同）。</w:t>
            </w:r>
          </w:p>
          <w:p w14:paraId="3FEF4CB7">
            <w:pPr>
              <w:spacing w:line="460" w:lineRule="exact"/>
              <w:rPr>
                <w:rFonts w:hint="eastAsia" w:ascii="宋体" w:hAnsi="宋体" w:cs="宋体"/>
                <w:color w:val="auto"/>
                <w:szCs w:val="21"/>
              </w:rPr>
            </w:pPr>
            <w:r>
              <w:rPr>
                <w:rFonts w:hint="eastAsia" w:ascii="宋体" w:hAnsi="宋体" w:cs="宋体"/>
                <w:color w:val="auto"/>
                <w:szCs w:val="21"/>
              </w:rPr>
              <w:t>2. 成交供应商提供的所有货物必须为品牌厂家原厂制造、合法渠道供应的全新产品，并保证本项目使用的任何产品和服务不会产生因第三方检测机构提出侵犯其所有权而引起的法律和经济纠纷，如侵犯了第三方合法权益而引发的任何纠纷或诉讼，均由成交供应商负责交涉并承担全部责任；由此给采购人造成损失的，成交供应商承担相</w:t>
            </w:r>
          </w:p>
          <w:p w14:paraId="0927687A">
            <w:pPr>
              <w:spacing w:line="460" w:lineRule="exact"/>
              <w:rPr>
                <w:rFonts w:hint="eastAsia" w:ascii="宋体" w:hAnsi="宋体" w:cs="宋体"/>
                <w:color w:val="auto"/>
                <w:szCs w:val="21"/>
              </w:rPr>
            </w:pPr>
            <w:r>
              <w:rPr>
                <w:rFonts w:hint="eastAsia" w:ascii="宋体" w:hAnsi="宋体" w:cs="宋体"/>
                <w:color w:val="auto"/>
                <w:szCs w:val="21"/>
              </w:rPr>
              <w:t>应责任。</w:t>
            </w:r>
          </w:p>
          <w:p w14:paraId="5FD161A0">
            <w:pPr>
              <w:spacing w:line="460" w:lineRule="exact"/>
              <w:rPr>
                <w:rFonts w:hint="eastAsia" w:ascii="宋体" w:hAnsi="宋体" w:cs="宋体"/>
                <w:b/>
                <w:bCs/>
                <w:color w:val="auto"/>
                <w:szCs w:val="21"/>
              </w:rPr>
            </w:pPr>
            <w:r>
              <w:rPr>
                <w:rFonts w:hint="eastAsia" w:ascii="宋体" w:hAnsi="宋体" w:cs="宋体"/>
                <w:b/>
                <w:bCs/>
                <w:color w:val="auto"/>
                <w:szCs w:val="21"/>
              </w:rPr>
              <w:t>3.货物验收时成交供应商须提供被套、床单、面巾的检测报告原件，并按照采购文件要求的技术参数要求进行检验，如发现与响应技术参数不符的，采购人退还所有货物，并要求成交供应商在指定时间重新提供新一批符合采购文件技术要求的货物。如无法在规定时间内提供符合要求货物的，采购人将报送同级政府采购监督管理部门，并有权追究成交供应商的法律责任。造成采购人损失的，应予以赔偿。</w:t>
            </w:r>
          </w:p>
        </w:tc>
      </w:tr>
      <w:tr w14:paraId="30FA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4B305D19">
            <w:pPr>
              <w:widowControl/>
              <w:spacing w:line="360" w:lineRule="auto"/>
              <w:rPr>
                <w:rFonts w:hint="eastAsia" w:ascii="宋体" w:hAnsi="宋体" w:cs="宋体"/>
                <w:color w:val="auto"/>
                <w:spacing w:val="-6"/>
                <w:szCs w:val="21"/>
              </w:rPr>
            </w:pPr>
            <w:r>
              <w:rPr>
                <w:rFonts w:hint="eastAsia" w:ascii="宋体" w:hAnsi="宋体" w:cs="宋体"/>
                <w:b/>
                <w:bCs/>
                <w:color w:val="auto"/>
                <w:szCs w:val="21"/>
              </w:rPr>
              <w:t>▲</w:t>
            </w:r>
            <w:r>
              <w:rPr>
                <w:rFonts w:hint="eastAsia" w:ascii="宋体" w:hAnsi="宋体" w:cs="宋体"/>
                <w:color w:val="auto"/>
                <w:szCs w:val="21"/>
              </w:rPr>
              <w:t>知识产权</w:t>
            </w:r>
          </w:p>
        </w:tc>
        <w:tc>
          <w:tcPr>
            <w:tcW w:w="4422" w:type="pct"/>
            <w:gridSpan w:val="6"/>
            <w:vAlign w:val="center"/>
          </w:tcPr>
          <w:p w14:paraId="1D9C45EA">
            <w:pPr>
              <w:widowControl/>
              <w:spacing w:line="360" w:lineRule="auto"/>
              <w:ind w:firstLine="420" w:firstLineChars="200"/>
              <w:rPr>
                <w:rFonts w:hint="eastAsia" w:ascii="宋体" w:hAnsi="宋体" w:cs="宋体"/>
                <w:color w:val="auto"/>
                <w:szCs w:val="21"/>
              </w:rPr>
            </w:pPr>
            <w:r>
              <w:rPr>
                <w:rFonts w:hint="eastAsia" w:ascii="宋体" w:hAnsi="宋体" w:cs="宋体"/>
                <w:color w:val="auto"/>
                <w:szCs w:val="21"/>
              </w:rPr>
              <w:t>采购人在中华人民共和国境内使用供应商提供的产品及服务时免受第三方提出的侵犯其专利权或其它知识产权的起诉。如果第三方提出侵权指控，成交人承担由此而引起的一切法律责任和费用。</w:t>
            </w:r>
          </w:p>
        </w:tc>
      </w:tr>
      <w:tr w14:paraId="4F9A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vAlign w:val="center"/>
          </w:tcPr>
          <w:p w14:paraId="74EA37C7">
            <w:pPr>
              <w:widowControl/>
              <w:spacing w:line="360" w:lineRule="auto"/>
              <w:rPr>
                <w:rFonts w:hint="eastAsia" w:ascii="宋体" w:hAnsi="宋体" w:cs="宋体"/>
                <w:b/>
                <w:bCs/>
                <w:color w:val="auto"/>
                <w:szCs w:val="21"/>
              </w:rPr>
            </w:pPr>
            <w:r>
              <w:rPr>
                <w:rFonts w:hint="eastAsia" w:ascii="宋体" w:hAnsi="宋体" w:cs="宋体"/>
                <w:b/>
                <w:bCs/>
                <w:color w:val="auto"/>
                <w:szCs w:val="21"/>
              </w:rPr>
              <w:t>二、与实现项目目标相关的其他要求</w:t>
            </w:r>
          </w:p>
        </w:tc>
      </w:tr>
      <w:tr w14:paraId="7811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vAlign w:val="center"/>
          </w:tcPr>
          <w:p w14:paraId="5A0ED9D4">
            <w:pPr>
              <w:widowControl/>
              <w:spacing w:line="360" w:lineRule="auto"/>
              <w:rPr>
                <w:rFonts w:hint="eastAsia" w:ascii="宋体" w:hAnsi="宋体" w:cs="宋体"/>
                <w:b/>
                <w:bCs/>
                <w:color w:val="auto"/>
                <w:szCs w:val="21"/>
              </w:rPr>
            </w:pPr>
            <w:r>
              <w:rPr>
                <w:rFonts w:hint="eastAsia" w:ascii="宋体" w:hAnsi="宋体" w:cs="宋体"/>
                <w:b/>
                <w:bCs/>
                <w:color w:val="auto"/>
                <w:szCs w:val="21"/>
              </w:rPr>
              <w:t>（一）供应商的履约能力要求</w:t>
            </w:r>
          </w:p>
        </w:tc>
      </w:tr>
      <w:tr w14:paraId="25E8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61001E80">
            <w:pPr>
              <w:widowControl/>
              <w:spacing w:line="360" w:lineRule="auto"/>
              <w:rPr>
                <w:rFonts w:hint="eastAsia" w:ascii="宋体" w:hAnsi="宋体" w:cs="宋体"/>
                <w:color w:val="auto"/>
                <w:szCs w:val="21"/>
              </w:rPr>
            </w:pPr>
            <w:r>
              <w:rPr>
                <w:rFonts w:hint="eastAsia" w:ascii="宋体" w:hAnsi="宋体" w:cs="宋体"/>
                <w:color w:val="auto"/>
                <w:szCs w:val="21"/>
              </w:rPr>
              <w:t>质量管理、企业信用要求</w:t>
            </w:r>
          </w:p>
        </w:tc>
        <w:tc>
          <w:tcPr>
            <w:tcW w:w="4422" w:type="pct"/>
            <w:gridSpan w:val="6"/>
            <w:vAlign w:val="center"/>
          </w:tcPr>
          <w:p w14:paraId="10FE0062">
            <w:pPr>
              <w:widowControl/>
              <w:spacing w:line="360" w:lineRule="auto"/>
              <w:rPr>
                <w:rFonts w:hint="eastAsia" w:ascii="宋体" w:hAnsi="宋体" w:cs="宋体"/>
                <w:color w:val="auto"/>
                <w:szCs w:val="21"/>
              </w:rPr>
            </w:pPr>
            <w:r>
              <w:rPr>
                <w:rFonts w:hint="eastAsia" w:ascii="宋体" w:hAnsi="宋体" w:cs="宋体"/>
                <w:color w:val="auto"/>
                <w:szCs w:val="21"/>
              </w:rPr>
              <w:t>如有，请于响应文件中自行提供。</w:t>
            </w:r>
          </w:p>
        </w:tc>
      </w:tr>
      <w:tr w14:paraId="4D99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37A12BA3">
            <w:pPr>
              <w:widowControl/>
              <w:spacing w:line="360" w:lineRule="auto"/>
              <w:rPr>
                <w:rFonts w:hint="eastAsia" w:ascii="宋体" w:hAnsi="宋体" w:cs="宋体"/>
                <w:color w:val="auto"/>
                <w:szCs w:val="21"/>
              </w:rPr>
            </w:pPr>
            <w:r>
              <w:rPr>
                <w:rFonts w:hint="eastAsia" w:ascii="宋体" w:hAnsi="宋体" w:cs="宋体"/>
                <w:color w:val="auto"/>
                <w:szCs w:val="21"/>
              </w:rPr>
              <w:t>能力或者业绩要求</w:t>
            </w:r>
          </w:p>
        </w:tc>
        <w:tc>
          <w:tcPr>
            <w:tcW w:w="4422" w:type="pct"/>
            <w:gridSpan w:val="6"/>
            <w:vAlign w:val="center"/>
          </w:tcPr>
          <w:p w14:paraId="70F97849">
            <w:pPr>
              <w:widowControl/>
              <w:spacing w:line="360" w:lineRule="auto"/>
              <w:rPr>
                <w:rFonts w:hint="eastAsia" w:ascii="宋体" w:hAnsi="宋体" w:cs="宋体"/>
                <w:color w:val="auto"/>
                <w:szCs w:val="21"/>
              </w:rPr>
            </w:pPr>
            <w:r>
              <w:rPr>
                <w:rFonts w:hint="eastAsia" w:ascii="宋体" w:hAnsi="宋体" w:cs="宋体"/>
                <w:color w:val="auto"/>
                <w:szCs w:val="21"/>
              </w:rPr>
              <w:t>如有，请于响应文件中自行提供。</w:t>
            </w:r>
          </w:p>
        </w:tc>
      </w:tr>
      <w:tr w14:paraId="07D6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vAlign w:val="center"/>
          </w:tcPr>
          <w:p w14:paraId="5D890FD4">
            <w:pPr>
              <w:widowControl/>
              <w:spacing w:line="360" w:lineRule="auto"/>
              <w:rPr>
                <w:rFonts w:hint="eastAsia" w:ascii="宋体" w:hAnsi="宋体" w:cs="宋体"/>
                <w:b/>
                <w:bCs/>
                <w:color w:val="auto"/>
                <w:szCs w:val="21"/>
              </w:rPr>
            </w:pPr>
            <w:r>
              <w:rPr>
                <w:rFonts w:hint="eastAsia" w:ascii="宋体" w:hAnsi="宋体" w:cs="宋体"/>
                <w:b/>
                <w:bCs/>
                <w:color w:val="auto"/>
                <w:szCs w:val="21"/>
              </w:rPr>
              <w:t>（二）验收事项</w:t>
            </w:r>
          </w:p>
        </w:tc>
      </w:tr>
      <w:tr w14:paraId="535B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vAlign w:val="center"/>
          </w:tcPr>
          <w:p w14:paraId="7AA90E9C">
            <w:pPr>
              <w:widowControl/>
              <w:spacing w:line="360" w:lineRule="auto"/>
              <w:jc w:val="left"/>
              <w:rPr>
                <w:rFonts w:hint="eastAsia" w:ascii="宋体" w:hAnsi="宋体" w:cs="宋体"/>
                <w:color w:val="auto"/>
                <w:szCs w:val="21"/>
              </w:rPr>
            </w:pPr>
            <w:r>
              <w:rPr>
                <w:rFonts w:hint="eastAsia" w:ascii="宋体" w:hAnsi="宋体" w:cs="宋体"/>
                <w:color w:val="auto"/>
                <w:szCs w:val="21"/>
              </w:rPr>
              <w:t xml:space="preserve">1.满足采购人产品技术要求及响应文件承诺。 </w:t>
            </w:r>
          </w:p>
          <w:p w14:paraId="6FD88D4D">
            <w:pPr>
              <w:widowControl/>
              <w:spacing w:line="360" w:lineRule="auto"/>
              <w:jc w:val="left"/>
              <w:rPr>
                <w:rFonts w:hint="eastAsia" w:ascii="宋体" w:hAnsi="宋体" w:cs="宋体"/>
                <w:color w:val="auto"/>
                <w:szCs w:val="21"/>
              </w:rPr>
            </w:pPr>
            <w:r>
              <w:rPr>
                <w:rFonts w:hint="eastAsia" w:ascii="宋体" w:hAnsi="宋体" w:cs="宋体"/>
                <w:color w:val="auto"/>
                <w:szCs w:val="21"/>
              </w:rPr>
              <w:t xml:space="preserve">2.本章《采购需求》有其他要求的按其要求。 </w:t>
            </w:r>
          </w:p>
          <w:p w14:paraId="553D99B9">
            <w:pPr>
              <w:widowControl/>
              <w:spacing w:line="360" w:lineRule="auto"/>
              <w:jc w:val="left"/>
              <w:rPr>
                <w:rFonts w:hint="eastAsia" w:ascii="宋体" w:hAnsi="宋体" w:cs="宋体"/>
                <w:color w:val="auto"/>
                <w:szCs w:val="21"/>
              </w:rPr>
            </w:pPr>
            <w:r>
              <w:rPr>
                <w:rFonts w:hint="eastAsia" w:ascii="宋体" w:hAnsi="宋体" w:cs="宋体"/>
                <w:color w:val="auto"/>
                <w:szCs w:val="21"/>
              </w:rPr>
              <w:t xml:space="preserve">3.其他未尽事宜应严格按照《关于印发广西壮族自治区政府采购项目履约验收管理办法的通知》[桂财采〔2015〕22 号]以及《财政部关于进一步加强政府采购需求和履约验收管理的指导意见》[财库〔2016〕205 号]规定执行。 </w:t>
            </w:r>
          </w:p>
          <w:p w14:paraId="28123F8B">
            <w:pPr>
              <w:widowControl/>
              <w:spacing w:line="360" w:lineRule="auto"/>
              <w:jc w:val="left"/>
              <w:rPr>
                <w:rFonts w:hint="eastAsia" w:ascii="宋体" w:hAnsi="宋体" w:cs="宋体"/>
                <w:color w:val="auto"/>
                <w:szCs w:val="21"/>
              </w:rPr>
            </w:pPr>
            <w:r>
              <w:rPr>
                <w:rFonts w:hint="eastAsia" w:ascii="宋体" w:hAnsi="宋体" w:cs="宋体"/>
                <w:color w:val="auto"/>
                <w:szCs w:val="21"/>
              </w:rPr>
              <w:t xml:space="preserve">4.产品实行强制标准认证制度、生产许可证制度、销售或经营许可证制度、注册证制度的，成交供应商均应提供相关有效的证书复印件。 </w:t>
            </w:r>
          </w:p>
        </w:tc>
      </w:tr>
      <w:tr w14:paraId="6DDD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vAlign w:val="center"/>
          </w:tcPr>
          <w:p w14:paraId="392753CC">
            <w:pPr>
              <w:widowControl/>
              <w:spacing w:line="360" w:lineRule="auto"/>
              <w:rPr>
                <w:rFonts w:hint="eastAsia" w:ascii="宋体" w:hAnsi="宋体" w:cs="宋体"/>
                <w:b/>
                <w:bCs/>
                <w:color w:val="auto"/>
                <w:szCs w:val="21"/>
              </w:rPr>
            </w:pPr>
            <w:r>
              <w:rPr>
                <w:rFonts w:hint="eastAsia" w:ascii="宋体" w:hAnsi="宋体" w:cs="宋体"/>
                <w:b/>
                <w:bCs/>
                <w:color w:val="auto"/>
                <w:szCs w:val="21"/>
              </w:rPr>
              <w:t>（三）进口产品、核心产品说明</w:t>
            </w:r>
          </w:p>
        </w:tc>
      </w:tr>
      <w:tr w14:paraId="1C1C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293DE41C">
            <w:pPr>
              <w:keepNext w:val="0"/>
              <w:keepLines w:val="0"/>
              <w:pageBreakBefore w:val="0"/>
              <w:widowControl/>
              <w:kinsoku/>
              <w:wordWrap/>
              <w:overflowPunct/>
              <w:topLinePunct w:val="0"/>
              <w:autoSpaceDE/>
              <w:autoSpaceDN/>
              <w:bidi w:val="0"/>
              <w:adjustRightInd/>
              <w:spacing w:line="420" w:lineRule="exact"/>
              <w:jc w:val="left"/>
              <w:textAlignment w:val="auto"/>
              <w:rPr>
                <w:rFonts w:hint="eastAsia" w:ascii="宋体" w:hAnsi="宋体" w:cs="宋体"/>
                <w:color w:val="auto"/>
                <w:szCs w:val="21"/>
              </w:rPr>
            </w:pPr>
            <w:r>
              <w:rPr>
                <w:rFonts w:hint="eastAsia" w:ascii="宋体" w:hAnsi="宋体" w:cs="宋体"/>
                <w:color w:val="auto"/>
                <w:kern w:val="0"/>
                <w:szCs w:val="21"/>
                <w:lang w:bidi="ar"/>
              </w:rPr>
              <w:t xml:space="preserve">进口产品说明 </w:t>
            </w:r>
          </w:p>
        </w:tc>
        <w:tc>
          <w:tcPr>
            <w:tcW w:w="4422" w:type="pct"/>
            <w:gridSpan w:val="6"/>
            <w:vAlign w:val="center"/>
          </w:tcPr>
          <w:p w14:paraId="75CC32A9">
            <w:pPr>
              <w:keepNext w:val="0"/>
              <w:keepLines w:val="0"/>
              <w:pageBreakBefore w:val="0"/>
              <w:widowControl/>
              <w:kinsoku/>
              <w:wordWrap/>
              <w:overflowPunct/>
              <w:topLinePunct w:val="0"/>
              <w:autoSpaceDE/>
              <w:autoSpaceDN/>
              <w:bidi w:val="0"/>
              <w:adjustRightInd/>
              <w:spacing w:line="420" w:lineRule="exact"/>
              <w:jc w:val="left"/>
              <w:textAlignment w:val="auto"/>
              <w:rPr>
                <w:rFonts w:hint="eastAsia" w:ascii="宋体" w:hAnsi="宋体" w:cs="宋体"/>
                <w:color w:val="auto"/>
                <w:kern w:val="0"/>
                <w:szCs w:val="21"/>
                <w:lang w:bidi="ar"/>
              </w:rPr>
            </w:pPr>
            <w:r>
              <w:rPr>
                <w:rFonts w:hint="eastAsia" w:ascii="宋体" w:hAnsi="宋体" w:cs="宋体"/>
                <w:color w:val="auto"/>
                <w:kern w:val="0"/>
                <w:szCs w:val="21"/>
                <w:lang w:bidi="ar"/>
              </w:rPr>
              <w:t xml:space="preserve">本项目货物不接受进口产品（即通过中国海关报关验放进入中国境内且产自关境外的产品）参与竞标，如有进口产品参与竞标的作无效标处理。 </w:t>
            </w:r>
          </w:p>
        </w:tc>
      </w:tr>
      <w:tr w14:paraId="3B41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1157AA9B">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color w:val="auto"/>
                <w:szCs w:val="21"/>
              </w:rPr>
            </w:pPr>
            <w:r>
              <w:rPr>
                <w:rFonts w:hint="eastAsia" w:ascii="宋体" w:hAnsi="宋体" w:cs="宋体"/>
                <w:color w:val="auto"/>
                <w:szCs w:val="21"/>
              </w:rPr>
              <w:t>核心产品</w:t>
            </w:r>
          </w:p>
        </w:tc>
        <w:tc>
          <w:tcPr>
            <w:tcW w:w="4422" w:type="pct"/>
            <w:gridSpan w:val="6"/>
            <w:vAlign w:val="center"/>
          </w:tcPr>
          <w:p w14:paraId="67D3A7F0">
            <w:pPr>
              <w:keepNext w:val="0"/>
              <w:keepLines w:val="0"/>
              <w:pageBreakBefore w:val="0"/>
              <w:widowControl/>
              <w:kinsoku/>
              <w:wordWrap/>
              <w:overflowPunct/>
              <w:topLinePunct w:val="0"/>
              <w:autoSpaceDE/>
              <w:autoSpaceDN/>
              <w:bidi w:val="0"/>
              <w:adjustRightInd/>
              <w:spacing w:line="420" w:lineRule="exact"/>
              <w:jc w:val="left"/>
              <w:textAlignment w:val="auto"/>
              <w:rPr>
                <w:rFonts w:hint="eastAsia" w:ascii="宋体" w:hAnsi="宋体" w:cs="宋体"/>
                <w:color w:val="auto"/>
                <w:kern w:val="0"/>
                <w:szCs w:val="21"/>
                <w:lang w:bidi="ar"/>
              </w:rPr>
            </w:pPr>
            <w:r>
              <w:rPr>
                <w:rFonts w:hint="eastAsia" w:ascii="宋体" w:hAnsi="宋体" w:cs="宋体"/>
                <w:color w:val="auto"/>
                <w:kern w:val="0"/>
                <w:szCs w:val="21"/>
                <w:highlight w:val="none"/>
                <w:lang w:bidi="ar"/>
              </w:rPr>
              <w:t>本项目第</w:t>
            </w:r>
            <w:r>
              <w:rPr>
                <w:rFonts w:hint="eastAsia" w:ascii="宋体" w:hAnsi="宋体" w:cs="宋体"/>
                <w:color w:val="auto"/>
                <w:kern w:val="0"/>
                <w:szCs w:val="21"/>
                <w:highlight w:val="none"/>
                <w:u w:val="single"/>
                <w:lang w:bidi="ar"/>
              </w:rPr>
              <w:t>32、35</w:t>
            </w:r>
            <w:r>
              <w:rPr>
                <w:rFonts w:hint="eastAsia" w:ascii="宋体" w:hAnsi="宋体" w:cs="宋体"/>
                <w:color w:val="auto"/>
                <w:kern w:val="0"/>
                <w:szCs w:val="21"/>
                <w:highlight w:val="none"/>
                <w:lang w:bidi="ar"/>
              </w:rPr>
              <w:t>项</w:t>
            </w:r>
            <w:r>
              <w:rPr>
                <w:rFonts w:hint="eastAsia" w:ascii="宋体" w:hAnsi="宋体" w:cs="宋体"/>
                <w:color w:val="auto"/>
                <w:kern w:val="0"/>
                <w:szCs w:val="21"/>
                <w:highlight w:val="none"/>
                <w:u w:val="single"/>
                <w:lang w:bidi="ar"/>
              </w:rPr>
              <w:t>被套</w:t>
            </w:r>
            <w:r>
              <w:rPr>
                <w:rFonts w:hint="eastAsia" w:ascii="宋体" w:hAnsi="宋体" w:cs="宋体"/>
                <w:color w:val="auto"/>
                <w:kern w:val="0"/>
                <w:szCs w:val="21"/>
                <w:highlight w:val="none"/>
                <w:lang w:bidi="ar"/>
              </w:rPr>
              <w:t xml:space="preserve">货物为核心产品，提供相同品牌产品的不同供应商参加同一合同项下的采购活动的，取其中质量和服务均能满足谈判文件实质性响应要求且最后竞标总报价最低的供应商参加评审；最后报价相同时，则由采购人自主选择确定一家供应商参加评审，其他竞标无效。 </w:t>
            </w:r>
          </w:p>
        </w:tc>
      </w:tr>
      <w:tr w14:paraId="3C2F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vAlign w:val="center"/>
          </w:tcPr>
          <w:p w14:paraId="792E8A70">
            <w:pPr>
              <w:keepNext w:val="0"/>
              <w:keepLines w:val="0"/>
              <w:pageBreakBefore w:val="0"/>
              <w:widowControl/>
              <w:kinsoku/>
              <w:wordWrap/>
              <w:overflowPunct/>
              <w:topLinePunct w:val="0"/>
              <w:autoSpaceDE/>
              <w:autoSpaceDN/>
              <w:bidi w:val="0"/>
              <w:adjustRightInd/>
              <w:spacing w:line="420" w:lineRule="exact"/>
              <w:jc w:val="left"/>
              <w:textAlignment w:val="auto"/>
              <w:rPr>
                <w:rFonts w:hint="eastAsia" w:ascii="宋体" w:hAnsi="宋体" w:cs="宋体"/>
                <w:b/>
                <w:bCs/>
                <w:color w:val="auto"/>
                <w:kern w:val="0"/>
                <w:szCs w:val="21"/>
                <w:lang w:bidi="ar"/>
              </w:rPr>
            </w:pPr>
            <w:r>
              <w:rPr>
                <w:rFonts w:hint="eastAsia" w:ascii="宋体" w:hAnsi="宋体" w:cs="宋体"/>
                <w:b/>
                <w:bCs/>
                <w:color w:val="auto"/>
                <w:kern w:val="0"/>
                <w:szCs w:val="21"/>
                <w:lang w:bidi="ar"/>
              </w:rPr>
              <w:t>（四）其他要求</w:t>
            </w:r>
          </w:p>
        </w:tc>
      </w:tr>
      <w:tr w14:paraId="4682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5DA6EE73">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采购限价</w:t>
            </w:r>
          </w:p>
        </w:tc>
        <w:tc>
          <w:tcPr>
            <w:tcW w:w="4422" w:type="pct"/>
            <w:gridSpan w:val="6"/>
            <w:vAlign w:val="center"/>
          </w:tcPr>
          <w:p w14:paraId="5EBCFD85">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color w:val="auto"/>
                <w:szCs w:val="21"/>
              </w:rPr>
            </w:pPr>
            <w:r>
              <w:rPr>
                <w:rFonts w:hint="eastAsia" w:ascii="宋体" w:hAnsi="宋体" w:cs="宋体"/>
                <w:color w:val="auto"/>
                <w:szCs w:val="21"/>
                <w:highlight w:val="none"/>
              </w:rPr>
              <w:t>本项目评审时以最高限价为评审依据，供应商竞标报价超最高限价</w:t>
            </w:r>
            <w:r>
              <w:rPr>
                <w:rFonts w:hint="eastAsia" w:ascii="宋体" w:hAnsi="宋体" w:cs="宋体"/>
                <w:color w:val="auto"/>
                <w:szCs w:val="21"/>
                <w:highlight w:val="none"/>
                <w:lang w:eastAsia="zh-CN"/>
              </w:rPr>
              <w:t>或单价上限价</w:t>
            </w:r>
            <w:r>
              <w:rPr>
                <w:rFonts w:hint="eastAsia" w:ascii="宋体" w:hAnsi="宋体" w:cs="宋体"/>
                <w:color w:val="auto"/>
                <w:szCs w:val="21"/>
                <w:highlight w:val="none"/>
              </w:rPr>
              <w:t xml:space="preserve">的作无效响应处理。 </w:t>
            </w:r>
          </w:p>
        </w:tc>
      </w:tr>
      <w:tr w14:paraId="4DD1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602DE732">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color w:val="auto"/>
                <w:szCs w:val="21"/>
              </w:rPr>
            </w:pPr>
            <w:r>
              <w:rPr>
                <w:rFonts w:hint="eastAsia" w:ascii="宋体" w:hAnsi="宋体" w:cs="宋体"/>
                <w:color w:val="auto"/>
                <w:szCs w:val="21"/>
              </w:rPr>
              <w:t>资料要求</w:t>
            </w:r>
          </w:p>
        </w:tc>
        <w:tc>
          <w:tcPr>
            <w:tcW w:w="4422" w:type="pct"/>
            <w:gridSpan w:val="6"/>
            <w:vAlign w:val="center"/>
          </w:tcPr>
          <w:p w14:paraId="612650B9">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color w:val="auto"/>
                <w:szCs w:val="21"/>
              </w:rPr>
            </w:pPr>
            <w:r>
              <w:rPr>
                <w:rFonts w:hint="eastAsia" w:ascii="宋体" w:hAnsi="宋体" w:cs="宋体"/>
                <w:color w:val="auto"/>
                <w:szCs w:val="21"/>
              </w:rPr>
              <w:t>响应文件中可提供设备生产商编写的有性能参数描述的产品说明书或彩页（应有详细的产品技术介绍、技术参数、产品图样照片等）。当响应文件提供的设备性能参数与该生产商提供的性能参数同一内容不符合时，以生产商资料为准。（注：“技术要求”有要求的则按其要求提供材料）</w:t>
            </w:r>
          </w:p>
        </w:tc>
      </w:tr>
      <w:tr w14:paraId="3E83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pct"/>
            <w:gridSpan w:val="2"/>
            <w:vAlign w:val="center"/>
          </w:tcPr>
          <w:p w14:paraId="2542420B">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color w:val="auto"/>
                <w:szCs w:val="21"/>
              </w:rPr>
            </w:pPr>
            <w:r>
              <w:rPr>
                <w:rFonts w:hint="eastAsia" w:ascii="宋体" w:hAnsi="宋体" w:cs="宋体"/>
                <w:color w:val="auto"/>
                <w:szCs w:val="21"/>
              </w:rPr>
              <w:t>其他说明</w:t>
            </w:r>
          </w:p>
        </w:tc>
        <w:tc>
          <w:tcPr>
            <w:tcW w:w="4422" w:type="pct"/>
            <w:gridSpan w:val="6"/>
            <w:vAlign w:val="center"/>
          </w:tcPr>
          <w:p w14:paraId="7A9E589F">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color w:val="auto"/>
                <w:szCs w:val="21"/>
              </w:rPr>
            </w:pPr>
            <w:r>
              <w:rPr>
                <w:rFonts w:hint="eastAsia" w:ascii="宋体" w:hAnsi="宋体" w:cs="宋体"/>
                <w:color w:val="auto"/>
                <w:szCs w:val="21"/>
              </w:rPr>
              <w:t xml:space="preserve">1.供应商在响应文件中提供安装调试方案和售后服务方案等（格式自拟）。 </w:t>
            </w:r>
          </w:p>
          <w:p w14:paraId="54698590">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color w:val="auto"/>
                <w:szCs w:val="21"/>
              </w:rPr>
            </w:pPr>
            <w:r>
              <w:rPr>
                <w:rFonts w:hint="eastAsia" w:ascii="宋体" w:hAnsi="宋体" w:cs="宋体"/>
                <w:color w:val="auto"/>
                <w:szCs w:val="21"/>
              </w:rPr>
              <w:t xml:space="preserve">2.如有，请在响应文件中提供技术能力相关证明，包含但不限于信誉、业绩等内容。 </w:t>
            </w:r>
          </w:p>
        </w:tc>
      </w:tr>
    </w:tbl>
    <w:p w14:paraId="0C4AA45B">
      <w:pPr>
        <w:pStyle w:val="20"/>
        <w:keepNext w:val="0"/>
        <w:keepLines w:val="0"/>
        <w:pageBreakBefore w:val="0"/>
        <w:kinsoku/>
        <w:wordWrap/>
        <w:overflowPunct/>
        <w:topLinePunct w:val="0"/>
        <w:autoSpaceDE/>
        <w:autoSpaceDN/>
        <w:bidi w:val="0"/>
        <w:adjustRightInd/>
        <w:spacing w:line="420" w:lineRule="exact"/>
        <w:jc w:val="both"/>
        <w:textAlignment w:val="auto"/>
        <w:rPr>
          <w:rFonts w:hint="eastAsia" w:ascii="宋体" w:hAnsi="宋体" w:cs="宋体"/>
          <w:b/>
          <w:bCs/>
          <w:sz w:val="21"/>
          <w:szCs w:val="21"/>
        </w:rPr>
      </w:pPr>
    </w:p>
    <w:p w14:paraId="0BBD08FF">
      <w:pPr>
        <w:pStyle w:val="20"/>
        <w:jc w:val="both"/>
        <w:rPr>
          <w:rFonts w:hint="eastAsia" w:ascii="宋体" w:hAnsi="宋体" w:cs="宋体"/>
          <w:b/>
        </w:rPr>
      </w:pPr>
    </w:p>
    <w:p w14:paraId="32BE4E93">
      <w:pPr>
        <w:pStyle w:val="20"/>
        <w:jc w:val="both"/>
        <w:rPr>
          <w:rFonts w:hint="eastAsia" w:ascii="宋体" w:hAnsi="宋体" w:cs="宋体"/>
          <w:b/>
        </w:rPr>
      </w:pPr>
    </w:p>
    <w:p w14:paraId="6A6D155A">
      <w:pPr>
        <w:rPr>
          <w:rFonts w:hint="eastAsia" w:ascii="宋体" w:hAnsi="宋体"/>
          <w:szCs w:val="21"/>
        </w:rPr>
      </w:pPr>
      <w:r>
        <w:rPr>
          <w:rFonts w:hint="eastAsia" w:ascii="宋体" w:hAnsi="宋体" w:cs="宋体"/>
          <w:b/>
          <w:sz w:val="30"/>
          <w:szCs w:val="30"/>
        </w:rPr>
        <w:t>B分标：</w:t>
      </w:r>
      <w:r>
        <w:rPr>
          <w:rFonts w:ascii="宋体" w:hAnsi="宋体" w:cs="宋体"/>
          <w:b/>
          <w:sz w:val="30"/>
          <w:szCs w:val="30"/>
        </w:rPr>
        <w:t>康复楼多功能康养用房设备购置项目</w:t>
      </w:r>
      <w:r>
        <w:rPr>
          <w:rFonts w:hint="eastAsia" w:ascii="宋体" w:hAnsi="宋体" w:cs="宋体"/>
          <w:b/>
          <w:sz w:val="30"/>
          <w:szCs w:val="30"/>
        </w:rPr>
        <w:t>（装饰工程部分）</w:t>
      </w:r>
    </w:p>
    <w:tbl>
      <w:tblPr>
        <w:tblStyle w:val="29"/>
        <w:tblpPr w:leftFromText="180" w:rightFromText="180" w:vertAnchor="text" w:horzAnchor="page" w:tblpX="1256" w:tblpY="265"/>
        <w:tblOverlap w:val="never"/>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058"/>
        <w:gridCol w:w="443"/>
        <w:gridCol w:w="750"/>
        <w:gridCol w:w="6734"/>
      </w:tblGrid>
      <w:tr w14:paraId="212C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3" w:type="dxa"/>
            <w:vAlign w:val="center"/>
          </w:tcPr>
          <w:p w14:paraId="775C436D">
            <w:pPr>
              <w:widowControl/>
              <w:spacing w:line="440" w:lineRule="exact"/>
              <w:jc w:val="center"/>
              <w:textAlignment w:val="center"/>
              <w:rPr>
                <w:rFonts w:hint="eastAsia" w:ascii="宋体" w:hAnsi="宋体" w:cs="宋体"/>
                <w:b/>
                <w:szCs w:val="21"/>
              </w:rPr>
            </w:pPr>
            <w:r>
              <w:rPr>
                <w:rFonts w:hint="eastAsia" w:ascii="宋体" w:hAnsi="宋体" w:cs="宋体"/>
                <w:kern w:val="0"/>
                <w:szCs w:val="21"/>
              </w:rPr>
              <w:t>序号</w:t>
            </w:r>
          </w:p>
        </w:tc>
        <w:tc>
          <w:tcPr>
            <w:tcW w:w="1058" w:type="dxa"/>
            <w:vAlign w:val="center"/>
          </w:tcPr>
          <w:p w14:paraId="3AFD6BAC">
            <w:pPr>
              <w:widowControl/>
              <w:spacing w:line="440" w:lineRule="exact"/>
              <w:jc w:val="center"/>
              <w:textAlignment w:val="center"/>
              <w:rPr>
                <w:rFonts w:hint="eastAsia" w:ascii="宋体" w:hAnsi="宋体" w:cs="宋体"/>
                <w:b/>
                <w:szCs w:val="21"/>
              </w:rPr>
            </w:pPr>
            <w:r>
              <w:rPr>
                <w:rFonts w:hint="eastAsia" w:ascii="宋体" w:hAnsi="宋体" w:cs="宋体"/>
                <w:kern w:val="0"/>
                <w:szCs w:val="21"/>
              </w:rPr>
              <w:t>标的名称</w:t>
            </w:r>
          </w:p>
        </w:tc>
        <w:tc>
          <w:tcPr>
            <w:tcW w:w="443" w:type="dxa"/>
            <w:vAlign w:val="center"/>
          </w:tcPr>
          <w:p w14:paraId="76D67E80">
            <w:pPr>
              <w:widowControl/>
              <w:spacing w:line="440" w:lineRule="exact"/>
              <w:jc w:val="center"/>
              <w:textAlignment w:val="center"/>
              <w:rPr>
                <w:rFonts w:hint="eastAsia" w:ascii="宋体" w:hAnsi="宋体" w:cs="宋体"/>
                <w:b/>
                <w:bCs/>
                <w:szCs w:val="21"/>
              </w:rPr>
            </w:pPr>
            <w:r>
              <w:rPr>
                <w:rFonts w:hint="eastAsia" w:ascii="宋体" w:hAnsi="宋体" w:cs="宋体"/>
                <w:kern w:val="0"/>
                <w:szCs w:val="21"/>
              </w:rPr>
              <w:t>数量</w:t>
            </w:r>
          </w:p>
        </w:tc>
        <w:tc>
          <w:tcPr>
            <w:tcW w:w="750" w:type="dxa"/>
            <w:vAlign w:val="center"/>
          </w:tcPr>
          <w:p w14:paraId="65A725B4">
            <w:pPr>
              <w:widowControl/>
              <w:spacing w:line="440" w:lineRule="exact"/>
              <w:jc w:val="center"/>
              <w:textAlignment w:val="center"/>
              <w:rPr>
                <w:rFonts w:hint="eastAsia" w:ascii="宋体" w:hAnsi="宋体" w:cs="宋体"/>
                <w:b/>
                <w:bCs/>
                <w:szCs w:val="21"/>
              </w:rPr>
            </w:pPr>
            <w:r>
              <w:rPr>
                <w:rFonts w:hint="eastAsia" w:ascii="宋体" w:hAnsi="宋体" w:cs="宋体"/>
                <w:kern w:val="0"/>
                <w:szCs w:val="21"/>
              </w:rPr>
              <w:t>单位</w:t>
            </w:r>
          </w:p>
        </w:tc>
        <w:tc>
          <w:tcPr>
            <w:tcW w:w="6734" w:type="dxa"/>
            <w:vAlign w:val="center"/>
          </w:tcPr>
          <w:p w14:paraId="49E38B2F">
            <w:pPr>
              <w:widowControl/>
              <w:spacing w:line="440" w:lineRule="exact"/>
              <w:jc w:val="center"/>
              <w:textAlignment w:val="center"/>
              <w:rPr>
                <w:rFonts w:hint="eastAsia" w:ascii="宋体" w:hAnsi="宋体" w:cs="宋体"/>
                <w:b/>
                <w:szCs w:val="21"/>
              </w:rPr>
            </w:pPr>
            <w:r>
              <w:rPr>
                <w:rFonts w:hint="eastAsia" w:ascii="宋体" w:hAnsi="宋体" w:cs="宋体"/>
                <w:kern w:val="0"/>
                <w:szCs w:val="21"/>
              </w:rPr>
              <w:t>技术参数要求</w:t>
            </w:r>
          </w:p>
        </w:tc>
      </w:tr>
      <w:tr w14:paraId="134F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3" w:type="dxa"/>
            <w:vAlign w:val="center"/>
          </w:tcPr>
          <w:p w14:paraId="27DEDD35">
            <w:pPr>
              <w:tabs>
                <w:tab w:val="left" w:pos="-728"/>
              </w:tabs>
              <w:spacing w:line="360" w:lineRule="exact"/>
              <w:jc w:val="center"/>
              <w:rPr>
                <w:rFonts w:hint="eastAsia" w:ascii="宋体" w:hAnsi="宋体" w:cs="宋体"/>
                <w:kern w:val="0"/>
                <w:szCs w:val="21"/>
              </w:rPr>
            </w:pPr>
            <w:r>
              <w:rPr>
                <w:rFonts w:hint="eastAsia" w:ascii="宋体" w:hAnsi="宋体" w:cs="宋体"/>
                <w:szCs w:val="21"/>
              </w:rPr>
              <w:t>1</w:t>
            </w:r>
          </w:p>
        </w:tc>
        <w:tc>
          <w:tcPr>
            <w:tcW w:w="1058" w:type="dxa"/>
            <w:vAlign w:val="center"/>
          </w:tcPr>
          <w:p w14:paraId="456D112B">
            <w:pPr>
              <w:widowControl/>
              <w:spacing w:line="360" w:lineRule="exact"/>
              <w:jc w:val="center"/>
              <w:textAlignment w:val="center"/>
              <w:rPr>
                <w:rFonts w:hint="eastAsia" w:ascii="宋体" w:hAnsi="宋体" w:cs="宋体"/>
                <w:kern w:val="0"/>
                <w:szCs w:val="21"/>
                <w:highlight w:val="none"/>
              </w:rPr>
            </w:pPr>
            <w:r>
              <w:rPr>
                <w:rFonts w:hint="eastAsia" w:ascii="宋体" w:hAnsi="宋体" w:cs="宋体"/>
                <w:kern w:val="0"/>
                <w:szCs w:val="21"/>
                <w:highlight w:val="none"/>
              </w:rPr>
              <w:t>康复楼多功能康养用房设备购置项目（装饰工程部分）</w:t>
            </w:r>
          </w:p>
        </w:tc>
        <w:tc>
          <w:tcPr>
            <w:tcW w:w="443" w:type="dxa"/>
            <w:vAlign w:val="center"/>
          </w:tcPr>
          <w:p w14:paraId="5515029C">
            <w:pPr>
              <w:widowControl/>
              <w:spacing w:line="360" w:lineRule="exact"/>
              <w:jc w:val="center"/>
              <w:textAlignment w:val="center"/>
              <w:rPr>
                <w:rFonts w:hint="eastAsia" w:ascii="宋体" w:hAnsi="宋体" w:cs="宋体"/>
                <w:kern w:val="0"/>
                <w:szCs w:val="21"/>
                <w:highlight w:val="none"/>
              </w:rPr>
            </w:pPr>
            <w:r>
              <w:rPr>
                <w:rFonts w:hint="eastAsia" w:ascii="宋体" w:hAnsi="宋体" w:cs="宋体"/>
                <w:kern w:val="0"/>
                <w:szCs w:val="21"/>
                <w:highlight w:val="none"/>
                <w:lang w:bidi="ar"/>
              </w:rPr>
              <w:t>1</w:t>
            </w:r>
          </w:p>
        </w:tc>
        <w:tc>
          <w:tcPr>
            <w:tcW w:w="750" w:type="dxa"/>
            <w:vAlign w:val="center"/>
          </w:tcPr>
          <w:p w14:paraId="5142A5F5">
            <w:pPr>
              <w:widowControl/>
              <w:spacing w:line="360" w:lineRule="exact"/>
              <w:jc w:val="center"/>
              <w:textAlignment w:val="center"/>
              <w:rPr>
                <w:rFonts w:hint="eastAsia" w:ascii="宋体" w:hAnsi="宋体" w:cs="宋体"/>
                <w:kern w:val="0"/>
                <w:szCs w:val="21"/>
                <w:highlight w:val="none"/>
              </w:rPr>
            </w:pPr>
            <w:r>
              <w:rPr>
                <w:rFonts w:hint="eastAsia" w:ascii="宋体" w:hAnsi="宋体" w:cs="宋体"/>
                <w:kern w:val="0"/>
                <w:szCs w:val="21"/>
                <w:highlight w:val="none"/>
              </w:rPr>
              <w:t>项</w:t>
            </w:r>
          </w:p>
        </w:tc>
        <w:tc>
          <w:tcPr>
            <w:tcW w:w="6734" w:type="dxa"/>
            <w:vAlign w:val="center"/>
          </w:tcPr>
          <w:p w14:paraId="212467AC">
            <w:pPr>
              <w:spacing w:line="460" w:lineRule="exact"/>
              <w:rPr>
                <w:rFonts w:hint="eastAsia" w:ascii="宋体" w:hAnsi="宋体" w:cs="宋体"/>
                <w:szCs w:val="21"/>
                <w:highlight w:val="none"/>
              </w:rPr>
            </w:pPr>
            <w:r>
              <w:rPr>
                <w:rFonts w:hint="eastAsia" w:ascii="宋体" w:hAnsi="宋体" w:cs="宋体"/>
                <w:szCs w:val="21"/>
                <w:highlight w:val="none"/>
              </w:rPr>
              <w:t>▲1.采购范围：主要建设内容为砖砌体拆除、金属门窗拆除、铲除裱糊面、9mm厚碳晶板墙面、PVC膜饰面、轻钢龙骨碳晶板墙、陶铝吸音板墙、安装阻燃刚性塑料管 PC20等，详见采购文件、工程量清单及图纸。</w:t>
            </w:r>
          </w:p>
          <w:p w14:paraId="1D03AACD">
            <w:pPr>
              <w:spacing w:line="460" w:lineRule="exact"/>
              <w:rPr>
                <w:rFonts w:hint="eastAsia" w:ascii="宋体" w:hAnsi="宋体" w:cs="宋体"/>
                <w:szCs w:val="21"/>
                <w:highlight w:val="none"/>
              </w:rPr>
            </w:pPr>
            <w:r>
              <w:rPr>
                <w:rFonts w:hint="eastAsia" w:ascii="宋体" w:hAnsi="宋体" w:cs="宋体"/>
                <w:szCs w:val="21"/>
                <w:highlight w:val="none"/>
              </w:rPr>
              <w:t>▲2.技术标准和要求：符合国家、行业、地区现行的工程建设标准、技术规范及强制性标准条文、以及图纸载明的其他有关规范标准。</w:t>
            </w:r>
          </w:p>
          <w:p w14:paraId="2223A9B4">
            <w:pPr>
              <w:spacing w:line="460" w:lineRule="exact"/>
              <w:rPr>
                <w:rFonts w:hint="eastAsia" w:ascii="宋体" w:hAnsi="宋体" w:cs="宋体"/>
                <w:szCs w:val="21"/>
                <w:highlight w:val="none"/>
              </w:rPr>
            </w:pPr>
            <w:r>
              <w:rPr>
                <w:rFonts w:hint="eastAsia" w:ascii="宋体" w:hAnsi="宋体" w:cs="宋体"/>
                <w:szCs w:val="21"/>
                <w:highlight w:val="none"/>
              </w:rPr>
              <w:t>▲3.质量要求：达到国家施工验收规范合格标准要求。</w:t>
            </w:r>
          </w:p>
          <w:p w14:paraId="4536BAB9">
            <w:pPr>
              <w:spacing w:line="460" w:lineRule="exact"/>
              <w:rPr>
                <w:rFonts w:hint="eastAsia" w:ascii="宋体" w:hAnsi="宋体" w:cs="宋体"/>
                <w:szCs w:val="21"/>
                <w:highlight w:val="none"/>
              </w:rPr>
            </w:pPr>
            <w:r>
              <w:rPr>
                <w:rFonts w:hint="eastAsia" w:ascii="宋体" w:hAnsi="宋体" w:cs="宋体"/>
                <w:szCs w:val="21"/>
                <w:highlight w:val="none"/>
              </w:rPr>
              <w:t>▲4.报价方式：工程量清单报价，施工过程中负责协调当地相关部门，办理相关手续。</w:t>
            </w:r>
          </w:p>
          <w:p w14:paraId="7BE8D1B2">
            <w:pPr>
              <w:spacing w:line="460" w:lineRule="exact"/>
              <w:rPr>
                <w:rFonts w:hint="eastAsia" w:ascii="宋体" w:hAnsi="宋体" w:cs="宋体"/>
                <w:szCs w:val="21"/>
                <w:highlight w:val="none"/>
              </w:rPr>
            </w:pPr>
            <w:r>
              <w:rPr>
                <w:rFonts w:hint="eastAsia" w:ascii="宋体" w:hAnsi="宋体" w:cs="宋体"/>
                <w:szCs w:val="21"/>
                <w:highlight w:val="none"/>
              </w:rPr>
              <w:t>▲5.合同形式：</w:t>
            </w:r>
            <w:r>
              <w:rPr>
                <w:rFonts w:hint="eastAsia" w:ascii="宋体" w:hAnsi="宋体" w:cs="宋体"/>
                <w:szCs w:val="21"/>
                <w:highlight w:val="none"/>
                <w:lang w:eastAsia="zh-CN"/>
              </w:rPr>
              <w:t>固定总价合同</w:t>
            </w:r>
            <w:r>
              <w:rPr>
                <w:rFonts w:hint="eastAsia" w:ascii="宋体" w:hAnsi="宋体" w:cs="宋体"/>
                <w:szCs w:val="21"/>
                <w:highlight w:val="none"/>
              </w:rPr>
              <w:t>。</w:t>
            </w:r>
          </w:p>
        </w:tc>
      </w:tr>
      <w:tr w14:paraId="1128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588" w:type="dxa"/>
            <w:gridSpan w:val="5"/>
            <w:vAlign w:val="center"/>
          </w:tcPr>
          <w:p w14:paraId="4885CC5B">
            <w:pPr>
              <w:widowControl/>
              <w:spacing w:line="440" w:lineRule="exact"/>
              <w:rPr>
                <w:rFonts w:hint="eastAsia" w:ascii="宋体" w:hAnsi="宋体" w:cs="宋体"/>
                <w:b/>
                <w:szCs w:val="21"/>
              </w:rPr>
            </w:pPr>
            <w:r>
              <w:rPr>
                <w:rFonts w:hint="eastAsia" w:ascii="宋体" w:hAnsi="宋体" w:cs="宋体"/>
                <w:b/>
                <w:bCs/>
                <w:szCs w:val="21"/>
              </w:rPr>
              <w:t>一、</w:t>
            </w:r>
            <w:r>
              <w:rPr>
                <w:rFonts w:hint="eastAsia" w:ascii="宋体" w:hAnsi="宋体" w:cs="宋体"/>
                <w:b/>
                <w:szCs w:val="21"/>
              </w:rPr>
              <w:t>商务条款</w:t>
            </w:r>
          </w:p>
        </w:tc>
      </w:tr>
      <w:tr w14:paraId="1C7F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7872A49B">
            <w:pPr>
              <w:spacing w:line="460" w:lineRule="exact"/>
              <w:jc w:val="center"/>
              <w:rPr>
                <w:rFonts w:hint="eastAsia" w:ascii="宋体" w:hAnsi="宋体" w:cs="宋体"/>
                <w:szCs w:val="21"/>
              </w:rPr>
            </w:pPr>
            <w:r>
              <w:rPr>
                <w:rFonts w:hint="eastAsia" w:ascii="宋体" w:hAnsi="宋体" w:cs="宋体"/>
                <w:szCs w:val="21"/>
              </w:rPr>
              <w:t>▲规范标准</w:t>
            </w:r>
          </w:p>
        </w:tc>
        <w:tc>
          <w:tcPr>
            <w:tcW w:w="7927" w:type="dxa"/>
            <w:gridSpan w:val="3"/>
          </w:tcPr>
          <w:p w14:paraId="65C7BA0A">
            <w:pPr>
              <w:spacing w:line="460" w:lineRule="exact"/>
              <w:rPr>
                <w:rFonts w:hint="eastAsia" w:ascii="宋体" w:hAnsi="宋体" w:cs="宋体"/>
                <w:szCs w:val="21"/>
              </w:rPr>
            </w:pPr>
            <w:r>
              <w:rPr>
                <w:rFonts w:hint="eastAsia" w:ascii="宋体" w:hAnsi="宋体" w:cs="宋体"/>
                <w:szCs w:val="21"/>
              </w:rPr>
              <w:t>采购标的需执行的国家标准、行业标准、地方标准或者其他标准、规范。多项标准的，按最新标准或较高标准执行。</w:t>
            </w:r>
          </w:p>
        </w:tc>
      </w:tr>
      <w:tr w14:paraId="5960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09A69E62">
            <w:pPr>
              <w:spacing w:line="360" w:lineRule="auto"/>
              <w:jc w:val="center"/>
              <w:rPr>
                <w:rFonts w:hint="eastAsia" w:ascii="宋体" w:hAnsi="宋体" w:cs="宋体"/>
                <w:szCs w:val="21"/>
              </w:rPr>
            </w:pPr>
            <w:r>
              <w:rPr>
                <w:rFonts w:hint="eastAsia" w:ascii="宋体" w:hAnsi="宋体" w:cs="宋体"/>
                <w:szCs w:val="21"/>
              </w:rPr>
              <w:t>▲验收标准</w:t>
            </w:r>
          </w:p>
        </w:tc>
        <w:tc>
          <w:tcPr>
            <w:tcW w:w="7927" w:type="dxa"/>
            <w:gridSpan w:val="3"/>
            <w:vAlign w:val="center"/>
          </w:tcPr>
          <w:p w14:paraId="02674328">
            <w:pPr>
              <w:spacing w:line="360" w:lineRule="auto"/>
              <w:rPr>
                <w:rFonts w:hint="eastAsia" w:ascii="宋体" w:hAnsi="宋体" w:cs="宋体"/>
                <w:szCs w:val="21"/>
              </w:rPr>
            </w:pPr>
            <w:r>
              <w:rPr>
                <w:rFonts w:hint="eastAsia" w:ascii="宋体" w:hAnsi="宋体" w:cs="宋体"/>
                <w:szCs w:val="21"/>
              </w:rPr>
              <w:t>参照（桂财采〔2015〕22号）《关于印发广西壮族自治区政府采购项目履约验收管理办法的通知》执行。</w:t>
            </w:r>
          </w:p>
        </w:tc>
      </w:tr>
      <w:tr w14:paraId="2F65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7162B1F0">
            <w:pPr>
              <w:spacing w:line="460" w:lineRule="exact"/>
              <w:jc w:val="center"/>
              <w:rPr>
                <w:rFonts w:hint="eastAsia" w:ascii="宋体" w:hAnsi="宋体" w:cs="宋体"/>
                <w:szCs w:val="21"/>
              </w:rPr>
            </w:pPr>
            <w:r>
              <w:rPr>
                <w:rFonts w:hint="eastAsia" w:ascii="宋体" w:hAnsi="宋体" w:cs="宋体"/>
                <w:szCs w:val="21"/>
              </w:rPr>
              <w:t>▲合同签订期</w:t>
            </w:r>
          </w:p>
        </w:tc>
        <w:tc>
          <w:tcPr>
            <w:tcW w:w="7927" w:type="dxa"/>
            <w:gridSpan w:val="3"/>
            <w:vAlign w:val="center"/>
          </w:tcPr>
          <w:p w14:paraId="12CA580F">
            <w:pPr>
              <w:spacing w:line="460" w:lineRule="exact"/>
              <w:rPr>
                <w:rFonts w:hint="eastAsia" w:ascii="宋体" w:hAnsi="宋体" w:cs="宋体"/>
                <w:szCs w:val="21"/>
              </w:rPr>
            </w:pPr>
            <w:r>
              <w:rPr>
                <w:rFonts w:hint="eastAsia" w:ascii="宋体" w:hAnsi="宋体" w:cs="宋体"/>
                <w:szCs w:val="21"/>
              </w:rPr>
              <w:t>自成交通知书发出之日起25日内。</w:t>
            </w:r>
          </w:p>
        </w:tc>
      </w:tr>
      <w:tr w14:paraId="3C13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548A5560">
            <w:pPr>
              <w:spacing w:line="460" w:lineRule="exact"/>
              <w:jc w:val="center"/>
              <w:rPr>
                <w:rFonts w:hint="eastAsia" w:ascii="宋体" w:hAnsi="宋体" w:cs="宋体"/>
                <w:szCs w:val="21"/>
                <w:highlight w:val="none"/>
              </w:rPr>
            </w:pPr>
            <w:r>
              <w:rPr>
                <w:rFonts w:hint="eastAsia" w:ascii="宋体" w:hAnsi="宋体" w:cs="宋体"/>
                <w:szCs w:val="21"/>
                <w:highlight w:val="none"/>
              </w:rPr>
              <w:t>▲工期</w:t>
            </w:r>
          </w:p>
        </w:tc>
        <w:tc>
          <w:tcPr>
            <w:tcW w:w="7927" w:type="dxa"/>
            <w:gridSpan w:val="3"/>
            <w:vAlign w:val="center"/>
          </w:tcPr>
          <w:p w14:paraId="05338A9D">
            <w:pPr>
              <w:spacing w:line="460" w:lineRule="exact"/>
              <w:rPr>
                <w:rFonts w:hint="eastAsia" w:ascii="宋体" w:hAnsi="宋体" w:cs="宋体"/>
                <w:szCs w:val="21"/>
                <w:highlight w:val="none"/>
              </w:rPr>
            </w:pPr>
            <w:r>
              <w:rPr>
                <w:rFonts w:hint="eastAsia" w:ascii="宋体" w:hAnsi="宋体" w:cs="宋体"/>
                <w:szCs w:val="21"/>
                <w:highlight w:val="none"/>
              </w:rPr>
              <w:t>自签订合同之日起30日历日完成所有施工并验收合格。</w:t>
            </w:r>
          </w:p>
        </w:tc>
      </w:tr>
      <w:tr w14:paraId="1E2E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240DA6F1">
            <w:pPr>
              <w:spacing w:line="460" w:lineRule="exact"/>
              <w:jc w:val="center"/>
              <w:rPr>
                <w:rFonts w:hint="eastAsia" w:ascii="宋体" w:hAnsi="宋体" w:cs="宋体"/>
                <w:szCs w:val="21"/>
              </w:rPr>
            </w:pPr>
            <w:r>
              <w:rPr>
                <w:rFonts w:hint="eastAsia" w:ascii="宋体" w:hAnsi="宋体" w:cs="宋体"/>
                <w:szCs w:val="21"/>
              </w:rPr>
              <w:t>▲建设地点</w:t>
            </w:r>
          </w:p>
        </w:tc>
        <w:tc>
          <w:tcPr>
            <w:tcW w:w="7927" w:type="dxa"/>
            <w:gridSpan w:val="3"/>
          </w:tcPr>
          <w:p w14:paraId="24674939">
            <w:pPr>
              <w:spacing w:line="460" w:lineRule="exact"/>
              <w:rPr>
                <w:rFonts w:hint="eastAsia" w:ascii="宋体" w:hAnsi="宋体" w:cs="宋体"/>
                <w:szCs w:val="21"/>
              </w:rPr>
            </w:pPr>
            <w:r>
              <w:rPr>
                <w:rFonts w:hint="eastAsia" w:ascii="宋体" w:hAnsi="宋体" w:cs="宋体"/>
                <w:szCs w:val="21"/>
              </w:rPr>
              <w:t>广西南宁市采购人指定地点。</w:t>
            </w:r>
          </w:p>
        </w:tc>
      </w:tr>
      <w:tr w14:paraId="75ED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1B8FAA0C">
            <w:pPr>
              <w:spacing w:line="360" w:lineRule="auto"/>
              <w:jc w:val="center"/>
              <w:rPr>
                <w:rFonts w:hint="eastAsia" w:ascii="宋体" w:hAnsi="宋体" w:cs="宋体"/>
                <w:spacing w:val="-8"/>
                <w:szCs w:val="21"/>
                <w:highlight w:val="none"/>
              </w:rPr>
            </w:pPr>
            <w:r>
              <w:rPr>
                <w:rFonts w:hint="eastAsia" w:ascii="宋体" w:hAnsi="宋体" w:cs="宋体"/>
                <w:szCs w:val="21"/>
                <w:highlight w:val="none"/>
              </w:rPr>
              <w:t>▲</w:t>
            </w:r>
            <w:r>
              <w:rPr>
                <w:rFonts w:hint="eastAsia" w:ascii="宋体" w:hAnsi="宋体" w:cs="宋体"/>
                <w:spacing w:val="-8"/>
                <w:szCs w:val="21"/>
                <w:highlight w:val="none"/>
              </w:rPr>
              <w:t>付款条件</w:t>
            </w:r>
          </w:p>
          <w:p w14:paraId="3102EBC7">
            <w:pPr>
              <w:spacing w:line="460" w:lineRule="exact"/>
              <w:rPr>
                <w:rFonts w:hint="eastAsia" w:ascii="宋体" w:hAnsi="宋体" w:cs="宋体"/>
                <w:szCs w:val="21"/>
                <w:highlight w:val="none"/>
              </w:rPr>
            </w:pPr>
            <w:r>
              <w:rPr>
                <w:rFonts w:hint="eastAsia" w:ascii="宋体" w:hAnsi="宋体" w:cs="宋体"/>
                <w:spacing w:val="-8"/>
                <w:szCs w:val="21"/>
                <w:highlight w:val="none"/>
              </w:rPr>
              <w:t>（进度和方式）</w:t>
            </w:r>
          </w:p>
        </w:tc>
        <w:tc>
          <w:tcPr>
            <w:tcW w:w="7927" w:type="dxa"/>
            <w:gridSpan w:val="3"/>
          </w:tcPr>
          <w:p w14:paraId="4C3F8C99">
            <w:pPr>
              <w:spacing w:line="360" w:lineRule="auto"/>
              <w:jc w:val="left"/>
              <w:rPr>
                <w:rFonts w:hint="eastAsia" w:ascii="宋体" w:hAnsi="宋体" w:cs="宋体"/>
                <w:spacing w:val="-8"/>
                <w:szCs w:val="21"/>
                <w:highlight w:val="none"/>
              </w:rPr>
            </w:pPr>
            <w:r>
              <w:rPr>
                <w:rFonts w:hint="eastAsia" w:ascii="宋体" w:hAnsi="宋体" w:cs="宋体"/>
                <w:spacing w:val="-8"/>
                <w:szCs w:val="21"/>
                <w:highlight w:val="none"/>
              </w:rPr>
              <w:t>1、付款方式：银行转账。</w:t>
            </w:r>
          </w:p>
          <w:p w14:paraId="2122B8D5">
            <w:pPr>
              <w:spacing w:line="360" w:lineRule="auto"/>
              <w:jc w:val="left"/>
              <w:rPr>
                <w:rFonts w:hint="eastAsia" w:ascii="宋体" w:hAnsi="宋体" w:cs="宋体"/>
                <w:spacing w:val="-8"/>
                <w:szCs w:val="21"/>
                <w:highlight w:val="none"/>
              </w:rPr>
            </w:pPr>
            <w:r>
              <w:rPr>
                <w:rFonts w:hint="eastAsia" w:ascii="宋体" w:hAnsi="宋体" w:cs="宋体"/>
                <w:spacing w:val="-8"/>
                <w:szCs w:val="21"/>
                <w:highlight w:val="none"/>
              </w:rPr>
              <w:t>2、</w:t>
            </w:r>
            <w:r>
              <w:rPr>
                <w:rFonts w:hint="eastAsia" w:ascii="宋体" w:hAnsi="宋体" w:cs="宋体"/>
                <w:spacing w:val="-8"/>
                <w:szCs w:val="21"/>
              </w:rPr>
              <w:t>双方签订合同后10个工作日内发包人向承包人支付总合同价的20%作为预付款；期中支付：按工程进度完成至90%以上工程量支付进度款至总合同价的</w:t>
            </w:r>
            <w:r>
              <w:rPr>
                <w:rFonts w:ascii="宋体" w:hAnsi="宋体" w:cs="宋体"/>
                <w:spacing w:val="-8"/>
                <w:szCs w:val="21"/>
              </w:rPr>
              <w:t>80</w:t>
            </w:r>
            <w:r>
              <w:rPr>
                <w:rFonts w:hint="eastAsia" w:ascii="宋体" w:hAnsi="宋体" w:cs="宋体"/>
                <w:spacing w:val="-8"/>
                <w:szCs w:val="21"/>
              </w:rPr>
              <w:t>%止，发包人收到工程进度计量表、请款函、支付证书等材料后10个工作日内支付；期终支付：本工程竣工验收合格，10个工作日内支付至97%合同价；合同价款的3%转为质量保证金，于工程质量缺陷责任期满后30个工作日内支付(无息)。按照“总包负总责”的原则，发包人在工程建设过程中按工程进度或合同约定及时拨付工程款，不拖欠工程款，承包人保证按时足额支付农民工工资，不拖欠农民工工资，如果承包方发生违反规定拖欠或克扣农民工工资行为，造成农民工上访，由承包人负全责。</w:t>
            </w:r>
          </w:p>
          <w:p w14:paraId="31B6A282">
            <w:pPr>
              <w:spacing w:line="460" w:lineRule="exact"/>
              <w:rPr>
                <w:rFonts w:hint="eastAsia" w:ascii="宋体" w:hAnsi="宋体" w:cs="宋体"/>
                <w:szCs w:val="21"/>
                <w:highlight w:val="none"/>
              </w:rPr>
            </w:pPr>
            <w:r>
              <w:rPr>
                <w:rFonts w:hint="eastAsia" w:ascii="宋体" w:hAnsi="宋体" w:cs="宋体"/>
                <w:spacing w:val="-8"/>
                <w:szCs w:val="21"/>
                <w:highlight w:val="none"/>
              </w:rPr>
              <w:t>合同约定的工程质量缺陷责任期满后由承包人向发包人提出返还质量保证金的申请，发包人在接到承包人返还质量保证金申请后，会同承包人按照合同约定的内容进行核实。如无异议，发包人在核实后30个工作日内将质量保证金返还承包人。</w:t>
            </w:r>
          </w:p>
        </w:tc>
      </w:tr>
      <w:tr w14:paraId="51EC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4C202D9E">
            <w:pPr>
              <w:spacing w:line="460" w:lineRule="exact"/>
              <w:jc w:val="center"/>
              <w:rPr>
                <w:rFonts w:hint="eastAsia" w:ascii="宋体" w:hAnsi="宋体" w:cs="宋体"/>
                <w:szCs w:val="21"/>
              </w:rPr>
            </w:pPr>
            <w:r>
              <w:rPr>
                <w:rFonts w:hint="eastAsia" w:ascii="宋体" w:hAnsi="宋体" w:cs="宋体"/>
                <w:szCs w:val="21"/>
              </w:rPr>
              <w:t>▲缺陷责任期</w:t>
            </w:r>
          </w:p>
        </w:tc>
        <w:tc>
          <w:tcPr>
            <w:tcW w:w="7927" w:type="dxa"/>
            <w:gridSpan w:val="3"/>
          </w:tcPr>
          <w:p w14:paraId="4E50E345">
            <w:pPr>
              <w:spacing w:line="460" w:lineRule="exact"/>
              <w:rPr>
                <w:rFonts w:hint="eastAsia" w:ascii="宋体" w:hAnsi="宋体" w:cs="宋体"/>
                <w:szCs w:val="21"/>
              </w:rPr>
            </w:pPr>
            <w:r>
              <w:rPr>
                <w:rFonts w:hint="eastAsia" w:ascii="宋体" w:hAnsi="宋体" w:cs="宋体"/>
                <w:spacing w:val="-8"/>
                <w:szCs w:val="21"/>
              </w:rPr>
              <w:t>竣工验收后</w:t>
            </w:r>
            <w:r>
              <w:rPr>
                <w:rFonts w:hint="eastAsia" w:ascii="宋体" w:hAnsi="宋体" w:cs="宋体"/>
                <w:spacing w:val="-8"/>
                <w:szCs w:val="21"/>
                <w:lang w:val="en-US" w:eastAsia="zh-CN"/>
              </w:rPr>
              <w:t>24</w:t>
            </w:r>
            <w:r>
              <w:rPr>
                <w:rFonts w:hint="eastAsia" w:ascii="宋体" w:hAnsi="宋体" w:cs="宋体"/>
                <w:spacing w:val="-8"/>
                <w:szCs w:val="21"/>
              </w:rPr>
              <w:t>个月</w:t>
            </w:r>
            <w:r>
              <w:rPr>
                <w:rFonts w:hint="eastAsia" w:ascii="宋体" w:hAnsi="宋体" w:cs="宋体"/>
                <w:szCs w:val="21"/>
              </w:rPr>
              <w:t>，缺陷责任期自工程竣工验收合格之日起计算。单位工程先于全部工程进行验收，单位工程缺陷责任期自单位工程验收合格之日起算。</w:t>
            </w:r>
          </w:p>
        </w:tc>
      </w:tr>
      <w:tr w14:paraId="1DDE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365E5418">
            <w:pPr>
              <w:spacing w:line="360" w:lineRule="auto"/>
              <w:rPr>
                <w:rFonts w:hint="eastAsia" w:ascii="宋体" w:hAnsi="宋体" w:cs="宋体"/>
                <w:szCs w:val="21"/>
              </w:rPr>
            </w:pPr>
            <w:r>
              <w:rPr>
                <w:rFonts w:hint="eastAsia" w:ascii="宋体" w:hAnsi="宋体" w:cs="宋体"/>
                <w:szCs w:val="21"/>
              </w:rPr>
              <w:t>▲</w:t>
            </w:r>
            <w:r>
              <w:rPr>
                <w:rFonts w:hint="eastAsia" w:ascii="宋体" w:hAnsi="宋体" w:cs="宋体"/>
                <w:spacing w:val="-8"/>
                <w:szCs w:val="21"/>
              </w:rPr>
              <w:t>其他要求</w:t>
            </w:r>
          </w:p>
        </w:tc>
        <w:tc>
          <w:tcPr>
            <w:tcW w:w="7927" w:type="dxa"/>
            <w:gridSpan w:val="3"/>
            <w:vAlign w:val="center"/>
          </w:tcPr>
          <w:p w14:paraId="312B6F53">
            <w:pPr>
              <w:spacing w:line="360" w:lineRule="auto"/>
              <w:jc w:val="left"/>
              <w:rPr>
                <w:rFonts w:hint="eastAsia" w:ascii="宋体" w:hAnsi="宋体" w:cs="宋体"/>
                <w:spacing w:val="-8"/>
                <w:szCs w:val="21"/>
              </w:rPr>
            </w:pPr>
            <w:r>
              <w:rPr>
                <w:rFonts w:hint="eastAsia" w:ascii="宋体" w:hAnsi="宋体" w:cs="宋体"/>
                <w:spacing w:val="-8"/>
                <w:szCs w:val="21"/>
              </w:rPr>
              <w:t>1、本项目涉及施工内容的，施工人员必须服从采购人的管理要求。</w:t>
            </w:r>
          </w:p>
          <w:p w14:paraId="21A7EEBE">
            <w:pPr>
              <w:spacing w:line="360" w:lineRule="auto"/>
              <w:jc w:val="left"/>
              <w:rPr>
                <w:rFonts w:hint="eastAsia" w:ascii="宋体" w:hAnsi="宋体" w:cs="宋体"/>
                <w:szCs w:val="21"/>
              </w:rPr>
            </w:pPr>
            <w:r>
              <w:rPr>
                <w:rFonts w:hint="eastAsia" w:ascii="宋体" w:hAnsi="宋体" w:cs="宋体"/>
                <w:spacing w:val="-8"/>
                <w:szCs w:val="21"/>
              </w:rPr>
              <w:t>2、施工人员需自行解决住宿问题，采购人无法提供场地给成交供应商搭建临时设施给施工人员住宿。</w:t>
            </w:r>
          </w:p>
        </w:tc>
      </w:tr>
      <w:tr w14:paraId="0EE1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88" w:type="dxa"/>
            <w:gridSpan w:val="5"/>
            <w:vAlign w:val="center"/>
          </w:tcPr>
          <w:p w14:paraId="3CF2F959">
            <w:pPr>
              <w:pStyle w:val="27"/>
              <w:tabs>
                <w:tab w:val="left" w:pos="987"/>
              </w:tabs>
              <w:ind w:firstLine="0" w:firstLineChars="0"/>
              <w:rPr>
                <w:rFonts w:hint="eastAsia" w:ascii="宋体" w:hAnsi="宋体" w:cs="宋体"/>
                <w:szCs w:val="21"/>
              </w:rPr>
            </w:pPr>
            <w:r>
              <w:rPr>
                <w:rFonts w:hint="eastAsia" w:ascii="宋体" w:hAnsi="宋体" w:cs="宋体"/>
                <w:b/>
                <w:bCs/>
                <w:szCs w:val="21"/>
              </w:rPr>
              <w:t>二、涉及项目的其他要求及说明</w:t>
            </w:r>
          </w:p>
        </w:tc>
      </w:tr>
      <w:tr w14:paraId="65F5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88" w:type="dxa"/>
            <w:gridSpan w:val="5"/>
            <w:vAlign w:val="center"/>
          </w:tcPr>
          <w:p w14:paraId="20BFF3AD">
            <w:pPr>
              <w:pStyle w:val="27"/>
              <w:tabs>
                <w:tab w:val="left" w:pos="987"/>
              </w:tabs>
              <w:ind w:firstLine="0" w:firstLineChars="0"/>
              <w:rPr>
                <w:rFonts w:hint="eastAsia" w:ascii="宋体" w:hAnsi="宋体" w:cs="宋体"/>
                <w:b/>
                <w:bCs/>
                <w:szCs w:val="21"/>
              </w:rPr>
            </w:pPr>
            <w:r>
              <w:rPr>
                <w:rFonts w:hint="eastAsia" w:ascii="宋体" w:hAnsi="宋体" w:cs="宋体"/>
                <w:b/>
                <w:bCs/>
                <w:color w:val="000000" w:themeColor="text1"/>
                <w:szCs w:val="21"/>
                <w14:textFill>
                  <w14:solidFill>
                    <w14:schemeClr w14:val="tx1"/>
                  </w14:solidFill>
                </w14:textFill>
              </w:rPr>
              <w:t>（一）供应商的履约能力要求</w:t>
            </w:r>
          </w:p>
        </w:tc>
      </w:tr>
      <w:tr w14:paraId="570E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4CA40B7E">
            <w:pPr>
              <w:widowControl/>
              <w:spacing w:line="360" w:lineRule="auto"/>
              <w:rPr>
                <w:rFonts w:hint="eastAsia" w:ascii="宋体" w:hAnsi="宋体" w:cs="宋体"/>
                <w:szCs w:val="21"/>
              </w:rPr>
            </w:pPr>
            <w:r>
              <w:rPr>
                <w:rFonts w:hint="eastAsia" w:ascii="宋体" w:hAnsi="宋体" w:cs="宋体"/>
                <w:szCs w:val="21"/>
              </w:rPr>
              <w:t>质量管理、企业信用要求</w:t>
            </w:r>
          </w:p>
        </w:tc>
        <w:tc>
          <w:tcPr>
            <w:tcW w:w="7927" w:type="dxa"/>
            <w:gridSpan w:val="3"/>
            <w:vAlign w:val="center"/>
          </w:tcPr>
          <w:p w14:paraId="35EFAB00">
            <w:pPr>
              <w:widowControl/>
              <w:spacing w:line="360" w:lineRule="auto"/>
              <w:rPr>
                <w:rFonts w:hint="eastAsia" w:ascii="宋体" w:hAnsi="宋体" w:cs="宋体"/>
                <w:szCs w:val="21"/>
              </w:rPr>
            </w:pPr>
            <w:r>
              <w:rPr>
                <w:rFonts w:hint="eastAsia" w:ascii="宋体" w:hAnsi="宋体" w:cs="宋体"/>
                <w:szCs w:val="21"/>
              </w:rPr>
              <w:t>如有，请于响应文件中自行提供。</w:t>
            </w:r>
          </w:p>
        </w:tc>
      </w:tr>
      <w:tr w14:paraId="6918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4A1D02BD">
            <w:pPr>
              <w:widowControl/>
              <w:spacing w:line="360" w:lineRule="auto"/>
              <w:rPr>
                <w:rFonts w:hint="eastAsia" w:ascii="宋体" w:hAnsi="宋体" w:cs="宋体"/>
                <w:szCs w:val="21"/>
              </w:rPr>
            </w:pPr>
            <w:r>
              <w:rPr>
                <w:rFonts w:hint="eastAsia" w:ascii="宋体" w:hAnsi="宋体" w:cs="宋体"/>
                <w:szCs w:val="21"/>
              </w:rPr>
              <w:t>能力或者业绩要求</w:t>
            </w:r>
          </w:p>
        </w:tc>
        <w:tc>
          <w:tcPr>
            <w:tcW w:w="7927" w:type="dxa"/>
            <w:gridSpan w:val="3"/>
            <w:vAlign w:val="center"/>
          </w:tcPr>
          <w:p w14:paraId="353249B7">
            <w:pPr>
              <w:widowControl/>
              <w:spacing w:line="360" w:lineRule="auto"/>
              <w:rPr>
                <w:rFonts w:hint="eastAsia" w:ascii="宋体" w:hAnsi="宋体" w:cs="宋体"/>
                <w:szCs w:val="21"/>
              </w:rPr>
            </w:pPr>
            <w:r>
              <w:rPr>
                <w:rFonts w:hint="eastAsia" w:ascii="宋体" w:hAnsi="宋体" w:cs="宋体"/>
                <w:szCs w:val="21"/>
              </w:rPr>
              <w:t>如有，请于响应文件中自行提供。</w:t>
            </w:r>
          </w:p>
        </w:tc>
      </w:tr>
      <w:tr w14:paraId="6693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88" w:type="dxa"/>
            <w:gridSpan w:val="5"/>
            <w:vAlign w:val="center"/>
          </w:tcPr>
          <w:p w14:paraId="24247BE5">
            <w:pPr>
              <w:widowControl/>
              <w:spacing w:line="360" w:lineRule="auto"/>
              <w:rPr>
                <w:rFonts w:hint="eastAsia" w:ascii="宋体" w:hAnsi="宋体" w:cs="宋体"/>
                <w:spacing w:val="-8"/>
                <w:szCs w:val="21"/>
              </w:rPr>
            </w:pPr>
            <w:r>
              <w:rPr>
                <w:rFonts w:hint="eastAsia" w:ascii="宋体" w:hAnsi="宋体" w:cs="宋体"/>
                <w:b/>
                <w:bCs/>
                <w:szCs w:val="21"/>
              </w:rPr>
              <w:t>（二）验收事项</w:t>
            </w:r>
          </w:p>
        </w:tc>
      </w:tr>
      <w:tr w14:paraId="7F2D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88" w:type="dxa"/>
            <w:gridSpan w:val="5"/>
            <w:vAlign w:val="center"/>
          </w:tcPr>
          <w:p w14:paraId="33AB2EEC">
            <w:pPr>
              <w:widowControl/>
              <w:spacing w:line="360" w:lineRule="auto"/>
              <w:jc w:val="left"/>
              <w:rPr>
                <w:rFonts w:hint="eastAsia" w:ascii="宋体" w:hAnsi="宋体" w:cs="宋体"/>
                <w:szCs w:val="21"/>
              </w:rPr>
            </w:pPr>
            <w:r>
              <w:rPr>
                <w:rFonts w:hint="eastAsia" w:ascii="宋体" w:hAnsi="宋体" w:cs="宋体"/>
                <w:szCs w:val="21"/>
              </w:rPr>
              <w:t xml:space="preserve">1.满足采购人技术要求及响应文件承诺。 </w:t>
            </w:r>
          </w:p>
          <w:p w14:paraId="73C0A4D8">
            <w:pPr>
              <w:widowControl/>
              <w:spacing w:line="360" w:lineRule="auto"/>
              <w:jc w:val="left"/>
              <w:rPr>
                <w:rFonts w:hint="eastAsia" w:ascii="宋体" w:hAnsi="宋体" w:cs="宋体"/>
                <w:szCs w:val="21"/>
              </w:rPr>
            </w:pPr>
            <w:r>
              <w:rPr>
                <w:rFonts w:hint="eastAsia" w:ascii="宋体" w:hAnsi="宋体" w:cs="宋体"/>
                <w:szCs w:val="21"/>
              </w:rPr>
              <w:t xml:space="preserve">2.本章《采购需求》有其他要求的按其要求。 </w:t>
            </w:r>
          </w:p>
          <w:p w14:paraId="3FC1CE51">
            <w:pPr>
              <w:widowControl/>
              <w:spacing w:line="360" w:lineRule="auto"/>
              <w:jc w:val="left"/>
              <w:rPr>
                <w:rFonts w:hint="eastAsia" w:ascii="宋体" w:hAnsi="宋体" w:cs="宋体"/>
                <w:spacing w:val="-8"/>
                <w:szCs w:val="21"/>
              </w:rPr>
            </w:pPr>
            <w:r>
              <w:rPr>
                <w:rFonts w:hint="eastAsia" w:ascii="宋体" w:hAnsi="宋体" w:cs="宋体"/>
                <w:szCs w:val="21"/>
              </w:rPr>
              <w:t xml:space="preserve">3.其他未尽事宜应严格按照《关于印发广西壮族自治区政府采购项目履约验收管理办法的通知》[桂财采〔2015〕22 号]以及《财政部关于进一步加强政府采购需求和履约验收管理的指导意见》[财库〔2016〕205 号]规定执行。 </w:t>
            </w:r>
          </w:p>
        </w:tc>
      </w:tr>
      <w:tr w14:paraId="6581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88" w:type="dxa"/>
            <w:gridSpan w:val="5"/>
            <w:vAlign w:val="center"/>
          </w:tcPr>
          <w:p w14:paraId="31221C27">
            <w:pPr>
              <w:spacing w:line="460" w:lineRule="exact"/>
              <w:rPr>
                <w:rFonts w:hint="eastAsia" w:ascii="宋体" w:hAnsi="宋体" w:cs="宋体"/>
                <w:spacing w:val="-8"/>
                <w:szCs w:val="21"/>
              </w:rPr>
            </w:pPr>
            <w:r>
              <w:rPr>
                <w:rFonts w:hint="eastAsia" w:ascii="宋体" w:hAnsi="宋体" w:cs="宋体"/>
                <w:b/>
                <w:bCs/>
                <w:color w:val="000000"/>
                <w:kern w:val="0"/>
                <w:szCs w:val="21"/>
                <w:lang w:bidi="ar"/>
              </w:rPr>
              <w:t>（三）其他要求</w:t>
            </w:r>
          </w:p>
        </w:tc>
      </w:tr>
      <w:tr w14:paraId="5CB6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1032AA83">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szCs w:val="21"/>
              </w:rPr>
            </w:pPr>
            <w:r>
              <w:rPr>
                <w:rFonts w:hint="eastAsia" w:ascii="宋体" w:hAnsi="宋体" w:cs="宋体"/>
                <w:color w:val="auto"/>
                <w:szCs w:val="21"/>
              </w:rPr>
              <w:t>▲</w:t>
            </w:r>
            <w:r>
              <w:rPr>
                <w:rFonts w:hint="eastAsia" w:ascii="宋体" w:hAnsi="宋体" w:cs="宋体"/>
                <w:color w:val="auto"/>
                <w:szCs w:val="21"/>
                <w:lang w:eastAsia="zh-CN"/>
              </w:rPr>
              <w:t>采购限价</w:t>
            </w:r>
          </w:p>
        </w:tc>
        <w:tc>
          <w:tcPr>
            <w:tcW w:w="7927" w:type="dxa"/>
            <w:gridSpan w:val="3"/>
            <w:vAlign w:val="center"/>
          </w:tcPr>
          <w:p w14:paraId="773E6D5B">
            <w:pPr>
              <w:keepNext w:val="0"/>
              <w:keepLines w:val="0"/>
              <w:pageBreakBefore w:val="0"/>
              <w:widowControl/>
              <w:kinsoku/>
              <w:wordWrap/>
              <w:overflowPunct/>
              <w:topLinePunct w:val="0"/>
              <w:autoSpaceDE/>
              <w:autoSpaceDN/>
              <w:bidi w:val="0"/>
              <w:adjustRightInd/>
              <w:spacing w:line="420" w:lineRule="exact"/>
              <w:textAlignment w:val="auto"/>
              <w:rPr>
                <w:rFonts w:hint="eastAsia" w:ascii="宋体" w:hAnsi="宋体" w:cs="宋体"/>
                <w:spacing w:val="-8"/>
                <w:szCs w:val="21"/>
              </w:rPr>
            </w:pPr>
            <w:r>
              <w:rPr>
                <w:rFonts w:hint="eastAsia" w:ascii="宋体" w:hAnsi="宋体" w:cs="宋体"/>
                <w:color w:val="auto"/>
                <w:szCs w:val="21"/>
                <w:highlight w:val="none"/>
              </w:rPr>
              <w:t xml:space="preserve">本项目评审时以最高限价为评审依据，供应商竞标报价超最高限价的作无效响应处理。 </w:t>
            </w:r>
          </w:p>
        </w:tc>
      </w:tr>
      <w:tr w14:paraId="5E56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gridSpan w:val="2"/>
            <w:vAlign w:val="center"/>
          </w:tcPr>
          <w:p w14:paraId="594F0808">
            <w:pPr>
              <w:spacing w:line="460" w:lineRule="exact"/>
              <w:rPr>
                <w:rFonts w:hint="eastAsia" w:ascii="宋体" w:hAnsi="宋体" w:cs="宋体"/>
                <w:szCs w:val="21"/>
              </w:rPr>
            </w:pPr>
            <w:r>
              <w:rPr>
                <w:rFonts w:hint="eastAsia" w:ascii="宋体" w:hAnsi="宋体" w:cs="宋体"/>
                <w:szCs w:val="21"/>
              </w:rPr>
              <w:t>▲其他说明</w:t>
            </w:r>
          </w:p>
        </w:tc>
        <w:tc>
          <w:tcPr>
            <w:tcW w:w="7927" w:type="dxa"/>
            <w:gridSpan w:val="3"/>
            <w:vAlign w:val="center"/>
          </w:tcPr>
          <w:p w14:paraId="7902E36C">
            <w:pPr>
              <w:spacing w:line="460" w:lineRule="exact"/>
              <w:rPr>
                <w:rFonts w:hint="eastAsia" w:ascii="宋体" w:hAnsi="宋体" w:cs="宋体"/>
                <w:spacing w:val="-8"/>
                <w:szCs w:val="21"/>
              </w:rPr>
            </w:pPr>
            <w:r>
              <w:rPr>
                <w:rFonts w:hint="eastAsia" w:ascii="宋体" w:hAnsi="宋体" w:cs="宋体"/>
                <w:spacing w:val="-8"/>
                <w:szCs w:val="21"/>
              </w:rPr>
              <w:t>供应商根据项目需求及自身实际情况，在响应文件中提供施工组织设计、项目管理机构配备情况表（包含项目经理）及主要人员简历表等认为有必须提供的材料。</w:t>
            </w:r>
          </w:p>
        </w:tc>
      </w:tr>
    </w:tbl>
    <w:p w14:paraId="2EBCB7FB">
      <w:pPr>
        <w:pStyle w:val="17"/>
        <w:jc w:val="left"/>
        <w:rPr>
          <w:rFonts w:hint="eastAsia" w:hAnsi="宋体" w:cs="宋体"/>
          <w:sz w:val="32"/>
          <w:szCs w:val="32"/>
        </w:rPr>
      </w:pPr>
    </w:p>
    <w:p w14:paraId="1BF19360">
      <w:pPr>
        <w:pStyle w:val="17"/>
        <w:jc w:val="left"/>
        <w:rPr>
          <w:rFonts w:hint="eastAsia" w:hAnsi="宋体" w:cs="宋体"/>
          <w:sz w:val="32"/>
          <w:szCs w:val="32"/>
        </w:rPr>
      </w:pPr>
    </w:p>
    <w:p w14:paraId="7D16F074">
      <w:pPr>
        <w:pStyle w:val="17"/>
        <w:jc w:val="left"/>
        <w:rPr>
          <w:rFonts w:hint="eastAsia" w:hAnsi="宋体" w:cs="宋体"/>
          <w:sz w:val="32"/>
          <w:szCs w:val="32"/>
        </w:rPr>
      </w:pPr>
    </w:p>
    <w:p w14:paraId="060909C8">
      <w:pPr>
        <w:pStyle w:val="17"/>
        <w:jc w:val="left"/>
        <w:rPr>
          <w:rFonts w:hint="eastAsia" w:hAnsi="宋体" w:cs="宋体"/>
          <w:sz w:val="32"/>
          <w:szCs w:val="32"/>
        </w:rPr>
      </w:pPr>
      <w:r>
        <w:rPr>
          <w:rFonts w:hint="eastAsia" w:hAnsi="宋体" w:cs="宋体"/>
          <w:sz w:val="32"/>
          <w:szCs w:val="32"/>
        </w:rPr>
        <w:t>附件3：</w:t>
      </w:r>
    </w:p>
    <w:p w14:paraId="5B39324D">
      <w:pPr>
        <w:spacing w:line="528" w:lineRule="exact"/>
        <w:jc w:val="center"/>
        <w:rPr>
          <w:rFonts w:hint="eastAsia" w:ascii="宋体" w:hAnsi="宋体" w:cs="宋体"/>
          <w:b/>
          <w:bCs/>
          <w:spacing w:val="12"/>
          <w:w w:val="99"/>
          <w:kern w:val="0"/>
          <w:szCs w:val="21"/>
        </w:rPr>
      </w:pPr>
      <w:r>
        <w:rPr>
          <w:rFonts w:hint="eastAsia" w:ascii="宋体" w:hAnsi="宋体" w:cs="宋体"/>
          <w:b/>
          <w:bCs/>
          <w:spacing w:val="12"/>
          <w:w w:val="99"/>
          <w:kern w:val="0"/>
          <w:sz w:val="28"/>
          <w:szCs w:val="28"/>
        </w:rPr>
        <w:t>节能产品政府采购品目清单</w:t>
      </w:r>
    </w:p>
    <w:p w14:paraId="02966E8B"/>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000"/>
        <w:gridCol w:w="1875"/>
        <w:gridCol w:w="1581"/>
        <w:gridCol w:w="3399"/>
      </w:tblGrid>
      <w:tr w14:paraId="4C7D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2E34D1E1">
            <w:pPr>
              <w:pStyle w:val="20"/>
              <w:spacing w:line="400" w:lineRule="exact"/>
              <w:jc w:val="both"/>
              <w:rPr>
                <w:rFonts w:hint="eastAsia" w:ascii="宋体" w:hAnsi="宋体" w:cs="宋体"/>
                <w:b/>
                <w:bCs/>
                <w:sz w:val="21"/>
                <w:szCs w:val="21"/>
              </w:rPr>
            </w:pPr>
            <w:r>
              <w:rPr>
                <w:rFonts w:hint="eastAsia" w:ascii="宋体" w:hAnsi="宋体" w:cs="宋体"/>
                <w:b/>
                <w:bCs/>
                <w:sz w:val="21"/>
                <w:szCs w:val="21"/>
              </w:rPr>
              <w:t>品目序号</w:t>
            </w:r>
          </w:p>
        </w:tc>
        <w:tc>
          <w:tcPr>
            <w:tcW w:w="4456" w:type="dxa"/>
            <w:gridSpan w:val="3"/>
            <w:vAlign w:val="center"/>
          </w:tcPr>
          <w:p w14:paraId="55BC5033">
            <w:pPr>
              <w:spacing w:line="400" w:lineRule="exact"/>
              <w:jc w:val="center"/>
              <w:rPr>
                <w:rFonts w:hint="eastAsia" w:ascii="宋体" w:hAnsi="宋体" w:cs="宋体"/>
                <w:b/>
                <w:bCs/>
                <w:szCs w:val="21"/>
              </w:rPr>
            </w:pPr>
            <w:r>
              <w:rPr>
                <w:rFonts w:hint="eastAsia" w:ascii="宋体" w:hAnsi="宋体" w:cs="宋体"/>
                <w:b/>
                <w:bCs/>
                <w:szCs w:val="21"/>
              </w:rPr>
              <w:t>名称</w:t>
            </w:r>
          </w:p>
        </w:tc>
        <w:tc>
          <w:tcPr>
            <w:tcW w:w="3399" w:type="dxa"/>
            <w:vAlign w:val="center"/>
          </w:tcPr>
          <w:p w14:paraId="775B0A2B">
            <w:pPr>
              <w:spacing w:line="400" w:lineRule="exact"/>
              <w:jc w:val="center"/>
              <w:rPr>
                <w:rFonts w:hint="eastAsia" w:ascii="宋体" w:hAnsi="宋体" w:cs="宋体"/>
                <w:b/>
                <w:bCs/>
                <w:szCs w:val="21"/>
              </w:rPr>
            </w:pPr>
            <w:r>
              <w:rPr>
                <w:rFonts w:hint="eastAsia" w:ascii="宋体" w:hAnsi="宋体" w:cs="宋体"/>
                <w:b/>
                <w:bCs/>
                <w:szCs w:val="21"/>
              </w:rPr>
              <w:t>依据</w:t>
            </w:r>
          </w:p>
        </w:tc>
      </w:tr>
      <w:tr w14:paraId="202C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restart"/>
            <w:vAlign w:val="center"/>
          </w:tcPr>
          <w:p w14:paraId="513B73FB">
            <w:pPr>
              <w:pStyle w:val="61"/>
              <w:spacing w:line="320" w:lineRule="exact"/>
              <w:jc w:val="both"/>
              <w:rPr>
                <w:rFonts w:hint="eastAsia" w:ascii="宋体" w:hAnsi="宋体" w:cs="宋体"/>
                <w:kern w:val="2"/>
                <w:sz w:val="21"/>
                <w:szCs w:val="21"/>
                <w:lang w:eastAsia="zh-CN"/>
              </w:rPr>
            </w:pPr>
          </w:p>
          <w:p w14:paraId="15AE9C89">
            <w:pPr>
              <w:pStyle w:val="61"/>
              <w:spacing w:line="320" w:lineRule="exact"/>
              <w:jc w:val="both"/>
              <w:rPr>
                <w:rFonts w:hint="eastAsia" w:ascii="宋体" w:hAnsi="宋体" w:cs="宋体"/>
                <w:kern w:val="2"/>
                <w:sz w:val="21"/>
                <w:szCs w:val="21"/>
                <w:lang w:eastAsia="zh-CN"/>
              </w:rPr>
            </w:pPr>
          </w:p>
          <w:p w14:paraId="55B649EE">
            <w:pPr>
              <w:pStyle w:val="61"/>
              <w:spacing w:line="320" w:lineRule="exact"/>
              <w:jc w:val="both"/>
              <w:rPr>
                <w:rFonts w:hint="eastAsia" w:ascii="宋体" w:hAnsi="宋体" w:cs="宋体"/>
                <w:kern w:val="2"/>
                <w:sz w:val="21"/>
                <w:szCs w:val="21"/>
                <w:lang w:eastAsia="zh-CN"/>
              </w:rPr>
            </w:pPr>
          </w:p>
          <w:p w14:paraId="19245674">
            <w:pPr>
              <w:pStyle w:val="61"/>
              <w:spacing w:line="320" w:lineRule="exact"/>
              <w:jc w:val="both"/>
              <w:rPr>
                <w:rFonts w:hint="eastAsia" w:ascii="宋体" w:hAnsi="宋体" w:cs="宋体"/>
                <w:kern w:val="2"/>
                <w:sz w:val="21"/>
                <w:szCs w:val="21"/>
                <w:lang w:eastAsia="zh-CN"/>
              </w:rPr>
            </w:pPr>
          </w:p>
          <w:p w14:paraId="5BCE6D06">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w:t>
            </w:r>
          </w:p>
        </w:tc>
        <w:tc>
          <w:tcPr>
            <w:tcW w:w="1000" w:type="dxa"/>
            <w:vMerge w:val="restart"/>
            <w:vAlign w:val="center"/>
          </w:tcPr>
          <w:p w14:paraId="3F5AB8B8">
            <w:pPr>
              <w:pStyle w:val="61"/>
              <w:spacing w:line="320" w:lineRule="exact"/>
              <w:jc w:val="both"/>
              <w:rPr>
                <w:rFonts w:hint="eastAsia" w:ascii="宋体" w:hAnsi="宋体" w:cs="宋体"/>
                <w:kern w:val="2"/>
                <w:sz w:val="21"/>
                <w:szCs w:val="21"/>
                <w:lang w:eastAsia="zh-CN"/>
              </w:rPr>
            </w:pPr>
          </w:p>
          <w:p w14:paraId="26BA6217">
            <w:pPr>
              <w:pStyle w:val="61"/>
              <w:spacing w:line="320" w:lineRule="exact"/>
              <w:jc w:val="both"/>
              <w:rPr>
                <w:rFonts w:hint="eastAsia" w:ascii="宋体" w:hAnsi="宋体" w:cs="宋体"/>
                <w:kern w:val="2"/>
                <w:sz w:val="21"/>
                <w:szCs w:val="21"/>
                <w:lang w:eastAsia="zh-CN"/>
              </w:rPr>
            </w:pPr>
          </w:p>
          <w:p w14:paraId="7328685C">
            <w:pPr>
              <w:pStyle w:val="61"/>
              <w:spacing w:line="320" w:lineRule="exact"/>
              <w:jc w:val="both"/>
              <w:rPr>
                <w:rFonts w:hint="eastAsia" w:ascii="宋体" w:hAnsi="宋体" w:cs="宋体"/>
                <w:kern w:val="2"/>
                <w:sz w:val="21"/>
                <w:szCs w:val="21"/>
                <w:lang w:eastAsia="zh-CN"/>
              </w:rPr>
            </w:pPr>
          </w:p>
          <w:p w14:paraId="520E23B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A020101计算</w:t>
            </w:r>
          </w:p>
          <w:p w14:paraId="6D70647E">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机设备</w:t>
            </w:r>
          </w:p>
        </w:tc>
        <w:tc>
          <w:tcPr>
            <w:tcW w:w="1875" w:type="dxa"/>
            <w:vAlign w:val="center"/>
          </w:tcPr>
          <w:p w14:paraId="7946FDB9">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★A02010104台式计算机</w:t>
            </w:r>
          </w:p>
        </w:tc>
        <w:tc>
          <w:tcPr>
            <w:tcW w:w="1581" w:type="dxa"/>
            <w:vAlign w:val="center"/>
          </w:tcPr>
          <w:p w14:paraId="509D68DF">
            <w:pPr>
              <w:spacing w:line="320" w:lineRule="exact"/>
              <w:rPr>
                <w:rFonts w:hint="eastAsia" w:ascii="宋体" w:hAnsi="宋体" w:cs="宋体"/>
                <w:szCs w:val="21"/>
              </w:rPr>
            </w:pPr>
          </w:p>
        </w:tc>
        <w:tc>
          <w:tcPr>
            <w:tcW w:w="3399" w:type="dxa"/>
            <w:vAlign w:val="center"/>
          </w:tcPr>
          <w:p w14:paraId="1AE62ADC">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《微型计算机能效限定值及能效等级》（GB28380）</w:t>
            </w:r>
          </w:p>
        </w:tc>
      </w:tr>
      <w:tr w14:paraId="316F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38593895">
            <w:pPr>
              <w:spacing w:line="320" w:lineRule="exact"/>
              <w:rPr>
                <w:rFonts w:hint="eastAsia" w:ascii="宋体" w:hAnsi="宋体" w:cs="宋体"/>
                <w:szCs w:val="21"/>
              </w:rPr>
            </w:pPr>
          </w:p>
        </w:tc>
        <w:tc>
          <w:tcPr>
            <w:tcW w:w="1000" w:type="dxa"/>
            <w:vMerge w:val="continue"/>
            <w:vAlign w:val="center"/>
          </w:tcPr>
          <w:p w14:paraId="0931E3CF">
            <w:pPr>
              <w:spacing w:line="320" w:lineRule="exact"/>
              <w:rPr>
                <w:rFonts w:hint="eastAsia" w:ascii="宋体" w:hAnsi="宋体" w:cs="宋体"/>
                <w:szCs w:val="21"/>
              </w:rPr>
            </w:pPr>
          </w:p>
        </w:tc>
        <w:tc>
          <w:tcPr>
            <w:tcW w:w="1875" w:type="dxa"/>
            <w:vAlign w:val="center"/>
          </w:tcPr>
          <w:p w14:paraId="2C8030CE">
            <w:pPr>
              <w:spacing w:line="320" w:lineRule="exact"/>
              <w:rPr>
                <w:rFonts w:hint="eastAsia" w:ascii="宋体" w:hAnsi="宋体" w:cs="宋体"/>
                <w:szCs w:val="21"/>
              </w:rPr>
            </w:pPr>
            <w:r>
              <w:rPr>
                <w:rFonts w:hint="eastAsia" w:ascii="宋体" w:hAnsi="宋体" w:cs="宋体"/>
                <w:szCs w:val="21"/>
              </w:rPr>
              <w:t>★A02010105便携式计算机</w:t>
            </w:r>
          </w:p>
        </w:tc>
        <w:tc>
          <w:tcPr>
            <w:tcW w:w="1581" w:type="dxa"/>
            <w:vAlign w:val="center"/>
          </w:tcPr>
          <w:p w14:paraId="6F8007E8">
            <w:pPr>
              <w:spacing w:line="320" w:lineRule="exact"/>
              <w:rPr>
                <w:rFonts w:hint="eastAsia" w:ascii="宋体" w:hAnsi="宋体" w:cs="宋体"/>
                <w:szCs w:val="21"/>
              </w:rPr>
            </w:pPr>
          </w:p>
        </w:tc>
        <w:tc>
          <w:tcPr>
            <w:tcW w:w="3399" w:type="dxa"/>
            <w:vAlign w:val="center"/>
          </w:tcPr>
          <w:p w14:paraId="2C4A1AA5">
            <w:pPr>
              <w:spacing w:line="320" w:lineRule="exact"/>
              <w:rPr>
                <w:rFonts w:hint="eastAsia" w:ascii="宋体" w:hAnsi="宋体" w:cs="宋体"/>
                <w:szCs w:val="21"/>
              </w:rPr>
            </w:pPr>
            <w:r>
              <w:rPr>
                <w:rFonts w:hint="eastAsia" w:ascii="宋体" w:hAnsi="宋体" w:cs="宋体"/>
                <w:szCs w:val="21"/>
              </w:rPr>
              <w:t>《微型计算机能效限定值及能效等级》（GB28380）</w:t>
            </w:r>
          </w:p>
        </w:tc>
      </w:tr>
      <w:tr w14:paraId="2467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4041898D">
            <w:pPr>
              <w:spacing w:line="320" w:lineRule="exact"/>
              <w:rPr>
                <w:rFonts w:hint="eastAsia" w:ascii="宋体" w:hAnsi="宋体" w:cs="宋体"/>
                <w:szCs w:val="21"/>
              </w:rPr>
            </w:pPr>
          </w:p>
        </w:tc>
        <w:tc>
          <w:tcPr>
            <w:tcW w:w="1000" w:type="dxa"/>
            <w:vMerge w:val="continue"/>
            <w:vAlign w:val="center"/>
          </w:tcPr>
          <w:p w14:paraId="42F5B5ED">
            <w:pPr>
              <w:spacing w:line="320" w:lineRule="exact"/>
              <w:rPr>
                <w:rFonts w:hint="eastAsia" w:ascii="宋体" w:hAnsi="宋体" w:cs="宋体"/>
                <w:szCs w:val="21"/>
              </w:rPr>
            </w:pPr>
          </w:p>
        </w:tc>
        <w:tc>
          <w:tcPr>
            <w:tcW w:w="1875" w:type="dxa"/>
            <w:vAlign w:val="center"/>
          </w:tcPr>
          <w:p w14:paraId="7AC28622">
            <w:pPr>
              <w:spacing w:line="320" w:lineRule="exact"/>
              <w:rPr>
                <w:rFonts w:hint="eastAsia" w:ascii="宋体" w:hAnsi="宋体" w:cs="宋体"/>
                <w:szCs w:val="21"/>
              </w:rPr>
            </w:pPr>
            <w:r>
              <w:rPr>
                <w:rFonts w:hint="eastAsia" w:ascii="宋体" w:hAnsi="宋体" w:cs="宋体"/>
                <w:szCs w:val="21"/>
              </w:rPr>
              <w:t>★A02010107平板式微型计算机</w:t>
            </w:r>
          </w:p>
        </w:tc>
        <w:tc>
          <w:tcPr>
            <w:tcW w:w="1581" w:type="dxa"/>
            <w:vAlign w:val="center"/>
          </w:tcPr>
          <w:p w14:paraId="4370ECA9">
            <w:pPr>
              <w:spacing w:line="320" w:lineRule="exact"/>
              <w:rPr>
                <w:rFonts w:hint="eastAsia" w:ascii="宋体" w:hAnsi="宋体" w:cs="宋体"/>
                <w:szCs w:val="21"/>
              </w:rPr>
            </w:pPr>
          </w:p>
        </w:tc>
        <w:tc>
          <w:tcPr>
            <w:tcW w:w="3399" w:type="dxa"/>
            <w:vAlign w:val="center"/>
          </w:tcPr>
          <w:p w14:paraId="6BA663EE">
            <w:pPr>
              <w:spacing w:line="320" w:lineRule="exact"/>
              <w:rPr>
                <w:rFonts w:hint="eastAsia" w:ascii="宋体" w:hAnsi="宋体" w:cs="宋体"/>
                <w:szCs w:val="21"/>
              </w:rPr>
            </w:pPr>
            <w:r>
              <w:rPr>
                <w:rFonts w:hint="eastAsia" w:ascii="宋体" w:hAnsi="宋体" w:cs="宋体"/>
                <w:szCs w:val="21"/>
              </w:rPr>
              <w:t>《微型计算机能效限定值及能效等级》（GB28380）</w:t>
            </w:r>
          </w:p>
        </w:tc>
      </w:tr>
      <w:tr w14:paraId="02E1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restart"/>
            <w:vAlign w:val="center"/>
          </w:tcPr>
          <w:p w14:paraId="4E5A7256">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2</w:t>
            </w:r>
          </w:p>
        </w:tc>
        <w:tc>
          <w:tcPr>
            <w:tcW w:w="1000" w:type="dxa"/>
            <w:vMerge w:val="restart"/>
            <w:vAlign w:val="center"/>
          </w:tcPr>
          <w:p w14:paraId="3D4ED5CF">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A020106输入</w:t>
            </w:r>
          </w:p>
          <w:p w14:paraId="0D8E44BF">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输出设备</w:t>
            </w:r>
          </w:p>
        </w:tc>
        <w:tc>
          <w:tcPr>
            <w:tcW w:w="1875" w:type="dxa"/>
            <w:vMerge w:val="restart"/>
            <w:vAlign w:val="center"/>
          </w:tcPr>
          <w:p w14:paraId="0487A12A">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A02010601打印设备</w:t>
            </w:r>
          </w:p>
        </w:tc>
        <w:tc>
          <w:tcPr>
            <w:tcW w:w="1581" w:type="dxa"/>
            <w:vAlign w:val="center"/>
          </w:tcPr>
          <w:p w14:paraId="48DDE7E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A0201060101喷墨打印机</w:t>
            </w:r>
          </w:p>
        </w:tc>
        <w:tc>
          <w:tcPr>
            <w:tcW w:w="3399" w:type="dxa"/>
            <w:vAlign w:val="center"/>
          </w:tcPr>
          <w:p w14:paraId="4F46521A">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《复印机、打印机和传真机能效限定值及能效等级》（GB21521）</w:t>
            </w:r>
          </w:p>
        </w:tc>
      </w:tr>
      <w:tr w14:paraId="793A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7FF69820">
            <w:pPr>
              <w:spacing w:line="320" w:lineRule="exact"/>
              <w:rPr>
                <w:rFonts w:hint="eastAsia" w:ascii="宋体" w:hAnsi="宋体" w:cs="宋体"/>
                <w:szCs w:val="21"/>
              </w:rPr>
            </w:pPr>
          </w:p>
        </w:tc>
        <w:tc>
          <w:tcPr>
            <w:tcW w:w="1000" w:type="dxa"/>
            <w:vMerge w:val="continue"/>
            <w:vAlign w:val="center"/>
          </w:tcPr>
          <w:p w14:paraId="7B277E3E">
            <w:pPr>
              <w:spacing w:line="320" w:lineRule="exact"/>
              <w:rPr>
                <w:rFonts w:hint="eastAsia" w:ascii="宋体" w:hAnsi="宋体" w:cs="宋体"/>
                <w:szCs w:val="21"/>
              </w:rPr>
            </w:pPr>
          </w:p>
        </w:tc>
        <w:tc>
          <w:tcPr>
            <w:tcW w:w="1875" w:type="dxa"/>
            <w:vMerge w:val="continue"/>
            <w:vAlign w:val="center"/>
          </w:tcPr>
          <w:p w14:paraId="2A5A8608">
            <w:pPr>
              <w:spacing w:line="320" w:lineRule="exact"/>
              <w:rPr>
                <w:rFonts w:hint="eastAsia" w:ascii="宋体" w:hAnsi="宋体" w:cs="宋体"/>
                <w:szCs w:val="21"/>
              </w:rPr>
            </w:pPr>
          </w:p>
        </w:tc>
        <w:tc>
          <w:tcPr>
            <w:tcW w:w="1581" w:type="dxa"/>
            <w:vAlign w:val="center"/>
          </w:tcPr>
          <w:p w14:paraId="729192C1">
            <w:pPr>
              <w:spacing w:line="320" w:lineRule="exact"/>
              <w:rPr>
                <w:rFonts w:hint="eastAsia" w:ascii="宋体" w:hAnsi="宋体" w:cs="宋体"/>
                <w:szCs w:val="21"/>
              </w:rPr>
            </w:pPr>
            <w:r>
              <w:rPr>
                <w:rFonts w:hint="eastAsia" w:ascii="宋体" w:hAnsi="宋体" w:cs="宋体"/>
                <w:szCs w:val="21"/>
              </w:rPr>
              <w:t>★A0201060102激光打印机</w:t>
            </w:r>
          </w:p>
        </w:tc>
        <w:tc>
          <w:tcPr>
            <w:tcW w:w="3399" w:type="dxa"/>
            <w:vAlign w:val="center"/>
          </w:tcPr>
          <w:p w14:paraId="37BA2488">
            <w:pPr>
              <w:spacing w:line="320" w:lineRule="exact"/>
              <w:rPr>
                <w:rFonts w:hint="eastAsia" w:ascii="宋体" w:hAnsi="宋体" w:cs="宋体"/>
                <w:szCs w:val="21"/>
              </w:rPr>
            </w:pPr>
            <w:r>
              <w:rPr>
                <w:rFonts w:hint="eastAsia" w:ascii="宋体" w:hAnsi="宋体" w:cs="宋体"/>
                <w:szCs w:val="21"/>
              </w:rPr>
              <w:t>《复印机、打印机和传真机能效限定值及能效等级》（GB21521）</w:t>
            </w:r>
          </w:p>
        </w:tc>
      </w:tr>
      <w:tr w14:paraId="57CD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4B0E0850">
            <w:pPr>
              <w:spacing w:line="320" w:lineRule="exact"/>
              <w:rPr>
                <w:rFonts w:hint="eastAsia" w:ascii="宋体" w:hAnsi="宋体" w:cs="宋体"/>
                <w:szCs w:val="21"/>
              </w:rPr>
            </w:pPr>
          </w:p>
        </w:tc>
        <w:tc>
          <w:tcPr>
            <w:tcW w:w="1000" w:type="dxa"/>
            <w:vMerge w:val="continue"/>
            <w:vAlign w:val="center"/>
          </w:tcPr>
          <w:p w14:paraId="01489F41">
            <w:pPr>
              <w:spacing w:line="320" w:lineRule="exact"/>
              <w:rPr>
                <w:rFonts w:hint="eastAsia" w:ascii="宋体" w:hAnsi="宋体" w:cs="宋体"/>
                <w:szCs w:val="21"/>
              </w:rPr>
            </w:pPr>
          </w:p>
        </w:tc>
        <w:tc>
          <w:tcPr>
            <w:tcW w:w="1875" w:type="dxa"/>
            <w:vMerge w:val="continue"/>
            <w:vAlign w:val="center"/>
          </w:tcPr>
          <w:p w14:paraId="57FB5BD4">
            <w:pPr>
              <w:spacing w:line="320" w:lineRule="exact"/>
              <w:rPr>
                <w:rFonts w:hint="eastAsia" w:ascii="宋体" w:hAnsi="宋体" w:cs="宋体"/>
                <w:szCs w:val="21"/>
              </w:rPr>
            </w:pPr>
          </w:p>
        </w:tc>
        <w:tc>
          <w:tcPr>
            <w:tcW w:w="1581" w:type="dxa"/>
            <w:vAlign w:val="center"/>
          </w:tcPr>
          <w:p w14:paraId="4761B523">
            <w:pPr>
              <w:spacing w:line="320" w:lineRule="exact"/>
              <w:rPr>
                <w:rFonts w:hint="eastAsia" w:ascii="宋体" w:hAnsi="宋体" w:cs="宋体"/>
                <w:szCs w:val="21"/>
              </w:rPr>
            </w:pPr>
            <w:r>
              <w:rPr>
                <w:rFonts w:hint="eastAsia" w:ascii="宋体" w:hAnsi="宋体" w:cs="宋体"/>
                <w:szCs w:val="21"/>
              </w:rPr>
              <w:t>★A0201060104针式打印机</w:t>
            </w:r>
          </w:p>
        </w:tc>
        <w:tc>
          <w:tcPr>
            <w:tcW w:w="3399" w:type="dxa"/>
            <w:vAlign w:val="center"/>
          </w:tcPr>
          <w:p w14:paraId="039099BD">
            <w:pPr>
              <w:spacing w:line="320" w:lineRule="exact"/>
              <w:rPr>
                <w:rFonts w:hint="eastAsia" w:ascii="宋体" w:hAnsi="宋体" w:cs="宋体"/>
                <w:szCs w:val="21"/>
              </w:rPr>
            </w:pPr>
            <w:r>
              <w:rPr>
                <w:rFonts w:hint="eastAsia" w:ascii="宋体" w:hAnsi="宋体" w:cs="宋体"/>
                <w:szCs w:val="21"/>
              </w:rPr>
              <w:t>《复印机、打印机和传真机能效限定值及能效等级》（GB21521）</w:t>
            </w:r>
          </w:p>
        </w:tc>
      </w:tr>
      <w:tr w14:paraId="6983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0F5A044E">
            <w:pPr>
              <w:spacing w:line="320" w:lineRule="exact"/>
              <w:rPr>
                <w:rFonts w:hint="eastAsia" w:ascii="宋体" w:hAnsi="宋体" w:cs="宋体"/>
                <w:szCs w:val="21"/>
              </w:rPr>
            </w:pPr>
          </w:p>
        </w:tc>
        <w:tc>
          <w:tcPr>
            <w:tcW w:w="1000" w:type="dxa"/>
            <w:vMerge w:val="continue"/>
            <w:vAlign w:val="center"/>
          </w:tcPr>
          <w:p w14:paraId="49DECD1C">
            <w:pPr>
              <w:spacing w:line="320" w:lineRule="exact"/>
              <w:rPr>
                <w:rFonts w:hint="eastAsia" w:ascii="宋体" w:hAnsi="宋体" w:cs="宋体"/>
                <w:szCs w:val="21"/>
              </w:rPr>
            </w:pPr>
          </w:p>
        </w:tc>
        <w:tc>
          <w:tcPr>
            <w:tcW w:w="1875" w:type="dxa"/>
            <w:vAlign w:val="center"/>
          </w:tcPr>
          <w:p w14:paraId="190C0C42">
            <w:pPr>
              <w:spacing w:line="320" w:lineRule="exact"/>
              <w:rPr>
                <w:rFonts w:hint="eastAsia" w:ascii="宋体" w:hAnsi="宋体" w:cs="宋体"/>
                <w:szCs w:val="21"/>
              </w:rPr>
            </w:pPr>
            <w:r>
              <w:rPr>
                <w:rFonts w:hint="eastAsia" w:ascii="宋体" w:hAnsi="宋体" w:cs="宋体"/>
                <w:szCs w:val="21"/>
              </w:rPr>
              <w:t>A02010604显示设备</w:t>
            </w:r>
          </w:p>
        </w:tc>
        <w:tc>
          <w:tcPr>
            <w:tcW w:w="1581" w:type="dxa"/>
            <w:vAlign w:val="center"/>
          </w:tcPr>
          <w:p w14:paraId="5CF1BBCC">
            <w:pPr>
              <w:spacing w:line="320" w:lineRule="exact"/>
              <w:rPr>
                <w:rFonts w:hint="eastAsia" w:ascii="宋体" w:hAnsi="宋体" w:cs="宋体"/>
                <w:szCs w:val="21"/>
              </w:rPr>
            </w:pPr>
            <w:r>
              <w:rPr>
                <w:rFonts w:hint="eastAsia" w:ascii="宋体" w:hAnsi="宋体" w:cs="宋体"/>
                <w:szCs w:val="21"/>
              </w:rPr>
              <w:t>★A0201060401液晶显示器</w:t>
            </w:r>
          </w:p>
        </w:tc>
        <w:tc>
          <w:tcPr>
            <w:tcW w:w="3399" w:type="dxa"/>
            <w:vAlign w:val="center"/>
          </w:tcPr>
          <w:p w14:paraId="3836FCF1">
            <w:pPr>
              <w:spacing w:line="320" w:lineRule="exact"/>
              <w:rPr>
                <w:rFonts w:hint="eastAsia" w:ascii="宋体" w:hAnsi="宋体" w:cs="宋体"/>
                <w:szCs w:val="21"/>
              </w:rPr>
            </w:pPr>
            <w:r>
              <w:rPr>
                <w:rFonts w:hint="eastAsia" w:ascii="宋体" w:hAnsi="宋体" w:cs="宋体"/>
                <w:szCs w:val="21"/>
              </w:rPr>
              <w:t>《计算机显示器能效限定值及能效等级》（GB21520）</w:t>
            </w:r>
          </w:p>
        </w:tc>
      </w:tr>
      <w:tr w14:paraId="2816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741F8334">
            <w:pPr>
              <w:spacing w:line="320" w:lineRule="exact"/>
              <w:rPr>
                <w:rFonts w:hint="eastAsia" w:ascii="宋体" w:hAnsi="宋体" w:cs="宋体"/>
                <w:szCs w:val="21"/>
              </w:rPr>
            </w:pPr>
          </w:p>
        </w:tc>
        <w:tc>
          <w:tcPr>
            <w:tcW w:w="1000" w:type="dxa"/>
            <w:vMerge w:val="continue"/>
            <w:vAlign w:val="center"/>
          </w:tcPr>
          <w:p w14:paraId="64BCD1C8">
            <w:pPr>
              <w:spacing w:line="320" w:lineRule="exact"/>
              <w:rPr>
                <w:rFonts w:hint="eastAsia" w:ascii="宋体" w:hAnsi="宋体" w:cs="宋体"/>
                <w:szCs w:val="21"/>
              </w:rPr>
            </w:pPr>
          </w:p>
        </w:tc>
        <w:tc>
          <w:tcPr>
            <w:tcW w:w="1875" w:type="dxa"/>
            <w:vAlign w:val="center"/>
          </w:tcPr>
          <w:p w14:paraId="5E640494">
            <w:pPr>
              <w:spacing w:line="320" w:lineRule="exact"/>
              <w:rPr>
                <w:rFonts w:hint="eastAsia" w:ascii="宋体" w:hAnsi="宋体" w:cs="宋体"/>
                <w:szCs w:val="21"/>
              </w:rPr>
            </w:pPr>
            <w:r>
              <w:rPr>
                <w:rFonts w:hint="eastAsia" w:ascii="宋体" w:hAnsi="宋体" w:cs="宋体"/>
                <w:szCs w:val="21"/>
              </w:rPr>
              <w:t>A02010609图形图像输入设备</w:t>
            </w:r>
          </w:p>
        </w:tc>
        <w:tc>
          <w:tcPr>
            <w:tcW w:w="1581" w:type="dxa"/>
            <w:vAlign w:val="center"/>
          </w:tcPr>
          <w:p w14:paraId="1BE7803C">
            <w:pPr>
              <w:spacing w:line="320" w:lineRule="exact"/>
              <w:rPr>
                <w:rFonts w:hint="eastAsia" w:ascii="宋体" w:hAnsi="宋体" w:cs="宋体"/>
                <w:szCs w:val="21"/>
              </w:rPr>
            </w:pPr>
            <w:r>
              <w:rPr>
                <w:rFonts w:hint="eastAsia" w:ascii="宋体" w:hAnsi="宋体" w:cs="宋体"/>
                <w:szCs w:val="21"/>
              </w:rPr>
              <w:t>A0201060901扫描仪</w:t>
            </w:r>
          </w:p>
        </w:tc>
        <w:tc>
          <w:tcPr>
            <w:tcW w:w="3399" w:type="dxa"/>
            <w:vAlign w:val="center"/>
          </w:tcPr>
          <w:p w14:paraId="4E42D0C3">
            <w:pPr>
              <w:spacing w:line="320" w:lineRule="exact"/>
              <w:rPr>
                <w:rFonts w:hint="eastAsia" w:ascii="宋体" w:hAnsi="宋体" w:cs="宋体"/>
                <w:szCs w:val="21"/>
              </w:rPr>
            </w:pPr>
            <w:r>
              <w:rPr>
                <w:rFonts w:hint="eastAsia" w:ascii="宋体" w:hAnsi="宋体" w:cs="宋体"/>
                <w:szCs w:val="21"/>
              </w:rPr>
              <w:t>参照《复印机、打印机和传真机能效限定值及能效等级》（GB21521</w:t>
            </w:r>
          </w:p>
          <w:p w14:paraId="24604374">
            <w:pPr>
              <w:spacing w:line="320" w:lineRule="exact"/>
              <w:rPr>
                <w:rFonts w:hint="eastAsia" w:ascii="宋体" w:hAnsi="宋体" w:cs="宋体"/>
                <w:szCs w:val="21"/>
              </w:rPr>
            </w:pPr>
            <w:r>
              <w:rPr>
                <w:rFonts w:hint="eastAsia" w:ascii="宋体" w:hAnsi="宋体" w:cs="宋体"/>
                <w:szCs w:val="21"/>
              </w:rPr>
              <w:t>中打印速度为15页/分的针式打印机相关要求</w:t>
            </w:r>
          </w:p>
        </w:tc>
      </w:tr>
      <w:tr w14:paraId="06B0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042D0152">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3</w:t>
            </w:r>
          </w:p>
        </w:tc>
        <w:tc>
          <w:tcPr>
            <w:tcW w:w="1000" w:type="dxa"/>
            <w:vAlign w:val="center"/>
          </w:tcPr>
          <w:p w14:paraId="0E4D81F8">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A020202投影</w:t>
            </w:r>
          </w:p>
          <w:p w14:paraId="2301E5FB">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仪</w:t>
            </w:r>
          </w:p>
        </w:tc>
        <w:tc>
          <w:tcPr>
            <w:tcW w:w="1875" w:type="dxa"/>
            <w:vAlign w:val="center"/>
          </w:tcPr>
          <w:p w14:paraId="487E2D69">
            <w:pPr>
              <w:spacing w:line="320" w:lineRule="exact"/>
              <w:rPr>
                <w:rFonts w:hint="eastAsia" w:ascii="宋体" w:hAnsi="宋体" w:cs="宋体"/>
                <w:szCs w:val="21"/>
              </w:rPr>
            </w:pPr>
          </w:p>
        </w:tc>
        <w:tc>
          <w:tcPr>
            <w:tcW w:w="1581" w:type="dxa"/>
            <w:vAlign w:val="center"/>
          </w:tcPr>
          <w:p w14:paraId="62F0088A">
            <w:pPr>
              <w:spacing w:line="320" w:lineRule="exact"/>
              <w:rPr>
                <w:rFonts w:hint="eastAsia" w:ascii="宋体" w:hAnsi="宋体" w:cs="宋体"/>
                <w:szCs w:val="21"/>
              </w:rPr>
            </w:pPr>
          </w:p>
        </w:tc>
        <w:tc>
          <w:tcPr>
            <w:tcW w:w="3399" w:type="dxa"/>
            <w:vAlign w:val="center"/>
          </w:tcPr>
          <w:p w14:paraId="1C5E335A">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《投影机能效限定值及能效等级</w:t>
            </w:r>
          </w:p>
          <w:p w14:paraId="4212C4B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（GB32028）</w:t>
            </w:r>
          </w:p>
        </w:tc>
      </w:tr>
      <w:tr w14:paraId="4618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4F4495DC">
            <w:pPr>
              <w:pStyle w:val="61"/>
              <w:spacing w:line="320" w:lineRule="exact"/>
              <w:jc w:val="both"/>
              <w:rPr>
                <w:rFonts w:hint="eastAsia" w:ascii="宋体" w:hAnsi="宋体" w:cs="宋体"/>
                <w:kern w:val="2"/>
                <w:sz w:val="21"/>
                <w:szCs w:val="21"/>
                <w:lang w:eastAsia="zh-CN"/>
              </w:rPr>
            </w:pPr>
          </w:p>
          <w:p w14:paraId="34C35D3F">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4</w:t>
            </w:r>
          </w:p>
        </w:tc>
        <w:tc>
          <w:tcPr>
            <w:tcW w:w="1000" w:type="dxa"/>
            <w:vAlign w:val="center"/>
          </w:tcPr>
          <w:p w14:paraId="50D12C8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A020204多功</w:t>
            </w:r>
          </w:p>
          <w:p w14:paraId="157B0A09">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能一体机</w:t>
            </w:r>
          </w:p>
        </w:tc>
        <w:tc>
          <w:tcPr>
            <w:tcW w:w="1875" w:type="dxa"/>
            <w:vAlign w:val="center"/>
          </w:tcPr>
          <w:p w14:paraId="505E53CE">
            <w:pPr>
              <w:spacing w:line="320" w:lineRule="exact"/>
              <w:rPr>
                <w:rFonts w:hint="eastAsia" w:ascii="宋体" w:hAnsi="宋体" w:cs="宋体"/>
                <w:szCs w:val="21"/>
              </w:rPr>
            </w:pPr>
          </w:p>
        </w:tc>
        <w:tc>
          <w:tcPr>
            <w:tcW w:w="1581" w:type="dxa"/>
            <w:vAlign w:val="center"/>
          </w:tcPr>
          <w:p w14:paraId="3C0746DB">
            <w:pPr>
              <w:spacing w:line="320" w:lineRule="exact"/>
              <w:rPr>
                <w:rFonts w:hint="eastAsia" w:ascii="宋体" w:hAnsi="宋体" w:cs="宋体"/>
                <w:szCs w:val="21"/>
              </w:rPr>
            </w:pPr>
          </w:p>
        </w:tc>
        <w:tc>
          <w:tcPr>
            <w:tcW w:w="3399" w:type="dxa"/>
            <w:vAlign w:val="center"/>
          </w:tcPr>
          <w:p w14:paraId="10124FE3">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《复印机、打印机和传真机能效限定值及能效等级》（GB21521）</w:t>
            </w:r>
          </w:p>
        </w:tc>
      </w:tr>
      <w:tr w14:paraId="6EB7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77D6286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5</w:t>
            </w:r>
          </w:p>
        </w:tc>
        <w:tc>
          <w:tcPr>
            <w:tcW w:w="1000" w:type="dxa"/>
            <w:vAlign w:val="center"/>
          </w:tcPr>
          <w:p w14:paraId="64A03262">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A020519泵</w:t>
            </w:r>
          </w:p>
        </w:tc>
        <w:tc>
          <w:tcPr>
            <w:tcW w:w="1875" w:type="dxa"/>
            <w:vAlign w:val="center"/>
          </w:tcPr>
          <w:p w14:paraId="3BD0EE72">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A02051901离心泵</w:t>
            </w:r>
          </w:p>
        </w:tc>
        <w:tc>
          <w:tcPr>
            <w:tcW w:w="1581" w:type="dxa"/>
            <w:vAlign w:val="center"/>
          </w:tcPr>
          <w:p w14:paraId="4E4B4072">
            <w:pPr>
              <w:spacing w:line="320" w:lineRule="exact"/>
              <w:rPr>
                <w:rFonts w:hint="eastAsia" w:ascii="宋体" w:hAnsi="宋体" w:cs="宋体"/>
                <w:szCs w:val="21"/>
              </w:rPr>
            </w:pPr>
          </w:p>
        </w:tc>
        <w:tc>
          <w:tcPr>
            <w:tcW w:w="3399" w:type="dxa"/>
            <w:vAlign w:val="center"/>
          </w:tcPr>
          <w:p w14:paraId="29EC1FD8">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《清水离心泵能效限定值及节能评价值》（GB19762）</w:t>
            </w:r>
          </w:p>
        </w:tc>
      </w:tr>
      <w:tr w14:paraId="7475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restart"/>
            <w:vAlign w:val="center"/>
          </w:tcPr>
          <w:p w14:paraId="39617900">
            <w:pPr>
              <w:pStyle w:val="61"/>
              <w:spacing w:line="320" w:lineRule="exact"/>
              <w:jc w:val="both"/>
              <w:rPr>
                <w:rFonts w:hint="eastAsia" w:ascii="宋体" w:hAnsi="宋体" w:cs="宋体"/>
                <w:kern w:val="2"/>
                <w:sz w:val="21"/>
                <w:szCs w:val="21"/>
                <w:lang w:eastAsia="zh-CN"/>
              </w:rPr>
            </w:pPr>
          </w:p>
          <w:p w14:paraId="714E0229">
            <w:pPr>
              <w:pStyle w:val="61"/>
              <w:spacing w:line="320" w:lineRule="exact"/>
              <w:jc w:val="both"/>
              <w:rPr>
                <w:rFonts w:hint="eastAsia" w:ascii="宋体" w:hAnsi="宋体" w:cs="宋体"/>
                <w:kern w:val="2"/>
                <w:sz w:val="21"/>
                <w:szCs w:val="21"/>
                <w:lang w:eastAsia="zh-CN"/>
              </w:rPr>
            </w:pPr>
          </w:p>
          <w:p w14:paraId="085AD9DE">
            <w:pPr>
              <w:pStyle w:val="61"/>
              <w:spacing w:line="320" w:lineRule="exact"/>
              <w:jc w:val="both"/>
              <w:rPr>
                <w:rFonts w:hint="eastAsia" w:ascii="宋体" w:hAnsi="宋体" w:cs="宋体"/>
                <w:kern w:val="2"/>
                <w:sz w:val="21"/>
                <w:szCs w:val="21"/>
                <w:lang w:eastAsia="zh-CN"/>
              </w:rPr>
            </w:pPr>
          </w:p>
          <w:p w14:paraId="749623AF">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6</w:t>
            </w:r>
          </w:p>
        </w:tc>
        <w:tc>
          <w:tcPr>
            <w:tcW w:w="1000" w:type="dxa"/>
            <w:vMerge w:val="restart"/>
            <w:vAlign w:val="center"/>
          </w:tcPr>
          <w:p w14:paraId="20A8B01B">
            <w:pPr>
              <w:pStyle w:val="61"/>
              <w:spacing w:line="320" w:lineRule="exact"/>
              <w:jc w:val="both"/>
              <w:rPr>
                <w:rFonts w:hint="eastAsia" w:ascii="宋体" w:hAnsi="宋体" w:cs="宋体"/>
                <w:kern w:val="2"/>
                <w:sz w:val="21"/>
                <w:szCs w:val="21"/>
                <w:lang w:eastAsia="zh-CN"/>
              </w:rPr>
            </w:pPr>
          </w:p>
          <w:p w14:paraId="09835E90">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A020523制冷</w:t>
            </w:r>
          </w:p>
          <w:p w14:paraId="77E0F946">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空调设备</w:t>
            </w:r>
          </w:p>
        </w:tc>
        <w:tc>
          <w:tcPr>
            <w:tcW w:w="1875" w:type="dxa"/>
            <w:vMerge w:val="restart"/>
            <w:vAlign w:val="center"/>
          </w:tcPr>
          <w:p w14:paraId="5E23B809">
            <w:pPr>
              <w:spacing w:line="320" w:lineRule="exact"/>
              <w:rPr>
                <w:rFonts w:hint="eastAsia" w:ascii="宋体" w:hAnsi="宋体" w:cs="宋体"/>
                <w:szCs w:val="21"/>
              </w:rPr>
            </w:pPr>
            <w:r>
              <w:rPr>
                <w:rFonts w:hint="eastAsia" w:ascii="宋体" w:hAnsi="宋体" w:cs="宋体"/>
                <w:szCs w:val="21"/>
              </w:rPr>
              <w:t>★A02052301制冷压缩机</w:t>
            </w:r>
          </w:p>
        </w:tc>
        <w:tc>
          <w:tcPr>
            <w:tcW w:w="1581" w:type="dxa"/>
            <w:vAlign w:val="center"/>
          </w:tcPr>
          <w:p w14:paraId="708ACFE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冷水机组</w:t>
            </w:r>
          </w:p>
        </w:tc>
        <w:tc>
          <w:tcPr>
            <w:tcW w:w="3399" w:type="dxa"/>
            <w:vAlign w:val="center"/>
          </w:tcPr>
          <w:p w14:paraId="0B9F7E00">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《冷水机组能效限定值及能效等级》（GB19577），《低环境温度空气源热泵（冷水）机组能效限定值及能效等级》（GB37480）</w:t>
            </w:r>
          </w:p>
        </w:tc>
      </w:tr>
      <w:tr w14:paraId="5C26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64BEACDE">
            <w:pPr>
              <w:spacing w:line="320" w:lineRule="exact"/>
              <w:rPr>
                <w:rFonts w:hint="eastAsia" w:ascii="宋体" w:hAnsi="宋体" w:cs="宋体"/>
                <w:szCs w:val="21"/>
              </w:rPr>
            </w:pPr>
          </w:p>
        </w:tc>
        <w:tc>
          <w:tcPr>
            <w:tcW w:w="1000" w:type="dxa"/>
            <w:vMerge w:val="continue"/>
            <w:vAlign w:val="center"/>
          </w:tcPr>
          <w:p w14:paraId="094A901C">
            <w:pPr>
              <w:spacing w:line="320" w:lineRule="exact"/>
              <w:rPr>
                <w:rFonts w:hint="eastAsia" w:ascii="宋体" w:hAnsi="宋体" w:cs="宋体"/>
                <w:szCs w:val="21"/>
              </w:rPr>
            </w:pPr>
          </w:p>
        </w:tc>
        <w:tc>
          <w:tcPr>
            <w:tcW w:w="1875" w:type="dxa"/>
            <w:vMerge w:val="continue"/>
            <w:vAlign w:val="center"/>
          </w:tcPr>
          <w:p w14:paraId="15579351">
            <w:pPr>
              <w:spacing w:line="320" w:lineRule="exact"/>
              <w:rPr>
                <w:rFonts w:hint="eastAsia" w:ascii="宋体" w:hAnsi="宋体" w:cs="宋体"/>
                <w:szCs w:val="21"/>
              </w:rPr>
            </w:pPr>
          </w:p>
        </w:tc>
        <w:tc>
          <w:tcPr>
            <w:tcW w:w="1581" w:type="dxa"/>
            <w:vAlign w:val="center"/>
          </w:tcPr>
          <w:p w14:paraId="795FAE0E">
            <w:pPr>
              <w:spacing w:line="320" w:lineRule="exact"/>
              <w:rPr>
                <w:rFonts w:hint="eastAsia" w:ascii="宋体" w:hAnsi="宋体" w:cs="宋体"/>
                <w:szCs w:val="21"/>
              </w:rPr>
            </w:pPr>
            <w:r>
              <w:rPr>
                <w:rFonts w:hint="eastAsia" w:ascii="宋体" w:hAnsi="宋体" w:cs="宋体"/>
                <w:szCs w:val="21"/>
              </w:rPr>
              <w:t>水源热泵机组</w:t>
            </w:r>
          </w:p>
        </w:tc>
        <w:tc>
          <w:tcPr>
            <w:tcW w:w="3399" w:type="dxa"/>
            <w:vAlign w:val="center"/>
          </w:tcPr>
          <w:p w14:paraId="32B54602">
            <w:pPr>
              <w:spacing w:line="320" w:lineRule="exact"/>
              <w:rPr>
                <w:rFonts w:hint="eastAsia" w:ascii="宋体" w:hAnsi="宋体" w:cs="宋体"/>
                <w:szCs w:val="21"/>
              </w:rPr>
            </w:pPr>
            <w:r>
              <w:rPr>
                <w:rFonts w:hint="eastAsia" w:ascii="宋体" w:hAnsi="宋体" w:cs="宋体"/>
                <w:szCs w:val="21"/>
              </w:rPr>
              <w:t>《水（地）源热泵机组能效限定值及能效等级》（GB30721）</w:t>
            </w:r>
          </w:p>
        </w:tc>
      </w:tr>
      <w:tr w14:paraId="64DC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67BE01FE">
            <w:pPr>
              <w:spacing w:line="320" w:lineRule="exact"/>
              <w:rPr>
                <w:rFonts w:hint="eastAsia" w:ascii="宋体" w:hAnsi="宋体" w:cs="宋体"/>
                <w:szCs w:val="21"/>
              </w:rPr>
            </w:pPr>
          </w:p>
        </w:tc>
        <w:tc>
          <w:tcPr>
            <w:tcW w:w="1000" w:type="dxa"/>
            <w:vMerge w:val="continue"/>
            <w:vAlign w:val="center"/>
          </w:tcPr>
          <w:p w14:paraId="45348B96">
            <w:pPr>
              <w:spacing w:line="320" w:lineRule="exact"/>
              <w:rPr>
                <w:rFonts w:hint="eastAsia" w:ascii="宋体" w:hAnsi="宋体" w:cs="宋体"/>
                <w:szCs w:val="21"/>
              </w:rPr>
            </w:pPr>
          </w:p>
        </w:tc>
        <w:tc>
          <w:tcPr>
            <w:tcW w:w="1875" w:type="dxa"/>
            <w:vMerge w:val="continue"/>
            <w:vAlign w:val="center"/>
          </w:tcPr>
          <w:p w14:paraId="42D560FB">
            <w:pPr>
              <w:spacing w:line="320" w:lineRule="exact"/>
              <w:rPr>
                <w:rFonts w:hint="eastAsia" w:ascii="宋体" w:hAnsi="宋体" w:cs="宋体"/>
                <w:szCs w:val="21"/>
              </w:rPr>
            </w:pPr>
          </w:p>
        </w:tc>
        <w:tc>
          <w:tcPr>
            <w:tcW w:w="1581" w:type="dxa"/>
            <w:vAlign w:val="center"/>
          </w:tcPr>
          <w:p w14:paraId="0E4AB611">
            <w:pPr>
              <w:spacing w:line="320" w:lineRule="exact"/>
              <w:rPr>
                <w:rFonts w:hint="eastAsia" w:ascii="宋体" w:hAnsi="宋体" w:cs="宋体"/>
                <w:szCs w:val="21"/>
              </w:rPr>
            </w:pPr>
            <w:r>
              <w:rPr>
                <w:rFonts w:hint="eastAsia" w:ascii="宋体" w:hAnsi="宋体" w:cs="宋体"/>
                <w:szCs w:val="21"/>
              </w:rPr>
              <w:t>溴化锂吸收式冷水机组</w:t>
            </w:r>
          </w:p>
        </w:tc>
        <w:tc>
          <w:tcPr>
            <w:tcW w:w="3399" w:type="dxa"/>
            <w:vAlign w:val="center"/>
          </w:tcPr>
          <w:p w14:paraId="2381CA6D">
            <w:pPr>
              <w:spacing w:line="320" w:lineRule="exact"/>
              <w:rPr>
                <w:rFonts w:hint="eastAsia" w:ascii="宋体" w:hAnsi="宋体" w:cs="宋体"/>
                <w:szCs w:val="21"/>
              </w:rPr>
            </w:pPr>
            <w:r>
              <w:rPr>
                <w:rFonts w:hint="eastAsia" w:ascii="宋体" w:hAnsi="宋体" w:cs="宋体"/>
                <w:szCs w:val="21"/>
              </w:rPr>
              <w:t>《溴化锂吸收式冷水机组能效限</w:t>
            </w:r>
          </w:p>
          <w:p w14:paraId="0453BC1B">
            <w:pPr>
              <w:spacing w:line="320" w:lineRule="exact"/>
              <w:rPr>
                <w:rFonts w:hint="eastAsia" w:ascii="宋体" w:hAnsi="宋体" w:cs="宋体"/>
                <w:szCs w:val="21"/>
              </w:rPr>
            </w:pPr>
            <w:r>
              <w:rPr>
                <w:rFonts w:hint="eastAsia" w:ascii="宋体" w:hAnsi="宋体" w:cs="宋体"/>
                <w:szCs w:val="21"/>
              </w:rPr>
              <w:t>定值及能效等级》（GB29540）</w:t>
            </w:r>
          </w:p>
        </w:tc>
      </w:tr>
      <w:tr w14:paraId="7813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640AA837">
            <w:pPr>
              <w:spacing w:line="320" w:lineRule="exact"/>
              <w:rPr>
                <w:rFonts w:hint="eastAsia" w:ascii="宋体" w:hAnsi="宋体" w:cs="宋体"/>
                <w:szCs w:val="21"/>
              </w:rPr>
            </w:pPr>
          </w:p>
        </w:tc>
        <w:tc>
          <w:tcPr>
            <w:tcW w:w="1000" w:type="dxa"/>
            <w:vMerge w:val="continue"/>
            <w:vAlign w:val="center"/>
          </w:tcPr>
          <w:p w14:paraId="6D875493">
            <w:pPr>
              <w:spacing w:line="320" w:lineRule="exact"/>
              <w:rPr>
                <w:rFonts w:hint="eastAsia" w:ascii="宋体" w:hAnsi="宋体" w:cs="宋体"/>
                <w:szCs w:val="21"/>
              </w:rPr>
            </w:pPr>
          </w:p>
        </w:tc>
        <w:tc>
          <w:tcPr>
            <w:tcW w:w="1875" w:type="dxa"/>
            <w:vMerge w:val="restart"/>
            <w:vAlign w:val="center"/>
          </w:tcPr>
          <w:p w14:paraId="475DFD51">
            <w:pPr>
              <w:spacing w:line="320" w:lineRule="exact"/>
              <w:rPr>
                <w:rFonts w:hint="eastAsia" w:ascii="宋体" w:hAnsi="宋体" w:cs="宋体"/>
                <w:szCs w:val="21"/>
              </w:rPr>
            </w:pPr>
            <w:r>
              <w:rPr>
                <w:rFonts w:hint="eastAsia" w:ascii="宋体" w:hAnsi="宋体" w:cs="宋体"/>
                <w:szCs w:val="21"/>
              </w:rPr>
              <w:t>★A02052305空调机组</w:t>
            </w:r>
          </w:p>
        </w:tc>
        <w:tc>
          <w:tcPr>
            <w:tcW w:w="1581" w:type="dxa"/>
            <w:vAlign w:val="center"/>
          </w:tcPr>
          <w:p w14:paraId="269C91DC">
            <w:pPr>
              <w:spacing w:line="320" w:lineRule="exact"/>
              <w:rPr>
                <w:rFonts w:hint="eastAsia" w:ascii="宋体" w:hAnsi="宋体" w:cs="宋体"/>
                <w:szCs w:val="21"/>
              </w:rPr>
            </w:pPr>
            <w:r>
              <w:rPr>
                <w:rFonts w:hint="eastAsia" w:ascii="宋体" w:hAnsi="宋体" w:cs="宋体"/>
                <w:szCs w:val="21"/>
              </w:rPr>
              <w:t>多联式空调（热泵）机组(制冷量&gt;14000W)</w:t>
            </w:r>
          </w:p>
        </w:tc>
        <w:tc>
          <w:tcPr>
            <w:tcW w:w="3399" w:type="dxa"/>
            <w:vAlign w:val="center"/>
          </w:tcPr>
          <w:p w14:paraId="06ADF416">
            <w:pPr>
              <w:spacing w:line="320" w:lineRule="exact"/>
              <w:rPr>
                <w:rFonts w:hint="eastAsia" w:ascii="宋体" w:hAnsi="宋体" w:cs="宋体"/>
                <w:szCs w:val="21"/>
              </w:rPr>
            </w:pPr>
            <w:r>
              <w:rPr>
                <w:rFonts w:hint="eastAsia" w:ascii="宋体" w:hAnsi="宋体" w:cs="宋体"/>
                <w:szCs w:val="21"/>
              </w:rPr>
              <w:t>《多联式空调（热泵）机组能效限定值及能源效率等级》（GB21454）</w:t>
            </w:r>
          </w:p>
        </w:tc>
      </w:tr>
      <w:tr w14:paraId="2BD1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2160996F">
            <w:pPr>
              <w:spacing w:line="320" w:lineRule="exact"/>
              <w:rPr>
                <w:rFonts w:hint="eastAsia" w:ascii="宋体" w:hAnsi="宋体" w:cs="宋体"/>
                <w:szCs w:val="21"/>
              </w:rPr>
            </w:pPr>
          </w:p>
        </w:tc>
        <w:tc>
          <w:tcPr>
            <w:tcW w:w="1000" w:type="dxa"/>
            <w:vMerge w:val="continue"/>
            <w:vAlign w:val="center"/>
          </w:tcPr>
          <w:p w14:paraId="56598040">
            <w:pPr>
              <w:spacing w:line="320" w:lineRule="exact"/>
              <w:rPr>
                <w:rFonts w:hint="eastAsia" w:ascii="宋体" w:hAnsi="宋体" w:cs="宋体"/>
                <w:szCs w:val="21"/>
              </w:rPr>
            </w:pPr>
          </w:p>
        </w:tc>
        <w:tc>
          <w:tcPr>
            <w:tcW w:w="1875" w:type="dxa"/>
            <w:vMerge w:val="continue"/>
            <w:vAlign w:val="center"/>
          </w:tcPr>
          <w:p w14:paraId="5F828387">
            <w:pPr>
              <w:spacing w:line="320" w:lineRule="exact"/>
              <w:rPr>
                <w:rFonts w:hint="eastAsia" w:ascii="宋体" w:hAnsi="宋体" w:cs="宋体"/>
                <w:szCs w:val="21"/>
              </w:rPr>
            </w:pPr>
          </w:p>
        </w:tc>
        <w:tc>
          <w:tcPr>
            <w:tcW w:w="1581" w:type="dxa"/>
            <w:vAlign w:val="center"/>
          </w:tcPr>
          <w:p w14:paraId="4C4FD436">
            <w:pPr>
              <w:spacing w:line="320" w:lineRule="exact"/>
              <w:rPr>
                <w:rFonts w:hint="eastAsia" w:ascii="宋体" w:hAnsi="宋体" w:cs="宋体"/>
                <w:szCs w:val="21"/>
              </w:rPr>
            </w:pPr>
            <w:r>
              <w:rPr>
                <w:rFonts w:hint="eastAsia" w:ascii="宋体" w:hAnsi="宋体" w:cs="宋体"/>
                <w:szCs w:val="21"/>
              </w:rPr>
              <w:t>单元式空气调节机</w:t>
            </w:r>
          </w:p>
          <w:p w14:paraId="1B247EB5">
            <w:pPr>
              <w:spacing w:line="320" w:lineRule="exact"/>
              <w:rPr>
                <w:rFonts w:hint="eastAsia" w:ascii="宋体" w:hAnsi="宋体" w:cs="宋体"/>
                <w:szCs w:val="21"/>
              </w:rPr>
            </w:pPr>
            <w:r>
              <w:rPr>
                <w:rFonts w:hint="eastAsia" w:ascii="宋体" w:hAnsi="宋体" w:cs="宋体"/>
                <w:szCs w:val="21"/>
              </w:rPr>
              <w:t>(制冷量&gt;14000W)</w:t>
            </w:r>
          </w:p>
        </w:tc>
        <w:tc>
          <w:tcPr>
            <w:tcW w:w="3399" w:type="dxa"/>
            <w:vAlign w:val="center"/>
          </w:tcPr>
          <w:p w14:paraId="486A2645">
            <w:pPr>
              <w:spacing w:line="320" w:lineRule="exact"/>
              <w:rPr>
                <w:rFonts w:hint="eastAsia" w:ascii="宋体" w:hAnsi="宋体" w:cs="宋体"/>
                <w:szCs w:val="21"/>
              </w:rPr>
            </w:pPr>
            <w:r>
              <w:rPr>
                <w:rFonts w:hint="eastAsia" w:ascii="宋体" w:hAnsi="宋体" w:cs="宋体"/>
                <w:szCs w:val="21"/>
              </w:rPr>
              <w:t>《单元式空气调节机能效限定值及能效等级》（GB19576）《风管送风式空调机组能效限定值及能效等级》（GB37479）</w:t>
            </w:r>
          </w:p>
        </w:tc>
      </w:tr>
      <w:tr w14:paraId="0132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22E1ED63">
            <w:pPr>
              <w:spacing w:line="320" w:lineRule="exact"/>
              <w:rPr>
                <w:rFonts w:hint="eastAsia" w:ascii="宋体" w:hAnsi="宋体" w:cs="宋体"/>
                <w:szCs w:val="21"/>
              </w:rPr>
            </w:pPr>
          </w:p>
        </w:tc>
        <w:tc>
          <w:tcPr>
            <w:tcW w:w="1000" w:type="dxa"/>
            <w:vMerge w:val="continue"/>
            <w:vAlign w:val="center"/>
          </w:tcPr>
          <w:p w14:paraId="31C4DAB8">
            <w:pPr>
              <w:spacing w:line="320" w:lineRule="exact"/>
              <w:rPr>
                <w:rFonts w:hint="eastAsia" w:ascii="宋体" w:hAnsi="宋体" w:cs="宋体"/>
                <w:szCs w:val="21"/>
              </w:rPr>
            </w:pPr>
          </w:p>
        </w:tc>
        <w:tc>
          <w:tcPr>
            <w:tcW w:w="1875" w:type="dxa"/>
            <w:vAlign w:val="center"/>
          </w:tcPr>
          <w:p w14:paraId="44041F9C">
            <w:pPr>
              <w:spacing w:line="320" w:lineRule="exact"/>
              <w:rPr>
                <w:rFonts w:hint="eastAsia" w:ascii="宋体" w:hAnsi="宋体" w:cs="宋体"/>
                <w:szCs w:val="21"/>
              </w:rPr>
            </w:pPr>
            <w:r>
              <w:rPr>
                <w:rFonts w:hint="eastAsia" w:ascii="宋体" w:hAnsi="宋体" w:cs="宋体"/>
                <w:szCs w:val="21"/>
              </w:rPr>
              <w:t>★A02052309专用制冷、空调设备</w:t>
            </w:r>
          </w:p>
        </w:tc>
        <w:tc>
          <w:tcPr>
            <w:tcW w:w="1581" w:type="dxa"/>
            <w:vAlign w:val="center"/>
          </w:tcPr>
          <w:p w14:paraId="44E00222">
            <w:pPr>
              <w:spacing w:line="320" w:lineRule="exact"/>
              <w:rPr>
                <w:rFonts w:hint="eastAsia" w:ascii="宋体" w:hAnsi="宋体" w:cs="宋体"/>
                <w:szCs w:val="21"/>
              </w:rPr>
            </w:pPr>
            <w:r>
              <w:rPr>
                <w:rFonts w:hint="eastAsia" w:ascii="宋体" w:hAnsi="宋体" w:cs="宋体"/>
                <w:szCs w:val="21"/>
              </w:rPr>
              <w:t>机房空调</w:t>
            </w:r>
          </w:p>
        </w:tc>
        <w:tc>
          <w:tcPr>
            <w:tcW w:w="3399" w:type="dxa"/>
            <w:vAlign w:val="center"/>
          </w:tcPr>
          <w:p w14:paraId="3C4EE785">
            <w:pPr>
              <w:spacing w:line="320" w:lineRule="exact"/>
              <w:rPr>
                <w:rFonts w:hint="eastAsia" w:ascii="宋体" w:hAnsi="宋体" w:cs="宋体"/>
                <w:szCs w:val="21"/>
              </w:rPr>
            </w:pPr>
            <w:r>
              <w:rPr>
                <w:rFonts w:hint="eastAsia" w:ascii="宋体" w:hAnsi="宋体" w:cs="宋体"/>
                <w:szCs w:val="21"/>
              </w:rPr>
              <w:t>《单元式空气调节机能效限定值及能效等级》（GB19576）</w:t>
            </w:r>
          </w:p>
        </w:tc>
      </w:tr>
      <w:tr w14:paraId="6137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22BCB72B">
            <w:pPr>
              <w:spacing w:line="320" w:lineRule="exact"/>
              <w:rPr>
                <w:rFonts w:hint="eastAsia" w:ascii="宋体" w:hAnsi="宋体" w:cs="宋体"/>
                <w:szCs w:val="21"/>
              </w:rPr>
            </w:pPr>
          </w:p>
        </w:tc>
        <w:tc>
          <w:tcPr>
            <w:tcW w:w="1000" w:type="dxa"/>
            <w:vMerge w:val="continue"/>
            <w:vAlign w:val="center"/>
          </w:tcPr>
          <w:p w14:paraId="2FB06DB2">
            <w:pPr>
              <w:spacing w:line="320" w:lineRule="exact"/>
              <w:rPr>
                <w:rFonts w:hint="eastAsia" w:ascii="宋体" w:hAnsi="宋体" w:cs="宋体"/>
                <w:szCs w:val="21"/>
              </w:rPr>
            </w:pPr>
          </w:p>
        </w:tc>
        <w:tc>
          <w:tcPr>
            <w:tcW w:w="1875" w:type="dxa"/>
            <w:vAlign w:val="center"/>
          </w:tcPr>
          <w:p w14:paraId="53DE5AA8">
            <w:pPr>
              <w:spacing w:line="320" w:lineRule="exact"/>
              <w:rPr>
                <w:rFonts w:hint="eastAsia" w:ascii="宋体" w:hAnsi="宋体" w:cs="宋体"/>
                <w:szCs w:val="21"/>
              </w:rPr>
            </w:pPr>
            <w:r>
              <w:rPr>
                <w:rFonts w:hint="eastAsia" w:ascii="宋体" w:hAnsi="宋体" w:cs="宋体"/>
                <w:szCs w:val="21"/>
              </w:rPr>
              <w:t>A02052399其他制冷空调设备</w:t>
            </w:r>
          </w:p>
        </w:tc>
        <w:tc>
          <w:tcPr>
            <w:tcW w:w="1581" w:type="dxa"/>
            <w:vAlign w:val="center"/>
          </w:tcPr>
          <w:p w14:paraId="4DD64DDB">
            <w:pPr>
              <w:spacing w:line="320" w:lineRule="exact"/>
              <w:rPr>
                <w:rFonts w:hint="eastAsia" w:ascii="宋体" w:hAnsi="宋体" w:cs="宋体"/>
                <w:szCs w:val="21"/>
              </w:rPr>
            </w:pPr>
            <w:r>
              <w:rPr>
                <w:rFonts w:hint="eastAsia" w:ascii="宋体" w:hAnsi="宋体" w:cs="宋体"/>
                <w:szCs w:val="21"/>
              </w:rPr>
              <w:t>冷却塔</w:t>
            </w:r>
          </w:p>
        </w:tc>
        <w:tc>
          <w:tcPr>
            <w:tcW w:w="3399" w:type="dxa"/>
            <w:vAlign w:val="center"/>
          </w:tcPr>
          <w:p w14:paraId="575BB04B">
            <w:pPr>
              <w:spacing w:line="320" w:lineRule="exact"/>
              <w:rPr>
                <w:rFonts w:hint="eastAsia" w:ascii="宋体" w:hAnsi="宋体" w:cs="宋体"/>
                <w:szCs w:val="21"/>
              </w:rPr>
            </w:pPr>
          </w:p>
          <w:p w14:paraId="314711C9">
            <w:pPr>
              <w:spacing w:line="320" w:lineRule="exact"/>
              <w:rPr>
                <w:rFonts w:hint="eastAsia" w:ascii="宋体" w:hAnsi="宋体" w:cs="宋体"/>
                <w:szCs w:val="21"/>
              </w:rPr>
            </w:pPr>
            <w:r>
              <w:rPr>
                <w:rFonts w:hint="eastAsia" w:ascii="宋体" w:hAnsi="宋体" w:cs="宋体"/>
                <w:szCs w:val="21"/>
              </w:rPr>
              <w:t>《机械通风冷却塔第1部分：中小型开式冷却塔》（GB/T7190.1）《机械通风冷却塔第2部分：大型开式冷却塔》（GB/T7190.2</w:t>
            </w:r>
          </w:p>
        </w:tc>
      </w:tr>
      <w:tr w14:paraId="363E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6AEFAB72">
            <w:pPr>
              <w:pStyle w:val="61"/>
              <w:spacing w:line="320" w:lineRule="exact"/>
              <w:jc w:val="both"/>
              <w:rPr>
                <w:rFonts w:hint="eastAsia" w:ascii="宋体" w:hAnsi="宋体" w:cs="宋体"/>
                <w:kern w:val="2"/>
                <w:sz w:val="21"/>
                <w:szCs w:val="21"/>
                <w:lang w:eastAsia="zh-CN"/>
              </w:rPr>
            </w:pPr>
          </w:p>
          <w:p w14:paraId="7B80A352">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7</w:t>
            </w:r>
          </w:p>
        </w:tc>
        <w:tc>
          <w:tcPr>
            <w:tcW w:w="1000" w:type="dxa"/>
            <w:vAlign w:val="center"/>
          </w:tcPr>
          <w:p w14:paraId="64BE9FF9">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A020601电机</w:t>
            </w:r>
          </w:p>
        </w:tc>
        <w:tc>
          <w:tcPr>
            <w:tcW w:w="1875" w:type="dxa"/>
            <w:vAlign w:val="center"/>
          </w:tcPr>
          <w:p w14:paraId="1356079D">
            <w:pPr>
              <w:spacing w:line="320" w:lineRule="exact"/>
              <w:rPr>
                <w:rFonts w:hint="eastAsia" w:ascii="宋体" w:hAnsi="宋体" w:cs="宋体"/>
                <w:szCs w:val="21"/>
              </w:rPr>
            </w:pPr>
          </w:p>
        </w:tc>
        <w:tc>
          <w:tcPr>
            <w:tcW w:w="1581" w:type="dxa"/>
            <w:vAlign w:val="center"/>
          </w:tcPr>
          <w:p w14:paraId="18B88E76">
            <w:pPr>
              <w:spacing w:line="320" w:lineRule="exact"/>
              <w:rPr>
                <w:rFonts w:hint="eastAsia" w:ascii="宋体" w:hAnsi="宋体" w:cs="宋体"/>
                <w:szCs w:val="21"/>
              </w:rPr>
            </w:pPr>
          </w:p>
        </w:tc>
        <w:tc>
          <w:tcPr>
            <w:tcW w:w="3399" w:type="dxa"/>
            <w:vAlign w:val="center"/>
          </w:tcPr>
          <w:p w14:paraId="59937A57">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《中小型三相异步电动机能效限定值及能效等级》（GB18613）</w:t>
            </w:r>
          </w:p>
        </w:tc>
      </w:tr>
      <w:tr w14:paraId="0710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2777303C">
            <w:pPr>
              <w:pStyle w:val="61"/>
              <w:spacing w:line="320" w:lineRule="exact"/>
              <w:jc w:val="both"/>
              <w:rPr>
                <w:rFonts w:hint="eastAsia" w:ascii="宋体" w:hAnsi="宋体" w:cs="宋体"/>
                <w:kern w:val="2"/>
                <w:sz w:val="21"/>
                <w:szCs w:val="21"/>
                <w:lang w:eastAsia="zh-CN"/>
              </w:rPr>
            </w:pPr>
          </w:p>
          <w:p w14:paraId="25D92C38">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8</w:t>
            </w:r>
          </w:p>
        </w:tc>
        <w:tc>
          <w:tcPr>
            <w:tcW w:w="1000" w:type="dxa"/>
            <w:vAlign w:val="center"/>
          </w:tcPr>
          <w:p w14:paraId="389AA3F7">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A020602变压器</w:t>
            </w:r>
          </w:p>
        </w:tc>
        <w:tc>
          <w:tcPr>
            <w:tcW w:w="1875" w:type="dxa"/>
            <w:vAlign w:val="center"/>
          </w:tcPr>
          <w:p w14:paraId="577FCDCC">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配电变压器</w:t>
            </w:r>
          </w:p>
        </w:tc>
        <w:tc>
          <w:tcPr>
            <w:tcW w:w="1581" w:type="dxa"/>
            <w:vAlign w:val="center"/>
          </w:tcPr>
          <w:p w14:paraId="7F8853E7">
            <w:pPr>
              <w:spacing w:line="320" w:lineRule="exact"/>
              <w:rPr>
                <w:rFonts w:hint="eastAsia" w:ascii="宋体" w:hAnsi="宋体" w:cs="宋体"/>
                <w:szCs w:val="21"/>
              </w:rPr>
            </w:pPr>
          </w:p>
        </w:tc>
        <w:tc>
          <w:tcPr>
            <w:tcW w:w="3399" w:type="dxa"/>
            <w:vAlign w:val="center"/>
          </w:tcPr>
          <w:p w14:paraId="583D9608">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《三相配电变压器能效限定值及能效等级》（GB20052）</w:t>
            </w:r>
          </w:p>
        </w:tc>
      </w:tr>
      <w:tr w14:paraId="788A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6532E48F">
            <w:pPr>
              <w:pStyle w:val="61"/>
              <w:spacing w:line="320" w:lineRule="exact"/>
              <w:jc w:val="both"/>
              <w:rPr>
                <w:rFonts w:hint="eastAsia" w:ascii="宋体" w:hAnsi="宋体" w:cs="宋体"/>
                <w:kern w:val="2"/>
                <w:sz w:val="21"/>
                <w:szCs w:val="21"/>
                <w:lang w:eastAsia="zh-CN"/>
              </w:rPr>
            </w:pPr>
          </w:p>
          <w:p w14:paraId="653590CA">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9</w:t>
            </w:r>
          </w:p>
        </w:tc>
        <w:tc>
          <w:tcPr>
            <w:tcW w:w="1000" w:type="dxa"/>
            <w:vAlign w:val="center"/>
          </w:tcPr>
          <w:p w14:paraId="178FFCA0">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A020609镇流器</w:t>
            </w:r>
          </w:p>
        </w:tc>
        <w:tc>
          <w:tcPr>
            <w:tcW w:w="1875" w:type="dxa"/>
            <w:vAlign w:val="center"/>
          </w:tcPr>
          <w:p w14:paraId="1644D1B1">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管型荧光灯镇流器</w:t>
            </w:r>
          </w:p>
        </w:tc>
        <w:tc>
          <w:tcPr>
            <w:tcW w:w="1581" w:type="dxa"/>
            <w:vAlign w:val="center"/>
          </w:tcPr>
          <w:p w14:paraId="6414E9A1">
            <w:pPr>
              <w:spacing w:line="320" w:lineRule="exact"/>
              <w:rPr>
                <w:rFonts w:hint="eastAsia" w:ascii="宋体" w:hAnsi="宋体" w:cs="宋体"/>
                <w:szCs w:val="21"/>
              </w:rPr>
            </w:pPr>
          </w:p>
        </w:tc>
        <w:tc>
          <w:tcPr>
            <w:tcW w:w="3399" w:type="dxa"/>
            <w:vAlign w:val="center"/>
          </w:tcPr>
          <w:p w14:paraId="34F5D4A8">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《管形荧光灯镇流器能效限定值及能效等级》（GB17896）</w:t>
            </w:r>
          </w:p>
        </w:tc>
      </w:tr>
      <w:tr w14:paraId="2CE5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67" w:type="dxa"/>
            <w:vMerge w:val="restart"/>
            <w:vAlign w:val="center"/>
          </w:tcPr>
          <w:p w14:paraId="32993562">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10</w:t>
            </w:r>
          </w:p>
        </w:tc>
        <w:tc>
          <w:tcPr>
            <w:tcW w:w="1000" w:type="dxa"/>
            <w:vMerge w:val="restart"/>
            <w:vAlign w:val="center"/>
          </w:tcPr>
          <w:p w14:paraId="15965310">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A020618生活</w:t>
            </w:r>
          </w:p>
          <w:p w14:paraId="0530EECE">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用电器</w:t>
            </w:r>
          </w:p>
        </w:tc>
        <w:tc>
          <w:tcPr>
            <w:tcW w:w="1875" w:type="dxa"/>
            <w:vAlign w:val="center"/>
          </w:tcPr>
          <w:p w14:paraId="7BE312C7">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A0206180101电冰箱</w:t>
            </w:r>
          </w:p>
        </w:tc>
        <w:tc>
          <w:tcPr>
            <w:tcW w:w="1581" w:type="dxa"/>
            <w:vAlign w:val="center"/>
          </w:tcPr>
          <w:p w14:paraId="6FAAC255">
            <w:pPr>
              <w:spacing w:line="320" w:lineRule="exact"/>
              <w:rPr>
                <w:rFonts w:hint="eastAsia" w:ascii="宋体" w:hAnsi="宋体" w:cs="宋体"/>
                <w:szCs w:val="21"/>
              </w:rPr>
            </w:pPr>
          </w:p>
        </w:tc>
        <w:tc>
          <w:tcPr>
            <w:tcW w:w="3399" w:type="dxa"/>
            <w:vAlign w:val="center"/>
          </w:tcPr>
          <w:p w14:paraId="5CFDE69F">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《家用电冰箱耗电量限定值及能效等级》（GB</w:t>
            </w:r>
            <w:r>
              <w:rPr>
                <w:rFonts w:hint="eastAsia" w:ascii="宋体" w:hAnsi="宋体" w:cs="宋体"/>
                <w:kern w:val="2"/>
                <w:sz w:val="21"/>
                <w:szCs w:val="21"/>
                <w:lang w:eastAsia="zh-CN"/>
              </w:rPr>
              <w:tab/>
            </w:r>
            <w:r>
              <w:rPr>
                <w:rFonts w:hint="eastAsia" w:ascii="宋体" w:hAnsi="宋体" w:cs="宋体"/>
                <w:kern w:val="2"/>
                <w:sz w:val="21"/>
                <w:szCs w:val="21"/>
                <w:lang w:eastAsia="zh-CN"/>
              </w:rPr>
              <w:t>12021.2）</w:t>
            </w:r>
          </w:p>
        </w:tc>
      </w:tr>
      <w:tr w14:paraId="7B36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776B5114">
            <w:pPr>
              <w:spacing w:line="320" w:lineRule="exact"/>
              <w:rPr>
                <w:rFonts w:hint="eastAsia" w:ascii="宋体" w:hAnsi="宋体" w:cs="宋体"/>
                <w:szCs w:val="21"/>
              </w:rPr>
            </w:pPr>
          </w:p>
        </w:tc>
        <w:tc>
          <w:tcPr>
            <w:tcW w:w="1000" w:type="dxa"/>
            <w:vMerge w:val="continue"/>
            <w:vAlign w:val="center"/>
          </w:tcPr>
          <w:p w14:paraId="6DC2D117">
            <w:pPr>
              <w:spacing w:line="320" w:lineRule="exact"/>
              <w:rPr>
                <w:rFonts w:hint="eastAsia" w:ascii="宋体" w:hAnsi="宋体" w:cs="宋体"/>
                <w:szCs w:val="21"/>
              </w:rPr>
            </w:pPr>
          </w:p>
        </w:tc>
        <w:tc>
          <w:tcPr>
            <w:tcW w:w="1875" w:type="dxa"/>
            <w:vMerge w:val="restart"/>
            <w:vAlign w:val="center"/>
          </w:tcPr>
          <w:p w14:paraId="51D38B1D">
            <w:pPr>
              <w:spacing w:line="320" w:lineRule="exact"/>
              <w:rPr>
                <w:rFonts w:hint="eastAsia" w:ascii="宋体" w:hAnsi="宋体" w:cs="宋体"/>
                <w:szCs w:val="21"/>
              </w:rPr>
            </w:pPr>
            <w:r>
              <w:rPr>
                <w:rFonts w:hint="eastAsia" w:ascii="宋体" w:hAnsi="宋体" w:cs="宋体"/>
                <w:szCs w:val="21"/>
              </w:rPr>
              <w:t>★A0206180203空调</w:t>
            </w:r>
          </w:p>
          <w:p w14:paraId="3C398A49">
            <w:pPr>
              <w:spacing w:line="320" w:lineRule="exact"/>
              <w:rPr>
                <w:rFonts w:hint="eastAsia" w:ascii="宋体" w:hAnsi="宋体" w:cs="宋体"/>
                <w:szCs w:val="21"/>
              </w:rPr>
            </w:pPr>
            <w:r>
              <w:rPr>
                <w:rFonts w:hint="eastAsia" w:ascii="宋体" w:hAnsi="宋体" w:cs="宋体"/>
                <w:szCs w:val="21"/>
              </w:rPr>
              <w:t>机</w:t>
            </w:r>
          </w:p>
        </w:tc>
        <w:tc>
          <w:tcPr>
            <w:tcW w:w="1581" w:type="dxa"/>
            <w:vAlign w:val="center"/>
          </w:tcPr>
          <w:p w14:paraId="31D7F649">
            <w:pPr>
              <w:spacing w:line="320" w:lineRule="exact"/>
              <w:rPr>
                <w:rFonts w:hint="eastAsia" w:ascii="宋体" w:hAnsi="宋体" w:cs="宋体"/>
                <w:szCs w:val="21"/>
              </w:rPr>
            </w:pPr>
            <w:r>
              <w:rPr>
                <w:rFonts w:hint="eastAsia" w:ascii="宋体" w:hAnsi="宋体" w:cs="宋体"/>
                <w:szCs w:val="21"/>
              </w:rPr>
              <w:t>房间空气调节器</w:t>
            </w:r>
          </w:p>
        </w:tc>
        <w:tc>
          <w:tcPr>
            <w:tcW w:w="3399" w:type="dxa"/>
            <w:vAlign w:val="center"/>
          </w:tcPr>
          <w:p w14:paraId="3571A6B3">
            <w:pPr>
              <w:spacing w:line="320" w:lineRule="exact"/>
              <w:rPr>
                <w:rFonts w:hint="eastAsia" w:ascii="宋体" w:hAnsi="宋体" w:cs="宋体"/>
                <w:szCs w:val="21"/>
              </w:rPr>
            </w:pPr>
            <w:r>
              <w:rPr>
                <w:rFonts w:hint="eastAsia" w:ascii="宋体" w:hAnsi="宋体" w:cs="宋体"/>
                <w:szCs w:val="21"/>
              </w:rPr>
              <w:t>《转速可控型房间空气调节器能效限定值及能效等级》（GB21455-2013），待2019年修订发布后，按《房间空气调节器能效限定值及能效等级》（GB21455-2019实施。</w:t>
            </w:r>
          </w:p>
        </w:tc>
      </w:tr>
      <w:tr w14:paraId="67C7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1B6EC428">
            <w:pPr>
              <w:spacing w:line="320" w:lineRule="exact"/>
              <w:rPr>
                <w:rFonts w:hint="eastAsia" w:ascii="宋体" w:hAnsi="宋体" w:cs="宋体"/>
                <w:szCs w:val="21"/>
              </w:rPr>
            </w:pPr>
          </w:p>
        </w:tc>
        <w:tc>
          <w:tcPr>
            <w:tcW w:w="1000" w:type="dxa"/>
            <w:vMerge w:val="continue"/>
            <w:vAlign w:val="center"/>
          </w:tcPr>
          <w:p w14:paraId="46A315D0">
            <w:pPr>
              <w:spacing w:line="320" w:lineRule="exact"/>
              <w:rPr>
                <w:rFonts w:hint="eastAsia" w:ascii="宋体" w:hAnsi="宋体" w:cs="宋体"/>
                <w:szCs w:val="21"/>
              </w:rPr>
            </w:pPr>
          </w:p>
        </w:tc>
        <w:tc>
          <w:tcPr>
            <w:tcW w:w="1875" w:type="dxa"/>
            <w:vMerge w:val="continue"/>
            <w:vAlign w:val="center"/>
          </w:tcPr>
          <w:p w14:paraId="7625AC74">
            <w:pPr>
              <w:spacing w:line="320" w:lineRule="exact"/>
              <w:rPr>
                <w:rFonts w:hint="eastAsia" w:ascii="宋体" w:hAnsi="宋体" w:cs="宋体"/>
                <w:szCs w:val="21"/>
              </w:rPr>
            </w:pPr>
          </w:p>
        </w:tc>
        <w:tc>
          <w:tcPr>
            <w:tcW w:w="1581" w:type="dxa"/>
            <w:vAlign w:val="center"/>
          </w:tcPr>
          <w:p w14:paraId="2EE072E7">
            <w:pPr>
              <w:spacing w:line="320" w:lineRule="exact"/>
              <w:rPr>
                <w:rFonts w:hint="eastAsia" w:ascii="宋体" w:hAnsi="宋体" w:cs="宋体"/>
                <w:szCs w:val="21"/>
              </w:rPr>
            </w:pPr>
            <w:r>
              <w:rPr>
                <w:rFonts w:hint="eastAsia" w:ascii="宋体" w:hAnsi="宋体" w:cs="宋体"/>
                <w:szCs w:val="21"/>
              </w:rPr>
              <w:t>多联式空调（热泵）机组（制冷量≤ 14000W）</w:t>
            </w:r>
          </w:p>
        </w:tc>
        <w:tc>
          <w:tcPr>
            <w:tcW w:w="3399" w:type="dxa"/>
            <w:vAlign w:val="center"/>
          </w:tcPr>
          <w:p w14:paraId="6E45395B">
            <w:pPr>
              <w:spacing w:line="320" w:lineRule="exact"/>
              <w:rPr>
                <w:rFonts w:hint="eastAsia" w:ascii="宋体" w:hAnsi="宋体" w:cs="宋体"/>
                <w:szCs w:val="21"/>
              </w:rPr>
            </w:pPr>
            <w:r>
              <w:rPr>
                <w:rFonts w:hint="eastAsia" w:ascii="宋体" w:hAnsi="宋体" w:cs="宋体"/>
                <w:szCs w:val="21"/>
              </w:rPr>
              <w:t>《多联式空调（热泵）机组能效限定值及能源效率等级》（GB21454</w:t>
            </w:r>
          </w:p>
        </w:tc>
      </w:tr>
      <w:tr w14:paraId="2EE0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67" w:type="dxa"/>
            <w:vMerge w:val="continue"/>
            <w:vAlign w:val="center"/>
          </w:tcPr>
          <w:p w14:paraId="52682A5E">
            <w:pPr>
              <w:spacing w:line="320" w:lineRule="exact"/>
              <w:rPr>
                <w:rFonts w:hint="eastAsia" w:ascii="宋体" w:hAnsi="宋体" w:cs="宋体"/>
                <w:szCs w:val="21"/>
              </w:rPr>
            </w:pPr>
          </w:p>
        </w:tc>
        <w:tc>
          <w:tcPr>
            <w:tcW w:w="1000" w:type="dxa"/>
            <w:vMerge w:val="continue"/>
            <w:vAlign w:val="center"/>
          </w:tcPr>
          <w:p w14:paraId="23245A7A">
            <w:pPr>
              <w:spacing w:line="320" w:lineRule="exact"/>
              <w:rPr>
                <w:rFonts w:hint="eastAsia" w:ascii="宋体" w:hAnsi="宋体" w:cs="宋体"/>
                <w:szCs w:val="21"/>
              </w:rPr>
            </w:pPr>
          </w:p>
        </w:tc>
        <w:tc>
          <w:tcPr>
            <w:tcW w:w="1875" w:type="dxa"/>
            <w:vMerge w:val="continue"/>
            <w:vAlign w:val="center"/>
          </w:tcPr>
          <w:p w14:paraId="7290AB26">
            <w:pPr>
              <w:spacing w:line="320" w:lineRule="exact"/>
              <w:rPr>
                <w:rFonts w:hint="eastAsia" w:ascii="宋体" w:hAnsi="宋体" w:cs="宋体"/>
                <w:szCs w:val="21"/>
              </w:rPr>
            </w:pPr>
          </w:p>
        </w:tc>
        <w:tc>
          <w:tcPr>
            <w:tcW w:w="1581" w:type="dxa"/>
            <w:vAlign w:val="center"/>
          </w:tcPr>
          <w:p w14:paraId="5C71BF0D">
            <w:pPr>
              <w:spacing w:line="320" w:lineRule="exact"/>
              <w:rPr>
                <w:rFonts w:hint="eastAsia" w:ascii="宋体" w:hAnsi="宋体" w:cs="宋体"/>
                <w:szCs w:val="21"/>
              </w:rPr>
            </w:pPr>
            <w:r>
              <w:rPr>
                <w:rFonts w:hint="eastAsia" w:ascii="宋体" w:hAnsi="宋体" w:cs="宋体"/>
                <w:szCs w:val="21"/>
              </w:rPr>
              <w:t>单元式空气调节机</w:t>
            </w:r>
          </w:p>
          <w:p w14:paraId="3509D0A3">
            <w:pPr>
              <w:spacing w:line="320" w:lineRule="exact"/>
              <w:rPr>
                <w:rFonts w:hint="eastAsia" w:ascii="宋体" w:hAnsi="宋体" w:cs="宋体"/>
                <w:szCs w:val="21"/>
              </w:rPr>
            </w:pPr>
            <w:r>
              <w:rPr>
                <w:rFonts w:hint="eastAsia" w:ascii="宋体" w:hAnsi="宋体" w:cs="宋体"/>
                <w:szCs w:val="21"/>
              </w:rPr>
              <w:t>(制冷量≤14000W)</w:t>
            </w:r>
          </w:p>
        </w:tc>
        <w:tc>
          <w:tcPr>
            <w:tcW w:w="3399" w:type="dxa"/>
            <w:vAlign w:val="center"/>
          </w:tcPr>
          <w:p w14:paraId="048A6C5D">
            <w:pPr>
              <w:spacing w:line="320" w:lineRule="exact"/>
              <w:rPr>
                <w:rFonts w:hint="eastAsia" w:ascii="宋体" w:hAnsi="宋体" w:cs="宋体"/>
                <w:szCs w:val="21"/>
              </w:rPr>
            </w:pPr>
            <w:r>
              <w:rPr>
                <w:rFonts w:hint="eastAsia" w:ascii="宋体" w:hAnsi="宋体" w:cs="宋体"/>
                <w:szCs w:val="21"/>
              </w:rPr>
              <w:t>《单元式空气调节机能效限定值及能源效率等级》（GB19576）《风管送风式空调机组能效限定值及能效等级》（GB37479）</w:t>
            </w:r>
          </w:p>
        </w:tc>
      </w:tr>
      <w:tr w14:paraId="2D90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236CDECE">
            <w:pPr>
              <w:spacing w:line="320" w:lineRule="exact"/>
              <w:rPr>
                <w:rFonts w:hint="eastAsia" w:ascii="宋体" w:hAnsi="宋体" w:cs="宋体"/>
                <w:szCs w:val="21"/>
              </w:rPr>
            </w:pPr>
          </w:p>
        </w:tc>
        <w:tc>
          <w:tcPr>
            <w:tcW w:w="1000" w:type="dxa"/>
            <w:vMerge w:val="continue"/>
            <w:vAlign w:val="center"/>
          </w:tcPr>
          <w:p w14:paraId="3FFF9AC2">
            <w:pPr>
              <w:spacing w:line="320" w:lineRule="exact"/>
              <w:rPr>
                <w:rFonts w:hint="eastAsia" w:ascii="宋体" w:hAnsi="宋体" w:cs="宋体"/>
                <w:szCs w:val="21"/>
              </w:rPr>
            </w:pPr>
          </w:p>
        </w:tc>
        <w:tc>
          <w:tcPr>
            <w:tcW w:w="1875" w:type="dxa"/>
            <w:vAlign w:val="center"/>
          </w:tcPr>
          <w:p w14:paraId="5B9037E4">
            <w:pPr>
              <w:spacing w:line="320" w:lineRule="exact"/>
              <w:rPr>
                <w:rFonts w:hint="eastAsia" w:ascii="宋体" w:hAnsi="宋体" w:cs="宋体"/>
                <w:szCs w:val="21"/>
              </w:rPr>
            </w:pPr>
            <w:r>
              <w:rPr>
                <w:rFonts w:hint="eastAsia" w:ascii="宋体" w:hAnsi="宋体" w:cs="宋体"/>
                <w:szCs w:val="21"/>
              </w:rPr>
              <w:t>A0206180301洗衣机</w:t>
            </w:r>
          </w:p>
        </w:tc>
        <w:tc>
          <w:tcPr>
            <w:tcW w:w="1581" w:type="dxa"/>
            <w:vAlign w:val="center"/>
          </w:tcPr>
          <w:p w14:paraId="2BA0C966">
            <w:pPr>
              <w:spacing w:line="320" w:lineRule="exact"/>
              <w:rPr>
                <w:rFonts w:hint="eastAsia" w:ascii="宋体" w:hAnsi="宋体" w:cs="宋体"/>
                <w:szCs w:val="21"/>
              </w:rPr>
            </w:pPr>
          </w:p>
        </w:tc>
        <w:tc>
          <w:tcPr>
            <w:tcW w:w="3399" w:type="dxa"/>
            <w:vAlign w:val="center"/>
          </w:tcPr>
          <w:p w14:paraId="33E77CFD">
            <w:pPr>
              <w:spacing w:line="320" w:lineRule="exact"/>
              <w:rPr>
                <w:rFonts w:hint="eastAsia" w:ascii="宋体" w:hAnsi="宋体" w:cs="宋体"/>
                <w:szCs w:val="21"/>
              </w:rPr>
            </w:pPr>
            <w:r>
              <w:rPr>
                <w:rFonts w:hint="eastAsia" w:ascii="宋体" w:hAnsi="宋体" w:cs="宋体"/>
                <w:szCs w:val="21"/>
              </w:rPr>
              <w:t>《电动洗衣机能效水效限定值及等级》（GB12021.4）</w:t>
            </w:r>
          </w:p>
        </w:tc>
      </w:tr>
      <w:tr w14:paraId="2F36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094CD98A">
            <w:pPr>
              <w:spacing w:line="320" w:lineRule="exact"/>
              <w:rPr>
                <w:rFonts w:hint="eastAsia" w:ascii="宋体" w:hAnsi="宋体" w:cs="宋体"/>
                <w:szCs w:val="21"/>
              </w:rPr>
            </w:pPr>
          </w:p>
        </w:tc>
        <w:tc>
          <w:tcPr>
            <w:tcW w:w="1000" w:type="dxa"/>
            <w:vMerge w:val="continue"/>
            <w:vAlign w:val="center"/>
          </w:tcPr>
          <w:p w14:paraId="56C55BC6">
            <w:pPr>
              <w:spacing w:line="320" w:lineRule="exact"/>
              <w:rPr>
                <w:rFonts w:hint="eastAsia" w:ascii="宋体" w:hAnsi="宋体" w:cs="宋体"/>
                <w:szCs w:val="21"/>
              </w:rPr>
            </w:pPr>
          </w:p>
        </w:tc>
        <w:tc>
          <w:tcPr>
            <w:tcW w:w="1875" w:type="dxa"/>
            <w:vMerge w:val="restart"/>
            <w:vAlign w:val="center"/>
          </w:tcPr>
          <w:p w14:paraId="19ED4C17">
            <w:pPr>
              <w:spacing w:line="320" w:lineRule="exact"/>
              <w:rPr>
                <w:rFonts w:hint="eastAsia" w:ascii="宋体" w:hAnsi="宋体" w:cs="宋体"/>
                <w:szCs w:val="21"/>
              </w:rPr>
            </w:pPr>
          </w:p>
          <w:p w14:paraId="44E08CCA">
            <w:pPr>
              <w:spacing w:line="320" w:lineRule="exact"/>
              <w:rPr>
                <w:rFonts w:hint="eastAsia" w:ascii="宋体" w:hAnsi="宋体" w:cs="宋体"/>
                <w:szCs w:val="21"/>
              </w:rPr>
            </w:pPr>
          </w:p>
          <w:p w14:paraId="3629412B">
            <w:pPr>
              <w:spacing w:line="320" w:lineRule="exact"/>
              <w:rPr>
                <w:rFonts w:hint="eastAsia" w:ascii="宋体" w:hAnsi="宋体" w:cs="宋体"/>
                <w:szCs w:val="21"/>
              </w:rPr>
            </w:pPr>
          </w:p>
          <w:p w14:paraId="20F5FC4E">
            <w:pPr>
              <w:spacing w:line="320" w:lineRule="exact"/>
              <w:rPr>
                <w:rFonts w:hint="eastAsia" w:ascii="宋体" w:hAnsi="宋体" w:cs="宋体"/>
                <w:szCs w:val="21"/>
              </w:rPr>
            </w:pPr>
          </w:p>
          <w:p w14:paraId="2C732504">
            <w:pPr>
              <w:spacing w:line="320" w:lineRule="exact"/>
              <w:rPr>
                <w:rFonts w:hint="eastAsia" w:ascii="宋体" w:hAnsi="宋体" w:cs="宋体"/>
                <w:szCs w:val="21"/>
              </w:rPr>
            </w:pPr>
          </w:p>
          <w:p w14:paraId="23E18EFD">
            <w:pPr>
              <w:spacing w:line="320" w:lineRule="exact"/>
              <w:rPr>
                <w:rFonts w:hint="eastAsia" w:ascii="宋体" w:hAnsi="宋体" w:cs="宋体"/>
                <w:szCs w:val="21"/>
              </w:rPr>
            </w:pPr>
            <w:r>
              <w:rPr>
                <w:rFonts w:hint="eastAsia" w:ascii="宋体" w:hAnsi="宋体" w:cs="宋体"/>
                <w:szCs w:val="21"/>
              </w:rPr>
              <w:t>A02061808热水器</w:t>
            </w:r>
          </w:p>
        </w:tc>
        <w:tc>
          <w:tcPr>
            <w:tcW w:w="1581" w:type="dxa"/>
            <w:vAlign w:val="center"/>
          </w:tcPr>
          <w:p w14:paraId="43F49D32">
            <w:pPr>
              <w:spacing w:line="320" w:lineRule="exact"/>
              <w:rPr>
                <w:rFonts w:hint="eastAsia" w:ascii="宋体" w:hAnsi="宋体" w:cs="宋体"/>
                <w:szCs w:val="21"/>
              </w:rPr>
            </w:pPr>
          </w:p>
          <w:p w14:paraId="2DA9E818">
            <w:pPr>
              <w:spacing w:line="320" w:lineRule="exact"/>
              <w:rPr>
                <w:rFonts w:hint="eastAsia" w:ascii="宋体" w:hAnsi="宋体" w:cs="宋体"/>
                <w:szCs w:val="21"/>
              </w:rPr>
            </w:pPr>
            <w:r>
              <w:rPr>
                <w:rFonts w:hint="eastAsia" w:ascii="宋体" w:hAnsi="宋体" w:cs="宋体"/>
                <w:szCs w:val="21"/>
              </w:rPr>
              <w:t>★电热水器</w:t>
            </w:r>
          </w:p>
        </w:tc>
        <w:tc>
          <w:tcPr>
            <w:tcW w:w="3399" w:type="dxa"/>
            <w:vAlign w:val="center"/>
          </w:tcPr>
          <w:p w14:paraId="493F1254">
            <w:pPr>
              <w:spacing w:line="320" w:lineRule="exact"/>
              <w:rPr>
                <w:rFonts w:hint="eastAsia" w:ascii="宋体" w:hAnsi="宋体" w:cs="宋体"/>
                <w:szCs w:val="21"/>
              </w:rPr>
            </w:pPr>
            <w:r>
              <w:rPr>
                <w:rFonts w:hint="eastAsia" w:ascii="宋体" w:hAnsi="宋体" w:cs="宋体"/>
                <w:szCs w:val="21"/>
              </w:rPr>
              <w:t>《储水式电热水器能效限定值及能效等级》（GB21519）</w:t>
            </w:r>
          </w:p>
        </w:tc>
      </w:tr>
      <w:tr w14:paraId="4AF7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0D3F9D98">
            <w:pPr>
              <w:spacing w:line="320" w:lineRule="exact"/>
              <w:rPr>
                <w:rFonts w:hint="eastAsia" w:ascii="宋体" w:hAnsi="宋体" w:cs="宋体"/>
                <w:szCs w:val="21"/>
              </w:rPr>
            </w:pPr>
          </w:p>
        </w:tc>
        <w:tc>
          <w:tcPr>
            <w:tcW w:w="1000" w:type="dxa"/>
            <w:vMerge w:val="continue"/>
            <w:vAlign w:val="center"/>
          </w:tcPr>
          <w:p w14:paraId="7D2D7E9C">
            <w:pPr>
              <w:spacing w:line="320" w:lineRule="exact"/>
              <w:rPr>
                <w:rFonts w:hint="eastAsia" w:ascii="宋体" w:hAnsi="宋体" w:cs="宋体"/>
                <w:szCs w:val="21"/>
              </w:rPr>
            </w:pPr>
          </w:p>
        </w:tc>
        <w:tc>
          <w:tcPr>
            <w:tcW w:w="1875" w:type="dxa"/>
            <w:vMerge w:val="continue"/>
            <w:vAlign w:val="center"/>
          </w:tcPr>
          <w:p w14:paraId="5D90F78F">
            <w:pPr>
              <w:spacing w:line="320" w:lineRule="exact"/>
              <w:rPr>
                <w:rFonts w:hint="eastAsia" w:ascii="宋体" w:hAnsi="宋体" w:cs="宋体"/>
                <w:szCs w:val="21"/>
              </w:rPr>
            </w:pPr>
          </w:p>
        </w:tc>
        <w:tc>
          <w:tcPr>
            <w:tcW w:w="1581" w:type="dxa"/>
            <w:vAlign w:val="center"/>
          </w:tcPr>
          <w:p w14:paraId="53C155B3">
            <w:pPr>
              <w:spacing w:line="320" w:lineRule="exact"/>
              <w:rPr>
                <w:rFonts w:hint="eastAsia" w:ascii="宋体" w:hAnsi="宋体" w:cs="宋体"/>
                <w:szCs w:val="21"/>
              </w:rPr>
            </w:pPr>
            <w:r>
              <w:rPr>
                <w:rFonts w:hint="eastAsia" w:ascii="宋体" w:hAnsi="宋体" w:cs="宋体"/>
                <w:szCs w:val="21"/>
              </w:rPr>
              <w:t>燃气热水器</w:t>
            </w:r>
          </w:p>
        </w:tc>
        <w:tc>
          <w:tcPr>
            <w:tcW w:w="3399" w:type="dxa"/>
            <w:vAlign w:val="center"/>
          </w:tcPr>
          <w:p w14:paraId="56FC8777">
            <w:pPr>
              <w:spacing w:line="320" w:lineRule="exact"/>
              <w:rPr>
                <w:rFonts w:hint="eastAsia" w:ascii="宋体" w:hAnsi="宋体" w:cs="宋体"/>
                <w:szCs w:val="21"/>
              </w:rPr>
            </w:pPr>
            <w:r>
              <w:rPr>
                <w:rFonts w:hint="eastAsia" w:ascii="宋体" w:hAnsi="宋体" w:cs="宋体"/>
                <w:szCs w:val="21"/>
              </w:rPr>
              <w:t>《家用燃气快速热水器和燃气采暖热水炉能效限定值及能效等级（GB20665）</w:t>
            </w:r>
          </w:p>
        </w:tc>
      </w:tr>
      <w:tr w14:paraId="33F0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49700C7E">
            <w:pPr>
              <w:spacing w:line="320" w:lineRule="exact"/>
              <w:rPr>
                <w:rFonts w:hint="eastAsia" w:ascii="宋体" w:hAnsi="宋体" w:cs="宋体"/>
                <w:szCs w:val="21"/>
              </w:rPr>
            </w:pPr>
          </w:p>
        </w:tc>
        <w:tc>
          <w:tcPr>
            <w:tcW w:w="1000" w:type="dxa"/>
            <w:vMerge w:val="continue"/>
            <w:vAlign w:val="center"/>
          </w:tcPr>
          <w:p w14:paraId="43182307">
            <w:pPr>
              <w:spacing w:line="320" w:lineRule="exact"/>
              <w:rPr>
                <w:rFonts w:hint="eastAsia" w:ascii="宋体" w:hAnsi="宋体" w:cs="宋体"/>
                <w:szCs w:val="21"/>
              </w:rPr>
            </w:pPr>
          </w:p>
        </w:tc>
        <w:tc>
          <w:tcPr>
            <w:tcW w:w="1875" w:type="dxa"/>
            <w:vMerge w:val="continue"/>
            <w:vAlign w:val="center"/>
          </w:tcPr>
          <w:p w14:paraId="45038982">
            <w:pPr>
              <w:spacing w:line="320" w:lineRule="exact"/>
              <w:rPr>
                <w:rFonts w:hint="eastAsia" w:ascii="宋体" w:hAnsi="宋体" w:cs="宋体"/>
                <w:szCs w:val="21"/>
              </w:rPr>
            </w:pPr>
          </w:p>
        </w:tc>
        <w:tc>
          <w:tcPr>
            <w:tcW w:w="1581" w:type="dxa"/>
            <w:vAlign w:val="center"/>
          </w:tcPr>
          <w:p w14:paraId="15E086F3">
            <w:pPr>
              <w:spacing w:line="320" w:lineRule="exact"/>
              <w:rPr>
                <w:rFonts w:hint="eastAsia" w:ascii="宋体" w:hAnsi="宋体" w:cs="宋体"/>
                <w:szCs w:val="21"/>
              </w:rPr>
            </w:pPr>
            <w:r>
              <w:rPr>
                <w:rFonts w:hint="eastAsia" w:ascii="宋体" w:hAnsi="宋体" w:cs="宋体"/>
                <w:szCs w:val="21"/>
              </w:rPr>
              <w:t>热泵热水器</w:t>
            </w:r>
          </w:p>
        </w:tc>
        <w:tc>
          <w:tcPr>
            <w:tcW w:w="3399" w:type="dxa"/>
            <w:vAlign w:val="center"/>
          </w:tcPr>
          <w:p w14:paraId="61CAC0DB">
            <w:pPr>
              <w:spacing w:line="320" w:lineRule="exact"/>
              <w:rPr>
                <w:rFonts w:hint="eastAsia" w:ascii="宋体" w:hAnsi="宋体" w:cs="宋体"/>
                <w:szCs w:val="21"/>
              </w:rPr>
            </w:pPr>
            <w:r>
              <w:rPr>
                <w:rFonts w:hint="eastAsia" w:ascii="宋体" w:hAnsi="宋体" w:cs="宋体"/>
                <w:szCs w:val="21"/>
              </w:rPr>
              <w:t>《热泵热水机（器）能效限定值及能效等级》（GB29541）</w:t>
            </w:r>
          </w:p>
        </w:tc>
      </w:tr>
      <w:tr w14:paraId="2F3E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4E7EAD84">
            <w:pPr>
              <w:spacing w:line="320" w:lineRule="exact"/>
              <w:rPr>
                <w:rFonts w:hint="eastAsia" w:ascii="宋体" w:hAnsi="宋体" w:cs="宋体"/>
                <w:szCs w:val="21"/>
              </w:rPr>
            </w:pPr>
          </w:p>
        </w:tc>
        <w:tc>
          <w:tcPr>
            <w:tcW w:w="1000" w:type="dxa"/>
            <w:vMerge w:val="continue"/>
            <w:vAlign w:val="center"/>
          </w:tcPr>
          <w:p w14:paraId="0E74FED5">
            <w:pPr>
              <w:spacing w:line="320" w:lineRule="exact"/>
              <w:rPr>
                <w:rFonts w:hint="eastAsia" w:ascii="宋体" w:hAnsi="宋体" w:cs="宋体"/>
                <w:szCs w:val="21"/>
              </w:rPr>
            </w:pPr>
          </w:p>
        </w:tc>
        <w:tc>
          <w:tcPr>
            <w:tcW w:w="1875" w:type="dxa"/>
            <w:vMerge w:val="continue"/>
            <w:vAlign w:val="center"/>
          </w:tcPr>
          <w:p w14:paraId="21E9EFA3">
            <w:pPr>
              <w:spacing w:line="320" w:lineRule="exact"/>
              <w:rPr>
                <w:rFonts w:hint="eastAsia" w:ascii="宋体" w:hAnsi="宋体" w:cs="宋体"/>
                <w:szCs w:val="21"/>
              </w:rPr>
            </w:pPr>
          </w:p>
        </w:tc>
        <w:tc>
          <w:tcPr>
            <w:tcW w:w="1581" w:type="dxa"/>
            <w:vAlign w:val="center"/>
          </w:tcPr>
          <w:p w14:paraId="67B41607">
            <w:pPr>
              <w:spacing w:line="320" w:lineRule="exact"/>
              <w:rPr>
                <w:rFonts w:hint="eastAsia" w:ascii="宋体" w:hAnsi="宋体" w:cs="宋体"/>
                <w:szCs w:val="21"/>
              </w:rPr>
            </w:pPr>
            <w:r>
              <w:rPr>
                <w:rFonts w:hint="eastAsia" w:ascii="宋体" w:hAnsi="宋体" w:cs="宋体"/>
                <w:szCs w:val="21"/>
              </w:rPr>
              <w:t>太阳能热水系统</w:t>
            </w:r>
          </w:p>
        </w:tc>
        <w:tc>
          <w:tcPr>
            <w:tcW w:w="3399" w:type="dxa"/>
            <w:vAlign w:val="center"/>
          </w:tcPr>
          <w:p w14:paraId="0A766A00">
            <w:pPr>
              <w:spacing w:line="320" w:lineRule="exact"/>
              <w:rPr>
                <w:rFonts w:hint="eastAsia" w:ascii="宋体" w:hAnsi="宋体" w:cs="宋体"/>
                <w:szCs w:val="21"/>
              </w:rPr>
            </w:pPr>
            <w:r>
              <w:rPr>
                <w:rFonts w:hint="eastAsia" w:ascii="宋体" w:hAnsi="宋体" w:cs="宋体"/>
                <w:szCs w:val="21"/>
              </w:rPr>
              <w:t>《家用太阳能热水系统能效限定值及能效等级》（GB26969）</w:t>
            </w:r>
          </w:p>
        </w:tc>
      </w:tr>
      <w:tr w14:paraId="2850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restart"/>
            <w:vAlign w:val="center"/>
          </w:tcPr>
          <w:p w14:paraId="18B70567">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11</w:t>
            </w:r>
          </w:p>
        </w:tc>
        <w:tc>
          <w:tcPr>
            <w:tcW w:w="1000" w:type="dxa"/>
            <w:vMerge w:val="restart"/>
            <w:vAlign w:val="center"/>
          </w:tcPr>
          <w:p w14:paraId="7EB58C28">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A020619照明</w:t>
            </w:r>
          </w:p>
          <w:p w14:paraId="282EBBE1">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设备</w:t>
            </w:r>
          </w:p>
        </w:tc>
        <w:tc>
          <w:tcPr>
            <w:tcW w:w="1875" w:type="dxa"/>
            <w:vAlign w:val="center"/>
          </w:tcPr>
          <w:p w14:paraId="59D62E56">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★普通照明用双端荧光灯</w:t>
            </w:r>
          </w:p>
        </w:tc>
        <w:tc>
          <w:tcPr>
            <w:tcW w:w="1581" w:type="dxa"/>
            <w:vAlign w:val="center"/>
          </w:tcPr>
          <w:p w14:paraId="2D752AEB">
            <w:pPr>
              <w:spacing w:line="320" w:lineRule="exact"/>
              <w:rPr>
                <w:rFonts w:hint="eastAsia" w:ascii="宋体" w:hAnsi="宋体" w:cs="宋体"/>
                <w:szCs w:val="21"/>
              </w:rPr>
            </w:pPr>
          </w:p>
        </w:tc>
        <w:tc>
          <w:tcPr>
            <w:tcW w:w="3399" w:type="dxa"/>
            <w:vAlign w:val="center"/>
          </w:tcPr>
          <w:p w14:paraId="40782E84">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《普通照明用双端荧光灯能效限定值及能效等级》（GB19043）</w:t>
            </w:r>
          </w:p>
        </w:tc>
      </w:tr>
      <w:tr w14:paraId="26B1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3A90A81E">
            <w:pPr>
              <w:spacing w:line="320" w:lineRule="exact"/>
              <w:rPr>
                <w:rFonts w:hint="eastAsia" w:ascii="宋体" w:hAnsi="宋体" w:cs="宋体"/>
                <w:szCs w:val="21"/>
              </w:rPr>
            </w:pPr>
          </w:p>
        </w:tc>
        <w:tc>
          <w:tcPr>
            <w:tcW w:w="1000" w:type="dxa"/>
            <w:vMerge w:val="continue"/>
            <w:vAlign w:val="center"/>
          </w:tcPr>
          <w:p w14:paraId="0D22A0DC">
            <w:pPr>
              <w:spacing w:line="320" w:lineRule="exact"/>
              <w:rPr>
                <w:rFonts w:hint="eastAsia" w:ascii="宋体" w:hAnsi="宋体" w:cs="宋体"/>
                <w:szCs w:val="21"/>
              </w:rPr>
            </w:pPr>
          </w:p>
        </w:tc>
        <w:tc>
          <w:tcPr>
            <w:tcW w:w="1875" w:type="dxa"/>
            <w:vAlign w:val="center"/>
          </w:tcPr>
          <w:p w14:paraId="2E55A297">
            <w:pPr>
              <w:spacing w:line="320" w:lineRule="exact"/>
              <w:rPr>
                <w:rFonts w:hint="eastAsia" w:ascii="宋体" w:hAnsi="宋体" w:cs="宋体"/>
                <w:szCs w:val="21"/>
              </w:rPr>
            </w:pPr>
            <w:r>
              <w:rPr>
                <w:rFonts w:hint="eastAsia" w:ascii="宋体" w:hAnsi="宋体" w:cs="宋体"/>
                <w:szCs w:val="21"/>
              </w:rPr>
              <w:t>LED道路/隧道照明产品</w:t>
            </w:r>
          </w:p>
        </w:tc>
        <w:tc>
          <w:tcPr>
            <w:tcW w:w="1581" w:type="dxa"/>
            <w:vAlign w:val="center"/>
          </w:tcPr>
          <w:p w14:paraId="04CB1E40">
            <w:pPr>
              <w:spacing w:line="320" w:lineRule="exact"/>
              <w:rPr>
                <w:rFonts w:hint="eastAsia" w:ascii="宋体" w:hAnsi="宋体" w:cs="宋体"/>
                <w:szCs w:val="21"/>
              </w:rPr>
            </w:pPr>
          </w:p>
        </w:tc>
        <w:tc>
          <w:tcPr>
            <w:tcW w:w="3399" w:type="dxa"/>
            <w:vAlign w:val="center"/>
          </w:tcPr>
          <w:p w14:paraId="3F4C4799">
            <w:pPr>
              <w:spacing w:line="320" w:lineRule="exact"/>
              <w:rPr>
                <w:rFonts w:hint="eastAsia" w:ascii="宋体" w:hAnsi="宋体" w:cs="宋体"/>
                <w:szCs w:val="21"/>
              </w:rPr>
            </w:pPr>
            <w:r>
              <w:rPr>
                <w:rFonts w:hint="eastAsia" w:ascii="宋体" w:hAnsi="宋体" w:cs="宋体"/>
                <w:szCs w:val="21"/>
              </w:rPr>
              <w:t>《道路和隧道照明用LED灯具能效限定值及能效等级》（GB37478</w:t>
            </w:r>
          </w:p>
        </w:tc>
      </w:tr>
      <w:tr w14:paraId="0A56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766DA991">
            <w:pPr>
              <w:spacing w:line="320" w:lineRule="exact"/>
              <w:rPr>
                <w:rFonts w:hint="eastAsia" w:ascii="宋体" w:hAnsi="宋体" w:cs="宋体"/>
                <w:szCs w:val="21"/>
              </w:rPr>
            </w:pPr>
          </w:p>
        </w:tc>
        <w:tc>
          <w:tcPr>
            <w:tcW w:w="1000" w:type="dxa"/>
            <w:vMerge w:val="continue"/>
            <w:vAlign w:val="center"/>
          </w:tcPr>
          <w:p w14:paraId="0F8CC660">
            <w:pPr>
              <w:spacing w:line="320" w:lineRule="exact"/>
              <w:rPr>
                <w:rFonts w:hint="eastAsia" w:ascii="宋体" w:hAnsi="宋体" w:cs="宋体"/>
                <w:szCs w:val="21"/>
              </w:rPr>
            </w:pPr>
          </w:p>
        </w:tc>
        <w:tc>
          <w:tcPr>
            <w:tcW w:w="1875" w:type="dxa"/>
            <w:vAlign w:val="center"/>
          </w:tcPr>
          <w:p w14:paraId="2D83CAC9">
            <w:pPr>
              <w:spacing w:line="320" w:lineRule="exact"/>
              <w:rPr>
                <w:rFonts w:hint="eastAsia" w:ascii="宋体" w:hAnsi="宋体" w:cs="宋体"/>
                <w:szCs w:val="21"/>
              </w:rPr>
            </w:pPr>
          </w:p>
          <w:p w14:paraId="5AFFBB25">
            <w:pPr>
              <w:spacing w:line="320" w:lineRule="exact"/>
              <w:rPr>
                <w:rFonts w:hint="eastAsia" w:ascii="宋体" w:hAnsi="宋体" w:cs="宋体"/>
                <w:szCs w:val="21"/>
              </w:rPr>
            </w:pPr>
            <w:r>
              <w:rPr>
                <w:rFonts w:hint="eastAsia" w:ascii="宋体" w:hAnsi="宋体" w:cs="宋体"/>
                <w:szCs w:val="21"/>
              </w:rPr>
              <w:t>LED筒灯</w:t>
            </w:r>
          </w:p>
        </w:tc>
        <w:tc>
          <w:tcPr>
            <w:tcW w:w="1581" w:type="dxa"/>
            <w:vAlign w:val="center"/>
          </w:tcPr>
          <w:p w14:paraId="5D7AB8C5">
            <w:pPr>
              <w:spacing w:line="320" w:lineRule="exact"/>
              <w:rPr>
                <w:rFonts w:hint="eastAsia" w:ascii="宋体" w:hAnsi="宋体" w:cs="宋体"/>
                <w:szCs w:val="21"/>
              </w:rPr>
            </w:pPr>
          </w:p>
        </w:tc>
        <w:tc>
          <w:tcPr>
            <w:tcW w:w="3399" w:type="dxa"/>
            <w:vAlign w:val="center"/>
          </w:tcPr>
          <w:p w14:paraId="3362B4F4">
            <w:pPr>
              <w:spacing w:line="320" w:lineRule="exact"/>
              <w:rPr>
                <w:rFonts w:hint="eastAsia" w:ascii="宋体" w:hAnsi="宋体" w:cs="宋体"/>
                <w:szCs w:val="21"/>
              </w:rPr>
            </w:pPr>
            <w:r>
              <w:rPr>
                <w:rFonts w:hint="eastAsia" w:ascii="宋体" w:hAnsi="宋体" w:cs="宋体"/>
                <w:szCs w:val="21"/>
              </w:rPr>
              <w:t>《室内照明用LED产品能效限定值及能效等级》（GB30255）</w:t>
            </w:r>
          </w:p>
        </w:tc>
      </w:tr>
      <w:tr w14:paraId="10C1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7F332287">
            <w:pPr>
              <w:spacing w:line="320" w:lineRule="exact"/>
              <w:rPr>
                <w:rFonts w:hint="eastAsia" w:ascii="宋体" w:hAnsi="宋体" w:cs="宋体"/>
                <w:szCs w:val="21"/>
              </w:rPr>
            </w:pPr>
          </w:p>
        </w:tc>
        <w:tc>
          <w:tcPr>
            <w:tcW w:w="1000" w:type="dxa"/>
            <w:vMerge w:val="continue"/>
            <w:vAlign w:val="center"/>
          </w:tcPr>
          <w:p w14:paraId="1B546A5C">
            <w:pPr>
              <w:spacing w:line="320" w:lineRule="exact"/>
              <w:rPr>
                <w:rFonts w:hint="eastAsia" w:ascii="宋体" w:hAnsi="宋体" w:cs="宋体"/>
                <w:szCs w:val="21"/>
              </w:rPr>
            </w:pPr>
          </w:p>
        </w:tc>
        <w:tc>
          <w:tcPr>
            <w:tcW w:w="1875" w:type="dxa"/>
            <w:vAlign w:val="center"/>
          </w:tcPr>
          <w:p w14:paraId="2C87CAAC">
            <w:pPr>
              <w:spacing w:line="320" w:lineRule="exact"/>
              <w:rPr>
                <w:rFonts w:hint="eastAsia" w:ascii="宋体" w:hAnsi="宋体" w:cs="宋体"/>
                <w:szCs w:val="21"/>
              </w:rPr>
            </w:pPr>
            <w:r>
              <w:rPr>
                <w:rFonts w:hint="eastAsia" w:ascii="宋体" w:hAnsi="宋体" w:cs="宋体"/>
                <w:szCs w:val="21"/>
              </w:rPr>
              <w:t>普通照明用非定向自镇流LED灯</w:t>
            </w:r>
          </w:p>
        </w:tc>
        <w:tc>
          <w:tcPr>
            <w:tcW w:w="1581" w:type="dxa"/>
            <w:vAlign w:val="center"/>
          </w:tcPr>
          <w:p w14:paraId="3EDBEC40">
            <w:pPr>
              <w:spacing w:line="320" w:lineRule="exact"/>
              <w:rPr>
                <w:rFonts w:hint="eastAsia" w:ascii="宋体" w:hAnsi="宋体" w:cs="宋体"/>
                <w:szCs w:val="21"/>
              </w:rPr>
            </w:pPr>
          </w:p>
        </w:tc>
        <w:tc>
          <w:tcPr>
            <w:tcW w:w="3399" w:type="dxa"/>
            <w:vAlign w:val="center"/>
          </w:tcPr>
          <w:p w14:paraId="001B33C5">
            <w:pPr>
              <w:spacing w:line="320" w:lineRule="exact"/>
              <w:rPr>
                <w:rFonts w:hint="eastAsia" w:ascii="宋体" w:hAnsi="宋体" w:cs="宋体"/>
                <w:szCs w:val="21"/>
              </w:rPr>
            </w:pPr>
            <w:r>
              <w:rPr>
                <w:rFonts w:hint="eastAsia" w:ascii="宋体" w:hAnsi="宋体" w:cs="宋体"/>
                <w:szCs w:val="21"/>
              </w:rPr>
              <w:t>《室内照明用LED产品能效限定值及能效等级》（GB30255）</w:t>
            </w:r>
          </w:p>
        </w:tc>
      </w:tr>
      <w:tr w14:paraId="4225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4D8365D2">
            <w:pPr>
              <w:pStyle w:val="61"/>
              <w:spacing w:line="320" w:lineRule="exact"/>
              <w:jc w:val="both"/>
              <w:rPr>
                <w:rFonts w:hint="eastAsia" w:ascii="宋体" w:hAnsi="宋体" w:cs="宋体"/>
                <w:kern w:val="2"/>
                <w:sz w:val="21"/>
                <w:szCs w:val="21"/>
                <w:lang w:eastAsia="zh-CN"/>
              </w:rPr>
            </w:pPr>
          </w:p>
          <w:p w14:paraId="048C4830">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12</w:t>
            </w:r>
          </w:p>
        </w:tc>
        <w:tc>
          <w:tcPr>
            <w:tcW w:w="1000" w:type="dxa"/>
            <w:vAlign w:val="center"/>
          </w:tcPr>
          <w:p w14:paraId="1BF643B2">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★A020910电视设备</w:t>
            </w:r>
          </w:p>
        </w:tc>
        <w:tc>
          <w:tcPr>
            <w:tcW w:w="1875" w:type="dxa"/>
            <w:vAlign w:val="center"/>
          </w:tcPr>
          <w:p w14:paraId="770DEB80">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A02091001普通电视设备（电视机）</w:t>
            </w:r>
          </w:p>
        </w:tc>
        <w:tc>
          <w:tcPr>
            <w:tcW w:w="1581" w:type="dxa"/>
            <w:vAlign w:val="center"/>
          </w:tcPr>
          <w:p w14:paraId="25F1D05B">
            <w:pPr>
              <w:spacing w:line="320" w:lineRule="exact"/>
              <w:rPr>
                <w:rFonts w:hint="eastAsia" w:ascii="宋体" w:hAnsi="宋体" w:cs="宋体"/>
                <w:szCs w:val="21"/>
              </w:rPr>
            </w:pPr>
          </w:p>
        </w:tc>
        <w:tc>
          <w:tcPr>
            <w:tcW w:w="3399" w:type="dxa"/>
            <w:vAlign w:val="center"/>
          </w:tcPr>
          <w:p w14:paraId="0578B677">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《平板电视能效限定值及能效等级》（GB24850）</w:t>
            </w:r>
          </w:p>
        </w:tc>
      </w:tr>
      <w:tr w14:paraId="5072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057E3D91">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13</w:t>
            </w:r>
          </w:p>
        </w:tc>
        <w:tc>
          <w:tcPr>
            <w:tcW w:w="1000" w:type="dxa"/>
            <w:vAlign w:val="center"/>
          </w:tcPr>
          <w:p w14:paraId="13C51A45">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★A020911视频设备</w:t>
            </w:r>
          </w:p>
        </w:tc>
        <w:tc>
          <w:tcPr>
            <w:tcW w:w="1875" w:type="dxa"/>
            <w:vAlign w:val="center"/>
          </w:tcPr>
          <w:p w14:paraId="003B3A23">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A02091107视频监控设备</w:t>
            </w:r>
          </w:p>
        </w:tc>
        <w:tc>
          <w:tcPr>
            <w:tcW w:w="1581" w:type="dxa"/>
            <w:vAlign w:val="center"/>
          </w:tcPr>
          <w:p w14:paraId="74E544D3">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监视器</w:t>
            </w:r>
          </w:p>
        </w:tc>
        <w:tc>
          <w:tcPr>
            <w:tcW w:w="3399" w:type="dxa"/>
            <w:vAlign w:val="center"/>
          </w:tcPr>
          <w:p w14:paraId="0F8E92E2">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14:paraId="16CC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353FEADB">
            <w:pPr>
              <w:pStyle w:val="61"/>
              <w:spacing w:line="320" w:lineRule="exact"/>
              <w:jc w:val="both"/>
              <w:rPr>
                <w:rFonts w:hint="eastAsia" w:ascii="宋体" w:hAnsi="宋体" w:cs="宋体"/>
                <w:kern w:val="2"/>
                <w:sz w:val="21"/>
                <w:szCs w:val="21"/>
                <w:lang w:eastAsia="zh-CN"/>
              </w:rPr>
            </w:pPr>
          </w:p>
          <w:p w14:paraId="133C5ED3">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14</w:t>
            </w:r>
          </w:p>
        </w:tc>
        <w:tc>
          <w:tcPr>
            <w:tcW w:w="1000" w:type="dxa"/>
            <w:vAlign w:val="center"/>
          </w:tcPr>
          <w:p w14:paraId="583BC7D6">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A031210饮食炊事机械</w:t>
            </w:r>
          </w:p>
        </w:tc>
        <w:tc>
          <w:tcPr>
            <w:tcW w:w="1875" w:type="dxa"/>
            <w:vAlign w:val="center"/>
          </w:tcPr>
          <w:p w14:paraId="321F425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商用燃气灶具</w:t>
            </w:r>
          </w:p>
        </w:tc>
        <w:tc>
          <w:tcPr>
            <w:tcW w:w="1581" w:type="dxa"/>
            <w:vAlign w:val="center"/>
          </w:tcPr>
          <w:p w14:paraId="3FA344E0">
            <w:pPr>
              <w:spacing w:line="320" w:lineRule="exact"/>
              <w:rPr>
                <w:rFonts w:hint="eastAsia" w:ascii="宋体" w:hAnsi="宋体" w:cs="宋体"/>
                <w:szCs w:val="21"/>
              </w:rPr>
            </w:pPr>
          </w:p>
        </w:tc>
        <w:tc>
          <w:tcPr>
            <w:tcW w:w="3399" w:type="dxa"/>
            <w:vAlign w:val="center"/>
          </w:tcPr>
          <w:p w14:paraId="09C389D8">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《商用燃气灶具能效限定值及能效等级》（GB30531）</w:t>
            </w:r>
          </w:p>
        </w:tc>
      </w:tr>
      <w:tr w14:paraId="4427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restart"/>
            <w:vAlign w:val="center"/>
          </w:tcPr>
          <w:p w14:paraId="6E70426F">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15</w:t>
            </w:r>
          </w:p>
          <w:p w14:paraId="4AE6B1B6">
            <w:pPr>
              <w:spacing w:line="320" w:lineRule="exact"/>
              <w:rPr>
                <w:rFonts w:hint="eastAsia" w:ascii="宋体" w:hAnsi="宋体" w:cs="宋体"/>
                <w:szCs w:val="21"/>
              </w:rPr>
            </w:pPr>
          </w:p>
        </w:tc>
        <w:tc>
          <w:tcPr>
            <w:tcW w:w="1000" w:type="dxa"/>
            <w:vMerge w:val="restart"/>
            <w:vAlign w:val="center"/>
          </w:tcPr>
          <w:p w14:paraId="33B0E108">
            <w:pPr>
              <w:pStyle w:val="61"/>
              <w:spacing w:line="320" w:lineRule="exact"/>
              <w:jc w:val="both"/>
              <w:rPr>
                <w:rFonts w:hint="eastAsia" w:ascii="宋体" w:hAnsi="宋体" w:cs="宋体"/>
                <w:kern w:val="2"/>
                <w:sz w:val="21"/>
                <w:szCs w:val="21"/>
              </w:rPr>
            </w:pPr>
            <w:r>
              <w:rPr>
                <w:rFonts w:hint="eastAsia" w:ascii="宋体" w:hAnsi="宋体" w:cs="宋体"/>
                <w:kern w:val="2"/>
                <w:sz w:val="21"/>
                <w:szCs w:val="21"/>
                <w:lang w:eastAsia="zh-CN"/>
              </w:rPr>
              <w:t>★A060805便器</w:t>
            </w:r>
          </w:p>
          <w:p w14:paraId="3265A067">
            <w:pPr>
              <w:spacing w:line="320" w:lineRule="exact"/>
              <w:rPr>
                <w:rFonts w:hint="eastAsia" w:ascii="宋体" w:hAnsi="宋体" w:cs="宋体"/>
                <w:szCs w:val="21"/>
              </w:rPr>
            </w:pPr>
          </w:p>
        </w:tc>
        <w:tc>
          <w:tcPr>
            <w:tcW w:w="1875" w:type="dxa"/>
            <w:vAlign w:val="center"/>
          </w:tcPr>
          <w:p w14:paraId="67CC9D30">
            <w:pPr>
              <w:pStyle w:val="61"/>
              <w:spacing w:line="320" w:lineRule="exact"/>
              <w:jc w:val="both"/>
              <w:rPr>
                <w:rFonts w:hint="eastAsia" w:ascii="宋体" w:hAnsi="宋体" w:cs="宋体"/>
                <w:kern w:val="2"/>
                <w:sz w:val="21"/>
                <w:szCs w:val="21"/>
                <w:lang w:eastAsia="zh-CN"/>
              </w:rPr>
            </w:pPr>
          </w:p>
          <w:p w14:paraId="43F14BAF">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坐便器</w:t>
            </w:r>
          </w:p>
        </w:tc>
        <w:tc>
          <w:tcPr>
            <w:tcW w:w="1581" w:type="dxa"/>
            <w:vAlign w:val="center"/>
          </w:tcPr>
          <w:p w14:paraId="0528151F">
            <w:pPr>
              <w:spacing w:line="320" w:lineRule="exact"/>
              <w:rPr>
                <w:rFonts w:hint="eastAsia" w:ascii="宋体" w:hAnsi="宋体" w:cs="宋体"/>
                <w:szCs w:val="21"/>
              </w:rPr>
            </w:pPr>
          </w:p>
        </w:tc>
        <w:tc>
          <w:tcPr>
            <w:tcW w:w="3399" w:type="dxa"/>
            <w:vAlign w:val="center"/>
          </w:tcPr>
          <w:p w14:paraId="70FAAA37">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《坐便器水效限定值及水效等级</w:t>
            </w:r>
          </w:p>
          <w:p w14:paraId="207BD0B4">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（GB25502）</w:t>
            </w:r>
          </w:p>
        </w:tc>
      </w:tr>
      <w:tr w14:paraId="303B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14:paraId="13DDD79D">
            <w:pPr>
              <w:spacing w:line="320" w:lineRule="exact"/>
              <w:rPr>
                <w:rFonts w:hint="eastAsia" w:ascii="宋体" w:hAnsi="宋体" w:cs="宋体"/>
                <w:szCs w:val="21"/>
              </w:rPr>
            </w:pPr>
          </w:p>
        </w:tc>
        <w:tc>
          <w:tcPr>
            <w:tcW w:w="1000" w:type="dxa"/>
            <w:vMerge w:val="continue"/>
            <w:vAlign w:val="center"/>
          </w:tcPr>
          <w:p w14:paraId="5DC1B53E">
            <w:pPr>
              <w:spacing w:line="320" w:lineRule="exact"/>
              <w:rPr>
                <w:rFonts w:hint="eastAsia" w:ascii="宋体" w:hAnsi="宋体" w:cs="宋体"/>
                <w:szCs w:val="21"/>
              </w:rPr>
            </w:pPr>
          </w:p>
        </w:tc>
        <w:tc>
          <w:tcPr>
            <w:tcW w:w="1875" w:type="dxa"/>
            <w:vAlign w:val="center"/>
          </w:tcPr>
          <w:p w14:paraId="34F685CE">
            <w:pPr>
              <w:spacing w:line="320" w:lineRule="exact"/>
              <w:rPr>
                <w:rFonts w:hint="eastAsia" w:ascii="宋体" w:hAnsi="宋体" w:cs="宋体"/>
                <w:szCs w:val="21"/>
              </w:rPr>
            </w:pPr>
          </w:p>
          <w:p w14:paraId="0C3D9390">
            <w:pPr>
              <w:spacing w:line="320" w:lineRule="exact"/>
              <w:rPr>
                <w:rFonts w:hint="eastAsia" w:ascii="宋体" w:hAnsi="宋体" w:cs="宋体"/>
                <w:szCs w:val="21"/>
              </w:rPr>
            </w:pPr>
            <w:r>
              <w:rPr>
                <w:rFonts w:hint="eastAsia" w:ascii="宋体" w:hAnsi="宋体" w:cs="宋体"/>
                <w:szCs w:val="21"/>
              </w:rPr>
              <w:t>蹲便器</w:t>
            </w:r>
          </w:p>
        </w:tc>
        <w:tc>
          <w:tcPr>
            <w:tcW w:w="1581" w:type="dxa"/>
            <w:vAlign w:val="center"/>
          </w:tcPr>
          <w:p w14:paraId="50E38698">
            <w:pPr>
              <w:spacing w:line="320" w:lineRule="exact"/>
              <w:rPr>
                <w:rFonts w:hint="eastAsia" w:ascii="宋体" w:hAnsi="宋体" w:cs="宋体"/>
                <w:szCs w:val="21"/>
              </w:rPr>
            </w:pPr>
          </w:p>
        </w:tc>
        <w:tc>
          <w:tcPr>
            <w:tcW w:w="3399" w:type="dxa"/>
            <w:vAlign w:val="center"/>
          </w:tcPr>
          <w:p w14:paraId="26B14DC9">
            <w:pPr>
              <w:spacing w:line="320" w:lineRule="exact"/>
              <w:rPr>
                <w:rFonts w:hint="eastAsia" w:ascii="宋体" w:hAnsi="宋体" w:cs="宋体"/>
                <w:szCs w:val="21"/>
              </w:rPr>
            </w:pPr>
            <w:r>
              <w:rPr>
                <w:rFonts w:hint="eastAsia" w:ascii="宋体" w:hAnsi="宋体" w:cs="宋体"/>
                <w:szCs w:val="21"/>
              </w:rPr>
              <w:t>《蹲便器用水效率限定值及用水效率等级》（GB30717）</w:t>
            </w:r>
          </w:p>
        </w:tc>
      </w:tr>
      <w:tr w14:paraId="4EF0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4D70DE28">
            <w:pPr>
              <w:spacing w:line="320" w:lineRule="exact"/>
              <w:rPr>
                <w:rFonts w:hint="eastAsia" w:ascii="宋体" w:hAnsi="宋体" w:cs="宋体"/>
                <w:szCs w:val="21"/>
              </w:rPr>
            </w:pPr>
          </w:p>
        </w:tc>
        <w:tc>
          <w:tcPr>
            <w:tcW w:w="1000" w:type="dxa"/>
            <w:vMerge w:val="continue"/>
            <w:vAlign w:val="center"/>
          </w:tcPr>
          <w:p w14:paraId="3FB0970E">
            <w:pPr>
              <w:spacing w:line="320" w:lineRule="exact"/>
              <w:rPr>
                <w:rFonts w:hint="eastAsia" w:ascii="宋体" w:hAnsi="宋体" w:cs="宋体"/>
                <w:szCs w:val="21"/>
              </w:rPr>
            </w:pPr>
          </w:p>
        </w:tc>
        <w:tc>
          <w:tcPr>
            <w:tcW w:w="1875" w:type="dxa"/>
            <w:vAlign w:val="center"/>
          </w:tcPr>
          <w:p w14:paraId="4897109B">
            <w:pPr>
              <w:spacing w:line="320" w:lineRule="exact"/>
              <w:rPr>
                <w:rFonts w:hint="eastAsia" w:ascii="宋体" w:hAnsi="宋体" w:cs="宋体"/>
                <w:szCs w:val="21"/>
              </w:rPr>
            </w:pPr>
          </w:p>
          <w:p w14:paraId="2CEC8B38">
            <w:pPr>
              <w:spacing w:line="320" w:lineRule="exact"/>
              <w:rPr>
                <w:rFonts w:hint="eastAsia" w:ascii="宋体" w:hAnsi="宋体" w:cs="宋体"/>
                <w:szCs w:val="21"/>
              </w:rPr>
            </w:pPr>
            <w:r>
              <w:rPr>
                <w:rFonts w:hint="eastAsia" w:ascii="宋体" w:hAnsi="宋体" w:cs="宋体"/>
                <w:szCs w:val="21"/>
              </w:rPr>
              <w:t>小便器</w:t>
            </w:r>
          </w:p>
        </w:tc>
        <w:tc>
          <w:tcPr>
            <w:tcW w:w="1581" w:type="dxa"/>
            <w:vAlign w:val="center"/>
          </w:tcPr>
          <w:p w14:paraId="27A1A273">
            <w:pPr>
              <w:spacing w:line="320" w:lineRule="exact"/>
              <w:rPr>
                <w:rFonts w:hint="eastAsia" w:ascii="宋体" w:hAnsi="宋体" w:cs="宋体"/>
                <w:szCs w:val="21"/>
              </w:rPr>
            </w:pPr>
          </w:p>
        </w:tc>
        <w:tc>
          <w:tcPr>
            <w:tcW w:w="3399" w:type="dxa"/>
            <w:vAlign w:val="center"/>
          </w:tcPr>
          <w:p w14:paraId="63FB6EA3">
            <w:pPr>
              <w:spacing w:line="320" w:lineRule="exact"/>
              <w:rPr>
                <w:rFonts w:hint="eastAsia" w:ascii="宋体" w:hAnsi="宋体" w:cs="宋体"/>
                <w:szCs w:val="21"/>
              </w:rPr>
            </w:pPr>
            <w:r>
              <w:rPr>
                <w:rFonts w:hint="eastAsia" w:ascii="宋体" w:hAnsi="宋体" w:cs="宋体"/>
                <w:szCs w:val="21"/>
              </w:rPr>
              <w:t>《小便器用水效率限定值及用水效率等级》（GB28377）</w:t>
            </w:r>
          </w:p>
        </w:tc>
      </w:tr>
      <w:tr w14:paraId="6C9C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2062CAEA">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16</w:t>
            </w:r>
          </w:p>
        </w:tc>
        <w:tc>
          <w:tcPr>
            <w:tcW w:w="1000" w:type="dxa"/>
            <w:vAlign w:val="center"/>
          </w:tcPr>
          <w:p w14:paraId="5D3E7252">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★A060806水嘴</w:t>
            </w:r>
          </w:p>
        </w:tc>
        <w:tc>
          <w:tcPr>
            <w:tcW w:w="1875" w:type="dxa"/>
            <w:vAlign w:val="center"/>
          </w:tcPr>
          <w:p w14:paraId="5907A01A">
            <w:pPr>
              <w:spacing w:line="320" w:lineRule="exact"/>
              <w:rPr>
                <w:rFonts w:hint="eastAsia" w:ascii="宋体" w:hAnsi="宋体" w:cs="宋体"/>
                <w:szCs w:val="21"/>
              </w:rPr>
            </w:pPr>
          </w:p>
        </w:tc>
        <w:tc>
          <w:tcPr>
            <w:tcW w:w="1581" w:type="dxa"/>
            <w:vAlign w:val="center"/>
          </w:tcPr>
          <w:p w14:paraId="09B035B9">
            <w:pPr>
              <w:spacing w:line="320" w:lineRule="exact"/>
              <w:rPr>
                <w:rFonts w:hint="eastAsia" w:ascii="宋体" w:hAnsi="宋体" w:cs="宋体"/>
                <w:szCs w:val="21"/>
              </w:rPr>
            </w:pPr>
          </w:p>
        </w:tc>
        <w:tc>
          <w:tcPr>
            <w:tcW w:w="3399" w:type="dxa"/>
            <w:vAlign w:val="center"/>
          </w:tcPr>
          <w:p w14:paraId="70E0A90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《水嘴用水效率限定值及用水效率等级》（GB 25501）</w:t>
            </w:r>
          </w:p>
        </w:tc>
      </w:tr>
      <w:tr w14:paraId="59C8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6F3EE3EC">
            <w:pPr>
              <w:pStyle w:val="61"/>
              <w:spacing w:line="320" w:lineRule="exact"/>
              <w:jc w:val="both"/>
              <w:rPr>
                <w:rFonts w:hint="eastAsia" w:ascii="宋体" w:hAnsi="宋体" w:cs="宋体"/>
                <w:kern w:val="2"/>
                <w:sz w:val="21"/>
                <w:szCs w:val="21"/>
                <w:lang w:eastAsia="zh-CN"/>
              </w:rPr>
            </w:pPr>
          </w:p>
          <w:p w14:paraId="3ED85C2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17</w:t>
            </w:r>
          </w:p>
        </w:tc>
        <w:tc>
          <w:tcPr>
            <w:tcW w:w="1000" w:type="dxa"/>
            <w:vAlign w:val="center"/>
          </w:tcPr>
          <w:p w14:paraId="22023FB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A060807便器冲洗阀</w:t>
            </w:r>
          </w:p>
        </w:tc>
        <w:tc>
          <w:tcPr>
            <w:tcW w:w="1875" w:type="dxa"/>
            <w:vAlign w:val="center"/>
          </w:tcPr>
          <w:p w14:paraId="364AFEC9">
            <w:pPr>
              <w:spacing w:line="320" w:lineRule="exact"/>
              <w:rPr>
                <w:rFonts w:hint="eastAsia" w:ascii="宋体" w:hAnsi="宋体" w:cs="宋体"/>
                <w:szCs w:val="21"/>
              </w:rPr>
            </w:pPr>
          </w:p>
        </w:tc>
        <w:tc>
          <w:tcPr>
            <w:tcW w:w="1581" w:type="dxa"/>
            <w:vAlign w:val="center"/>
          </w:tcPr>
          <w:p w14:paraId="68A948AF">
            <w:pPr>
              <w:spacing w:line="320" w:lineRule="exact"/>
              <w:rPr>
                <w:rFonts w:hint="eastAsia" w:ascii="宋体" w:hAnsi="宋体" w:cs="宋体"/>
                <w:szCs w:val="21"/>
              </w:rPr>
            </w:pPr>
          </w:p>
        </w:tc>
        <w:tc>
          <w:tcPr>
            <w:tcW w:w="3399" w:type="dxa"/>
            <w:vAlign w:val="center"/>
          </w:tcPr>
          <w:p w14:paraId="4AC7B596">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《便器冲洗阀用水效率限定值及用水效率等级》（GB28379）</w:t>
            </w:r>
          </w:p>
        </w:tc>
      </w:tr>
      <w:tr w14:paraId="7DF9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13F59173">
            <w:pPr>
              <w:pStyle w:val="61"/>
              <w:spacing w:line="320" w:lineRule="exact"/>
              <w:jc w:val="both"/>
              <w:rPr>
                <w:rFonts w:hint="eastAsia" w:ascii="宋体" w:hAnsi="宋体" w:cs="宋体"/>
                <w:kern w:val="2"/>
                <w:sz w:val="21"/>
                <w:szCs w:val="21"/>
                <w:lang w:eastAsia="zh-CN"/>
              </w:rPr>
            </w:pPr>
          </w:p>
          <w:p w14:paraId="09A7B97F">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18</w:t>
            </w:r>
          </w:p>
        </w:tc>
        <w:tc>
          <w:tcPr>
            <w:tcW w:w="1000" w:type="dxa"/>
            <w:vAlign w:val="center"/>
          </w:tcPr>
          <w:p w14:paraId="4F12934D">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A060810淋浴器</w:t>
            </w:r>
          </w:p>
        </w:tc>
        <w:tc>
          <w:tcPr>
            <w:tcW w:w="1875" w:type="dxa"/>
            <w:vAlign w:val="center"/>
          </w:tcPr>
          <w:p w14:paraId="4B9D5189">
            <w:pPr>
              <w:spacing w:line="320" w:lineRule="exact"/>
              <w:rPr>
                <w:rFonts w:hint="eastAsia" w:ascii="宋体" w:hAnsi="宋体" w:cs="宋体"/>
                <w:szCs w:val="21"/>
              </w:rPr>
            </w:pPr>
          </w:p>
        </w:tc>
        <w:tc>
          <w:tcPr>
            <w:tcW w:w="1581" w:type="dxa"/>
            <w:vAlign w:val="center"/>
          </w:tcPr>
          <w:p w14:paraId="7018343C">
            <w:pPr>
              <w:spacing w:line="320" w:lineRule="exact"/>
              <w:rPr>
                <w:rFonts w:hint="eastAsia" w:ascii="宋体" w:hAnsi="宋体" w:cs="宋体"/>
                <w:szCs w:val="21"/>
              </w:rPr>
            </w:pPr>
          </w:p>
        </w:tc>
        <w:tc>
          <w:tcPr>
            <w:tcW w:w="3399" w:type="dxa"/>
            <w:vAlign w:val="center"/>
          </w:tcPr>
          <w:p w14:paraId="39531E04">
            <w:pPr>
              <w:pStyle w:val="61"/>
              <w:spacing w:line="320" w:lineRule="exact"/>
              <w:jc w:val="both"/>
              <w:rPr>
                <w:rFonts w:hint="eastAsia" w:ascii="宋体" w:hAnsi="宋体" w:cs="宋体"/>
                <w:kern w:val="2"/>
                <w:sz w:val="21"/>
                <w:szCs w:val="21"/>
                <w:lang w:eastAsia="zh-CN"/>
              </w:rPr>
            </w:pPr>
            <w:r>
              <w:rPr>
                <w:rFonts w:hint="eastAsia" w:ascii="宋体" w:hAnsi="宋体" w:cs="宋体"/>
                <w:kern w:val="2"/>
                <w:sz w:val="21"/>
                <w:szCs w:val="21"/>
                <w:lang w:eastAsia="zh-CN"/>
              </w:rPr>
              <w:t>《淋浴器用水效率限定值及用水效率等级》（GB28378）</w:t>
            </w:r>
          </w:p>
        </w:tc>
      </w:tr>
    </w:tbl>
    <w:p w14:paraId="00BF3970">
      <w:pPr>
        <w:pStyle w:val="11"/>
        <w:spacing w:line="360" w:lineRule="auto"/>
        <w:rPr>
          <w:rFonts w:hint="eastAsia" w:ascii="宋体" w:hAnsi="宋体" w:cs="宋体"/>
          <w:szCs w:val="21"/>
        </w:rPr>
      </w:pPr>
      <w:r>
        <w:rPr>
          <w:rFonts w:hint="eastAsia" w:ascii="宋体" w:hAnsi="宋体" w:cs="宋体"/>
          <w:spacing w:val="-3"/>
          <w:szCs w:val="21"/>
        </w:rPr>
        <w:t>注：1.节能产品认证应依据相关国家标准的最新版本，依据国家标准中二级能效（水效）</w:t>
      </w:r>
      <w:r>
        <w:rPr>
          <w:rFonts w:hint="eastAsia" w:ascii="宋体" w:hAnsi="宋体" w:cs="宋体"/>
          <w:szCs w:val="21"/>
        </w:rPr>
        <w:t>指标。</w:t>
      </w:r>
    </w:p>
    <w:p w14:paraId="1CFF0647">
      <w:pPr>
        <w:pStyle w:val="11"/>
        <w:spacing w:line="360" w:lineRule="auto"/>
        <w:rPr>
          <w:rFonts w:hint="eastAsia" w:ascii="宋体" w:hAnsi="宋体" w:cs="宋体"/>
          <w:szCs w:val="21"/>
        </w:rPr>
      </w:pPr>
      <w:r>
        <w:rPr>
          <w:rFonts w:hint="eastAsia" w:ascii="宋体" w:hAnsi="宋体" w:cs="宋体"/>
          <w:szCs w:val="21"/>
        </w:rPr>
        <w:t xml:space="preserve">    2.上述产品中认证标准发生变更的，依据原认证标准获得的、仍在有效期内的认证证书可使用至2019年6月1日。</w:t>
      </w:r>
    </w:p>
    <w:p w14:paraId="082A85C2">
      <w:pPr>
        <w:widowControl/>
        <w:jc w:val="left"/>
        <w:rPr>
          <w:rFonts w:hint="eastAsia" w:ascii="宋体" w:hAnsi="宋体" w:cs="宋体"/>
          <w:szCs w:val="21"/>
        </w:rPr>
      </w:pPr>
      <w:r>
        <w:rPr>
          <w:rFonts w:hint="eastAsia" w:ascii="宋体" w:hAnsi="宋体" w:cs="宋体"/>
          <w:szCs w:val="21"/>
        </w:rPr>
        <w:t xml:space="preserve">    3.以“★”标注的为政府强制采购产品。</w:t>
      </w:r>
    </w:p>
    <w:p w14:paraId="47106C17">
      <w:pPr>
        <w:pStyle w:val="17"/>
        <w:jc w:val="left"/>
        <w:rPr>
          <w:rFonts w:hint="eastAsia" w:hAnsi="宋体" w:cs="宋体"/>
          <w:sz w:val="32"/>
          <w:szCs w:val="32"/>
        </w:rPr>
        <w:sectPr>
          <w:pgSz w:w="11906" w:h="16838"/>
          <w:pgMar w:top="1134" w:right="1134" w:bottom="1134" w:left="1134" w:header="720" w:footer="720" w:gutter="0"/>
          <w:cols w:space="720" w:num="1"/>
          <w:docGrid w:type="lines" w:linePitch="331" w:charSpace="0"/>
        </w:sectPr>
      </w:pPr>
    </w:p>
    <w:p w14:paraId="0404BB08">
      <w:pPr>
        <w:pStyle w:val="17"/>
        <w:jc w:val="left"/>
        <w:rPr>
          <w:rFonts w:hint="eastAsia" w:hAnsi="宋体" w:cs="宋体"/>
          <w:sz w:val="32"/>
          <w:szCs w:val="32"/>
        </w:rPr>
      </w:pPr>
      <w:r>
        <w:rPr>
          <w:rFonts w:hint="eastAsia" w:hAnsi="宋体" w:cs="宋体"/>
          <w:sz w:val="32"/>
          <w:szCs w:val="32"/>
        </w:rPr>
        <w:t>附件4：</w:t>
      </w:r>
    </w:p>
    <w:p w14:paraId="0BC99D97">
      <w:pPr>
        <w:pStyle w:val="11"/>
        <w:spacing w:line="360" w:lineRule="auto"/>
        <w:jc w:val="center"/>
        <w:rPr>
          <w:rFonts w:hint="eastAsia" w:ascii="宋体" w:hAnsi="宋体" w:cs="宋体"/>
          <w:b/>
          <w:sz w:val="28"/>
          <w:szCs w:val="28"/>
        </w:rPr>
      </w:pPr>
      <w:r>
        <w:rPr>
          <w:rFonts w:hint="eastAsia" w:ascii="宋体" w:hAnsi="宋体" w:cs="宋体"/>
          <w:b/>
          <w:sz w:val="28"/>
          <w:szCs w:val="28"/>
        </w:rPr>
        <w:t>中小企业划型标准规定</w:t>
      </w:r>
    </w:p>
    <w:p w14:paraId="6074099F">
      <w:pPr>
        <w:pStyle w:val="11"/>
        <w:spacing w:line="360" w:lineRule="auto"/>
        <w:jc w:val="center"/>
        <w:rPr>
          <w:rFonts w:hint="eastAsia" w:ascii="宋体" w:hAnsi="宋体" w:cs="宋体"/>
          <w:szCs w:val="21"/>
        </w:rPr>
      </w:pPr>
      <w:r>
        <w:rPr>
          <w:rFonts w:hint="eastAsia" w:ascii="宋体" w:hAnsi="宋体" w:cs="宋体"/>
          <w:szCs w:val="21"/>
        </w:rPr>
        <w:t>工信部联企业[2011]300号</w:t>
      </w:r>
    </w:p>
    <w:p w14:paraId="045F22E0">
      <w:pPr>
        <w:pStyle w:val="11"/>
        <w:spacing w:line="360" w:lineRule="auto"/>
        <w:rPr>
          <w:rFonts w:hint="eastAsia" w:ascii="宋体" w:hAnsi="宋体" w:cs="宋体"/>
          <w:szCs w:val="21"/>
        </w:rPr>
      </w:pPr>
    </w:p>
    <w:p w14:paraId="4A78CAF3">
      <w:pPr>
        <w:pStyle w:val="11"/>
        <w:spacing w:line="420" w:lineRule="exact"/>
        <w:rPr>
          <w:rFonts w:hint="eastAsia" w:ascii="宋体" w:hAnsi="宋体" w:cs="宋体"/>
          <w:szCs w:val="21"/>
        </w:rPr>
      </w:pPr>
      <w:r>
        <w:rPr>
          <w:rFonts w:hint="eastAsia" w:ascii="宋体" w:hAnsi="宋体" w:cs="宋体"/>
          <w:szCs w:val="21"/>
        </w:rPr>
        <w:t>　　一、根据《中华人民共和国中小企业促进法》和《国务院关于进一步促进中小企业发展的若干意见》(国发[2009]36号)，制定本规定。</w:t>
      </w:r>
    </w:p>
    <w:p w14:paraId="0C4495B3">
      <w:pPr>
        <w:pStyle w:val="11"/>
        <w:spacing w:line="420" w:lineRule="exact"/>
        <w:rPr>
          <w:rFonts w:hint="eastAsia" w:ascii="宋体" w:hAnsi="宋体" w:cs="宋体"/>
          <w:szCs w:val="21"/>
        </w:rPr>
      </w:pPr>
      <w:r>
        <w:rPr>
          <w:rFonts w:hint="eastAsia" w:ascii="宋体" w:hAnsi="宋体" w:cs="宋体"/>
          <w:szCs w:val="21"/>
        </w:rPr>
        <w:t>　　二、中小企业划分为中型、小型、微型三种类型，具体标准根据企业从业人员、营业收入、资产总额等指标，结合行业特点制定。</w:t>
      </w:r>
    </w:p>
    <w:p w14:paraId="760A9832">
      <w:pPr>
        <w:pStyle w:val="11"/>
        <w:spacing w:line="420" w:lineRule="exact"/>
        <w:rPr>
          <w:rFonts w:hint="eastAsia" w:ascii="宋体" w:hAnsi="宋体" w:cs="宋体"/>
          <w:szCs w:val="21"/>
        </w:rPr>
      </w:pPr>
      <w:r>
        <w:rPr>
          <w:rFonts w:hint="eastAsia" w:ascii="宋体" w:hAnsi="宋体" w:cs="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60021E9">
      <w:pPr>
        <w:pStyle w:val="11"/>
        <w:spacing w:line="420" w:lineRule="exact"/>
        <w:rPr>
          <w:rFonts w:hint="eastAsia" w:ascii="宋体" w:hAnsi="宋体" w:cs="宋体"/>
          <w:szCs w:val="21"/>
        </w:rPr>
      </w:pPr>
      <w:r>
        <w:rPr>
          <w:rFonts w:hint="eastAsia" w:ascii="宋体" w:hAnsi="宋体" w:cs="宋体"/>
          <w:szCs w:val="21"/>
        </w:rPr>
        <w:t>　　四、各行业划型标准为：</w:t>
      </w:r>
    </w:p>
    <w:p w14:paraId="26EBB7BD">
      <w:pPr>
        <w:pStyle w:val="11"/>
        <w:spacing w:line="420" w:lineRule="exact"/>
        <w:rPr>
          <w:rFonts w:hint="eastAsia" w:ascii="宋体" w:hAnsi="宋体" w:cs="宋体"/>
          <w:szCs w:val="21"/>
        </w:rPr>
      </w:pPr>
      <w:r>
        <w:rPr>
          <w:rFonts w:hint="eastAsia" w:ascii="宋体" w:hAnsi="宋体" w:cs="宋体"/>
          <w:szCs w:val="21"/>
        </w:rPr>
        <w:t>　　（一）农、林、牧、渔业。营业收入20000万元以下的为中小微型企业。其中，营业收入500万元及以上的为中型企业，营业收入50万元及以上的为小型企业，营业收入50万元以下的为微型企业。</w:t>
      </w:r>
    </w:p>
    <w:p w14:paraId="57E187AF">
      <w:pPr>
        <w:pStyle w:val="11"/>
        <w:spacing w:line="420" w:lineRule="exact"/>
        <w:rPr>
          <w:rFonts w:hint="eastAsia" w:ascii="宋体" w:hAnsi="宋体" w:cs="宋体"/>
          <w:szCs w:val="21"/>
        </w:rPr>
      </w:pPr>
      <w:r>
        <w:rPr>
          <w:rFonts w:hint="eastAsia" w:ascii="宋体" w:hAnsi="宋体" w:cs="宋体"/>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A48AC03">
      <w:pPr>
        <w:pStyle w:val="11"/>
        <w:spacing w:line="420" w:lineRule="exact"/>
        <w:rPr>
          <w:rFonts w:hint="eastAsia" w:ascii="宋体" w:hAnsi="宋体" w:cs="宋体"/>
          <w:szCs w:val="21"/>
        </w:rPr>
      </w:pPr>
      <w:r>
        <w:rPr>
          <w:rFonts w:hint="eastAsia" w:ascii="宋体" w:hAnsi="宋体" w:cs="宋体"/>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DA9A45F">
      <w:pPr>
        <w:pStyle w:val="11"/>
        <w:spacing w:line="420" w:lineRule="exact"/>
        <w:rPr>
          <w:rFonts w:hint="eastAsia" w:ascii="宋体" w:hAnsi="宋体" w:cs="宋体"/>
          <w:szCs w:val="21"/>
        </w:rPr>
      </w:pPr>
      <w:r>
        <w:rPr>
          <w:rFonts w:hint="eastAsia" w:ascii="宋体" w:hAnsi="宋体" w:cs="宋体"/>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1D7BEAC">
      <w:pPr>
        <w:pStyle w:val="11"/>
        <w:spacing w:line="420" w:lineRule="exact"/>
        <w:rPr>
          <w:rFonts w:hint="eastAsia" w:ascii="宋体" w:hAnsi="宋体" w:cs="宋体"/>
          <w:szCs w:val="21"/>
        </w:rPr>
      </w:pPr>
      <w:r>
        <w:rPr>
          <w:rFonts w:hint="eastAsia" w:ascii="宋体" w:hAnsi="宋体" w:cs="宋体"/>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40D70B9">
      <w:pPr>
        <w:pStyle w:val="11"/>
        <w:spacing w:line="420" w:lineRule="exact"/>
        <w:rPr>
          <w:rFonts w:hint="eastAsia" w:ascii="宋体" w:hAnsi="宋体" w:cs="宋体"/>
          <w:szCs w:val="21"/>
        </w:rPr>
      </w:pPr>
      <w:r>
        <w:rPr>
          <w:rFonts w:hint="eastAsia" w:ascii="宋体" w:hAnsi="宋体" w:cs="宋体"/>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0575640">
      <w:pPr>
        <w:pStyle w:val="11"/>
        <w:spacing w:line="420" w:lineRule="exact"/>
        <w:rPr>
          <w:rFonts w:hint="eastAsia" w:ascii="宋体" w:hAnsi="宋体" w:cs="宋体"/>
          <w:szCs w:val="21"/>
        </w:rPr>
      </w:pPr>
      <w:r>
        <w:rPr>
          <w:rFonts w:hint="eastAsia" w:ascii="宋体" w:hAnsi="宋体" w:cs="宋体"/>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5080CB8">
      <w:pPr>
        <w:pStyle w:val="11"/>
        <w:spacing w:line="420" w:lineRule="exact"/>
        <w:rPr>
          <w:rFonts w:hint="eastAsia" w:ascii="宋体" w:hAnsi="宋体" w:cs="宋体"/>
          <w:szCs w:val="21"/>
        </w:rPr>
      </w:pPr>
      <w:r>
        <w:rPr>
          <w:rFonts w:hint="eastAsia" w:ascii="宋体" w:hAnsi="宋体" w:cs="宋体"/>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1E3A3B0">
      <w:pPr>
        <w:pStyle w:val="11"/>
        <w:spacing w:line="420" w:lineRule="exact"/>
        <w:rPr>
          <w:rFonts w:hint="eastAsia" w:ascii="宋体" w:hAnsi="宋体" w:cs="宋体"/>
          <w:szCs w:val="21"/>
        </w:rPr>
      </w:pPr>
      <w:r>
        <w:rPr>
          <w:rFonts w:hint="eastAsia" w:ascii="宋体" w:hAnsi="宋体" w:cs="宋体"/>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B1D3B27">
      <w:pPr>
        <w:pStyle w:val="11"/>
        <w:spacing w:line="420" w:lineRule="exact"/>
        <w:rPr>
          <w:rFonts w:hint="eastAsia" w:ascii="宋体" w:hAnsi="宋体" w:cs="宋体"/>
          <w:szCs w:val="21"/>
        </w:rPr>
      </w:pPr>
      <w:r>
        <w:rPr>
          <w:rFonts w:hint="eastAsia" w:ascii="宋体" w:hAnsi="宋体" w:cs="宋体"/>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F9946FF">
      <w:pPr>
        <w:pStyle w:val="11"/>
        <w:spacing w:line="420" w:lineRule="exact"/>
        <w:rPr>
          <w:rFonts w:hint="eastAsia" w:ascii="宋体" w:hAnsi="宋体" w:cs="宋体"/>
          <w:szCs w:val="21"/>
        </w:rPr>
      </w:pPr>
      <w:r>
        <w:rPr>
          <w:rFonts w:hint="eastAsia" w:ascii="宋体" w:hAnsi="宋体" w:cs="宋体"/>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0007935">
      <w:pPr>
        <w:pStyle w:val="11"/>
        <w:spacing w:line="420" w:lineRule="exact"/>
        <w:rPr>
          <w:rFonts w:hint="eastAsia" w:ascii="宋体" w:hAnsi="宋体" w:cs="宋体"/>
          <w:szCs w:val="21"/>
        </w:rPr>
      </w:pPr>
      <w:r>
        <w:rPr>
          <w:rFonts w:hint="eastAsia" w:ascii="宋体" w:hAnsi="宋体" w:cs="宋体"/>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E7D40F6">
      <w:pPr>
        <w:pStyle w:val="11"/>
        <w:spacing w:line="420" w:lineRule="exact"/>
        <w:rPr>
          <w:rFonts w:hint="eastAsia" w:ascii="宋体" w:hAnsi="宋体" w:cs="宋体"/>
          <w:szCs w:val="21"/>
        </w:rPr>
      </w:pPr>
      <w:r>
        <w:rPr>
          <w:rFonts w:hint="eastAsia" w:ascii="宋体" w:hAnsi="宋体" w:cs="宋体"/>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56319A1">
      <w:pPr>
        <w:pStyle w:val="11"/>
        <w:spacing w:line="420" w:lineRule="exact"/>
        <w:rPr>
          <w:rFonts w:hint="eastAsia" w:ascii="宋体" w:hAnsi="宋体" w:cs="宋体"/>
          <w:szCs w:val="21"/>
        </w:rPr>
      </w:pPr>
      <w:r>
        <w:rPr>
          <w:rFonts w:hint="eastAsia" w:ascii="宋体" w:hAnsi="宋体" w:cs="宋体"/>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ED13E53">
      <w:pPr>
        <w:pStyle w:val="11"/>
        <w:spacing w:line="420" w:lineRule="exact"/>
        <w:rPr>
          <w:rFonts w:hint="eastAsia" w:ascii="宋体" w:hAnsi="宋体" w:cs="宋体"/>
          <w:szCs w:val="21"/>
        </w:rPr>
      </w:pPr>
      <w:r>
        <w:rPr>
          <w:rFonts w:hint="eastAsia" w:ascii="宋体" w:hAnsi="宋体" w:cs="宋体"/>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C6C9B01">
      <w:pPr>
        <w:pStyle w:val="11"/>
        <w:spacing w:line="420" w:lineRule="exact"/>
        <w:rPr>
          <w:rFonts w:hint="eastAsia" w:ascii="宋体" w:hAnsi="宋体" w:cs="宋体"/>
          <w:szCs w:val="21"/>
        </w:rPr>
      </w:pPr>
      <w:r>
        <w:rPr>
          <w:rFonts w:hint="eastAsia" w:ascii="宋体" w:hAnsi="宋体" w:cs="宋体"/>
          <w:szCs w:val="21"/>
        </w:rPr>
        <w:t>　　（十六）其他未列明行业。从业人员300人以下的为中小微型企业。其中，从业人员100人及以上的为中型企业；从业人员10人及以上的为小型企业；从业人员10人以下的为微型企业。</w:t>
      </w:r>
    </w:p>
    <w:p w14:paraId="130F850D">
      <w:pPr>
        <w:pStyle w:val="11"/>
        <w:spacing w:line="420" w:lineRule="exact"/>
        <w:rPr>
          <w:rFonts w:hint="eastAsia" w:ascii="宋体" w:hAnsi="宋体" w:cs="宋体"/>
          <w:szCs w:val="21"/>
        </w:rPr>
      </w:pPr>
      <w:r>
        <w:rPr>
          <w:rFonts w:hint="eastAsia" w:ascii="宋体" w:hAnsi="宋体" w:cs="宋体"/>
          <w:szCs w:val="21"/>
        </w:rPr>
        <w:t>　　五、企业类型的划分以统计部门的统计数据为依据。</w:t>
      </w:r>
    </w:p>
    <w:p w14:paraId="4DD6FBFF">
      <w:pPr>
        <w:pStyle w:val="11"/>
        <w:spacing w:line="420" w:lineRule="exact"/>
        <w:rPr>
          <w:rFonts w:hint="eastAsia" w:ascii="宋体" w:hAnsi="宋体" w:cs="宋体"/>
          <w:szCs w:val="21"/>
        </w:rPr>
      </w:pPr>
      <w:r>
        <w:rPr>
          <w:rFonts w:hint="eastAsia" w:ascii="宋体" w:hAnsi="宋体" w:cs="宋体"/>
          <w:szCs w:val="21"/>
        </w:rPr>
        <w:t>　　六、本规定适用于在中华人民共和国境内依法设立的各类所有制和各种组织形式的企业。个体工商户和本规定以外的行业，参照本规定进行划型。</w:t>
      </w:r>
    </w:p>
    <w:p w14:paraId="379BDE81">
      <w:pPr>
        <w:pStyle w:val="11"/>
        <w:spacing w:line="420" w:lineRule="exact"/>
        <w:rPr>
          <w:rFonts w:hint="eastAsia" w:ascii="宋体" w:hAnsi="宋体" w:cs="宋体"/>
          <w:szCs w:val="21"/>
        </w:rPr>
      </w:pPr>
      <w:r>
        <w:rPr>
          <w:rFonts w:hint="eastAsia" w:ascii="宋体" w:hAnsi="宋体" w:cs="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179C2752">
      <w:pPr>
        <w:pStyle w:val="11"/>
        <w:spacing w:line="420" w:lineRule="exact"/>
        <w:rPr>
          <w:rFonts w:hint="eastAsia" w:ascii="宋体" w:hAnsi="宋体" w:cs="宋体"/>
          <w:szCs w:val="21"/>
        </w:rPr>
      </w:pPr>
      <w:r>
        <w:rPr>
          <w:rFonts w:hint="eastAsia" w:ascii="宋体" w:hAnsi="宋体" w:cs="宋体"/>
          <w:szCs w:val="21"/>
        </w:rPr>
        <w:t>　　八、本规定由工业和信息化部、国家统计局会同有关部门根据《国民经济行业分类》修订情况和企业发展变化情况适时修订。</w:t>
      </w:r>
    </w:p>
    <w:p w14:paraId="3C169CC0">
      <w:pPr>
        <w:pStyle w:val="11"/>
        <w:spacing w:line="420" w:lineRule="exact"/>
        <w:rPr>
          <w:rFonts w:hint="eastAsia" w:ascii="宋体" w:hAnsi="宋体" w:cs="宋体"/>
          <w:szCs w:val="21"/>
        </w:rPr>
      </w:pPr>
      <w:r>
        <w:rPr>
          <w:rFonts w:hint="eastAsia" w:ascii="宋体" w:hAnsi="宋体" w:cs="宋体"/>
          <w:szCs w:val="21"/>
        </w:rPr>
        <w:t>　　九、本规定由工业和信息化部、国家统计局会同有关部门负责解释。</w:t>
      </w:r>
    </w:p>
    <w:p w14:paraId="6FA259B7">
      <w:pPr>
        <w:pStyle w:val="11"/>
        <w:spacing w:line="420" w:lineRule="exact"/>
        <w:ind w:firstLine="420"/>
        <w:rPr>
          <w:rFonts w:hint="eastAsia" w:ascii="宋体" w:hAnsi="宋体" w:cs="宋体"/>
          <w:szCs w:val="21"/>
        </w:rPr>
      </w:pPr>
      <w:r>
        <w:rPr>
          <w:rFonts w:hint="eastAsia" w:ascii="宋体" w:hAnsi="宋体" w:cs="宋体"/>
          <w:szCs w:val="21"/>
        </w:rPr>
        <w:t>十、本规定自发布之日起执行，原国家经贸委、原国家计委、财政部和国家统计局2003年颁布的《中小企业标准暂行规定》同时废止。</w:t>
      </w:r>
    </w:p>
    <w:p w14:paraId="58813DEE">
      <w:pPr>
        <w:tabs>
          <w:tab w:val="left" w:pos="2500"/>
        </w:tabs>
        <w:jc w:val="left"/>
        <w:sectPr>
          <w:pgSz w:w="11906" w:h="16838"/>
          <w:pgMar w:top="1304" w:right="1418" w:bottom="1304" w:left="1418" w:header="851" w:footer="992" w:gutter="0"/>
          <w:cols w:space="720" w:num="1"/>
          <w:docGrid w:linePitch="312" w:charSpace="0"/>
        </w:sectPr>
      </w:pPr>
    </w:p>
    <w:p w14:paraId="1D481573">
      <w:pPr>
        <w:widowControl/>
        <w:jc w:val="left"/>
        <w:rPr>
          <w:rFonts w:hint="eastAsia" w:ascii="宋体" w:hAnsi="宋体" w:cs="宋体"/>
          <w:sz w:val="20"/>
          <w:szCs w:val="20"/>
        </w:rPr>
      </w:pPr>
    </w:p>
    <w:p w14:paraId="0131CEC6">
      <w:pPr>
        <w:pStyle w:val="3"/>
        <w:spacing w:before="0" w:after="0" w:line="360" w:lineRule="auto"/>
        <w:jc w:val="center"/>
        <w:rPr>
          <w:rFonts w:hint="eastAsia" w:ascii="宋体" w:hAnsi="宋体" w:cs="宋体"/>
        </w:rPr>
      </w:pPr>
      <w:bookmarkStart w:id="71" w:name="_Toc27246"/>
      <w:bookmarkStart w:id="72" w:name="_Toc24264"/>
      <w:r>
        <w:rPr>
          <w:rFonts w:hint="eastAsia" w:ascii="宋体" w:hAnsi="宋体" w:cs="宋体"/>
        </w:rPr>
        <w:t xml:space="preserve">第四章  </w:t>
      </w:r>
      <w:bookmarkStart w:id="73" w:name="_Hlk68601507"/>
      <w:r>
        <w:rPr>
          <w:rFonts w:hint="eastAsia" w:ascii="宋体" w:hAnsi="宋体" w:cs="宋体"/>
        </w:rPr>
        <w:t>评审程序和评定成交的标准</w:t>
      </w:r>
      <w:bookmarkEnd w:id="71"/>
      <w:bookmarkEnd w:id="72"/>
      <w:bookmarkEnd w:id="73"/>
    </w:p>
    <w:p w14:paraId="31DAC4A1">
      <w:pPr>
        <w:spacing w:line="360" w:lineRule="auto"/>
        <w:jc w:val="center"/>
        <w:rPr>
          <w:rFonts w:hint="eastAsia" w:ascii="宋体" w:hAnsi="宋体" w:cs="宋体"/>
          <w:b/>
          <w:sz w:val="32"/>
          <w:szCs w:val="32"/>
        </w:rPr>
      </w:pPr>
      <w:r>
        <w:rPr>
          <w:rFonts w:hint="eastAsia" w:ascii="宋体" w:hAnsi="宋体" w:cs="宋体"/>
          <w:b/>
          <w:sz w:val="32"/>
          <w:szCs w:val="32"/>
        </w:rPr>
        <w:t>一、评审程序</w:t>
      </w:r>
    </w:p>
    <w:p w14:paraId="0A5717B5">
      <w:pPr>
        <w:spacing w:line="360" w:lineRule="auto"/>
        <w:ind w:firstLine="482" w:firstLineChars="200"/>
        <w:rPr>
          <w:rFonts w:hint="eastAsia" w:ascii="宋体" w:hAnsi="宋体" w:cs="宋体"/>
          <w:b/>
          <w:bCs/>
          <w:sz w:val="24"/>
        </w:rPr>
      </w:pPr>
      <w:r>
        <w:rPr>
          <w:rFonts w:hint="eastAsia" w:ascii="宋体" w:hAnsi="宋体" w:cs="宋体"/>
          <w:b/>
          <w:bCs/>
          <w:sz w:val="24"/>
        </w:rPr>
        <w:t>1.确认谈判文件</w:t>
      </w:r>
    </w:p>
    <w:p w14:paraId="3B118E3C">
      <w:pPr>
        <w:spacing w:line="360" w:lineRule="auto"/>
        <w:ind w:firstLine="420" w:firstLineChars="200"/>
        <w:rPr>
          <w:rFonts w:hint="eastAsia" w:ascii="宋体" w:hAnsi="宋体" w:cs="宋体"/>
          <w:szCs w:val="21"/>
        </w:rPr>
      </w:pPr>
      <w:r>
        <w:rPr>
          <w:rFonts w:hint="eastAsia" w:ascii="宋体" w:hAnsi="宋体" w:cs="宋体"/>
          <w:szCs w:val="21"/>
        </w:rPr>
        <w:t>由谈判小组确认谈判文件。</w:t>
      </w:r>
    </w:p>
    <w:p w14:paraId="476E0DE0">
      <w:pPr>
        <w:spacing w:line="360" w:lineRule="auto"/>
        <w:ind w:firstLine="482" w:firstLineChars="200"/>
        <w:rPr>
          <w:rFonts w:hint="eastAsia" w:ascii="宋体" w:hAnsi="宋体" w:cs="宋体"/>
          <w:b/>
          <w:bCs/>
          <w:sz w:val="24"/>
        </w:rPr>
      </w:pPr>
      <w:r>
        <w:rPr>
          <w:rFonts w:hint="eastAsia" w:ascii="宋体" w:hAnsi="宋体" w:cs="宋体"/>
          <w:b/>
          <w:bCs/>
          <w:sz w:val="24"/>
        </w:rPr>
        <w:t>2.资格审查</w:t>
      </w:r>
    </w:p>
    <w:p w14:paraId="242298C1">
      <w:pPr>
        <w:spacing w:line="360" w:lineRule="auto"/>
        <w:ind w:firstLine="420" w:firstLineChars="200"/>
        <w:rPr>
          <w:rFonts w:hint="eastAsia" w:ascii="宋体" w:hAnsi="宋体" w:cs="宋体"/>
          <w:szCs w:val="21"/>
        </w:rPr>
      </w:pPr>
      <w:r>
        <w:rPr>
          <w:rFonts w:hint="eastAsia" w:ascii="宋体" w:hAnsi="宋体" w:cs="宋体"/>
          <w:szCs w:val="21"/>
        </w:rPr>
        <w:t>2.1响应文件开启后，谈判小组依法对供应商的资格证明文件进行审查。</w:t>
      </w:r>
    </w:p>
    <w:p w14:paraId="0F45F7B6">
      <w:pPr>
        <w:snapToGrid w:val="0"/>
        <w:spacing w:line="360" w:lineRule="auto"/>
        <w:ind w:firstLine="420" w:firstLineChars="200"/>
        <w:rPr>
          <w:rFonts w:hint="eastAsia" w:ascii="宋体" w:hAnsi="宋体" w:cs="宋体"/>
          <w:szCs w:val="21"/>
        </w:rPr>
      </w:pPr>
      <w:r>
        <w:rPr>
          <w:rFonts w:hint="eastAsia" w:ascii="宋体" w:hAnsi="宋体" w:cs="宋体"/>
          <w:szCs w:val="21"/>
        </w:rPr>
        <w:t>注：</w:t>
      </w:r>
      <w:r>
        <w:rPr>
          <w:rFonts w:hint="eastAsia" w:ascii="宋体" w:hAnsi="宋体" w:cs="宋体"/>
        </w:rPr>
        <w:t>谈判小组</w:t>
      </w:r>
      <w:r>
        <w:rPr>
          <w:rFonts w:hint="eastAsia" w:ascii="宋体" w:hAnsi="宋体" w:cs="宋体"/>
          <w:szCs w:val="21"/>
        </w:rPr>
        <w:t>在资格审查结束前，对供应商进行信用查询。</w:t>
      </w:r>
    </w:p>
    <w:p w14:paraId="536C6C34">
      <w:pPr>
        <w:snapToGrid w:val="0"/>
        <w:spacing w:line="360" w:lineRule="auto"/>
        <w:ind w:firstLine="420" w:firstLineChars="200"/>
        <w:rPr>
          <w:rFonts w:hint="eastAsia" w:ascii="宋体" w:hAnsi="宋体" w:cs="宋体"/>
          <w:szCs w:val="21"/>
        </w:rPr>
      </w:pPr>
      <w:r>
        <w:rPr>
          <w:rFonts w:hint="eastAsia" w:ascii="宋体" w:hAnsi="宋体" w:cs="宋体"/>
          <w:szCs w:val="21"/>
        </w:rPr>
        <w:t>（1）查询渠道：广西政府采购云平台“信用中国”网站(www.creditchina.gov.cn)、中国政府采购网(www.ccgp.gov.cn)链接入口。</w:t>
      </w:r>
    </w:p>
    <w:p w14:paraId="733975B6">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72D28715">
      <w:pPr>
        <w:snapToGrid w:val="0"/>
        <w:spacing w:line="360" w:lineRule="auto"/>
        <w:ind w:firstLine="420" w:firstLineChars="200"/>
        <w:rPr>
          <w:rFonts w:hint="eastAsia" w:ascii="宋体" w:hAnsi="宋体" w:cs="宋体"/>
          <w:szCs w:val="21"/>
        </w:rPr>
      </w:pPr>
      <w:r>
        <w:rPr>
          <w:rFonts w:hint="eastAsia" w:ascii="宋体" w:hAnsi="宋体" w:cs="宋体"/>
          <w:szCs w:val="21"/>
        </w:rPr>
        <w:t>（3）查询记录和证据留存方式：在查询网站中直接查询，截图另存为电子文档作为评审资料保存。</w:t>
      </w:r>
    </w:p>
    <w:p w14:paraId="03B032AF">
      <w:pPr>
        <w:spacing w:line="360" w:lineRule="auto"/>
        <w:ind w:firstLine="420" w:firstLineChars="200"/>
        <w:rPr>
          <w:rFonts w:hint="eastAsia" w:ascii="宋体" w:hAnsi="宋体" w:cs="宋体"/>
          <w:szCs w:val="21"/>
        </w:rPr>
      </w:pPr>
      <w:r>
        <w:rPr>
          <w:rFonts w:hint="eastAsia" w:ascii="宋体" w:hAnsi="宋体" w:cs="宋体"/>
          <w:szCs w:val="21"/>
        </w:rPr>
        <w:t>（4）信用信息使用规则：对在“信用中国”网站（www.creditchina.gov.cn）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p w14:paraId="72F8CD5A">
      <w:pPr>
        <w:spacing w:line="360" w:lineRule="auto"/>
        <w:ind w:firstLine="420" w:firstLineChars="200"/>
        <w:rPr>
          <w:rFonts w:hint="eastAsia" w:ascii="宋体" w:hAnsi="宋体" w:cs="宋体"/>
          <w:szCs w:val="21"/>
        </w:rPr>
      </w:pPr>
      <w:r>
        <w:rPr>
          <w:rFonts w:hint="eastAsia" w:ascii="宋体" w:hAnsi="宋体" w:cs="宋体"/>
          <w:szCs w:val="21"/>
        </w:rPr>
        <w:t>2.2资格审查标准为本谈判文件中载明对供应商资格要求的条件。本项目资格审查采用合格制，凡符合谈判文件规定的供应商资格要求的供应商均通过资格审查。</w:t>
      </w:r>
    </w:p>
    <w:p w14:paraId="24012B50">
      <w:pPr>
        <w:spacing w:line="360" w:lineRule="auto"/>
        <w:ind w:firstLine="420" w:firstLineChars="200"/>
        <w:rPr>
          <w:rFonts w:hint="eastAsia" w:ascii="宋体" w:hAnsi="宋体" w:cs="宋体"/>
          <w:szCs w:val="21"/>
        </w:rPr>
      </w:pPr>
      <w:r>
        <w:rPr>
          <w:rFonts w:hint="eastAsia" w:ascii="宋体" w:hAnsi="宋体" w:cs="宋体"/>
          <w:szCs w:val="21"/>
        </w:rPr>
        <w:t>2.3 供应商有下列情形之一的，资格审查不通过，其响应文件按无效处理：</w:t>
      </w:r>
    </w:p>
    <w:p w14:paraId="51A7918A">
      <w:pPr>
        <w:snapToGrid w:val="0"/>
        <w:spacing w:line="360" w:lineRule="auto"/>
        <w:ind w:firstLine="420" w:firstLineChars="200"/>
        <w:rPr>
          <w:rFonts w:hint="eastAsia" w:ascii="宋体" w:hAnsi="宋体" w:cs="宋体"/>
          <w:szCs w:val="21"/>
        </w:rPr>
      </w:pPr>
      <w:r>
        <w:rPr>
          <w:rFonts w:hint="eastAsia" w:ascii="宋体" w:hAnsi="宋体" w:cs="宋体"/>
          <w:szCs w:val="21"/>
        </w:rPr>
        <w:t>（1）不具备谈判文件中规定的资格要求的；</w:t>
      </w:r>
    </w:p>
    <w:p w14:paraId="79A3CC7A">
      <w:pPr>
        <w:spacing w:line="360" w:lineRule="auto"/>
        <w:ind w:firstLine="420" w:firstLineChars="200"/>
        <w:rPr>
          <w:rFonts w:hint="eastAsia" w:ascii="宋体" w:hAnsi="宋体" w:cs="宋体"/>
          <w:szCs w:val="21"/>
        </w:rPr>
      </w:pPr>
      <w:r>
        <w:rPr>
          <w:rFonts w:hint="eastAsia" w:ascii="宋体" w:hAnsi="宋体" w:cs="宋体"/>
          <w:szCs w:val="21"/>
        </w:rPr>
        <w:t>（2）未按谈判文件规定的方式获取本谈判文件的供应商；</w:t>
      </w:r>
    </w:p>
    <w:p w14:paraId="3E9737C8">
      <w:pPr>
        <w:spacing w:line="360" w:lineRule="auto"/>
        <w:ind w:firstLine="420" w:firstLineChars="200"/>
        <w:rPr>
          <w:rFonts w:hint="eastAsia" w:ascii="宋体" w:hAnsi="宋体" w:cs="宋体"/>
          <w:szCs w:val="21"/>
        </w:rPr>
      </w:pPr>
      <w:r>
        <w:rPr>
          <w:rFonts w:hint="eastAsia" w:ascii="宋体" w:hAnsi="宋体" w:cs="宋体"/>
          <w:szCs w:val="21"/>
        </w:rPr>
        <w:t>（3）响应文件中的资格证明文件缺少任一项“供应商须知前附表”资格证明文件规定的“必须提供”的文件资料的；</w:t>
      </w:r>
    </w:p>
    <w:p w14:paraId="694AFFFE">
      <w:pPr>
        <w:spacing w:line="360" w:lineRule="auto"/>
        <w:ind w:firstLine="420" w:firstLineChars="200"/>
        <w:rPr>
          <w:rFonts w:hint="eastAsia" w:ascii="宋体" w:hAnsi="宋体" w:cs="宋体"/>
          <w:szCs w:val="21"/>
        </w:rPr>
      </w:pPr>
      <w:r>
        <w:rPr>
          <w:rFonts w:hint="eastAsia" w:ascii="宋体" w:hAnsi="宋体" w:cs="宋体"/>
          <w:szCs w:val="21"/>
        </w:rPr>
        <w:t>（4）响应文件中的资格证明文件出现任一项不符合“供应商须知前附表”资格证明文件规定的“必须提供”的文件资料要求或者无效的；</w:t>
      </w:r>
    </w:p>
    <w:p w14:paraId="7BE157A8">
      <w:pPr>
        <w:spacing w:line="360" w:lineRule="auto"/>
        <w:ind w:firstLine="420" w:firstLineChars="200"/>
        <w:rPr>
          <w:rFonts w:hint="eastAsia" w:ascii="宋体" w:hAnsi="宋体" w:cs="宋体"/>
          <w:szCs w:val="21"/>
        </w:rPr>
      </w:pPr>
      <w:r>
        <w:rPr>
          <w:rFonts w:hint="eastAsia" w:ascii="宋体" w:hAnsi="宋体" w:cs="宋体"/>
          <w:szCs w:val="21"/>
        </w:rPr>
        <w:t>（5）同一合同项下的不同供应商，单位负责人为同一人或者存在直接控股、管理关系的；为本项目提供过整体设计、规范编制或者项目管理、监理、检测等服务的供应商，再参加该采购项目的其他采购活动的。</w:t>
      </w:r>
    </w:p>
    <w:p w14:paraId="5590B49D">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2.4通过资格审查的合格供应商不足3家（本章3.7条规定除外）的，不得进入符合性审查环节，应当重新开展采购活动。</w:t>
      </w:r>
    </w:p>
    <w:p w14:paraId="128B3D81">
      <w:pPr>
        <w:spacing w:line="360" w:lineRule="auto"/>
        <w:ind w:firstLine="482" w:firstLineChars="200"/>
        <w:rPr>
          <w:rFonts w:hint="eastAsia" w:ascii="宋体" w:hAnsi="宋体" w:cs="宋体"/>
          <w:b/>
          <w:bCs/>
          <w:sz w:val="24"/>
        </w:rPr>
      </w:pPr>
      <w:r>
        <w:rPr>
          <w:rFonts w:hint="eastAsia" w:ascii="宋体" w:hAnsi="宋体" w:cs="宋体"/>
          <w:b/>
          <w:bCs/>
          <w:sz w:val="24"/>
        </w:rPr>
        <w:t>3.符合性审查</w:t>
      </w:r>
    </w:p>
    <w:p w14:paraId="6CB32A63">
      <w:pPr>
        <w:spacing w:line="360" w:lineRule="auto"/>
        <w:ind w:firstLine="420" w:firstLineChars="200"/>
        <w:rPr>
          <w:rFonts w:hint="eastAsia" w:ascii="宋体" w:hAnsi="宋体" w:cs="宋体"/>
          <w:szCs w:val="21"/>
        </w:rPr>
      </w:pPr>
      <w:r>
        <w:rPr>
          <w:rFonts w:hint="eastAsia" w:ascii="宋体" w:hAnsi="宋体" w:cs="宋体"/>
          <w:szCs w:val="21"/>
        </w:rPr>
        <w:t>3.1谈判小组应当对符合资格的供应商的响应文件进行竞标报价、商务、技术等实质性要求符合性审查，以确定其是否满足谈判文件的实质性要求。</w:t>
      </w:r>
    </w:p>
    <w:p w14:paraId="291B542C">
      <w:pPr>
        <w:spacing w:line="360" w:lineRule="auto"/>
        <w:ind w:firstLine="420" w:firstLineChars="200"/>
        <w:rPr>
          <w:rFonts w:hint="eastAsia" w:ascii="宋体" w:hAnsi="宋体" w:cs="宋体"/>
          <w:szCs w:val="21"/>
        </w:rPr>
      </w:pPr>
      <w:r>
        <w:rPr>
          <w:rFonts w:hint="eastAsia" w:ascii="宋体" w:hAnsi="宋体" w:cs="宋体"/>
          <w:szCs w:val="21"/>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931D8FC">
      <w:pPr>
        <w:spacing w:line="360" w:lineRule="auto"/>
        <w:ind w:firstLine="420" w:firstLineChars="200"/>
        <w:rPr>
          <w:rFonts w:hint="eastAsia" w:ascii="宋体" w:hAnsi="宋体" w:cs="宋体"/>
          <w:spacing w:val="-6"/>
          <w:szCs w:val="21"/>
        </w:rPr>
      </w:pPr>
      <w:r>
        <w:rPr>
          <w:rFonts w:hint="eastAsia" w:ascii="宋体" w:hAnsi="宋体" w:cs="宋体"/>
          <w:szCs w:val="21"/>
        </w:rPr>
        <w:t>3.3谈判小组要求供应商澄清、说明或者更正响应文件应当以电子澄清函形式作出。供应商的澄清、说明或者更正应当已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ascii="宋体" w:hAnsi="宋体" w:cs="宋体"/>
        </w:rPr>
        <w:t>签章</w:t>
      </w:r>
      <w:r>
        <w:rPr>
          <w:rFonts w:hint="eastAsia" w:ascii="宋体" w:hAnsi="宋体" w:cs="宋体"/>
          <w:spacing w:val="-6"/>
          <w:szCs w:val="21"/>
        </w:rPr>
        <w:t>。</w:t>
      </w:r>
    </w:p>
    <w:p w14:paraId="21E54E63">
      <w:pPr>
        <w:spacing w:line="360" w:lineRule="auto"/>
        <w:ind w:firstLine="420" w:firstLineChars="200"/>
        <w:rPr>
          <w:rFonts w:hint="eastAsia" w:ascii="宋体" w:hAnsi="宋体" w:cs="宋体"/>
          <w:szCs w:val="21"/>
        </w:rPr>
      </w:pPr>
      <w:r>
        <w:rPr>
          <w:rFonts w:hint="eastAsia" w:ascii="宋体" w:hAnsi="宋体" w:cs="宋体"/>
          <w:szCs w:val="21"/>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50AD7F4B">
      <w:pPr>
        <w:spacing w:line="360" w:lineRule="auto"/>
        <w:ind w:firstLine="396" w:firstLineChars="200"/>
        <w:rPr>
          <w:rFonts w:hint="eastAsia"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14:paraId="409B3659">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192ECC28">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4691C0D4">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2CB23371">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29261B65">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05A33BFB">
      <w:pPr>
        <w:spacing w:line="360" w:lineRule="auto"/>
        <w:ind w:firstLine="420" w:firstLineChars="200"/>
        <w:rPr>
          <w:rFonts w:hint="eastAsia" w:ascii="宋体" w:hAnsi="宋体" w:cs="宋体"/>
          <w:szCs w:val="21"/>
        </w:rPr>
      </w:pPr>
      <w:r>
        <w:rPr>
          <w:rFonts w:hint="eastAsia" w:ascii="宋体" w:hAnsi="宋体" w:cs="宋体"/>
          <w:szCs w:val="21"/>
        </w:rPr>
        <w:t>3.5商务技术报价评审</w:t>
      </w:r>
    </w:p>
    <w:p w14:paraId="7ADCA2FC">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4E2A5B39">
      <w:pPr>
        <w:spacing w:line="360" w:lineRule="auto"/>
        <w:ind w:firstLine="420" w:firstLineChars="200"/>
        <w:rPr>
          <w:rFonts w:hint="eastAsia" w:ascii="宋体" w:hAnsi="宋体" w:cs="宋体"/>
          <w:szCs w:val="21"/>
        </w:rPr>
      </w:pPr>
      <w:r>
        <w:rPr>
          <w:rFonts w:hint="eastAsia" w:ascii="宋体" w:hAnsi="宋体" w:cs="宋体"/>
          <w:szCs w:val="21"/>
        </w:rPr>
        <w:t>（1）商务技术评审</w:t>
      </w:r>
    </w:p>
    <w:p w14:paraId="0EF79FDD">
      <w:pPr>
        <w:spacing w:line="360" w:lineRule="auto"/>
        <w:ind w:firstLine="420" w:firstLineChars="200"/>
        <w:rPr>
          <w:rFonts w:hint="eastAsia" w:ascii="宋体" w:hAnsi="宋体" w:cs="宋体"/>
          <w:szCs w:val="21"/>
        </w:rPr>
      </w:pPr>
      <w:r>
        <w:rPr>
          <w:rFonts w:hint="eastAsia" w:ascii="宋体" w:hAnsi="宋体" w:cs="宋体"/>
          <w:szCs w:val="21"/>
        </w:rPr>
        <w:t>1）响应文件未按谈判文件要求签署、盖章的；</w:t>
      </w:r>
    </w:p>
    <w:p w14:paraId="5B764DB9">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2）委托代理人未能出具有效身份证或者出具的身份证与授权委托书中的信息不符的； </w:t>
      </w:r>
    </w:p>
    <w:p w14:paraId="5F48D196">
      <w:pPr>
        <w:spacing w:line="360" w:lineRule="auto"/>
        <w:ind w:firstLine="420" w:firstLineChars="200"/>
        <w:rPr>
          <w:rFonts w:hint="eastAsia" w:ascii="宋体" w:hAnsi="宋体" w:cs="宋体"/>
          <w:szCs w:val="21"/>
        </w:rPr>
      </w:pPr>
      <w:r>
        <w:rPr>
          <w:rFonts w:hint="eastAsia" w:ascii="宋体" w:hAnsi="宋体" w:cs="宋体"/>
          <w:szCs w:val="21"/>
        </w:rPr>
        <w:t>3）提交的竞标保证金无效的或者未按照谈判文件的规定提交竞标保证金；</w:t>
      </w:r>
    </w:p>
    <w:p w14:paraId="18852084">
      <w:pPr>
        <w:spacing w:line="360" w:lineRule="auto"/>
        <w:ind w:firstLine="420" w:firstLineChars="200"/>
        <w:rPr>
          <w:rFonts w:hint="eastAsia" w:ascii="宋体" w:hAnsi="宋体" w:cs="宋体"/>
          <w:szCs w:val="21"/>
        </w:rPr>
      </w:pPr>
      <w:r>
        <w:rPr>
          <w:rFonts w:hint="eastAsia" w:ascii="宋体" w:hAnsi="宋体" w:cs="宋体"/>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0F9AAFD">
      <w:pPr>
        <w:spacing w:line="360" w:lineRule="auto"/>
        <w:ind w:firstLine="420" w:firstLineChars="200"/>
        <w:rPr>
          <w:rFonts w:hint="eastAsia" w:ascii="宋体" w:hAnsi="宋体" w:cs="宋体"/>
          <w:szCs w:val="21"/>
        </w:rPr>
      </w:pPr>
      <w:r>
        <w:rPr>
          <w:rFonts w:hint="eastAsia" w:ascii="宋体" w:hAnsi="宋体" w:cs="宋体"/>
          <w:szCs w:val="21"/>
        </w:rPr>
        <w:t>5）商务要求允许负偏离的条款数超过“供应商须知前附表”规定项数的；</w:t>
      </w:r>
    </w:p>
    <w:p w14:paraId="53195770">
      <w:pPr>
        <w:spacing w:line="360" w:lineRule="auto"/>
        <w:ind w:firstLine="420" w:firstLineChars="200"/>
        <w:rPr>
          <w:rFonts w:hint="eastAsia" w:ascii="宋体" w:hAnsi="宋体" w:cs="宋体"/>
          <w:szCs w:val="21"/>
        </w:rPr>
      </w:pPr>
      <w:r>
        <w:rPr>
          <w:rFonts w:hint="eastAsia" w:ascii="宋体" w:hAnsi="宋体" w:cs="宋体"/>
          <w:szCs w:val="21"/>
        </w:rPr>
        <w:t>6）未对竞标有效期作出响应或者响应文件承诺的竞标有效期不满足谈判文件要求；</w:t>
      </w:r>
    </w:p>
    <w:p w14:paraId="613C7AF1">
      <w:pPr>
        <w:spacing w:line="360" w:lineRule="auto"/>
        <w:ind w:firstLine="420" w:firstLineChars="200"/>
        <w:rPr>
          <w:rFonts w:hint="eastAsia" w:ascii="宋体" w:hAnsi="宋体" w:cs="宋体"/>
          <w:szCs w:val="21"/>
        </w:rPr>
      </w:pPr>
      <w:r>
        <w:rPr>
          <w:rFonts w:hint="eastAsia" w:ascii="宋体" w:hAnsi="宋体" w:cs="宋体"/>
          <w:szCs w:val="21"/>
        </w:rPr>
        <w:t>7）响应文件的实质性内容未使用中文表述、使用计量单位不符合谈判文件要求的；</w:t>
      </w:r>
    </w:p>
    <w:p w14:paraId="1D642017">
      <w:pPr>
        <w:spacing w:line="360" w:lineRule="auto"/>
        <w:ind w:firstLine="420" w:firstLineChars="200"/>
        <w:rPr>
          <w:rFonts w:hint="eastAsia" w:ascii="宋体" w:hAnsi="宋体" w:cs="宋体"/>
          <w:szCs w:val="21"/>
        </w:rPr>
      </w:pPr>
      <w:r>
        <w:rPr>
          <w:rFonts w:hint="eastAsia" w:ascii="宋体" w:hAnsi="宋体" w:cs="宋体"/>
          <w:szCs w:val="21"/>
        </w:rPr>
        <w:t>8）响应文件中的文件资料因填写不齐全或者内容虚假或者出现其他情形而导致被谈判小组认定无效的；</w:t>
      </w:r>
    </w:p>
    <w:p w14:paraId="4CACB952">
      <w:pPr>
        <w:spacing w:line="360" w:lineRule="auto"/>
        <w:ind w:firstLine="420" w:firstLineChars="200"/>
        <w:rPr>
          <w:rFonts w:hint="eastAsia" w:ascii="宋体" w:hAnsi="宋体" w:cs="宋体"/>
          <w:szCs w:val="21"/>
        </w:rPr>
      </w:pPr>
      <w:r>
        <w:rPr>
          <w:rFonts w:hint="eastAsia" w:ascii="宋体" w:hAnsi="宋体" w:cs="宋体"/>
          <w:szCs w:val="21"/>
        </w:rPr>
        <w:t>9）响应文件含有采购人不能接受的附加条件的；</w:t>
      </w:r>
    </w:p>
    <w:p w14:paraId="2214CA8E">
      <w:pPr>
        <w:spacing w:line="360" w:lineRule="auto"/>
        <w:ind w:firstLine="420" w:firstLineChars="200"/>
        <w:rPr>
          <w:rFonts w:hint="eastAsia" w:ascii="宋体" w:hAnsi="宋体" w:cs="宋体"/>
          <w:szCs w:val="21"/>
        </w:rPr>
      </w:pPr>
      <w:r>
        <w:rPr>
          <w:rFonts w:hint="eastAsia" w:ascii="宋体" w:hAnsi="宋体" w:cs="宋体"/>
          <w:szCs w:val="21"/>
        </w:rPr>
        <w:t>10）属于“供应商须知正文”第7.5条的情形的；</w:t>
      </w:r>
    </w:p>
    <w:p w14:paraId="70909691">
      <w:pPr>
        <w:spacing w:line="360" w:lineRule="auto"/>
        <w:ind w:firstLine="420" w:firstLineChars="200"/>
        <w:rPr>
          <w:rFonts w:hint="eastAsia" w:ascii="宋体" w:hAnsi="宋体" w:cs="宋体"/>
          <w:szCs w:val="21"/>
        </w:rPr>
      </w:pPr>
      <w:r>
        <w:rPr>
          <w:rFonts w:hint="eastAsia" w:ascii="宋体" w:hAnsi="宋体" w:cs="宋体"/>
          <w:szCs w:val="21"/>
        </w:rPr>
        <w:t>11）技术评审允许负偏离的条款数超过“供应商须知前附表”规定项数的；</w:t>
      </w:r>
    </w:p>
    <w:p w14:paraId="33C6BF09">
      <w:pPr>
        <w:spacing w:line="360" w:lineRule="auto"/>
        <w:ind w:firstLine="420" w:firstLineChars="200"/>
        <w:rPr>
          <w:rFonts w:hint="eastAsia" w:ascii="宋体" w:hAnsi="宋体" w:cs="宋体"/>
          <w:szCs w:val="21"/>
        </w:rPr>
      </w:pPr>
      <w:r>
        <w:rPr>
          <w:rFonts w:hint="eastAsia" w:ascii="宋体" w:hAnsi="宋体" w:cs="宋体"/>
          <w:szCs w:val="21"/>
        </w:rPr>
        <w:t>12）虚假竞标，或者出现其他情形而导致被谈判小组认定无效的；</w:t>
      </w:r>
    </w:p>
    <w:p w14:paraId="23F66D02">
      <w:pPr>
        <w:spacing w:line="360" w:lineRule="auto"/>
        <w:ind w:firstLine="420" w:firstLineChars="200"/>
        <w:rPr>
          <w:rFonts w:hint="eastAsia" w:ascii="宋体" w:hAnsi="宋体" w:cs="宋体"/>
          <w:szCs w:val="21"/>
        </w:rPr>
      </w:pPr>
      <w:r>
        <w:rPr>
          <w:rFonts w:hint="eastAsia" w:ascii="宋体" w:hAnsi="宋体" w:cs="宋体"/>
          <w:szCs w:val="21"/>
        </w:rPr>
        <w:t>13）</w:t>
      </w:r>
      <w:bookmarkStart w:id="74" w:name="_Hlk71704147"/>
      <w:r>
        <w:rPr>
          <w:rFonts w:hint="eastAsia" w:ascii="宋体" w:hAnsi="宋体" w:cs="宋体"/>
          <w:szCs w:val="21"/>
        </w:rPr>
        <w:t>谈判文件未载明允许提供备选（替代）竞标方案或明确不允许提供备选（替代）竞标方案时，供应商提供了备选（替代）竞标方案的；</w:t>
      </w:r>
      <w:bookmarkEnd w:id="74"/>
    </w:p>
    <w:p w14:paraId="653FC6AA">
      <w:pPr>
        <w:spacing w:line="360" w:lineRule="auto"/>
        <w:ind w:firstLine="420" w:firstLineChars="200"/>
        <w:rPr>
          <w:rFonts w:hint="eastAsia" w:ascii="宋体" w:hAnsi="宋体" w:cs="宋体"/>
          <w:szCs w:val="21"/>
        </w:rPr>
      </w:pPr>
      <w:r>
        <w:rPr>
          <w:rFonts w:hint="eastAsia" w:ascii="宋体" w:hAnsi="宋体" w:cs="宋体"/>
          <w:szCs w:val="21"/>
        </w:rPr>
        <w:t>14）响应文件标注的项目名称或者项目编号与谈判文件标注的项目名称或者项目编号不一致的；</w:t>
      </w:r>
    </w:p>
    <w:p w14:paraId="0875FF9B">
      <w:pPr>
        <w:spacing w:line="360" w:lineRule="auto"/>
        <w:ind w:firstLine="420" w:firstLineChars="200"/>
        <w:rPr>
          <w:rFonts w:hint="eastAsia" w:ascii="宋体" w:hAnsi="宋体" w:cs="宋体"/>
          <w:szCs w:val="21"/>
        </w:rPr>
      </w:pPr>
      <w:r>
        <w:rPr>
          <w:rFonts w:hint="eastAsia" w:ascii="宋体" w:hAnsi="宋体" w:cs="宋体"/>
          <w:szCs w:val="21"/>
        </w:rPr>
        <w:t>15）谈判文件明确不允许分包，响应文件拟分包的；</w:t>
      </w:r>
    </w:p>
    <w:p w14:paraId="698803C8">
      <w:pPr>
        <w:spacing w:line="360" w:lineRule="auto"/>
        <w:ind w:firstLine="420" w:firstLineChars="200"/>
        <w:rPr>
          <w:rFonts w:hint="eastAsia" w:ascii="宋体" w:hAnsi="宋体" w:cs="宋体"/>
          <w:szCs w:val="21"/>
        </w:rPr>
      </w:pPr>
      <w:r>
        <w:rPr>
          <w:rFonts w:hint="eastAsia" w:ascii="宋体" w:hAnsi="宋体" w:cs="宋体"/>
          <w:szCs w:val="21"/>
        </w:rPr>
        <w:t>16）未响应谈判文件实质性要求；</w:t>
      </w:r>
    </w:p>
    <w:p w14:paraId="63A47215">
      <w:pPr>
        <w:spacing w:line="360" w:lineRule="auto"/>
        <w:ind w:firstLine="420" w:firstLineChars="200"/>
        <w:rPr>
          <w:rFonts w:hint="eastAsia" w:ascii="宋体" w:hAnsi="宋体" w:cs="宋体"/>
          <w:szCs w:val="21"/>
        </w:rPr>
      </w:pPr>
      <w:r>
        <w:rPr>
          <w:rFonts w:hint="eastAsia" w:ascii="宋体" w:hAnsi="宋体" w:cs="宋体"/>
          <w:szCs w:val="21"/>
        </w:rPr>
        <w:t>17）法律、法规和谈判文件规定的其他无效情形。</w:t>
      </w:r>
    </w:p>
    <w:p w14:paraId="1D13F46A">
      <w:pPr>
        <w:spacing w:line="360" w:lineRule="auto"/>
        <w:ind w:firstLine="420" w:firstLineChars="200"/>
        <w:rPr>
          <w:rFonts w:hint="eastAsia" w:ascii="宋体" w:hAnsi="宋体" w:cs="宋体"/>
          <w:szCs w:val="21"/>
        </w:rPr>
      </w:pPr>
      <w:r>
        <w:rPr>
          <w:rFonts w:hint="eastAsia" w:ascii="宋体" w:hAnsi="宋体" w:cs="宋体"/>
          <w:szCs w:val="21"/>
        </w:rPr>
        <w:t>（2）报价评审</w:t>
      </w:r>
    </w:p>
    <w:p w14:paraId="0D2D5E53">
      <w:pPr>
        <w:spacing w:line="360" w:lineRule="auto"/>
        <w:ind w:firstLine="420" w:firstLineChars="200"/>
        <w:rPr>
          <w:rFonts w:hint="eastAsia" w:ascii="宋体" w:hAnsi="宋体" w:cs="宋体"/>
          <w:szCs w:val="21"/>
        </w:rPr>
      </w:pPr>
      <w:r>
        <w:rPr>
          <w:rFonts w:hint="eastAsia" w:ascii="宋体" w:hAnsi="宋体" w:cs="宋体"/>
          <w:szCs w:val="21"/>
        </w:rPr>
        <w:t>1）响应文件未提供“供应商须知前附表”报价文件中规定的“竞标报价表”的；</w:t>
      </w:r>
    </w:p>
    <w:p w14:paraId="161F0D44">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2）未采用人民币报价或者未按照谈判文件标明的币种报价的；</w:t>
      </w:r>
    </w:p>
    <w:p w14:paraId="014D4D64">
      <w:pPr>
        <w:spacing w:line="360" w:lineRule="auto"/>
        <w:ind w:firstLine="420" w:firstLineChars="200"/>
        <w:rPr>
          <w:rFonts w:hint="eastAsia"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完整唯一总价报价；供应商响应文件中存在有选择、有条件报价的（谈判文件允许有备选方案或者其他约定的除外）；</w:t>
      </w:r>
    </w:p>
    <w:p w14:paraId="25E8401B">
      <w:pPr>
        <w:spacing w:line="360" w:lineRule="auto"/>
        <w:ind w:firstLine="420" w:firstLineChars="200"/>
        <w:rPr>
          <w:rFonts w:hint="eastAsia" w:ascii="宋体" w:hAnsi="宋体" w:cs="宋体"/>
          <w:szCs w:val="21"/>
        </w:rPr>
      </w:pPr>
      <w:r>
        <w:rPr>
          <w:rFonts w:hint="eastAsia" w:ascii="宋体" w:hAnsi="宋体" w:cs="宋体"/>
          <w:szCs w:val="21"/>
        </w:rPr>
        <w:t>4）竞标报价（包含首次报价、最后报价）超过所竞标分标规定的采购预算金额或者最高限价的（如本项目公布了最高限价）；竞标报价（包含首次报价、最后报价）超过谈判文件分项采购预算金额或者最高限价的（如本项目公布了最高限价）；</w:t>
      </w:r>
    </w:p>
    <w:p w14:paraId="37BBF1FC">
      <w:pPr>
        <w:spacing w:line="360" w:lineRule="auto"/>
        <w:ind w:firstLine="420" w:firstLineChars="200"/>
        <w:rPr>
          <w:rFonts w:hint="eastAsia" w:ascii="宋体" w:hAnsi="宋体" w:cs="宋体"/>
          <w:szCs w:val="21"/>
        </w:rPr>
      </w:pPr>
      <w:r>
        <w:rPr>
          <w:rFonts w:hint="eastAsia" w:ascii="宋体" w:hAnsi="宋体" w:cs="宋体"/>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谈判文件分项采购预算金额或者最高限价的（如本项目公布了最高限价）。</w:t>
      </w:r>
    </w:p>
    <w:p w14:paraId="77699403">
      <w:pPr>
        <w:spacing w:line="360" w:lineRule="auto"/>
        <w:ind w:firstLine="420" w:firstLineChars="200"/>
        <w:rPr>
          <w:rFonts w:hint="eastAsia" w:ascii="宋体" w:hAnsi="宋体" w:cs="宋体"/>
          <w:szCs w:val="21"/>
        </w:rPr>
      </w:pPr>
      <w:r>
        <w:rPr>
          <w:rFonts w:hint="eastAsia" w:ascii="宋体" w:hAnsi="宋体" w:cs="宋体"/>
          <w:szCs w:val="21"/>
        </w:rPr>
        <w:t>6）响应文件响应的标的数量及单位与竞争性谈判采购文件要求实质性不一致的。</w:t>
      </w:r>
    </w:p>
    <w:p w14:paraId="5A3D8C6A">
      <w:pPr>
        <w:spacing w:line="360" w:lineRule="auto"/>
        <w:ind w:firstLine="422" w:firstLineChars="200"/>
        <w:rPr>
          <w:rFonts w:hint="eastAsia" w:ascii="宋体" w:hAnsi="宋体" w:cs="宋体"/>
          <w:b/>
          <w:bCs/>
          <w:szCs w:val="21"/>
        </w:rPr>
      </w:pPr>
      <w:r>
        <w:rPr>
          <w:rFonts w:hint="eastAsia" w:ascii="宋体" w:hAnsi="宋体" w:cs="宋体"/>
          <w:b/>
          <w:bCs/>
          <w:szCs w:val="21"/>
        </w:rPr>
        <w:t>7）安全文明施工费和规费、增值税不按广西区费用定额及造价管理相关文件规定报价的（园林绿化及仿古建筑工程除外）（适用于B分标）；</w:t>
      </w:r>
    </w:p>
    <w:p w14:paraId="41C41A7C">
      <w:pPr>
        <w:spacing w:line="360" w:lineRule="auto"/>
        <w:ind w:firstLine="422" w:firstLineChars="200"/>
        <w:rPr>
          <w:rFonts w:hint="eastAsia" w:ascii="宋体" w:hAnsi="宋体" w:cs="宋体"/>
          <w:b/>
          <w:bCs/>
          <w:szCs w:val="21"/>
        </w:rPr>
      </w:pPr>
      <w:r>
        <w:rPr>
          <w:rFonts w:hint="eastAsia" w:ascii="宋体" w:hAnsi="宋体" w:cs="宋体"/>
          <w:b/>
          <w:bCs/>
          <w:szCs w:val="21"/>
        </w:rPr>
        <w:t>8）供应商已标价工程量清单的项目编码（12 位）、计量单位、工程量任何一处与工程量清单不一致的（适用于B分标）；</w:t>
      </w:r>
    </w:p>
    <w:p w14:paraId="2C393605">
      <w:pPr>
        <w:spacing w:line="360" w:lineRule="auto"/>
        <w:ind w:firstLine="422" w:firstLineChars="200"/>
        <w:rPr>
          <w:rFonts w:hint="eastAsia" w:ascii="宋体" w:hAnsi="宋体" w:cs="宋体"/>
          <w:b/>
          <w:bCs/>
          <w:szCs w:val="21"/>
        </w:rPr>
      </w:pPr>
      <w:r>
        <w:rPr>
          <w:rFonts w:hint="eastAsia" w:ascii="宋体" w:hAnsi="宋体" w:cs="宋体"/>
          <w:b/>
          <w:bCs/>
          <w:szCs w:val="21"/>
        </w:rPr>
        <w:t>9）供应商已标价工程量清单的项目名称或项目特征与工程量清单不一致，谈判小组要求澄清、说明或补正，但供应商拒绝澄清、说明或补正的（适用于B分标）；</w:t>
      </w:r>
    </w:p>
    <w:p w14:paraId="6F785496">
      <w:pPr>
        <w:spacing w:line="360" w:lineRule="auto"/>
        <w:ind w:firstLine="422" w:firstLineChars="200"/>
        <w:rPr>
          <w:rFonts w:hint="eastAsia" w:ascii="宋体" w:hAnsi="宋体" w:cs="宋体"/>
          <w:b/>
          <w:bCs/>
          <w:szCs w:val="21"/>
        </w:rPr>
      </w:pPr>
      <w:r>
        <w:rPr>
          <w:rFonts w:hint="eastAsia" w:ascii="宋体" w:hAnsi="宋体" w:cs="宋体"/>
          <w:b/>
          <w:bCs/>
          <w:szCs w:val="21"/>
        </w:rPr>
        <w:t>10）设有暂估价、暂列金额的，竞标时未按工程量清单给出的暂估价总价、暂列金额总价计入竞标总报价中的（适用于B分标）；</w:t>
      </w:r>
    </w:p>
    <w:p w14:paraId="1DD2F2C9">
      <w:pPr>
        <w:spacing w:line="360" w:lineRule="auto"/>
        <w:ind w:firstLine="422" w:firstLineChars="200"/>
        <w:rPr>
          <w:rFonts w:hint="eastAsia" w:ascii="宋体" w:hAnsi="宋体" w:cs="宋体"/>
          <w:b/>
          <w:bCs/>
          <w:szCs w:val="21"/>
        </w:rPr>
      </w:pPr>
      <w:r>
        <w:rPr>
          <w:rFonts w:hint="eastAsia" w:ascii="宋体" w:hAnsi="宋体" w:cs="宋体"/>
          <w:b/>
          <w:bCs/>
          <w:szCs w:val="21"/>
        </w:rPr>
        <w:t>11）供应商对工程量清单内容进行增减或对竞标范围进行调整的（适用于B分标）；</w:t>
      </w:r>
    </w:p>
    <w:p w14:paraId="55A365CB">
      <w:pPr>
        <w:spacing w:line="360" w:lineRule="auto"/>
        <w:ind w:firstLine="420" w:firstLineChars="200"/>
        <w:rPr>
          <w:rFonts w:hint="eastAsia" w:ascii="宋体" w:hAnsi="宋体" w:cs="宋体"/>
          <w:szCs w:val="21"/>
        </w:rPr>
      </w:pPr>
      <w:r>
        <w:rPr>
          <w:rFonts w:hint="eastAsia" w:ascii="宋体" w:hAnsi="宋体" w:cs="宋体"/>
          <w:szCs w:val="21"/>
        </w:rPr>
        <w:t>3.6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37F46D9D">
      <w:pPr>
        <w:spacing w:line="360" w:lineRule="auto"/>
        <w:ind w:firstLine="420" w:firstLineChars="200"/>
        <w:rPr>
          <w:rFonts w:hint="eastAsia" w:ascii="宋体" w:hAnsi="宋体" w:cs="宋体"/>
          <w:szCs w:val="21"/>
        </w:rPr>
      </w:pPr>
      <w:r>
        <w:rPr>
          <w:rFonts w:hint="eastAsia" w:ascii="宋体" w:hAnsi="宋体" w:cs="宋体"/>
          <w:szCs w:val="21"/>
        </w:rPr>
        <w:t>3.7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4209C198">
      <w:pPr>
        <w:spacing w:line="360" w:lineRule="auto"/>
        <w:ind w:firstLine="420" w:firstLineChars="200"/>
        <w:rPr>
          <w:rFonts w:hint="eastAsia" w:ascii="宋体" w:hAnsi="宋体" w:cs="宋体"/>
          <w:szCs w:val="21"/>
        </w:rPr>
      </w:pPr>
      <w:r>
        <w:rPr>
          <w:rFonts w:hint="eastAsia" w:ascii="宋体" w:hAnsi="宋体" w:cs="宋体"/>
          <w:szCs w:val="21"/>
        </w:rPr>
        <w:t>3.8除本章3.7条规定的情形外，通过符合性审查的合格供应商不足3家的，不得进入谈判环节，应当重新开展采购活动。</w:t>
      </w:r>
    </w:p>
    <w:p w14:paraId="05F9630D">
      <w:pPr>
        <w:spacing w:line="360" w:lineRule="auto"/>
        <w:ind w:firstLine="482" w:firstLineChars="200"/>
        <w:rPr>
          <w:rFonts w:hint="eastAsia" w:ascii="宋体" w:hAnsi="宋体" w:cs="宋体"/>
          <w:b/>
          <w:bCs/>
          <w:sz w:val="24"/>
        </w:rPr>
      </w:pPr>
      <w:r>
        <w:rPr>
          <w:rFonts w:hint="eastAsia" w:ascii="宋体" w:hAnsi="宋体" w:cs="宋体"/>
          <w:b/>
          <w:bCs/>
          <w:sz w:val="24"/>
        </w:rPr>
        <w:t>4.谈判程序</w:t>
      </w:r>
    </w:p>
    <w:p w14:paraId="068273B2">
      <w:pPr>
        <w:spacing w:line="360" w:lineRule="auto"/>
        <w:ind w:firstLine="420" w:firstLineChars="200"/>
        <w:rPr>
          <w:rFonts w:hint="eastAsia" w:ascii="宋体" w:hAnsi="宋体" w:cs="宋体"/>
          <w:kern w:val="0"/>
          <w:szCs w:val="21"/>
        </w:rPr>
      </w:pPr>
      <w:r>
        <w:rPr>
          <w:rFonts w:hint="eastAsia" w:ascii="宋体" w:hAnsi="宋体" w:cs="宋体"/>
          <w:kern w:val="0"/>
          <w:szCs w:val="21"/>
        </w:rPr>
        <w:t>4.1谈判小组</w:t>
      </w:r>
      <w:r>
        <w:rPr>
          <w:rFonts w:hint="eastAsia" w:ascii="宋体" w:hAnsi="宋体" w:cs="宋体"/>
          <w:szCs w:val="21"/>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04A91F37">
      <w:pPr>
        <w:spacing w:line="360" w:lineRule="auto"/>
        <w:ind w:firstLine="420" w:firstLineChars="200"/>
        <w:rPr>
          <w:rFonts w:hint="eastAsia" w:ascii="宋体" w:hAnsi="宋体" w:cs="宋体"/>
          <w:szCs w:val="21"/>
        </w:rPr>
      </w:pPr>
      <w:r>
        <w:rPr>
          <w:rFonts w:hint="eastAsia" w:ascii="宋体" w:hAnsi="宋体" w:cs="宋体"/>
          <w:szCs w:val="21"/>
        </w:rPr>
        <w:t>4.2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1BBF5924">
      <w:pPr>
        <w:spacing w:line="360" w:lineRule="auto"/>
        <w:ind w:firstLine="420" w:firstLineChars="200"/>
        <w:rPr>
          <w:rFonts w:hint="eastAsia" w:ascii="宋体" w:hAnsi="宋体" w:cs="宋体"/>
          <w:szCs w:val="21"/>
        </w:rPr>
      </w:pPr>
      <w:r>
        <w:rPr>
          <w:rFonts w:hint="eastAsia" w:ascii="宋体" w:hAnsi="宋体" w:cs="宋体"/>
          <w:szCs w:val="21"/>
        </w:rPr>
        <w:t>4.3对谈判文件作出的实质性变动是谈判文件的有效组成部分，由谈判小组及时以电子澄清函形式同时通知所有参加谈判的供应商。</w:t>
      </w:r>
    </w:p>
    <w:p w14:paraId="618D84DA">
      <w:pPr>
        <w:spacing w:line="360" w:lineRule="auto"/>
        <w:ind w:firstLine="420" w:firstLineChars="200"/>
        <w:rPr>
          <w:rFonts w:hint="eastAsia" w:ascii="宋体" w:hAnsi="宋体" w:cs="宋体"/>
          <w:szCs w:val="21"/>
        </w:rPr>
      </w:pPr>
      <w:r>
        <w:rPr>
          <w:rFonts w:hint="eastAsia" w:ascii="宋体" w:hAnsi="宋体" w:cs="宋体"/>
          <w:szCs w:val="21"/>
        </w:rPr>
        <w:t>4.4供应商必须按照谈判文件的变动情况和谈判小组的要求以回函的形式重新提交响应文件，并加盖电子签章。参加谈判的供应商未在规定时间内重新提交响应文件的，视同退出谈判，其响应文件按无效处理。</w:t>
      </w:r>
    </w:p>
    <w:p w14:paraId="48EE17AE">
      <w:pPr>
        <w:spacing w:line="360" w:lineRule="auto"/>
        <w:ind w:firstLine="420" w:firstLineChars="200"/>
        <w:rPr>
          <w:rFonts w:hint="eastAsia" w:ascii="宋体" w:hAnsi="宋体" w:cs="宋体"/>
          <w:szCs w:val="21"/>
        </w:rPr>
      </w:pPr>
      <w:r>
        <w:rPr>
          <w:rFonts w:hint="eastAsia" w:ascii="宋体" w:hAnsi="宋体" w:cs="宋体"/>
          <w:szCs w:val="21"/>
        </w:rPr>
        <w:t>4.5谈判中，谈判的任何一方不得透露与谈判有关的其他供应商的技术资料、价格和其他信息。</w:t>
      </w:r>
    </w:p>
    <w:p w14:paraId="7C57D7E5">
      <w:pPr>
        <w:widowControl/>
        <w:tabs>
          <w:tab w:val="left" w:pos="540"/>
        </w:tabs>
        <w:spacing w:line="360" w:lineRule="auto"/>
        <w:ind w:firstLine="420" w:firstLineChars="200"/>
        <w:jc w:val="left"/>
        <w:rPr>
          <w:rFonts w:hint="eastAsia" w:ascii="宋体" w:hAnsi="宋体" w:cs="宋体"/>
          <w:szCs w:val="21"/>
        </w:rPr>
      </w:pPr>
      <w:r>
        <w:rPr>
          <w:rFonts w:hint="eastAsia" w:ascii="宋体" w:hAnsi="宋体" w:cs="宋体"/>
          <w:szCs w:val="21"/>
        </w:rPr>
        <w:t>4.6谈判小组应对谈判过程和重要谈判内容进行记录。</w:t>
      </w:r>
    </w:p>
    <w:p w14:paraId="65EC50C0">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4.7除本章第3.7条外，对谈判过程提交的响应文件进行有效性、完整性和响应程度审查，通过审查的合格供应商不足3家的，采购人或者采购代理机构应当重新开展采购活动。</w:t>
      </w:r>
    </w:p>
    <w:p w14:paraId="6C599A8E">
      <w:pPr>
        <w:spacing w:line="360" w:lineRule="auto"/>
        <w:ind w:firstLine="482" w:firstLineChars="200"/>
        <w:rPr>
          <w:rFonts w:hint="eastAsia" w:ascii="宋体" w:hAnsi="宋体" w:cs="宋体"/>
          <w:b/>
          <w:bCs/>
          <w:sz w:val="24"/>
        </w:rPr>
      </w:pPr>
      <w:r>
        <w:rPr>
          <w:rFonts w:hint="eastAsia" w:ascii="宋体" w:hAnsi="宋体" w:cs="宋体"/>
          <w:b/>
          <w:bCs/>
          <w:sz w:val="24"/>
        </w:rPr>
        <w:t>5. 最后报价</w:t>
      </w:r>
    </w:p>
    <w:p w14:paraId="36F2659F">
      <w:pPr>
        <w:spacing w:line="360" w:lineRule="auto"/>
        <w:ind w:firstLine="420" w:firstLineChars="200"/>
        <w:rPr>
          <w:rFonts w:hint="eastAsia" w:ascii="宋体" w:hAnsi="宋体" w:cs="宋体"/>
          <w:szCs w:val="21"/>
        </w:rPr>
      </w:pPr>
      <w:r>
        <w:rPr>
          <w:rFonts w:hint="eastAsia" w:ascii="宋体" w:hAnsi="宋体" w:cs="宋体"/>
          <w:szCs w:val="21"/>
        </w:rPr>
        <w:t>5.1谈判文件能够详细列明采购标的的技术、服务要求的，谈判结束后，谈判小组应当要求所有继续参加谈判的供应商在规定时间内在广西政府采购云平台开标大厅提交最后报价，除本章第3.7条外，提交最后报价的供应商不得少于3家，否则应当重新采购。</w:t>
      </w:r>
    </w:p>
    <w:p w14:paraId="0E0E58DD">
      <w:pPr>
        <w:spacing w:line="360" w:lineRule="auto"/>
        <w:ind w:firstLine="420" w:firstLineChars="200"/>
        <w:rPr>
          <w:rFonts w:hint="eastAsia" w:ascii="宋体" w:hAnsi="宋体" w:cs="宋体"/>
          <w:szCs w:val="21"/>
        </w:rPr>
      </w:pPr>
      <w:r>
        <w:rPr>
          <w:rFonts w:hint="eastAsia" w:ascii="宋体" w:hAnsi="宋体" w:cs="宋体"/>
          <w:szCs w:val="21"/>
        </w:rPr>
        <w:t>5.2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p>
    <w:p w14:paraId="4CC0EC3E">
      <w:pPr>
        <w:spacing w:line="360" w:lineRule="auto"/>
        <w:ind w:firstLine="422" w:firstLineChars="200"/>
        <w:rPr>
          <w:rFonts w:hint="eastAsia" w:ascii="宋体" w:hAnsi="宋体" w:cs="宋体"/>
          <w:b/>
          <w:bCs/>
          <w:szCs w:val="21"/>
        </w:rPr>
      </w:pPr>
      <w:r>
        <w:rPr>
          <w:rFonts w:hint="eastAsia" w:ascii="宋体" w:hAnsi="宋体" w:cs="宋体"/>
          <w:b/>
          <w:bCs/>
          <w:szCs w:val="21"/>
        </w:rPr>
        <w:t>5.3供应商在规定时间内在广西政府采购云平台（https://www.zcygov.cn/）提交最后报价。如果供应商的最后报价与首次报价不一致的，不能只报竞标总报价，必须同时提供调整后的“已标价工程量清单”，以附件提交，否则作无效响应处理（适用于B分标）。</w:t>
      </w:r>
    </w:p>
    <w:p w14:paraId="610BC8AD">
      <w:pPr>
        <w:spacing w:line="360" w:lineRule="auto"/>
        <w:ind w:firstLine="422" w:firstLineChars="200"/>
        <w:rPr>
          <w:rFonts w:hint="eastAsia" w:ascii="宋体" w:hAnsi="宋体" w:cs="宋体"/>
          <w:b/>
          <w:bCs/>
          <w:szCs w:val="21"/>
        </w:rPr>
      </w:pPr>
      <w:r>
        <w:rPr>
          <w:rFonts w:hint="eastAsia" w:ascii="宋体" w:hAnsi="宋体" w:cs="宋体"/>
          <w:b/>
          <w:bCs/>
          <w:szCs w:val="21"/>
        </w:rPr>
        <w:t>各供应商必须提前做好相关准备并按时递交最后报价文件，最后报价高于采购预算或本项目的控制价的响应文件作无效响应处理。</w:t>
      </w:r>
    </w:p>
    <w:p w14:paraId="2DF140F3">
      <w:pPr>
        <w:spacing w:line="360" w:lineRule="auto"/>
        <w:ind w:firstLine="420" w:firstLineChars="200"/>
        <w:rPr>
          <w:rFonts w:hint="eastAsia" w:ascii="宋体" w:hAnsi="宋体" w:cs="宋体"/>
          <w:szCs w:val="21"/>
        </w:rPr>
      </w:pPr>
      <w:r>
        <w:rPr>
          <w:rFonts w:hint="eastAsia" w:ascii="宋体" w:hAnsi="宋体" w:cs="宋体"/>
          <w:szCs w:val="21"/>
        </w:rPr>
        <w:t>5.4最后报价是供应商响应文件的有效组成部分。</w:t>
      </w:r>
    </w:p>
    <w:p w14:paraId="2891A29C">
      <w:pPr>
        <w:spacing w:line="360" w:lineRule="auto"/>
        <w:ind w:firstLine="420" w:firstLineChars="200"/>
        <w:rPr>
          <w:rFonts w:hint="eastAsia" w:ascii="宋体" w:hAnsi="宋体" w:cs="宋体"/>
          <w:szCs w:val="21"/>
        </w:rPr>
      </w:pPr>
      <w:r>
        <w:rPr>
          <w:rFonts w:hint="eastAsia" w:ascii="宋体" w:hAnsi="宋体" w:cs="宋体"/>
          <w:szCs w:val="21"/>
        </w:rPr>
        <w:t>5.5已经提交响应文件的供应商，在提交最后报价之前，可以根据谈判情况退出谈判，退出谈判的供应商的响应文件按无效响应处理。采购人、采购代理机构将退还退出谈判的供应商的保证金。</w:t>
      </w:r>
    </w:p>
    <w:p w14:paraId="055C2A02">
      <w:pPr>
        <w:spacing w:line="360" w:lineRule="auto"/>
        <w:ind w:firstLine="420" w:firstLineChars="200"/>
        <w:rPr>
          <w:rFonts w:hint="eastAsia" w:ascii="宋体" w:hAnsi="宋体" w:cs="宋体"/>
          <w:szCs w:val="21"/>
        </w:rPr>
      </w:pPr>
      <w:r>
        <w:rPr>
          <w:rFonts w:hint="eastAsia" w:ascii="宋体" w:hAnsi="宋体" w:cs="宋体"/>
          <w:szCs w:val="21"/>
        </w:rPr>
        <w:t>5.6供应商未在规定时间内提交最后报价的，视为退出谈判，其响应文件按无效处理。</w:t>
      </w:r>
    </w:p>
    <w:p w14:paraId="4ED7895C">
      <w:pPr>
        <w:spacing w:line="360" w:lineRule="auto"/>
        <w:ind w:firstLine="420" w:firstLineChars="200"/>
        <w:rPr>
          <w:rFonts w:hint="eastAsia" w:ascii="宋体" w:hAnsi="宋体" w:cs="宋体"/>
          <w:szCs w:val="21"/>
        </w:rPr>
      </w:pPr>
      <w:r>
        <w:rPr>
          <w:rFonts w:hint="eastAsia" w:ascii="宋体" w:hAnsi="宋体" w:cs="宋体"/>
          <w:szCs w:val="21"/>
        </w:rPr>
        <w:t>5.7最后报价统一开启后，谈判小组对最后报价进行有效性、完整性和响应程度的审查。</w:t>
      </w:r>
    </w:p>
    <w:p w14:paraId="626FE398">
      <w:pPr>
        <w:spacing w:line="360" w:lineRule="auto"/>
        <w:ind w:firstLine="420" w:firstLineChars="200"/>
        <w:rPr>
          <w:rFonts w:hint="eastAsia" w:ascii="宋体" w:hAnsi="宋体" w:cs="宋体"/>
          <w:szCs w:val="21"/>
        </w:rPr>
      </w:pPr>
      <w:r>
        <w:rPr>
          <w:rFonts w:hint="eastAsia" w:ascii="宋体" w:hAnsi="宋体" w:cs="宋体"/>
          <w:szCs w:val="21"/>
        </w:rPr>
        <w:t xml:space="preserve">5.8最后报价出现前后不一致的，按照本章第3.4条的规定修正。 </w:t>
      </w:r>
    </w:p>
    <w:p w14:paraId="2184B106">
      <w:pPr>
        <w:spacing w:line="360" w:lineRule="auto"/>
        <w:ind w:firstLine="420" w:firstLineChars="200"/>
        <w:rPr>
          <w:rFonts w:hint="eastAsia" w:ascii="宋体" w:hAnsi="宋体" w:cs="宋体"/>
          <w:szCs w:val="21"/>
        </w:rPr>
      </w:pPr>
      <w:r>
        <w:rPr>
          <w:rFonts w:hint="eastAsia" w:ascii="宋体" w:hAnsi="宋体" w:cs="宋体"/>
          <w:szCs w:val="21"/>
        </w:rPr>
        <w:t>5.9修正后的报价出现下列情形的，按无效响应处理：</w:t>
      </w:r>
    </w:p>
    <w:p w14:paraId="34CD2DF5">
      <w:pPr>
        <w:spacing w:line="360" w:lineRule="auto"/>
        <w:ind w:firstLine="420" w:firstLineChars="200"/>
        <w:rPr>
          <w:rFonts w:hint="eastAsia" w:ascii="宋体" w:hAnsi="宋体" w:cs="宋体"/>
          <w:szCs w:val="21"/>
        </w:rPr>
      </w:pPr>
      <w:r>
        <w:rPr>
          <w:rFonts w:hint="eastAsia" w:ascii="宋体" w:hAnsi="宋体" w:cs="宋体"/>
          <w:szCs w:val="21"/>
        </w:rPr>
        <w:t>（1）供应商不确认的（全流程电子化评标采取在线确认）；</w:t>
      </w:r>
    </w:p>
    <w:p w14:paraId="50624E75">
      <w:pPr>
        <w:spacing w:line="360" w:lineRule="auto"/>
        <w:ind w:firstLine="420" w:firstLineChars="200"/>
        <w:rPr>
          <w:rFonts w:hint="eastAsia" w:ascii="宋体" w:hAnsi="宋体" w:cs="宋体"/>
          <w:szCs w:val="21"/>
        </w:rPr>
      </w:pPr>
      <w:r>
        <w:rPr>
          <w:rFonts w:hint="eastAsia" w:ascii="宋体" w:hAnsi="宋体" w:cs="宋体"/>
          <w:szCs w:val="21"/>
        </w:rPr>
        <w:t>（2）经供应商确认修正后的竞标报价（包含首次报价、最后报价）超过所竞标分标规定的采购预算金额或者最高限价的（如本项目公布了最高限价）；</w:t>
      </w:r>
    </w:p>
    <w:p w14:paraId="18258CF6">
      <w:pPr>
        <w:spacing w:line="360" w:lineRule="auto"/>
        <w:ind w:firstLine="420" w:firstLineChars="200"/>
        <w:rPr>
          <w:rFonts w:hint="eastAsia" w:ascii="宋体" w:hAnsi="宋体" w:cs="宋体"/>
          <w:szCs w:val="21"/>
        </w:rPr>
      </w:pPr>
      <w:r>
        <w:rPr>
          <w:rFonts w:hint="eastAsia" w:ascii="宋体" w:hAnsi="宋体" w:cs="宋体"/>
          <w:szCs w:val="21"/>
        </w:rPr>
        <w:t>（3）经供应商确认修正后的竞标报价（包含首次报价、最后报价）超过分项采购预算金额或者最高限价的（如本项目公布了最高限价）。</w:t>
      </w:r>
    </w:p>
    <w:p w14:paraId="416F823D">
      <w:pPr>
        <w:spacing w:line="360" w:lineRule="auto"/>
        <w:ind w:firstLine="420" w:firstLineChars="200"/>
        <w:rPr>
          <w:rFonts w:hint="eastAsia" w:ascii="宋体" w:hAnsi="宋体" w:cs="宋体"/>
          <w:szCs w:val="21"/>
        </w:rPr>
      </w:pPr>
      <w:r>
        <w:rPr>
          <w:rFonts w:hint="eastAsia" w:ascii="宋体" w:hAnsi="宋体" w:cs="宋体"/>
          <w:szCs w:val="21"/>
        </w:rPr>
        <w:t>5.10经供应商确认修正后的最后报价作为评审及签订合同的依据。</w:t>
      </w:r>
    </w:p>
    <w:p w14:paraId="31196EDE">
      <w:pPr>
        <w:spacing w:line="360" w:lineRule="auto"/>
        <w:ind w:firstLine="420" w:firstLineChars="200"/>
        <w:rPr>
          <w:rFonts w:hint="eastAsia" w:ascii="宋体" w:hAnsi="宋体" w:cs="宋体"/>
          <w:szCs w:val="21"/>
        </w:rPr>
      </w:pPr>
      <w:r>
        <w:rPr>
          <w:rFonts w:hint="eastAsia" w:ascii="宋体" w:hAnsi="宋体" w:cs="宋体"/>
          <w:szCs w:val="21"/>
        </w:rPr>
        <w:t>5.11供应商出现最后报价按无效响应处理或者响应文件按无效处理时</w:t>
      </w:r>
      <w:r>
        <w:rPr>
          <w:rFonts w:hint="eastAsia" w:ascii="宋体" w:hAnsi="宋体" w:cs="宋体"/>
          <w:sz w:val="22"/>
          <w:szCs w:val="22"/>
        </w:rPr>
        <w:t>，谈判小组应当告知有关供应商</w:t>
      </w:r>
      <w:r>
        <w:rPr>
          <w:rFonts w:hint="eastAsia" w:ascii="宋体" w:hAnsi="宋体" w:cs="宋体"/>
          <w:szCs w:val="21"/>
        </w:rPr>
        <w:t>。</w:t>
      </w:r>
    </w:p>
    <w:p w14:paraId="4FE39A30">
      <w:pPr>
        <w:spacing w:line="360" w:lineRule="auto"/>
        <w:ind w:firstLine="420" w:firstLineChars="200"/>
        <w:rPr>
          <w:rFonts w:hint="eastAsia" w:ascii="宋体" w:hAnsi="宋体" w:cs="宋体"/>
          <w:szCs w:val="21"/>
        </w:rPr>
      </w:pPr>
      <w:r>
        <w:rPr>
          <w:rFonts w:hint="eastAsia" w:ascii="宋体" w:hAnsi="宋体" w:cs="宋体"/>
          <w:szCs w:val="21"/>
        </w:rPr>
        <w:t>5.12最后报价结束后，谈判小组不得再与供应商进行任何形式的商谈。</w:t>
      </w:r>
    </w:p>
    <w:p w14:paraId="4D1960B3">
      <w:pPr>
        <w:spacing w:line="360" w:lineRule="auto"/>
        <w:ind w:firstLine="472" w:firstLineChars="196"/>
        <w:rPr>
          <w:rFonts w:hint="eastAsia" w:ascii="宋体" w:hAnsi="宋体" w:cs="宋体"/>
          <w:b/>
          <w:bCs/>
          <w:sz w:val="24"/>
        </w:rPr>
      </w:pPr>
      <w:r>
        <w:rPr>
          <w:rFonts w:hint="eastAsia" w:ascii="宋体" w:hAnsi="宋体" w:cs="宋体"/>
          <w:b/>
          <w:bCs/>
          <w:sz w:val="24"/>
        </w:rPr>
        <w:t>6. 最后报价评审</w:t>
      </w:r>
    </w:p>
    <w:p w14:paraId="713C5912">
      <w:pPr>
        <w:spacing w:line="336"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6.1</w:t>
      </w:r>
      <w:r>
        <w:rPr>
          <w:rFonts w:hint="eastAsia" w:ascii="宋体" w:hAnsi="宋体" w:eastAsia="宋体" w:cs="宋体"/>
          <w:b/>
          <w:bCs/>
          <w:szCs w:val="21"/>
          <w:highlight w:val="none"/>
          <w:lang w:val="en-US" w:eastAsia="zh-CN"/>
        </w:rPr>
        <w:t>本项目A/B分标专门面向中小企业采购，</w:t>
      </w:r>
      <w:r>
        <w:rPr>
          <w:rFonts w:hint="eastAsia" w:ascii="宋体" w:hAnsi="宋体" w:cs="宋体"/>
          <w:b/>
          <w:bCs/>
          <w:szCs w:val="21"/>
          <w:highlight w:val="none"/>
          <w:lang w:val="en-US" w:eastAsia="zh-CN"/>
        </w:rPr>
        <w:t>评审时</w:t>
      </w:r>
      <w:r>
        <w:rPr>
          <w:rFonts w:hint="eastAsia" w:ascii="宋体" w:hAnsi="宋体" w:eastAsia="宋体" w:cs="宋体"/>
          <w:b/>
          <w:bCs/>
          <w:szCs w:val="21"/>
          <w:highlight w:val="none"/>
          <w:lang w:val="en-US" w:eastAsia="zh-CN"/>
        </w:rPr>
        <w:t>不再执行价格折扣优惠政策</w:t>
      </w:r>
      <w:r>
        <w:rPr>
          <w:rFonts w:hint="eastAsia" w:ascii="宋体" w:hAnsi="宋体" w:eastAsia="宋体" w:cs="宋体"/>
          <w:b/>
          <w:bCs/>
          <w:szCs w:val="21"/>
          <w:highlight w:val="none"/>
        </w:rPr>
        <w:t>。</w:t>
      </w:r>
      <w:r>
        <w:rPr>
          <w:rFonts w:hint="eastAsia" w:ascii="宋体" w:hAnsi="宋体" w:cs="宋体"/>
          <w:b/>
          <w:bCs/>
          <w:szCs w:val="21"/>
          <w:highlight w:val="none"/>
        </w:rPr>
        <w:t>最终成交供应商的成交金额等于最后报价（如有修正，以确认修正后的最后报价为准）。</w:t>
      </w:r>
    </w:p>
    <w:p w14:paraId="72732147">
      <w:pPr>
        <w:spacing w:line="336" w:lineRule="auto"/>
        <w:ind w:firstLine="422" w:firstLineChars="200"/>
        <w:rPr>
          <w:rFonts w:hint="eastAsia" w:ascii="宋体" w:hAnsi="宋体" w:cs="宋体"/>
          <w:b/>
          <w:bCs/>
          <w:szCs w:val="21"/>
        </w:rPr>
      </w:pPr>
      <w:r>
        <w:rPr>
          <w:rFonts w:hint="eastAsia" w:ascii="宋体" w:hAnsi="宋体" w:cs="宋体"/>
          <w:b/>
          <w:bCs/>
          <w:szCs w:val="21"/>
        </w:rPr>
        <w:t>6.2最后报价时，供应商须在广西政府采购云平台开标系统中作为附件上传最后报价表（详见下列格式）。</w:t>
      </w:r>
    </w:p>
    <w:p w14:paraId="78113E03">
      <w:pPr>
        <w:spacing w:line="360" w:lineRule="auto"/>
        <w:jc w:val="center"/>
        <w:rPr>
          <w:rFonts w:hint="eastAsia" w:ascii="宋体" w:hAnsi="宋体" w:cs="宋体"/>
          <w:b/>
          <w:sz w:val="32"/>
          <w:szCs w:val="32"/>
        </w:rPr>
      </w:pPr>
      <w:r>
        <w:rPr>
          <w:rFonts w:hint="eastAsia" w:ascii="宋体" w:hAnsi="宋体" w:cs="宋体"/>
          <w:b/>
          <w:sz w:val="32"/>
          <w:szCs w:val="32"/>
        </w:rPr>
        <w:t>二、评定成交的标准</w:t>
      </w:r>
    </w:p>
    <w:p w14:paraId="6F936733">
      <w:pPr>
        <w:spacing w:line="360" w:lineRule="auto"/>
        <w:ind w:firstLine="482" w:firstLineChars="200"/>
        <w:rPr>
          <w:rFonts w:hint="eastAsia" w:ascii="宋体" w:hAnsi="宋体" w:cs="宋体"/>
          <w:b/>
          <w:bCs/>
          <w:sz w:val="24"/>
        </w:rPr>
      </w:pPr>
      <w:r>
        <w:rPr>
          <w:rFonts w:hint="eastAsia" w:ascii="宋体" w:hAnsi="宋体" w:cs="宋体"/>
          <w:b/>
          <w:bCs/>
          <w:sz w:val="24"/>
        </w:rPr>
        <w:t>7. 成交候选人推荐</w:t>
      </w:r>
    </w:p>
    <w:p w14:paraId="521FDDE0">
      <w:pPr>
        <w:spacing w:line="360" w:lineRule="auto"/>
        <w:ind w:firstLine="420" w:firstLineChars="200"/>
        <w:rPr>
          <w:rFonts w:hint="eastAsia" w:ascii="宋体" w:hAnsi="宋体" w:cs="宋体"/>
          <w:b/>
          <w:bCs/>
          <w:szCs w:val="21"/>
        </w:rPr>
      </w:pPr>
      <w:r>
        <w:rPr>
          <w:rFonts w:hint="eastAsia" w:ascii="宋体" w:hAnsi="宋体" w:cs="宋体"/>
        </w:rPr>
        <w:t>7.1</w:t>
      </w:r>
      <w:r>
        <w:rPr>
          <w:rFonts w:hint="eastAsia" w:ascii="宋体" w:hAnsi="宋体" w:cs="宋体"/>
          <w:b/>
          <w:bCs/>
          <w:szCs w:val="21"/>
        </w:rPr>
        <w:t>本项目分为2个分标，供应商可以对一个或多个分标进行竞标，但一家供应商只能中A、B其中的1个分标。评审时按A→B分标的先后顺序进行评审，如某供应商成为A分标的第一成交候选人，则该供应商在进入B分标的评审时（允许进入B分标的评审），如果评审排名第一，不推荐成为第一成交候选人，由评审排名第二的供应商作为第一成交候选人。</w:t>
      </w:r>
    </w:p>
    <w:p w14:paraId="613AE73A">
      <w:pPr>
        <w:spacing w:line="360" w:lineRule="auto"/>
        <w:ind w:firstLine="420" w:firstLineChars="200"/>
        <w:rPr>
          <w:rFonts w:hint="eastAsia" w:ascii="宋体" w:hAnsi="宋体" w:cs="宋体"/>
        </w:rPr>
      </w:pPr>
      <w:r>
        <w:rPr>
          <w:rFonts w:hint="eastAsia" w:ascii="宋体" w:hAnsi="宋体" w:cs="宋体"/>
        </w:rPr>
        <w:t>7.2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26条规定的顺序推荐），并编写评审报告，评审报告通过电子交易平台向采购人、采购代理机构提交。</w:t>
      </w:r>
    </w:p>
    <w:p w14:paraId="23C3359C">
      <w:pPr>
        <w:pStyle w:val="73"/>
        <w:rPr>
          <w:rFonts w:hint="eastAsia" w:ascii="宋体" w:hAnsi="宋体" w:cs="宋体"/>
          <w:b/>
          <w:bCs w:val="0"/>
          <w:sz w:val="28"/>
          <w:szCs w:val="28"/>
        </w:rPr>
      </w:pPr>
    </w:p>
    <w:p w14:paraId="453EBF4A">
      <w:pPr>
        <w:pStyle w:val="73"/>
        <w:rPr>
          <w:rFonts w:hint="eastAsia" w:ascii="宋体" w:hAnsi="宋体" w:cs="宋体"/>
          <w:b/>
          <w:bCs w:val="0"/>
          <w:sz w:val="28"/>
          <w:szCs w:val="28"/>
        </w:rPr>
      </w:pPr>
    </w:p>
    <w:p w14:paraId="32201073">
      <w:pPr>
        <w:pStyle w:val="73"/>
        <w:rPr>
          <w:rFonts w:hint="eastAsia" w:ascii="宋体" w:hAnsi="宋体" w:cs="宋体"/>
          <w:b/>
          <w:bCs w:val="0"/>
          <w:sz w:val="28"/>
          <w:szCs w:val="28"/>
        </w:rPr>
      </w:pPr>
    </w:p>
    <w:p w14:paraId="6DAEBED7">
      <w:pPr>
        <w:pStyle w:val="73"/>
        <w:rPr>
          <w:rFonts w:hint="eastAsia" w:ascii="宋体" w:hAnsi="宋体" w:cs="宋体"/>
          <w:b/>
          <w:bCs w:val="0"/>
          <w:sz w:val="28"/>
          <w:szCs w:val="28"/>
        </w:rPr>
      </w:pPr>
    </w:p>
    <w:p w14:paraId="02C7CCE7">
      <w:pPr>
        <w:pStyle w:val="73"/>
        <w:rPr>
          <w:rFonts w:hint="eastAsia" w:ascii="宋体" w:hAnsi="宋体" w:cs="宋体"/>
          <w:b/>
          <w:bCs w:val="0"/>
          <w:sz w:val="28"/>
          <w:szCs w:val="28"/>
        </w:rPr>
      </w:pPr>
    </w:p>
    <w:p w14:paraId="49D3EBE8">
      <w:pPr>
        <w:pStyle w:val="73"/>
        <w:rPr>
          <w:rFonts w:hint="eastAsia" w:ascii="宋体" w:hAnsi="宋体" w:cs="宋体"/>
          <w:b/>
          <w:bCs w:val="0"/>
          <w:sz w:val="28"/>
          <w:szCs w:val="28"/>
        </w:rPr>
      </w:pPr>
    </w:p>
    <w:p w14:paraId="51D53384">
      <w:pPr>
        <w:pStyle w:val="73"/>
        <w:rPr>
          <w:rFonts w:hint="eastAsia" w:ascii="宋体" w:hAnsi="宋体" w:cs="宋体"/>
          <w:b/>
          <w:bCs w:val="0"/>
          <w:sz w:val="28"/>
          <w:szCs w:val="28"/>
        </w:rPr>
      </w:pPr>
      <w:r>
        <w:rPr>
          <w:rFonts w:hint="eastAsia" w:ascii="宋体" w:hAnsi="宋体" w:cs="宋体"/>
          <w:b/>
          <w:bCs w:val="0"/>
          <w:sz w:val="28"/>
          <w:szCs w:val="28"/>
        </w:rPr>
        <w:t>附件：最后报价表格式（适用于A分标）</w:t>
      </w:r>
    </w:p>
    <w:p w14:paraId="2ED5B592">
      <w:pPr>
        <w:pStyle w:val="73"/>
        <w:rPr>
          <w:rFonts w:hint="eastAsia" w:ascii="宋体" w:hAnsi="宋体" w:cs="宋体"/>
        </w:rPr>
      </w:pPr>
    </w:p>
    <w:p w14:paraId="1EDC16AB">
      <w:pPr>
        <w:pStyle w:val="73"/>
        <w:jc w:val="center"/>
        <w:rPr>
          <w:rFonts w:hint="eastAsia" w:ascii="宋体" w:hAnsi="宋体" w:cs="宋体"/>
          <w:b/>
          <w:bCs w:val="0"/>
          <w:sz w:val="44"/>
          <w:szCs w:val="44"/>
        </w:rPr>
      </w:pPr>
      <w:r>
        <w:rPr>
          <w:rFonts w:hint="eastAsia" w:ascii="宋体" w:hAnsi="宋体" w:cs="宋体"/>
          <w:b/>
          <w:bCs w:val="0"/>
          <w:sz w:val="44"/>
          <w:szCs w:val="44"/>
        </w:rPr>
        <w:t>最后报价表</w:t>
      </w:r>
    </w:p>
    <w:p w14:paraId="26158E49">
      <w:pPr>
        <w:pStyle w:val="73"/>
        <w:spacing w:line="360" w:lineRule="auto"/>
        <w:jc w:val="both"/>
        <w:rPr>
          <w:rFonts w:hint="eastAsia" w:ascii="宋体" w:hAnsi="宋体" w:cs="宋体"/>
          <w:b/>
          <w:bCs w:val="0"/>
          <w:sz w:val="21"/>
          <w:szCs w:val="21"/>
        </w:rPr>
      </w:pPr>
      <w:r>
        <w:rPr>
          <w:rFonts w:hint="eastAsia" w:ascii="宋体" w:hAnsi="宋体" w:cs="宋体"/>
          <w:b/>
          <w:bCs w:val="0"/>
          <w:sz w:val="21"/>
          <w:szCs w:val="21"/>
        </w:rPr>
        <w:t>项目名称：</w:t>
      </w:r>
    </w:p>
    <w:p w14:paraId="36C44F0E">
      <w:pPr>
        <w:pStyle w:val="73"/>
        <w:spacing w:line="360" w:lineRule="auto"/>
        <w:jc w:val="both"/>
        <w:rPr>
          <w:rFonts w:hint="eastAsia" w:ascii="宋体" w:hAnsi="宋体" w:cs="宋体"/>
          <w:sz w:val="21"/>
          <w:szCs w:val="21"/>
        </w:rPr>
      </w:pPr>
      <w:r>
        <w:rPr>
          <w:rFonts w:hint="eastAsia" w:ascii="宋体" w:hAnsi="宋体" w:cs="宋体"/>
          <w:b/>
          <w:bCs w:val="0"/>
          <w:sz w:val="21"/>
          <w:szCs w:val="21"/>
        </w:rPr>
        <w:t>项目编号：</w:t>
      </w:r>
    </w:p>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04"/>
        <w:gridCol w:w="1215"/>
        <w:gridCol w:w="1020"/>
        <w:gridCol w:w="975"/>
        <w:gridCol w:w="1001"/>
        <w:gridCol w:w="1462"/>
        <w:gridCol w:w="1126"/>
      </w:tblGrid>
      <w:tr w14:paraId="5551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57F981AF">
            <w:pPr>
              <w:pStyle w:val="73"/>
              <w:spacing w:line="360" w:lineRule="auto"/>
              <w:jc w:val="center"/>
              <w:rPr>
                <w:rFonts w:hint="eastAsia" w:ascii="宋体" w:hAnsi="宋体" w:cs="宋体"/>
                <w:sz w:val="21"/>
                <w:szCs w:val="21"/>
              </w:rPr>
            </w:pPr>
            <w:r>
              <w:rPr>
                <w:rFonts w:hint="eastAsia" w:ascii="宋体" w:hAnsi="宋体" w:cs="宋体"/>
                <w:sz w:val="21"/>
                <w:szCs w:val="21"/>
              </w:rPr>
              <w:t>序号</w:t>
            </w:r>
          </w:p>
        </w:tc>
        <w:tc>
          <w:tcPr>
            <w:tcW w:w="1404" w:type="dxa"/>
            <w:tcBorders>
              <w:top w:val="single" w:color="auto" w:sz="4" w:space="0"/>
              <w:left w:val="single" w:color="auto" w:sz="4" w:space="0"/>
              <w:bottom w:val="single" w:color="auto" w:sz="4" w:space="0"/>
              <w:right w:val="single" w:color="auto" w:sz="4" w:space="0"/>
            </w:tcBorders>
            <w:vAlign w:val="center"/>
          </w:tcPr>
          <w:p w14:paraId="20EDF788">
            <w:pPr>
              <w:pStyle w:val="73"/>
              <w:spacing w:line="360" w:lineRule="auto"/>
              <w:jc w:val="center"/>
              <w:rPr>
                <w:rFonts w:hint="eastAsia" w:ascii="宋体" w:hAnsi="宋体" w:cs="宋体"/>
                <w:sz w:val="21"/>
                <w:szCs w:val="21"/>
              </w:rPr>
            </w:pPr>
            <w:r>
              <w:rPr>
                <w:rFonts w:hint="eastAsia" w:ascii="宋体" w:hAnsi="宋体" w:cs="宋体"/>
                <w:sz w:val="21"/>
                <w:szCs w:val="21"/>
              </w:rPr>
              <w:t>标的名称</w:t>
            </w:r>
          </w:p>
        </w:tc>
        <w:tc>
          <w:tcPr>
            <w:tcW w:w="1215" w:type="dxa"/>
            <w:tcBorders>
              <w:top w:val="single" w:color="auto" w:sz="4" w:space="0"/>
              <w:left w:val="single" w:color="auto" w:sz="4" w:space="0"/>
              <w:bottom w:val="single" w:color="auto" w:sz="4" w:space="0"/>
              <w:right w:val="single" w:color="auto" w:sz="4" w:space="0"/>
            </w:tcBorders>
            <w:vAlign w:val="center"/>
          </w:tcPr>
          <w:p w14:paraId="6EEDC0DA">
            <w:pPr>
              <w:pStyle w:val="73"/>
              <w:spacing w:line="360" w:lineRule="auto"/>
              <w:jc w:val="center"/>
              <w:rPr>
                <w:rFonts w:hint="eastAsia" w:ascii="宋体" w:hAnsi="宋体" w:cs="宋体"/>
                <w:sz w:val="21"/>
                <w:szCs w:val="21"/>
              </w:rPr>
            </w:pPr>
            <w:r>
              <w:rPr>
                <w:rFonts w:hint="eastAsia" w:ascii="宋体" w:hAnsi="宋体" w:cs="宋体"/>
                <w:sz w:val="21"/>
                <w:szCs w:val="21"/>
              </w:rPr>
              <w:t>品牌</w:t>
            </w:r>
          </w:p>
        </w:tc>
        <w:tc>
          <w:tcPr>
            <w:tcW w:w="1020" w:type="dxa"/>
            <w:tcBorders>
              <w:top w:val="single" w:color="auto" w:sz="4" w:space="0"/>
              <w:left w:val="single" w:color="auto" w:sz="4" w:space="0"/>
              <w:bottom w:val="single" w:color="auto" w:sz="4" w:space="0"/>
              <w:right w:val="single" w:color="auto" w:sz="4" w:space="0"/>
            </w:tcBorders>
            <w:vAlign w:val="center"/>
          </w:tcPr>
          <w:p w14:paraId="274F5033">
            <w:pPr>
              <w:pStyle w:val="73"/>
              <w:spacing w:line="360" w:lineRule="auto"/>
              <w:jc w:val="center"/>
              <w:rPr>
                <w:rFonts w:hint="eastAsia" w:ascii="宋体" w:hAnsi="宋体" w:cs="宋体"/>
                <w:sz w:val="21"/>
                <w:szCs w:val="21"/>
              </w:rPr>
            </w:pPr>
            <w:r>
              <w:rPr>
                <w:rFonts w:hint="eastAsia" w:ascii="宋体" w:hAnsi="宋体" w:cs="宋体"/>
                <w:sz w:val="21"/>
                <w:szCs w:val="21"/>
              </w:rPr>
              <w:t>型号</w:t>
            </w:r>
          </w:p>
        </w:tc>
        <w:tc>
          <w:tcPr>
            <w:tcW w:w="975" w:type="dxa"/>
            <w:tcBorders>
              <w:top w:val="single" w:color="auto" w:sz="4" w:space="0"/>
              <w:left w:val="single" w:color="auto" w:sz="4" w:space="0"/>
              <w:bottom w:val="single" w:color="auto" w:sz="4" w:space="0"/>
              <w:right w:val="single" w:color="auto" w:sz="4" w:space="0"/>
            </w:tcBorders>
            <w:vAlign w:val="center"/>
          </w:tcPr>
          <w:p w14:paraId="644F10C2">
            <w:pPr>
              <w:pStyle w:val="73"/>
              <w:spacing w:line="360" w:lineRule="auto"/>
              <w:jc w:val="center"/>
              <w:rPr>
                <w:rFonts w:hint="eastAsia" w:ascii="宋体" w:hAnsi="宋体" w:cs="宋体"/>
                <w:sz w:val="21"/>
                <w:szCs w:val="21"/>
              </w:rPr>
            </w:pPr>
            <w:r>
              <w:rPr>
                <w:rFonts w:hint="eastAsia" w:ascii="宋体" w:hAnsi="宋体" w:cs="宋体"/>
                <w:sz w:val="21"/>
                <w:szCs w:val="21"/>
              </w:rPr>
              <w:t>数量</w:t>
            </w:r>
          </w:p>
        </w:tc>
        <w:tc>
          <w:tcPr>
            <w:tcW w:w="1001" w:type="dxa"/>
            <w:tcBorders>
              <w:top w:val="single" w:color="auto" w:sz="4" w:space="0"/>
              <w:left w:val="single" w:color="auto" w:sz="4" w:space="0"/>
              <w:bottom w:val="single" w:color="auto" w:sz="4" w:space="0"/>
              <w:right w:val="single" w:color="auto" w:sz="4" w:space="0"/>
            </w:tcBorders>
            <w:vAlign w:val="center"/>
          </w:tcPr>
          <w:p w14:paraId="69BEA374">
            <w:pPr>
              <w:pStyle w:val="73"/>
              <w:spacing w:line="360" w:lineRule="auto"/>
              <w:jc w:val="center"/>
              <w:rPr>
                <w:rFonts w:hint="eastAsia" w:ascii="宋体" w:hAnsi="宋体" w:cs="宋体"/>
                <w:sz w:val="21"/>
                <w:szCs w:val="21"/>
              </w:rPr>
            </w:pPr>
            <w:r>
              <w:rPr>
                <w:rFonts w:hint="eastAsia" w:ascii="宋体" w:hAnsi="宋体" w:cs="宋体"/>
                <w:sz w:val="21"/>
                <w:szCs w:val="21"/>
              </w:rPr>
              <w:t>单位</w:t>
            </w:r>
          </w:p>
        </w:tc>
        <w:tc>
          <w:tcPr>
            <w:tcW w:w="1462" w:type="dxa"/>
            <w:tcBorders>
              <w:top w:val="single" w:color="auto" w:sz="4" w:space="0"/>
              <w:left w:val="single" w:color="auto" w:sz="4" w:space="0"/>
              <w:bottom w:val="single" w:color="auto" w:sz="4" w:space="0"/>
              <w:right w:val="single" w:color="auto" w:sz="4" w:space="0"/>
            </w:tcBorders>
            <w:vAlign w:val="center"/>
          </w:tcPr>
          <w:p w14:paraId="62630226">
            <w:pPr>
              <w:pStyle w:val="73"/>
              <w:spacing w:line="360" w:lineRule="auto"/>
              <w:jc w:val="center"/>
              <w:rPr>
                <w:rFonts w:hint="eastAsia" w:ascii="宋体" w:hAnsi="宋体" w:cs="宋体"/>
                <w:sz w:val="21"/>
                <w:szCs w:val="21"/>
              </w:rPr>
            </w:pPr>
            <w:r>
              <w:rPr>
                <w:rFonts w:hint="eastAsia" w:ascii="宋体" w:hAnsi="宋体" w:cs="宋体"/>
                <w:sz w:val="21"/>
                <w:szCs w:val="21"/>
              </w:rPr>
              <w:t>单价</w:t>
            </w:r>
          </w:p>
        </w:tc>
        <w:tc>
          <w:tcPr>
            <w:tcW w:w="1126" w:type="dxa"/>
            <w:tcBorders>
              <w:top w:val="single" w:color="auto" w:sz="4" w:space="0"/>
              <w:left w:val="single" w:color="auto" w:sz="4" w:space="0"/>
              <w:bottom w:val="single" w:color="auto" w:sz="4" w:space="0"/>
              <w:right w:val="single" w:color="auto" w:sz="4" w:space="0"/>
            </w:tcBorders>
            <w:vAlign w:val="center"/>
          </w:tcPr>
          <w:p w14:paraId="5DF4F251">
            <w:pPr>
              <w:pStyle w:val="73"/>
              <w:spacing w:line="360" w:lineRule="auto"/>
              <w:jc w:val="center"/>
              <w:rPr>
                <w:rFonts w:hint="eastAsia" w:ascii="宋体" w:hAnsi="宋体" w:cs="宋体"/>
                <w:sz w:val="21"/>
                <w:szCs w:val="21"/>
              </w:rPr>
            </w:pPr>
            <w:r>
              <w:rPr>
                <w:rFonts w:hint="eastAsia" w:ascii="宋体" w:hAnsi="宋体" w:cs="宋体"/>
                <w:sz w:val="21"/>
                <w:szCs w:val="21"/>
              </w:rPr>
              <w:t>合计</w:t>
            </w:r>
          </w:p>
        </w:tc>
      </w:tr>
      <w:tr w14:paraId="1CC5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1F23F5D3">
            <w:pPr>
              <w:pStyle w:val="73"/>
              <w:spacing w:line="360" w:lineRule="auto"/>
              <w:jc w:val="center"/>
              <w:rPr>
                <w:rFonts w:hint="eastAsia" w:ascii="宋体" w:hAnsi="宋体" w:cs="宋体"/>
                <w:sz w:val="21"/>
                <w:szCs w:val="21"/>
              </w:rPr>
            </w:pPr>
            <w:r>
              <w:rPr>
                <w:rFonts w:hint="eastAsia" w:ascii="宋体" w:hAnsi="宋体" w:cs="宋体"/>
                <w:sz w:val="21"/>
                <w:szCs w:val="21"/>
              </w:rPr>
              <w:t>1</w:t>
            </w:r>
          </w:p>
        </w:tc>
        <w:tc>
          <w:tcPr>
            <w:tcW w:w="1404" w:type="dxa"/>
            <w:tcBorders>
              <w:top w:val="single" w:color="auto" w:sz="4" w:space="0"/>
              <w:left w:val="single" w:color="auto" w:sz="4" w:space="0"/>
              <w:bottom w:val="single" w:color="auto" w:sz="4" w:space="0"/>
              <w:right w:val="single" w:color="auto" w:sz="4" w:space="0"/>
            </w:tcBorders>
            <w:vAlign w:val="center"/>
          </w:tcPr>
          <w:p w14:paraId="0538921E">
            <w:pPr>
              <w:pStyle w:val="73"/>
              <w:spacing w:line="360" w:lineRule="auto"/>
              <w:jc w:val="center"/>
              <w:rPr>
                <w:rFonts w:hint="eastAsia" w:ascii="宋体" w:hAnsi="宋体" w:cs="宋体"/>
                <w:sz w:val="21"/>
                <w:szCs w:val="21"/>
              </w:rPr>
            </w:pPr>
          </w:p>
        </w:tc>
        <w:tc>
          <w:tcPr>
            <w:tcW w:w="1215" w:type="dxa"/>
            <w:tcBorders>
              <w:top w:val="single" w:color="auto" w:sz="4" w:space="0"/>
              <w:left w:val="single" w:color="auto" w:sz="4" w:space="0"/>
              <w:bottom w:val="single" w:color="auto" w:sz="4" w:space="0"/>
              <w:right w:val="single" w:color="auto" w:sz="4" w:space="0"/>
            </w:tcBorders>
            <w:vAlign w:val="center"/>
          </w:tcPr>
          <w:p w14:paraId="6F419A64">
            <w:pPr>
              <w:pStyle w:val="73"/>
              <w:spacing w:line="360" w:lineRule="auto"/>
              <w:jc w:val="center"/>
              <w:rPr>
                <w:rFonts w:hint="eastAsia" w:ascii="宋体" w:hAnsi="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14:paraId="79AC7AC3">
            <w:pPr>
              <w:pStyle w:val="73"/>
              <w:spacing w:line="360" w:lineRule="auto"/>
              <w:jc w:val="center"/>
              <w:rPr>
                <w:rFonts w:hint="eastAsia" w:ascii="宋体" w:hAnsi="宋体" w:cs="宋体"/>
                <w:sz w:val="21"/>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31DFB63D">
            <w:pPr>
              <w:pStyle w:val="73"/>
              <w:spacing w:line="360" w:lineRule="auto"/>
              <w:jc w:val="center"/>
              <w:rPr>
                <w:rFonts w:hint="eastAsia" w:ascii="宋体" w:hAnsi="宋体" w:cs="宋体"/>
                <w:sz w:val="21"/>
                <w:szCs w:val="21"/>
              </w:rPr>
            </w:pPr>
          </w:p>
        </w:tc>
        <w:tc>
          <w:tcPr>
            <w:tcW w:w="1001" w:type="dxa"/>
            <w:tcBorders>
              <w:top w:val="single" w:color="auto" w:sz="4" w:space="0"/>
              <w:left w:val="single" w:color="auto" w:sz="4" w:space="0"/>
              <w:bottom w:val="single" w:color="auto" w:sz="4" w:space="0"/>
              <w:right w:val="single" w:color="auto" w:sz="4" w:space="0"/>
            </w:tcBorders>
            <w:vAlign w:val="center"/>
          </w:tcPr>
          <w:p w14:paraId="3AB75119">
            <w:pPr>
              <w:pStyle w:val="73"/>
              <w:spacing w:line="360" w:lineRule="auto"/>
              <w:jc w:val="center"/>
              <w:rPr>
                <w:rFonts w:hint="eastAsia" w:ascii="宋体" w:hAnsi="宋体" w:cs="宋体"/>
                <w:sz w:val="21"/>
                <w:szCs w:val="21"/>
              </w:rPr>
            </w:pPr>
          </w:p>
        </w:tc>
        <w:tc>
          <w:tcPr>
            <w:tcW w:w="1462" w:type="dxa"/>
            <w:tcBorders>
              <w:top w:val="single" w:color="auto" w:sz="4" w:space="0"/>
              <w:left w:val="single" w:color="auto" w:sz="4" w:space="0"/>
              <w:bottom w:val="single" w:color="auto" w:sz="4" w:space="0"/>
              <w:right w:val="single" w:color="auto" w:sz="4" w:space="0"/>
            </w:tcBorders>
            <w:vAlign w:val="center"/>
          </w:tcPr>
          <w:p w14:paraId="43FE77C4">
            <w:pPr>
              <w:pStyle w:val="73"/>
              <w:spacing w:line="360" w:lineRule="auto"/>
              <w:jc w:val="center"/>
              <w:rPr>
                <w:rFonts w:hint="eastAsia" w:ascii="宋体" w:hAnsi="宋体" w:cs="宋体"/>
                <w:sz w:val="21"/>
                <w:szCs w:val="21"/>
              </w:rPr>
            </w:pPr>
          </w:p>
        </w:tc>
        <w:tc>
          <w:tcPr>
            <w:tcW w:w="1126" w:type="dxa"/>
            <w:tcBorders>
              <w:top w:val="single" w:color="auto" w:sz="4" w:space="0"/>
              <w:left w:val="single" w:color="auto" w:sz="4" w:space="0"/>
              <w:bottom w:val="single" w:color="auto" w:sz="4" w:space="0"/>
              <w:right w:val="single" w:color="auto" w:sz="4" w:space="0"/>
            </w:tcBorders>
            <w:vAlign w:val="center"/>
          </w:tcPr>
          <w:p w14:paraId="18C653A2">
            <w:pPr>
              <w:pStyle w:val="73"/>
              <w:spacing w:line="360" w:lineRule="auto"/>
              <w:jc w:val="center"/>
              <w:rPr>
                <w:rFonts w:hint="eastAsia" w:ascii="宋体" w:hAnsi="宋体" w:cs="宋体"/>
                <w:sz w:val="21"/>
                <w:szCs w:val="21"/>
              </w:rPr>
            </w:pPr>
          </w:p>
        </w:tc>
      </w:tr>
      <w:tr w14:paraId="3C60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4F3417B8">
            <w:pPr>
              <w:pStyle w:val="73"/>
              <w:spacing w:line="360" w:lineRule="auto"/>
              <w:jc w:val="center"/>
              <w:rPr>
                <w:rFonts w:hint="eastAsia" w:ascii="宋体" w:hAnsi="宋体" w:cs="宋体"/>
                <w:sz w:val="21"/>
                <w:szCs w:val="21"/>
              </w:rPr>
            </w:pPr>
            <w:r>
              <w:rPr>
                <w:rFonts w:hint="eastAsia" w:ascii="宋体" w:hAnsi="宋体" w:cs="宋体"/>
                <w:sz w:val="21"/>
                <w:szCs w:val="21"/>
              </w:rPr>
              <w:t>2</w:t>
            </w:r>
          </w:p>
        </w:tc>
        <w:tc>
          <w:tcPr>
            <w:tcW w:w="1404" w:type="dxa"/>
            <w:tcBorders>
              <w:top w:val="single" w:color="auto" w:sz="4" w:space="0"/>
              <w:left w:val="single" w:color="auto" w:sz="4" w:space="0"/>
              <w:bottom w:val="single" w:color="auto" w:sz="4" w:space="0"/>
              <w:right w:val="single" w:color="auto" w:sz="4" w:space="0"/>
            </w:tcBorders>
            <w:vAlign w:val="center"/>
          </w:tcPr>
          <w:p w14:paraId="36ABE483">
            <w:pPr>
              <w:pStyle w:val="73"/>
              <w:spacing w:line="360" w:lineRule="auto"/>
              <w:jc w:val="center"/>
              <w:rPr>
                <w:rFonts w:hint="eastAsia" w:ascii="宋体" w:hAnsi="宋体" w:cs="宋体"/>
                <w:sz w:val="21"/>
                <w:szCs w:val="21"/>
              </w:rPr>
            </w:pPr>
          </w:p>
        </w:tc>
        <w:tc>
          <w:tcPr>
            <w:tcW w:w="1215" w:type="dxa"/>
            <w:tcBorders>
              <w:top w:val="single" w:color="auto" w:sz="4" w:space="0"/>
              <w:left w:val="single" w:color="auto" w:sz="4" w:space="0"/>
              <w:bottom w:val="single" w:color="auto" w:sz="4" w:space="0"/>
              <w:right w:val="single" w:color="auto" w:sz="4" w:space="0"/>
            </w:tcBorders>
            <w:vAlign w:val="center"/>
          </w:tcPr>
          <w:p w14:paraId="0C4B6EC5">
            <w:pPr>
              <w:pStyle w:val="73"/>
              <w:spacing w:line="360" w:lineRule="auto"/>
              <w:jc w:val="center"/>
              <w:rPr>
                <w:rFonts w:hint="eastAsia" w:ascii="宋体" w:hAnsi="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14:paraId="1179F686">
            <w:pPr>
              <w:pStyle w:val="73"/>
              <w:spacing w:line="360" w:lineRule="auto"/>
              <w:jc w:val="center"/>
              <w:rPr>
                <w:rFonts w:hint="eastAsia" w:ascii="宋体" w:hAnsi="宋体" w:cs="宋体"/>
                <w:sz w:val="21"/>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30BAA36D">
            <w:pPr>
              <w:pStyle w:val="73"/>
              <w:spacing w:line="360" w:lineRule="auto"/>
              <w:jc w:val="center"/>
              <w:rPr>
                <w:rFonts w:hint="eastAsia" w:ascii="宋体" w:hAnsi="宋体" w:cs="宋体"/>
                <w:sz w:val="21"/>
                <w:szCs w:val="21"/>
              </w:rPr>
            </w:pPr>
          </w:p>
        </w:tc>
        <w:tc>
          <w:tcPr>
            <w:tcW w:w="1001" w:type="dxa"/>
            <w:tcBorders>
              <w:top w:val="single" w:color="auto" w:sz="4" w:space="0"/>
              <w:left w:val="single" w:color="auto" w:sz="4" w:space="0"/>
              <w:bottom w:val="single" w:color="auto" w:sz="4" w:space="0"/>
              <w:right w:val="single" w:color="auto" w:sz="4" w:space="0"/>
            </w:tcBorders>
            <w:vAlign w:val="center"/>
          </w:tcPr>
          <w:p w14:paraId="34EC01E7">
            <w:pPr>
              <w:pStyle w:val="73"/>
              <w:spacing w:line="360" w:lineRule="auto"/>
              <w:jc w:val="center"/>
              <w:rPr>
                <w:rFonts w:hint="eastAsia" w:ascii="宋体" w:hAnsi="宋体" w:cs="宋体"/>
                <w:sz w:val="21"/>
                <w:szCs w:val="21"/>
              </w:rPr>
            </w:pPr>
          </w:p>
        </w:tc>
        <w:tc>
          <w:tcPr>
            <w:tcW w:w="1462" w:type="dxa"/>
            <w:tcBorders>
              <w:top w:val="single" w:color="auto" w:sz="4" w:space="0"/>
              <w:left w:val="single" w:color="auto" w:sz="4" w:space="0"/>
              <w:bottom w:val="single" w:color="auto" w:sz="4" w:space="0"/>
              <w:right w:val="single" w:color="auto" w:sz="4" w:space="0"/>
            </w:tcBorders>
            <w:vAlign w:val="center"/>
          </w:tcPr>
          <w:p w14:paraId="655C71C8">
            <w:pPr>
              <w:pStyle w:val="73"/>
              <w:spacing w:line="360" w:lineRule="auto"/>
              <w:jc w:val="center"/>
              <w:rPr>
                <w:rFonts w:hint="eastAsia" w:ascii="宋体" w:hAnsi="宋体" w:cs="宋体"/>
                <w:sz w:val="21"/>
                <w:szCs w:val="21"/>
              </w:rPr>
            </w:pPr>
          </w:p>
        </w:tc>
        <w:tc>
          <w:tcPr>
            <w:tcW w:w="1126" w:type="dxa"/>
            <w:tcBorders>
              <w:top w:val="single" w:color="auto" w:sz="4" w:space="0"/>
              <w:left w:val="single" w:color="auto" w:sz="4" w:space="0"/>
              <w:bottom w:val="single" w:color="auto" w:sz="4" w:space="0"/>
              <w:right w:val="single" w:color="auto" w:sz="4" w:space="0"/>
            </w:tcBorders>
            <w:vAlign w:val="center"/>
          </w:tcPr>
          <w:p w14:paraId="22F99D55">
            <w:pPr>
              <w:pStyle w:val="73"/>
              <w:spacing w:line="360" w:lineRule="auto"/>
              <w:jc w:val="center"/>
              <w:rPr>
                <w:rFonts w:hint="eastAsia" w:ascii="宋体" w:hAnsi="宋体" w:cs="宋体"/>
                <w:sz w:val="21"/>
                <w:szCs w:val="21"/>
              </w:rPr>
            </w:pPr>
          </w:p>
        </w:tc>
      </w:tr>
      <w:tr w14:paraId="50A9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0F2C6E3B">
            <w:pPr>
              <w:pStyle w:val="73"/>
              <w:spacing w:line="360" w:lineRule="auto"/>
              <w:jc w:val="center"/>
              <w:rPr>
                <w:rFonts w:hint="eastAsia" w:ascii="宋体" w:hAnsi="宋体" w:cs="宋体"/>
                <w:sz w:val="21"/>
                <w:szCs w:val="21"/>
              </w:rPr>
            </w:pPr>
            <w:r>
              <w:rPr>
                <w:rFonts w:hint="eastAsia" w:ascii="宋体" w:hAnsi="宋体" w:cs="宋体"/>
                <w:sz w:val="21"/>
                <w:szCs w:val="21"/>
              </w:rPr>
              <w:t>3</w:t>
            </w:r>
          </w:p>
        </w:tc>
        <w:tc>
          <w:tcPr>
            <w:tcW w:w="1404" w:type="dxa"/>
            <w:tcBorders>
              <w:top w:val="single" w:color="auto" w:sz="4" w:space="0"/>
              <w:left w:val="single" w:color="auto" w:sz="4" w:space="0"/>
              <w:bottom w:val="single" w:color="auto" w:sz="4" w:space="0"/>
              <w:right w:val="single" w:color="auto" w:sz="4" w:space="0"/>
            </w:tcBorders>
            <w:vAlign w:val="center"/>
          </w:tcPr>
          <w:p w14:paraId="6F6B6347">
            <w:pPr>
              <w:pStyle w:val="73"/>
              <w:spacing w:line="360" w:lineRule="auto"/>
              <w:jc w:val="center"/>
              <w:rPr>
                <w:rFonts w:hint="eastAsia" w:ascii="宋体" w:hAnsi="宋体" w:cs="宋体"/>
                <w:sz w:val="21"/>
                <w:szCs w:val="21"/>
              </w:rPr>
            </w:pPr>
          </w:p>
        </w:tc>
        <w:tc>
          <w:tcPr>
            <w:tcW w:w="1215" w:type="dxa"/>
            <w:tcBorders>
              <w:top w:val="single" w:color="auto" w:sz="4" w:space="0"/>
              <w:left w:val="single" w:color="auto" w:sz="4" w:space="0"/>
              <w:bottom w:val="single" w:color="auto" w:sz="4" w:space="0"/>
              <w:right w:val="single" w:color="auto" w:sz="4" w:space="0"/>
            </w:tcBorders>
            <w:vAlign w:val="center"/>
          </w:tcPr>
          <w:p w14:paraId="110DAEAE">
            <w:pPr>
              <w:pStyle w:val="73"/>
              <w:spacing w:line="360" w:lineRule="auto"/>
              <w:jc w:val="center"/>
              <w:rPr>
                <w:rFonts w:hint="eastAsia" w:ascii="宋体" w:hAnsi="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14:paraId="16C78552">
            <w:pPr>
              <w:pStyle w:val="73"/>
              <w:spacing w:line="360" w:lineRule="auto"/>
              <w:jc w:val="center"/>
              <w:rPr>
                <w:rFonts w:hint="eastAsia" w:ascii="宋体" w:hAnsi="宋体" w:cs="宋体"/>
                <w:sz w:val="21"/>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479D3806">
            <w:pPr>
              <w:pStyle w:val="73"/>
              <w:spacing w:line="360" w:lineRule="auto"/>
              <w:jc w:val="center"/>
              <w:rPr>
                <w:rFonts w:hint="eastAsia" w:ascii="宋体" w:hAnsi="宋体" w:cs="宋体"/>
                <w:sz w:val="21"/>
                <w:szCs w:val="21"/>
              </w:rPr>
            </w:pPr>
          </w:p>
        </w:tc>
        <w:tc>
          <w:tcPr>
            <w:tcW w:w="1001" w:type="dxa"/>
            <w:tcBorders>
              <w:top w:val="single" w:color="auto" w:sz="4" w:space="0"/>
              <w:left w:val="single" w:color="auto" w:sz="4" w:space="0"/>
              <w:bottom w:val="single" w:color="auto" w:sz="4" w:space="0"/>
              <w:right w:val="single" w:color="auto" w:sz="4" w:space="0"/>
            </w:tcBorders>
            <w:vAlign w:val="center"/>
          </w:tcPr>
          <w:p w14:paraId="441E56A0">
            <w:pPr>
              <w:pStyle w:val="73"/>
              <w:spacing w:line="360" w:lineRule="auto"/>
              <w:jc w:val="center"/>
              <w:rPr>
                <w:rFonts w:hint="eastAsia" w:ascii="宋体" w:hAnsi="宋体" w:cs="宋体"/>
                <w:sz w:val="21"/>
                <w:szCs w:val="21"/>
              </w:rPr>
            </w:pPr>
          </w:p>
        </w:tc>
        <w:tc>
          <w:tcPr>
            <w:tcW w:w="1462" w:type="dxa"/>
            <w:tcBorders>
              <w:top w:val="single" w:color="auto" w:sz="4" w:space="0"/>
              <w:left w:val="single" w:color="auto" w:sz="4" w:space="0"/>
              <w:bottom w:val="single" w:color="auto" w:sz="4" w:space="0"/>
              <w:right w:val="single" w:color="auto" w:sz="4" w:space="0"/>
            </w:tcBorders>
            <w:vAlign w:val="center"/>
          </w:tcPr>
          <w:p w14:paraId="2BAFB8C9">
            <w:pPr>
              <w:pStyle w:val="73"/>
              <w:spacing w:line="360" w:lineRule="auto"/>
              <w:jc w:val="center"/>
              <w:rPr>
                <w:rFonts w:hint="eastAsia" w:ascii="宋体" w:hAnsi="宋体" w:cs="宋体"/>
                <w:sz w:val="21"/>
                <w:szCs w:val="21"/>
              </w:rPr>
            </w:pPr>
          </w:p>
        </w:tc>
        <w:tc>
          <w:tcPr>
            <w:tcW w:w="1126" w:type="dxa"/>
            <w:tcBorders>
              <w:top w:val="single" w:color="auto" w:sz="4" w:space="0"/>
              <w:left w:val="single" w:color="auto" w:sz="4" w:space="0"/>
              <w:bottom w:val="single" w:color="auto" w:sz="4" w:space="0"/>
              <w:right w:val="single" w:color="auto" w:sz="4" w:space="0"/>
            </w:tcBorders>
            <w:vAlign w:val="center"/>
          </w:tcPr>
          <w:p w14:paraId="4614DA45">
            <w:pPr>
              <w:pStyle w:val="73"/>
              <w:spacing w:line="360" w:lineRule="auto"/>
              <w:jc w:val="center"/>
              <w:rPr>
                <w:rFonts w:hint="eastAsia" w:ascii="宋体" w:hAnsi="宋体" w:cs="宋体"/>
                <w:sz w:val="21"/>
                <w:szCs w:val="21"/>
              </w:rPr>
            </w:pPr>
          </w:p>
        </w:tc>
      </w:tr>
      <w:tr w14:paraId="5F7A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6C686713">
            <w:pPr>
              <w:pStyle w:val="73"/>
              <w:spacing w:line="360" w:lineRule="auto"/>
              <w:jc w:val="center"/>
              <w:rPr>
                <w:rFonts w:hint="eastAsia" w:ascii="宋体" w:hAnsi="宋体" w:cs="宋体"/>
                <w:sz w:val="21"/>
                <w:szCs w:val="21"/>
              </w:rPr>
            </w:pPr>
            <w:r>
              <w:rPr>
                <w:rFonts w:hint="eastAsia" w:ascii="宋体" w:hAnsi="宋体" w:cs="宋体"/>
                <w:sz w:val="21"/>
                <w:szCs w:val="21"/>
              </w:rPr>
              <w:t>4</w:t>
            </w:r>
          </w:p>
        </w:tc>
        <w:tc>
          <w:tcPr>
            <w:tcW w:w="1404" w:type="dxa"/>
            <w:tcBorders>
              <w:top w:val="single" w:color="auto" w:sz="4" w:space="0"/>
              <w:left w:val="single" w:color="auto" w:sz="4" w:space="0"/>
              <w:bottom w:val="single" w:color="auto" w:sz="4" w:space="0"/>
              <w:right w:val="single" w:color="auto" w:sz="4" w:space="0"/>
            </w:tcBorders>
            <w:vAlign w:val="center"/>
          </w:tcPr>
          <w:p w14:paraId="1E8CDE8C">
            <w:pPr>
              <w:pStyle w:val="73"/>
              <w:spacing w:line="360" w:lineRule="auto"/>
              <w:jc w:val="center"/>
              <w:rPr>
                <w:rFonts w:hint="eastAsia" w:ascii="宋体" w:hAnsi="宋体" w:cs="宋体"/>
                <w:sz w:val="21"/>
                <w:szCs w:val="21"/>
              </w:rPr>
            </w:pPr>
          </w:p>
        </w:tc>
        <w:tc>
          <w:tcPr>
            <w:tcW w:w="1215" w:type="dxa"/>
            <w:tcBorders>
              <w:top w:val="single" w:color="auto" w:sz="4" w:space="0"/>
              <w:left w:val="single" w:color="auto" w:sz="4" w:space="0"/>
              <w:bottom w:val="single" w:color="auto" w:sz="4" w:space="0"/>
              <w:right w:val="single" w:color="auto" w:sz="4" w:space="0"/>
            </w:tcBorders>
            <w:vAlign w:val="center"/>
          </w:tcPr>
          <w:p w14:paraId="3FA9831B">
            <w:pPr>
              <w:pStyle w:val="73"/>
              <w:spacing w:line="360" w:lineRule="auto"/>
              <w:jc w:val="center"/>
              <w:rPr>
                <w:rFonts w:hint="eastAsia" w:ascii="宋体" w:hAnsi="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14:paraId="65A77FF3">
            <w:pPr>
              <w:pStyle w:val="73"/>
              <w:spacing w:line="360" w:lineRule="auto"/>
              <w:jc w:val="center"/>
              <w:rPr>
                <w:rFonts w:hint="eastAsia" w:ascii="宋体" w:hAnsi="宋体" w:cs="宋体"/>
                <w:sz w:val="21"/>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5074779E">
            <w:pPr>
              <w:pStyle w:val="73"/>
              <w:spacing w:line="360" w:lineRule="auto"/>
              <w:jc w:val="center"/>
              <w:rPr>
                <w:rFonts w:hint="eastAsia" w:ascii="宋体" w:hAnsi="宋体" w:cs="宋体"/>
                <w:sz w:val="21"/>
                <w:szCs w:val="21"/>
              </w:rPr>
            </w:pPr>
          </w:p>
        </w:tc>
        <w:tc>
          <w:tcPr>
            <w:tcW w:w="1001" w:type="dxa"/>
            <w:tcBorders>
              <w:top w:val="single" w:color="auto" w:sz="4" w:space="0"/>
              <w:left w:val="single" w:color="auto" w:sz="4" w:space="0"/>
              <w:bottom w:val="single" w:color="auto" w:sz="4" w:space="0"/>
              <w:right w:val="single" w:color="auto" w:sz="4" w:space="0"/>
            </w:tcBorders>
            <w:vAlign w:val="center"/>
          </w:tcPr>
          <w:p w14:paraId="33FA5E7D">
            <w:pPr>
              <w:pStyle w:val="73"/>
              <w:spacing w:line="360" w:lineRule="auto"/>
              <w:jc w:val="center"/>
              <w:rPr>
                <w:rFonts w:hint="eastAsia" w:ascii="宋体" w:hAnsi="宋体" w:cs="宋体"/>
                <w:sz w:val="21"/>
                <w:szCs w:val="21"/>
              </w:rPr>
            </w:pPr>
          </w:p>
        </w:tc>
        <w:tc>
          <w:tcPr>
            <w:tcW w:w="1462" w:type="dxa"/>
            <w:tcBorders>
              <w:top w:val="single" w:color="auto" w:sz="4" w:space="0"/>
              <w:left w:val="single" w:color="auto" w:sz="4" w:space="0"/>
              <w:bottom w:val="single" w:color="auto" w:sz="4" w:space="0"/>
              <w:right w:val="single" w:color="auto" w:sz="4" w:space="0"/>
            </w:tcBorders>
            <w:vAlign w:val="center"/>
          </w:tcPr>
          <w:p w14:paraId="2756A889">
            <w:pPr>
              <w:pStyle w:val="73"/>
              <w:spacing w:line="360" w:lineRule="auto"/>
              <w:jc w:val="center"/>
              <w:rPr>
                <w:rFonts w:hint="eastAsia" w:ascii="宋体" w:hAnsi="宋体" w:cs="宋体"/>
                <w:sz w:val="21"/>
                <w:szCs w:val="21"/>
              </w:rPr>
            </w:pPr>
          </w:p>
        </w:tc>
        <w:tc>
          <w:tcPr>
            <w:tcW w:w="1126" w:type="dxa"/>
            <w:tcBorders>
              <w:top w:val="single" w:color="auto" w:sz="4" w:space="0"/>
              <w:left w:val="single" w:color="auto" w:sz="4" w:space="0"/>
              <w:bottom w:val="single" w:color="auto" w:sz="4" w:space="0"/>
              <w:right w:val="single" w:color="auto" w:sz="4" w:space="0"/>
            </w:tcBorders>
            <w:vAlign w:val="center"/>
          </w:tcPr>
          <w:p w14:paraId="47360DD0">
            <w:pPr>
              <w:pStyle w:val="73"/>
              <w:spacing w:line="360" w:lineRule="auto"/>
              <w:jc w:val="center"/>
              <w:rPr>
                <w:rFonts w:hint="eastAsia" w:ascii="宋体" w:hAnsi="宋体" w:cs="宋体"/>
                <w:sz w:val="21"/>
                <w:szCs w:val="21"/>
              </w:rPr>
            </w:pPr>
          </w:p>
        </w:tc>
      </w:tr>
      <w:tr w14:paraId="555A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4FCC9736">
            <w:pPr>
              <w:pStyle w:val="73"/>
              <w:spacing w:line="360" w:lineRule="auto"/>
              <w:jc w:val="center"/>
              <w:rPr>
                <w:rFonts w:hint="eastAsia" w:ascii="宋体" w:hAnsi="宋体" w:cs="宋体"/>
                <w:sz w:val="21"/>
                <w:szCs w:val="21"/>
              </w:rPr>
            </w:pPr>
            <w:r>
              <w:rPr>
                <w:rFonts w:hint="eastAsia" w:ascii="宋体" w:hAnsi="宋体" w:cs="宋体"/>
                <w:sz w:val="21"/>
                <w:szCs w:val="21"/>
              </w:rPr>
              <w:t>……</w:t>
            </w:r>
          </w:p>
        </w:tc>
        <w:tc>
          <w:tcPr>
            <w:tcW w:w="1404" w:type="dxa"/>
            <w:tcBorders>
              <w:top w:val="single" w:color="auto" w:sz="4" w:space="0"/>
              <w:left w:val="single" w:color="auto" w:sz="4" w:space="0"/>
              <w:bottom w:val="single" w:color="auto" w:sz="4" w:space="0"/>
              <w:right w:val="single" w:color="auto" w:sz="4" w:space="0"/>
            </w:tcBorders>
            <w:vAlign w:val="center"/>
          </w:tcPr>
          <w:p w14:paraId="5B17F1E3">
            <w:pPr>
              <w:pStyle w:val="73"/>
              <w:spacing w:line="360" w:lineRule="auto"/>
              <w:jc w:val="center"/>
              <w:rPr>
                <w:rFonts w:hint="eastAsia" w:ascii="宋体" w:hAnsi="宋体" w:cs="宋体"/>
                <w:sz w:val="21"/>
                <w:szCs w:val="21"/>
              </w:rPr>
            </w:pPr>
          </w:p>
        </w:tc>
        <w:tc>
          <w:tcPr>
            <w:tcW w:w="1215" w:type="dxa"/>
            <w:tcBorders>
              <w:top w:val="single" w:color="auto" w:sz="4" w:space="0"/>
              <w:left w:val="single" w:color="auto" w:sz="4" w:space="0"/>
              <w:bottom w:val="single" w:color="auto" w:sz="4" w:space="0"/>
              <w:right w:val="single" w:color="auto" w:sz="4" w:space="0"/>
            </w:tcBorders>
            <w:vAlign w:val="center"/>
          </w:tcPr>
          <w:p w14:paraId="3F274EAB">
            <w:pPr>
              <w:pStyle w:val="73"/>
              <w:spacing w:line="360" w:lineRule="auto"/>
              <w:jc w:val="center"/>
              <w:rPr>
                <w:rFonts w:hint="eastAsia" w:ascii="宋体" w:hAnsi="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14:paraId="3AF9642B">
            <w:pPr>
              <w:pStyle w:val="73"/>
              <w:spacing w:line="360" w:lineRule="auto"/>
              <w:jc w:val="center"/>
              <w:rPr>
                <w:rFonts w:hint="eastAsia" w:ascii="宋体" w:hAnsi="宋体" w:cs="宋体"/>
                <w:sz w:val="21"/>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7271FFEA">
            <w:pPr>
              <w:pStyle w:val="73"/>
              <w:spacing w:line="360" w:lineRule="auto"/>
              <w:jc w:val="center"/>
              <w:rPr>
                <w:rFonts w:hint="eastAsia" w:ascii="宋体" w:hAnsi="宋体" w:cs="宋体"/>
                <w:sz w:val="21"/>
                <w:szCs w:val="21"/>
              </w:rPr>
            </w:pPr>
          </w:p>
        </w:tc>
        <w:tc>
          <w:tcPr>
            <w:tcW w:w="1001" w:type="dxa"/>
            <w:tcBorders>
              <w:top w:val="single" w:color="auto" w:sz="4" w:space="0"/>
              <w:left w:val="single" w:color="auto" w:sz="4" w:space="0"/>
              <w:bottom w:val="single" w:color="auto" w:sz="4" w:space="0"/>
              <w:right w:val="single" w:color="auto" w:sz="4" w:space="0"/>
            </w:tcBorders>
            <w:vAlign w:val="center"/>
          </w:tcPr>
          <w:p w14:paraId="5CEB39AF">
            <w:pPr>
              <w:pStyle w:val="73"/>
              <w:spacing w:line="360" w:lineRule="auto"/>
              <w:jc w:val="center"/>
              <w:rPr>
                <w:rFonts w:hint="eastAsia" w:ascii="宋体" w:hAnsi="宋体" w:cs="宋体"/>
                <w:sz w:val="21"/>
                <w:szCs w:val="21"/>
              </w:rPr>
            </w:pPr>
          </w:p>
        </w:tc>
        <w:tc>
          <w:tcPr>
            <w:tcW w:w="1462" w:type="dxa"/>
            <w:tcBorders>
              <w:top w:val="single" w:color="auto" w:sz="4" w:space="0"/>
              <w:left w:val="single" w:color="auto" w:sz="4" w:space="0"/>
              <w:bottom w:val="single" w:color="auto" w:sz="4" w:space="0"/>
              <w:right w:val="single" w:color="auto" w:sz="4" w:space="0"/>
            </w:tcBorders>
            <w:vAlign w:val="center"/>
          </w:tcPr>
          <w:p w14:paraId="04462777">
            <w:pPr>
              <w:pStyle w:val="73"/>
              <w:spacing w:line="360" w:lineRule="auto"/>
              <w:jc w:val="center"/>
              <w:rPr>
                <w:rFonts w:hint="eastAsia" w:ascii="宋体" w:hAnsi="宋体" w:cs="宋体"/>
                <w:sz w:val="21"/>
                <w:szCs w:val="21"/>
              </w:rPr>
            </w:pPr>
          </w:p>
        </w:tc>
        <w:tc>
          <w:tcPr>
            <w:tcW w:w="1126" w:type="dxa"/>
            <w:tcBorders>
              <w:top w:val="single" w:color="auto" w:sz="4" w:space="0"/>
              <w:left w:val="single" w:color="auto" w:sz="4" w:space="0"/>
              <w:bottom w:val="single" w:color="auto" w:sz="4" w:space="0"/>
              <w:right w:val="single" w:color="auto" w:sz="4" w:space="0"/>
            </w:tcBorders>
            <w:vAlign w:val="center"/>
          </w:tcPr>
          <w:p w14:paraId="1923F3F4">
            <w:pPr>
              <w:pStyle w:val="73"/>
              <w:spacing w:line="360" w:lineRule="auto"/>
              <w:jc w:val="center"/>
              <w:rPr>
                <w:rFonts w:hint="eastAsia" w:ascii="宋体" w:hAnsi="宋体" w:cs="宋体"/>
                <w:sz w:val="21"/>
                <w:szCs w:val="21"/>
              </w:rPr>
            </w:pPr>
          </w:p>
        </w:tc>
      </w:tr>
      <w:tr w14:paraId="3D28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tcPr>
          <w:p w14:paraId="4F0FE0B2">
            <w:pPr>
              <w:pStyle w:val="73"/>
              <w:spacing w:line="360" w:lineRule="auto"/>
              <w:rPr>
                <w:rFonts w:hint="eastAsia" w:ascii="宋体" w:hAnsi="宋体" w:cs="宋体"/>
                <w:sz w:val="21"/>
                <w:szCs w:val="21"/>
              </w:rPr>
            </w:pPr>
            <w:r>
              <w:rPr>
                <w:rFonts w:hint="eastAsia" w:ascii="宋体" w:hAnsi="宋体" w:cs="宋体"/>
                <w:sz w:val="21"/>
                <w:szCs w:val="21"/>
              </w:rPr>
              <w:t xml:space="preserve">总报价：人民币（大写）  </w:t>
            </w:r>
          </w:p>
          <w:p w14:paraId="67D2610E">
            <w:pPr>
              <w:pStyle w:val="73"/>
              <w:spacing w:line="360" w:lineRule="auto"/>
              <w:rPr>
                <w:rFonts w:hint="eastAsia" w:ascii="宋体" w:hAnsi="宋体" w:cs="宋体"/>
                <w:sz w:val="21"/>
                <w:szCs w:val="21"/>
              </w:rPr>
            </w:pPr>
            <w:r>
              <w:rPr>
                <w:rFonts w:hint="eastAsia" w:ascii="宋体" w:hAnsi="宋体" w:cs="宋体"/>
                <w:sz w:val="21"/>
                <w:szCs w:val="21"/>
              </w:rPr>
              <w:t>小写：</w:t>
            </w:r>
          </w:p>
        </w:tc>
      </w:tr>
    </w:tbl>
    <w:p w14:paraId="256A34D7">
      <w:pPr>
        <w:pStyle w:val="73"/>
        <w:spacing w:line="360" w:lineRule="auto"/>
        <w:rPr>
          <w:rFonts w:hint="eastAsia" w:ascii="宋体" w:hAnsi="宋体" w:cs="宋体"/>
          <w:sz w:val="21"/>
          <w:szCs w:val="21"/>
        </w:rPr>
      </w:pPr>
    </w:p>
    <w:p w14:paraId="2BCF3342">
      <w:pPr>
        <w:pStyle w:val="73"/>
        <w:spacing w:line="360" w:lineRule="auto"/>
        <w:rPr>
          <w:rFonts w:hint="eastAsia" w:ascii="宋体" w:hAnsi="宋体" w:cs="宋体"/>
          <w:sz w:val="21"/>
          <w:szCs w:val="21"/>
        </w:rPr>
      </w:pPr>
    </w:p>
    <w:p w14:paraId="22962CAB">
      <w:pPr>
        <w:pStyle w:val="73"/>
        <w:spacing w:line="360" w:lineRule="auto"/>
        <w:rPr>
          <w:rFonts w:hint="eastAsia" w:ascii="宋体" w:hAnsi="宋体" w:cs="宋体"/>
          <w:sz w:val="21"/>
          <w:szCs w:val="21"/>
        </w:rPr>
      </w:pPr>
    </w:p>
    <w:p w14:paraId="0BA2C5CE">
      <w:pPr>
        <w:pStyle w:val="73"/>
        <w:spacing w:line="360" w:lineRule="auto"/>
        <w:rPr>
          <w:rFonts w:hint="eastAsia" w:ascii="宋体" w:hAnsi="宋体" w:cs="宋体"/>
          <w:sz w:val="21"/>
          <w:szCs w:val="21"/>
        </w:rPr>
      </w:pPr>
    </w:p>
    <w:p w14:paraId="7D105A5E">
      <w:pPr>
        <w:spacing w:line="360" w:lineRule="auto"/>
        <w:ind w:right="480" w:firstLine="3045" w:firstLineChars="1450"/>
        <w:contextualSpacing/>
        <w:rPr>
          <w:rFonts w:hint="eastAsia" w:ascii="宋体" w:hAnsi="宋体" w:cs="宋体"/>
          <w:szCs w:val="21"/>
          <w:u w:val="single"/>
        </w:rPr>
      </w:pPr>
      <w:r>
        <w:rPr>
          <w:rFonts w:hint="eastAsia" w:ascii="宋体" w:hAnsi="宋体" w:cs="宋体"/>
          <w:szCs w:val="21"/>
        </w:rPr>
        <w:t xml:space="preserve">供应商（电子签章）： </w:t>
      </w:r>
      <w:r>
        <w:rPr>
          <w:rFonts w:hint="eastAsia" w:ascii="宋体" w:hAnsi="宋体" w:cs="宋体"/>
          <w:szCs w:val="21"/>
          <w:u w:val="single"/>
        </w:rPr>
        <w:t xml:space="preserve">                              </w:t>
      </w:r>
    </w:p>
    <w:p w14:paraId="49487218">
      <w:pPr>
        <w:spacing w:line="360" w:lineRule="auto"/>
        <w:ind w:right="480" w:firstLine="5250" w:firstLineChars="2500"/>
        <w:contextualSpacing/>
        <w:rPr>
          <w:rFonts w:hint="eastAsia" w:ascii="宋体" w:hAnsi="宋体" w:cs="宋体"/>
          <w:szCs w:val="21"/>
        </w:rPr>
      </w:pPr>
      <w:r>
        <w:rPr>
          <w:rFonts w:hint="eastAsia" w:ascii="宋体" w:hAnsi="宋体" w:cs="宋体"/>
          <w:szCs w:val="21"/>
        </w:rPr>
        <w:t>年    月    日</w:t>
      </w:r>
    </w:p>
    <w:p w14:paraId="12A7BCE2">
      <w:pPr>
        <w:pStyle w:val="73"/>
        <w:rPr>
          <w:rFonts w:hint="eastAsia" w:ascii="宋体" w:hAnsi="宋体" w:cs="宋体"/>
        </w:rPr>
      </w:pPr>
    </w:p>
    <w:p w14:paraId="31367BB1">
      <w:pPr>
        <w:pStyle w:val="73"/>
        <w:rPr>
          <w:rFonts w:hint="eastAsia" w:ascii="宋体" w:hAnsi="宋体" w:cs="宋体"/>
        </w:rPr>
      </w:pPr>
    </w:p>
    <w:p w14:paraId="78BE598A">
      <w:pPr>
        <w:pStyle w:val="73"/>
        <w:rPr>
          <w:rFonts w:hint="eastAsia" w:ascii="宋体" w:hAnsi="宋体" w:cs="宋体"/>
        </w:rPr>
      </w:pPr>
    </w:p>
    <w:p w14:paraId="228A553F">
      <w:pPr>
        <w:pStyle w:val="73"/>
        <w:rPr>
          <w:rFonts w:hint="eastAsia" w:ascii="宋体" w:hAnsi="宋体" w:cs="宋体"/>
        </w:rPr>
      </w:pPr>
    </w:p>
    <w:p w14:paraId="5B8EBB2D">
      <w:pPr>
        <w:pStyle w:val="73"/>
        <w:rPr>
          <w:rFonts w:hint="eastAsia" w:ascii="宋体" w:hAnsi="宋体" w:cs="宋体"/>
        </w:rPr>
      </w:pPr>
    </w:p>
    <w:p w14:paraId="5A14E49E">
      <w:pPr>
        <w:pStyle w:val="73"/>
        <w:rPr>
          <w:rFonts w:hint="eastAsia" w:ascii="宋体" w:hAnsi="宋体" w:cs="宋体"/>
        </w:rPr>
      </w:pPr>
    </w:p>
    <w:p w14:paraId="32F530C8">
      <w:pPr>
        <w:pStyle w:val="73"/>
        <w:rPr>
          <w:rFonts w:hint="eastAsia" w:ascii="宋体" w:hAnsi="宋体" w:cs="宋体"/>
        </w:rPr>
      </w:pPr>
    </w:p>
    <w:p w14:paraId="172EC7FF">
      <w:pPr>
        <w:pStyle w:val="73"/>
        <w:rPr>
          <w:rFonts w:hint="eastAsia" w:ascii="宋体" w:hAnsi="宋体" w:cs="宋体"/>
        </w:rPr>
      </w:pPr>
    </w:p>
    <w:p w14:paraId="00ACD0DD">
      <w:pPr>
        <w:pStyle w:val="73"/>
        <w:rPr>
          <w:rFonts w:hint="eastAsia" w:ascii="宋体" w:hAnsi="宋体" w:cs="宋体"/>
        </w:rPr>
      </w:pPr>
    </w:p>
    <w:p w14:paraId="3DC18022">
      <w:pPr>
        <w:pStyle w:val="73"/>
        <w:rPr>
          <w:rFonts w:hint="eastAsia" w:ascii="宋体" w:hAnsi="宋体" w:cs="宋体"/>
        </w:rPr>
      </w:pPr>
    </w:p>
    <w:p w14:paraId="73C0A632">
      <w:pPr>
        <w:pStyle w:val="73"/>
        <w:rPr>
          <w:rFonts w:hint="eastAsia" w:ascii="宋体" w:hAnsi="宋体" w:cs="宋体"/>
        </w:rPr>
      </w:pPr>
    </w:p>
    <w:p w14:paraId="3481C9DB">
      <w:pPr>
        <w:pStyle w:val="73"/>
        <w:rPr>
          <w:rFonts w:hint="eastAsia" w:ascii="宋体" w:hAnsi="宋体" w:cs="宋体"/>
        </w:rPr>
      </w:pPr>
    </w:p>
    <w:p w14:paraId="3118456F">
      <w:pPr>
        <w:pStyle w:val="73"/>
        <w:rPr>
          <w:rFonts w:hint="eastAsia" w:ascii="宋体" w:hAnsi="宋体" w:cs="宋体"/>
        </w:rPr>
      </w:pPr>
    </w:p>
    <w:p w14:paraId="724E6319">
      <w:pPr>
        <w:pStyle w:val="73"/>
        <w:rPr>
          <w:rFonts w:hint="eastAsia" w:ascii="宋体" w:hAnsi="宋体" w:cs="宋体"/>
        </w:rPr>
      </w:pPr>
    </w:p>
    <w:p w14:paraId="1D7B7E9A">
      <w:pPr>
        <w:pStyle w:val="73"/>
        <w:rPr>
          <w:rFonts w:hint="eastAsia" w:ascii="宋体" w:hAnsi="宋体" w:cs="宋体"/>
        </w:rPr>
      </w:pPr>
    </w:p>
    <w:p w14:paraId="3E9F8A3F">
      <w:pPr>
        <w:pStyle w:val="73"/>
        <w:rPr>
          <w:rFonts w:hint="eastAsia" w:ascii="宋体" w:hAnsi="宋体" w:cs="宋体"/>
        </w:rPr>
      </w:pPr>
    </w:p>
    <w:p w14:paraId="07C4A81A">
      <w:pPr>
        <w:pStyle w:val="73"/>
        <w:rPr>
          <w:rFonts w:hint="eastAsia" w:ascii="宋体" w:hAnsi="宋体" w:cs="宋体"/>
        </w:rPr>
      </w:pPr>
    </w:p>
    <w:p w14:paraId="6E16FF61">
      <w:pPr>
        <w:pStyle w:val="73"/>
        <w:rPr>
          <w:rFonts w:hint="eastAsia" w:ascii="宋体" w:hAnsi="宋体" w:cs="宋体"/>
        </w:rPr>
      </w:pPr>
    </w:p>
    <w:p w14:paraId="37C25EF3">
      <w:pPr>
        <w:pStyle w:val="73"/>
        <w:rPr>
          <w:rFonts w:hint="eastAsia" w:ascii="宋体" w:hAnsi="宋体" w:cs="宋体"/>
        </w:rPr>
      </w:pPr>
    </w:p>
    <w:p w14:paraId="000A704F">
      <w:pPr>
        <w:pStyle w:val="73"/>
        <w:rPr>
          <w:rFonts w:hint="eastAsia" w:ascii="宋体" w:hAnsi="宋体" w:cs="宋体"/>
        </w:rPr>
      </w:pPr>
    </w:p>
    <w:p w14:paraId="4A8B243D">
      <w:pPr>
        <w:pStyle w:val="73"/>
        <w:rPr>
          <w:rFonts w:hint="eastAsia" w:ascii="宋体" w:hAnsi="宋体" w:cs="宋体"/>
        </w:rPr>
      </w:pPr>
    </w:p>
    <w:p w14:paraId="0A359511">
      <w:pPr>
        <w:pStyle w:val="73"/>
        <w:rPr>
          <w:rFonts w:hint="eastAsia" w:ascii="宋体" w:hAnsi="宋体" w:cs="宋体"/>
        </w:rPr>
      </w:pPr>
    </w:p>
    <w:p w14:paraId="3C5BF767">
      <w:pPr>
        <w:pStyle w:val="3"/>
        <w:jc w:val="center"/>
        <w:rPr>
          <w:rFonts w:hint="eastAsia" w:ascii="宋体" w:hAnsi="宋体" w:cs="宋体"/>
        </w:rPr>
      </w:pPr>
      <w:bookmarkStart w:id="75" w:name="_Toc13136"/>
      <w:bookmarkStart w:id="76" w:name="_Toc27681"/>
      <w:r>
        <w:rPr>
          <w:rFonts w:hint="eastAsia" w:ascii="宋体" w:hAnsi="宋体" w:cs="宋体"/>
        </w:rPr>
        <w:t>第五章 响应文件格式</w:t>
      </w:r>
      <w:bookmarkEnd w:id="75"/>
      <w:bookmarkEnd w:id="76"/>
    </w:p>
    <w:p w14:paraId="5EF4A599">
      <w:pPr>
        <w:spacing w:line="240" w:lineRule="atLeast"/>
        <w:rPr>
          <w:rFonts w:hint="eastAsia" w:ascii="宋体" w:hAnsi="宋体" w:cs="宋体"/>
          <w:b/>
          <w:sz w:val="32"/>
          <w:szCs w:val="32"/>
        </w:rPr>
      </w:pPr>
    </w:p>
    <w:p w14:paraId="3EB62547">
      <w:pPr>
        <w:spacing w:line="240" w:lineRule="atLeast"/>
        <w:rPr>
          <w:rFonts w:hint="eastAsia" w:ascii="宋体" w:hAnsi="宋体" w:cs="宋体"/>
          <w:b/>
          <w:sz w:val="32"/>
          <w:szCs w:val="32"/>
        </w:rPr>
      </w:pPr>
    </w:p>
    <w:p w14:paraId="1F1234F3">
      <w:pPr>
        <w:spacing w:line="240" w:lineRule="atLeast"/>
        <w:rPr>
          <w:rFonts w:hint="eastAsia" w:ascii="宋体" w:hAnsi="宋体" w:cs="宋体"/>
          <w:b/>
          <w:sz w:val="32"/>
          <w:szCs w:val="32"/>
        </w:rPr>
      </w:pPr>
    </w:p>
    <w:p w14:paraId="07271F71">
      <w:pPr>
        <w:spacing w:line="240" w:lineRule="atLeast"/>
        <w:rPr>
          <w:rFonts w:hint="eastAsia" w:ascii="宋体" w:hAnsi="宋体" w:cs="宋体"/>
          <w:b/>
          <w:sz w:val="32"/>
          <w:szCs w:val="32"/>
        </w:rPr>
      </w:pPr>
    </w:p>
    <w:p w14:paraId="336D7005">
      <w:pPr>
        <w:spacing w:line="240" w:lineRule="atLeast"/>
        <w:rPr>
          <w:rFonts w:hint="eastAsia" w:ascii="宋体" w:hAnsi="宋体" w:cs="宋体"/>
          <w:b/>
          <w:sz w:val="32"/>
          <w:szCs w:val="32"/>
        </w:rPr>
      </w:pPr>
    </w:p>
    <w:p w14:paraId="3BCBDC2A">
      <w:pPr>
        <w:spacing w:line="240" w:lineRule="atLeast"/>
        <w:rPr>
          <w:rFonts w:hint="eastAsia" w:ascii="宋体" w:hAnsi="宋体" w:cs="宋体"/>
          <w:b/>
          <w:sz w:val="32"/>
          <w:szCs w:val="32"/>
        </w:rPr>
      </w:pPr>
    </w:p>
    <w:p w14:paraId="65C04F2C">
      <w:pPr>
        <w:spacing w:line="240" w:lineRule="atLeast"/>
        <w:rPr>
          <w:rFonts w:hint="eastAsia" w:ascii="宋体" w:hAnsi="宋体" w:cs="宋体"/>
          <w:b/>
          <w:sz w:val="32"/>
          <w:szCs w:val="32"/>
        </w:rPr>
      </w:pPr>
    </w:p>
    <w:p w14:paraId="713CC029">
      <w:pPr>
        <w:spacing w:line="240" w:lineRule="atLeast"/>
        <w:rPr>
          <w:rFonts w:hint="eastAsia" w:ascii="宋体" w:hAnsi="宋体" w:cs="宋体"/>
          <w:b/>
          <w:sz w:val="32"/>
          <w:szCs w:val="32"/>
        </w:rPr>
      </w:pPr>
    </w:p>
    <w:p w14:paraId="74E32CA0">
      <w:pPr>
        <w:spacing w:line="240" w:lineRule="atLeast"/>
        <w:rPr>
          <w:rFonts w:hint="eastAsia" w:ascii="宋体" w:hAnsi="宋体" w:cs="宋体"/>
          <w:b/>
          <w:sz w:val="32"/>
          <w:szCs w:val="32"/>
        </w:rPr>
      </w:pPr>
    </w:p>
    <w:p w14:paraId="68F11ADC">
      <w:pPr>
        <w:spacing w:line="240" w:lineRule="atLeast"/>
        <w:rPr>
          <w:rFonts w:hint="eastAsia" w:ascii="宋体" w:hAnsi="宋体" w:cs="宋体"/>
          <w:b/>
          <w:sz w:val="32"/>
          <w:szCs w:val="32"/>
        </w:rPr>
      </w:pPr>
    </w:p>
    <w:p w14:paraId="05F7A103">
      <w:pPr>
        <w:spacing w:line="240" w:lineRule="atLeast"/>
        <w:rPr>
          <w:rFonts w:hint="eastAsia" w:ascii="宋体" w:hAnsi="宋体" w:cs="宋体"/>
          <w:b/>
          <w:sz w:val="32"/>
          <w:szCs w:val="32"/>
        </w:rPr>
      </w:pPr>
    </w:p>
    <w:p w14:paraId="334ADC09">
      <w:pPr>
        <w:spacing w:line="240" w:lineRule="atLeast"/>
        <w:rPr>
          <w:rFonts w:hint="eastAsia" w:ascii="宋体" w:hAnsi="宋体" w:cs="宋体"/>
          <w:b/>
          <w:sz w:val="32"/>
          <w:szCs w:val="32"/>
        </w:rPr>
      </w:pPr>
    </w:p>
    <w:p w14:paraId="2C19092E">
      <w:pPr>
        <w:spacing w:line="240" w:lineRule="atLeast"/>
        <w:rPr>
          <w:rFonts w:hint="eastAsia" w:ascii="宋体" w:hAnsi="宋体" w:cs="宋体"/>
          <w:b/>
          <w:sz w:val="32"/>
          <w:szCs w:val="32"/>
        </w:rPr>
      </w:pPr>
    </w:p>
    <w:p w14:paraId="1328BA4E">
      <w:pPr>
        <w:spacing w:line="240" w:lineRule="atLeast"/>
        <w:rPr>
          <w:rFonts w:hint="eastAsia" w:ascii="宋体" w:hAnsi="宋体" w:cs="宋体"/>
          <w:b/>
          <w:sz w:val="32"/>
          <w:szCs w:val="32"/>
        </w:rPr>
      </w:pPr>
    </w:p>
    <w:p w14:paraId="3A02E5F6">
      <w:pPr>
        <w:spacing w:line="240" w:lineRule="atLeast"/>
        <w:rPr>
          <w:rFonts w:hint="eastAsia" w:ascii="宋体" w:hAnsi="宋体" w:cs="宋体"/>
          <w:b/>
          <w:sz w:val="32"/>
          <w:szCs w:val="32"/>
        </w:rPr>
      </w:pPr>
    </w:p>
    <w:p w14:paraId="70F05A75"/>
    <w:p w14:paraId="3B0A9619"/>
    <w:p w14:paraId="0C2BCC12">
      <w:pPr>
        <w:rPr>
          <w:rFonts w:hint="eastAsia" w:ascii="宋体" w:hAnsi="宋体" w:cs="宋体"/>
          <w:b/>
          <w:sz w:val="32"/>
          <w:szCs w:val="32"/>
        </w:rPr>
      </w:pPr>
      <w:bookmarkStart w:id="77" w:name="_Toc71366060"/>
      <w:bookmarkStart w:id="78" w:name="_Toc71365382"/>
      <w:r>
        <w:rPr>
          <w:rFonts w:hint="eastAsia" w:ascii="宋体" w:hAnsi="宋体" w:cs="宋体"/>
          <w:b/>
          <w:sz w:val="32"/>
          <w:szCs w:val="32"/>
        </w:rPr>
        <w:t>一、资格证明文件格式</w:t>
      </w:r>
      <w:bookmarkEnd w:id="77"/>
      <w:bookmarkEnd w:id="78"/>
    </w:p>
    <w:p w14:paraId="6DC153B5">
      <w:pPr>
        <w:snapToGrid w:val="0"/>
        <w:spacing w:before="120" w:beforeLines="50" w:after="50" w:line="360" w:lineRule="auto"/>
        <w:jc w:val="left"/>
        <w:rPr>
          <w:rFonts w:hint="eastAsia" w:ascii="宋体" w:hAnsi="宋体" w:cs="宋体"/>
          <w:b/>
          <w:sz w:val="24"/>
        </w:rPr>
      </w:pPr>
      <w:r>
        <w:rPr>
          <w:rFonts w:hint="eastAsia" w:ascii="宋体" w:hAnsi="宋体" w:cs="宋体"/>
          <w:b/>
          <w:sz w:val="32"/>
          <w:szCs w:val="32"/>
        </w:rPr>
        <w:t>1.资格证明文件封面格式：</w:t>
      </w:r>
      <w:r>
        <w:rPr>
          <w:rFonts w:hint="eastAsia" w:ascii="宋体" w:hAnsi="宋体" w:cs="宋体"/>
          <w:b/>
          <w:sz w:val="24"/>
        </w:rPr>
        <w:t xml:space="preserve"> </w:t>
      </w:r>
    </w:p>
    <w:p w14:paraId="7C4DE065">
      <w:pPr>
        <w:snapToGrid w:val="0"/>
        <w:spacing w:before="120" w:beforeLines="50" w:after="50"/>
        <w:rPr>
          <w:rFonts w:hint="eastAsia" w:ascii="宋体" w:hAnsi="宋体" w:cs="宋体"/>
          <w:bCs/>
          <w:sz w:val="32"/>
          <w:szCs w:val="20"/>
        </w:rPr>
      </w:pPr>
      <w:r>
        <w:rPr>
          <w:rFonts w:hint="eastAsia" w:ascii="宋体" w:hAnsi="宋体" w:cs="宋体"/>
          <w:sz w:val="24"/>
        </w:rPr>
        <w:t xml:space="preserve">                                                    </w:t>
      </w:r>
    </w:p>
    <w:p w14:paraId="5BFD79F0">
      <w:pPr>
        <w:snapToGrid w:val="0"/>
        <w:spacing w:before="120" w:beforeLines="50" w:after="50"/>
        <w:jc w:val="center"/>
        <w:rPr>
          <w:rFonts w:hint="eastAsia" w:ascii="宋体" w:hAnsi="宋体" w:cs="宋体"/>
          <w:sz w:val="44"/>
          <w:szCs w:val="44"/>
        </w:rPr>
      </w:pPr>
      <w:r>
        <w:rPr>
          <w:rFonts w:hint="eastAsia" w:ascii="宋体" w:hAnsi="宋体" w:cs="宋体"/>
          <w:sz w:val="44"/>
          <w:szCs w:val="44"/>
        </w:rPr>
        <w:t>电 子 响 应 文 件</w:t>
      </w:r>
    </w:p>
    <w:p w14:paraId="18311282">
      <w:pPr>
        <w:snapToGrid w:val="0"/>
        <w:spacing w:before="120" w:beforeLines="50" w:after="50"/>
        <w:rPr>
          <w:rFonts w:hint="eastAsia" w:ascii="宋体" w:hAnsi="宋体" w:cs="宋体"/>
          <w:sz w:val="24"/>
          <w:szCs w:val="20"/>
        </w:rPr>
      </w:pPr>
    </w:p>
    <w:p w14:paraId="4657DD24">
      <w:pPr>
        <w:snapToGrid w:val="0"/>
        <w:spacing w:before="120" w:beforeLines="50" w:after="50"/>
        <w:jc w:val="center"/>
        <w:rPr>
          <w:rFonts w:hint="eastAsia" w:ascii="宋体" w:hAnsi="宋体" w:cs="宋体"/>
          <w:bCs/>
          <w:sz w:val="44"/>
          <w:szCs w:val="44"/>
        </w:rPr>
      </w:pPr>
      <w:r>
        <w:rPr>
          <w:rFonts w:hint="eastAsia" w:ascii="宋体" w:hAnsi="宋体" w:cs="宋体"/>
          <w:bCs/>
          <w:sz w:val="44"/>
          <w:szCs w:val="44"/>
        </w:rPr>
        <w:t>资  格  证  明  文  件</w:t>
      </w:r>
    </w:p>
    <w:p w14:paraId="3E63E9FB">
      <w:pPr>
        <w:snapToGrid w:val="0"/>
        <w:spacing w:before="120" w:beforeLines="50" w:after="50"/>
        <w:rPr>
          <w:rFonts w:hint="eastAsia" w:ascii="宋体" w:hAnsi="宋体" w:cs="宋体"/>
          <w:bCs/>
          <w:sz w:val="24"/>
          <w:szCs w:val="20"/>
        </w:rPr>
      </w:pPr>
    </w:p>
    <w:p w14:paraId="7B3A2C9D">
      <w:pPr>
        <w:snapToGrid w:val="0"/>
        <w:spacing w:before="120" w:beforeLines="50" w:after="50"/>
        <w:rPr>
          <w:rFonts w:hint="eastAsia" w:ascii="宋体" w:hAnsi="宋体" w:cs="宋体"/>
          <w:bCs/>
          <w:sz w:val="24"/>
          <w:szCs w:val="20"/>
        </w:rPr>
      </w:pPr>
    </w:p>
    <w:p w14:paraId="31DB6EFF">
      <w:pPr>
        <w:snapToGrid w:val="0"/>
        <w:spacing w:before="120" w:beforeLines="50" w:after="50"/>
        <w:rPr>
          <w:rFonts w:hint="eastAsia" w:ascii="宋体" w:hAnsi="宋体" w:cs="宋体"/>
          <w:bCs/>
          <w:sz w:val="24"/>
          <w:szCs w:val="20"/>
        </w:rPr>
      </w:pPr>
    </w:p>
    <w:p w14:paraId="7A4DAA6E">
      <w:pPr>
        <w:snapToGrid w:val="0"/>
        <w:spacing w:before="120" w:beforeLines="50" w:after="50"/>
        <w:rPr>
          <w:rFonts w:hint="eastAsia" w:ascii="宋体" w:hAnsi="宋体" w:cs="宋体"/>
          <w:bCs/>
          <w:sz w:val="24"/>
          <w:szCs w:val="20"/>
        </w:rPr>
      </w:pPr>
    </w:p>
    <w:p w14:paraId="270D63AB">
      <w:pPr>
        <w:snapToGrid w:val="0"/>
        <w:spacing w:before="120" w:beforeLines="50" w:after="50"/>
        <w:rPr>
          <w:rFonts w:hint="eastAsia" w:ascii="宋体" w:hAnsi="宋体" w:cs="宋体"/>
          <w:bCs/>
          <w:sz w:val="24"/>
          <w:szCs w:val="20"/>
        </w:rPr>
      </w:pPr>
    </w:p>
    <w:p w14:paraId="4C448E79">
      <w:pPr>
        <w:snapToGrid w:val="0"/>
        <w:spacing w:before="120" w:beforeLines="50" w:after="50"/>
        <w:ind w:firstLine="640" w:firstLineChars="200"/>
        <w:rPr>
          <w:rFonts w:hint="eastAsia" w:ascii="宋体" w:hAnsi="宋体" w:cs="宋体"/>
          <w:bCs/>
          <w:sz w:val="32"/>
          <w:szCs w:val="32"/>
        </w:rPr>
      </w:pPr>
      <w:r>
        <w:rPr>
          <w:rFonts w:hint="eastAsia" w:ascii="宋体" w:hAnsi="宋体" w:cs="宋体"/>
          <w:bCs/>
          <w:sz w:val="32"/>
          <w:szCs w:val="32"/>
        </w:rPr>
        <w:t>项目名称：</w:t>
      </w:r>
    </w:p>
    <w:p w14:paraId="57AC4354">
      <w:pPr>
        <w:snapToGrid w:val="0"/>
        <w:spacing w:before="120" w:beforeLines="50" w:after="50"/>
        <w:ind w:firstLine="720" w:firstLineChars="225"/>
        <w:rPr>
          <w:rFonts w:hint="eastAsia" w:ascii="宋体" w:hAnsi="宋体" w:cs="宋体"/>
          <w:bCs/>
          <w:sz w:val="32"/>
          <w:szCs w:val="32"/>
        </w:rPr>
      </w:pPr>
    </w:p>
    <w:p w14:paraId="11653925">
      <w:pPr>
        <w:snapToGrid w:val="0"/>
        <w:spacing w:before="120" w:beforeLines="50" w:after="50"/>
        <w:ind w:firstLine="720" w:firstLineChars="225"/>
        <w:rPr>
          <w:rFonts w:hint="eastAsia" w:ascii="宋体" w:hAnsi="宋体" w:cs="宋体"/>
          <w:bCs/>
          <w:sz w:val="32"/>
          <w:szCs w:val="32"/>
        </w:rPr>
      </w:pPr>
      <w:r>
        <w:rPr>
          <w:rFonts w:hint="eastAsia" w:ascii="宋体" w:hAnsi="宋体" w:cs="宋体"/>
          <w:bCs/>
          <w:sz w:val="32"/>
          <w:szCs w:val="32"/>
        </w:rPr>
        <w:t>项目编号：</w:t>
      </w:r>
    </w:p>
    <w:p w14:paraId="33A42757">
      <w:pPr>
        <w:snapToGrid w:val="0"/>
        <w:spacing w:before="120" w:beforeLines="50" w:after="50"/>
        <w:ind w:firstLine="720" w:firstLineChars="225"/>
        <w:rPr>
          <w:rFonts w:hint="eastAsia" w:ascii="宋体" w:hAnsi="宋体" w:cs="宋体"/>
          <w:bCs/>
          <w:sz w:val="32"/>
          <w:szCs w:val="32"/>
        </w:rPr>
      </w:pPr>
      <w:r>
        <w:rPr>
          <w:rFonts w:hint="eastAsia" w:ascii="宋体" w:hAnsi="宋体" w:cs="宋体"/>
          <w:bCs/>
          <w:sz w:val="32"/>
          <w:szCs w:val="32"/>
        </w:rPr>
        <w:t xml:space="preserve"> </w:t>
      </w:r>
    </w:p>
    <w:p w14:paraId="64FAEC9D">
      <w:pPr>
        <w:snapToGrid w:val="0"/>
        <w:spacing w:before="120" w:beforeLines="50" w:after="50"/>
        <w:ind w:firstLine="720" w:firstLineChars="225"/>
        <w:rPr>
          <w:rFonts w:hint="eastAsia" w:ascii="宋体" w:hAnsi="宋体" w:cs="宋体"/>
          <w:bCs/>
          <w:sz w:val="32"/>
          <w:szCs w:val="32"/>
        </w:rPr>
      </w:pPr>
      <w:r>
        <w:rPr>
          <w:rFonts w:hint="eastAsia" w:ascii="宋体" w:hAnsi="宋体" w:cs="宋体"/>
          <w:bCs/>
          <w:sz w:val="32"/>
          <w:szCs w:val="32"/>
        </w:rPr>
        <w:t>所竞分标（如有则填写，无分标时填写“无”或者留空）：</w:t>
      </w:r>
    </w:p>
    <w:p w14:paraId="00F7BCAD">
      <w:pPr>
        <w:snapToGrid w:val="0"/>
        <w:spacing w:before="120" w:beforeLines="50" w:after="50"/>
        <w:ind w:firstLine="720" w:firstLineChars="225"/>
        <w:rPr>
          <w:rFonts w:hint="eastAsia" w:ascii="宋体" w:hAnsi="宋体" w:cs="宋体"/>
          <w:bCs/>
          <w:sz w:val="32"/>
          <w:szCs w:val="32"/>
        </w:rPr>
      </w:pPr>
    </w:p>
    <w:p w14:paraId="0C7303D6">
      <w:pPr>
        <w:pStyle w:val="2"/>
        <w:snapToGrid w:val="0"/>
        <w:spacing w:before="50" w:after="50"/>
        <w:ind w:firstLine="720" w:firstLineChars="225"/>
        <w:rPr>
          <w:rFonts w:hint="eastAsia" w:ascii="宋体" w:hAnsi="宋体" w:cs="宋体"/>
          <w:bCs/>
          <w:sz w:val="32"/>
          <w:szCs w:val="32"/>
        </w:rPr>
      </w:pPr>
      <w:r>
        <w:rPr>
          <w:rFonts w:hint="eastAsia" w:ascii="宋体" w:hAnsi="宋体" w:cs="宋体"/>
          <w:bCs/>
          <w:sz w:val="32"/>
          <w:szCs w:val="32"/>
        </w:rPr>
        <w:t>供应商名称：</w:t>
      </w:r>
    </w:p>
    <w:p w14:paraId="782BFAFB">
      <w:pPr>
        <w:snapToGrid w:val="0"/>
        <w:spacing w:before="120" w:beforeLines="50" w:after="50"/>
        <w:ind w:firstLine="640" w:firstLineChars="200"/>
        <w:rPr>
          <w:rFonts w:hint="eastAsia" w:ascii="宋体" w:hAnsi="宋体" w:cs="宋体"/>
          <w:bCs/>
          <w:sz w:val="32"/>
          <w:szCs w:val="32"/>
        </w:rPr>
      </w:pPr>
    </w:p>
    <w:p w14:paraId="253BEB96">
      <w:pPr>
        <w:pStyle w:val="2"/>
        <w:snapToGrid w:val="0"/>
        <w:spacing w:before="50" w:after="50"/>
        <w:ind w:firstLine="720" w:firstLineChars="225"/>
        <w:rPr>
          <w:rFonts w:hint="eastAsia" w:ascii="宋体" w:hAnsi="宋体" w:cs="宋体"/>
          <w:bCs/>
          <w:sz w:val="32"/>
          <w:szCs w:val="32"/>
        </w:rPr>
      </w:pPr>
    </w:p>
    <w:p w14:paraId="592FA5F7">
      <w:pPr>
        <w:pStyle w:val="2"/>
        <w:snapToGrid w:val="0"/>
        <w:spacing w:before="50" w:after="50"/>
        <w:ind w:firstLine="720" w:firstLineChars="225"/>
        <w:rPr>
          <w:rFonts w:hint="eastAsia" w:ascii="宋体" w:hAnsi="宋体" w:cs="宋体"/>
          <w:bCs/>
          <w:sz w:val="32"/>
          <w:szCs w:val="32"/>
        </w:rPr>
      </w:pPr>
    </w:p>
    <w:p w14:paraId="5E10964B">
      <w:pPr>
        <w:pStyle w:val="2"/>
        <w:snapToGrid w:val="0"/>
        <w:spacing w:before="50" w:after="50"/>
        <w:ind w:firstLine="1280" w:firstLineChars="400"/>
        <w:rPr>
          <w:rFonts w:hint="eastAsia" w:ascii="宋体" w:hAnsi="宋体" w:cs="宋体"/>
          <w:bCs/>
          <w:sz w:val="32"/>
          <w:szCs w:val="32"/>
        </w:rPr>
      </w:pPr>
    </w:p>
    <w:p w14:paraId="2F3CDE78">
      <w:pPr>
        <w:snapToGrid w:val="0"/>
        <w:spacing w:before="120" w:beforeLines="50" w:after="50"/>
        <w:jc w:val="center"/>
        <w:rPr>
          <w:rFonts w:hint="eastAsia" w:ascii="宋体" w:hAnsi="宋体" w:cs="宋体"/>
          <w:sz w:val="32"/>
          <w:szCs w:val="32"/>
        </w:rPr>
      </w:pPr>
      <w:r>
        <w:rPr>
          <w:rFonts w:hint="eastAsia" w:ascii="宋体" w:hAnsi="宋体" w:cs="宋体"/>
          <w:sz w:val="32"/>
          <w:szCs w:val="32"/>
        </w:rPr>
        <w:t>年    月    日</w:t>
      </w:r>
    </w:p>
    <w:p w14:paraId="3B8CF793">
      <w:pPr>
        <w:snapToGrid w:val="0"/>
        <w:spacing w:before="120" w:beforeLines="50" w:after="50" w:line="360" w:lineRule="auto"/>
        <w:ind w:left="142"/>
        <w:jc w:val="left"/>
        <w:rPr>
          <w:rFonts w:hint="eastAsia" w:ascii="宋体" w:hAnsi="宋体" w:cs="宋体"/>
          <w:b/>
          <w:bCs/>
          <w:sz w:val="32"/>
          <w:szCs w:val="32"/>
        </w:rPr>
      </w:pPr>
      <w:r>
        <w:rPr>
          <w:rFonts w:hint="eastAsia" w:ascii="宋体" w:hAnsi="宋体" w:cs="宋体"/>
          <w:sz w:val="24"/>
        </w:rPr>
        <w:br w:type="page"/>
      </w:r>
      <w:r>
        <w:rPr>
          <w:rFonts w:hint="eastAsia" w:ascii="宋体" w:hAnsi="宋体" w:cs="宋体"/>
          <w:b/>
          <w:bCs/>
          <w:sz w:val="32"/>
          <w:szCs w:val="32"/>
        </w:rPr>
        <w:t>2.资格证明文件目录</w:t>
      </w:r>
    </w:p>
    <w:p w14:paraId="78698294">
      <w:pPr>
        <w:snapToGrid w:val="0"/>
        <w:spacing w:before="120" w:beforeLines="50" w:after="50" w:line="360" w:lineRule="auto"/>
        <w:ind w:firstLine="645"/>
        <w:rPr>
          <w:rFonts w:hint="eastAsia" w:ascii="宋体" w:hAnsi="宋体" w:cs="宋体"/>
          <w:sz w:val="32"/>
          <w:szCs w:val="32"/>
        </w:rPr>
      </w:pPr>
      <w:r>
        <w:rPr>
          <w:rFonts w:hint="eastAsia" w:ascii="宋体" w:hAnsi="宋体" w:cs="宋体"/>
          <w:sz w:val="32"/>
          <w:szCs w:val="32"/>
        </w:rPr>
        <w:t>根据谈判文件规定及供应商提供的材料自行编写目录（部分格式后附）。</w:t>
      </w:r>
    </w:p>
    <w:p w14:paraId="15924086">
      <w:pPr>
        <w:snapToGrid w:val="0"/>
        <w:spacing w:before="120" w:beforeLines="50" w:after="50" w:line="360" w:lineRule="auto"/>
        <w:rPr>
          <w:rFonts w:hint="eastAsia" w:ascii="宋体" w:hAnsi="宋体" w:cs="宋体"/>
          <w:sz w:val="24"/>
          <w:szCs w:val="20"/>
        </w:rPr>
      </w:pPr>
      <w:r>
        <w:rPr>
          <w:rFonts w:hint="eastAsia" w:ascii="宋体" w:hAnsi="宋体" w:cs="宋体"/>
          <w:sz w:val="24"/>
          <w:szCs w:val="20"/>
        </w:rPr>
        <w:t xml:space="preserve"> </w:t>
      </w:r>
    </w:p>
    <w:p w14:paraId="6EE55C17">
      <w:pPr>
        <w:spacing w:line="360" w:lineRule="auto"/>
        <w:rPr>
          <w:rFonts w:hint="eastAsia" w:ascii="宋体" w:hAnsi="宋体" w:cs="宋体"/>
          <w:szCs w:val="21"/>
        </w:rPr>
      </w:pPr>
    </w:p>
    <w:p w14:paraId="4F0F3965">
      <w:pPr>
        <w:spacing w:line="360" w:lineRule="auto"/>
        <w:rPr>
          <w:rFonts w:hint="eastAsia" w:ascii="宋体" w:hAnsi="宋体" w:cs="宋体"/>
          <w:szCs w:val="21"/>
        </w:rPr>
      </w:pPr>
    </w:p>
    <w:p w14:paraId="7DF217FC">
      <w:pPr>
        <w:spacing w:line="360" w:lineRule="auto"/>
        <w:rPr>
          <w:rFonts w:hint="eastAsia" w:ascii="宋体" w:hAnsi="宋体" w:cs="宋体"/>
          <w:szCs w:val="21"/>
        </w:rPr>
      </w:pPr>
    </w:p>
    <w:p w14:paraId="31984DC3">
      <w:pPr>
        <w:spacing w:line="360" w:lineRule="auto"/>
        <w:rPr>
          <w:rFonts w:hint="eastAsia" w:ascii="宋体" w:hAnsi="宋体" w:cs="宋体"/>
          <w:szCs w:val="21"/>
        </w:rPr>
      </w:pPr>
    </w:p>
    <w:p w14:paraId="2C26923D">
      <w:pPr>
        <w:spacing w:line="300" w:lineRule="auto"/>
        <w:rPr>
          <w:rFonts w:hint="eastAsia" w:ascii="宋体" w:hAnsi="宋体" w:cs="宋体"/>
          <w:szCs w:val="21"/>
        </w:rPr>
      </w:pPr>
    </w:p>
    <w:p w14:paraId="62DE28EF">
      <w:pPr>
        <w:spacing w:line="300" w:lineRule="auto"/>
        <w:rPr>
          <w:rFonts w:hint="eastAsia" w:ascii="宋体" w:hAnsi="宋体" w:cs="宋体"/>
          <w:szCs w:val="21"/>
        </w:rPr>
      </w:pPr>
    </w:p>
    <w:p w14:paraId="1D735B4C">
      <w:pPr>
        <w:spacing w:line="300" w:lineRule="auto"/>
        <w:rPr>
          <w:rFonts w:hint="eastAsia" w:ascii="宋体" w:hAnsi="宋体" w:cs="宋体"/>
          <w:szCs w:val="21"/>
        </w:rPr>
      </w:pPr>
    </w:p>
    <w:p w14:paraId="40A18F97">
      <w:pPr>
        <w:spacing w:line="300" w:lineRule="auto"/>
        <w:rPr>
          <w:rFonts w:hint="eastAsia" w:ascii="宋体" w:hAnsi="宋体" w:cs="宋体"/>
          <w:szCs w:val="21"/>
        </w:rPr>
      </w:pPr>
    </w:p>
    <w:p w14:paraId="273DD89C">
      <w:pPr>
        <w:spacing w:line="300" w:lineRule="auto"/>
        <w:rPr>
          <w:rFonts w:hint="eastAsia" w:ascii="宋体" w:hAnsi="宋体" w:cs="宋体"/>
          <w:szCs w:val="21"/>
        </w:rPr>
      </w:pPr>
    </w:p>
    <w:p w14:paraId="520CE2FA">
      <w:pPr>
        <w:spacing w:line="300" w:lineRule="auto"/>
        <w:rPr>
          <w:rFonts w:hint="eastAsia" w:ascii="宋体" w:hAnsi="宋体" w:cs="宋体"/>
          <w:szCs w:val="21"/>
        </w:rPr>
      </w:pPr>
    </w:p>
    <w:p w14:paraId="331EADA0">
      <w:pPr>
        <w:spacing w:line="300" w:lineRule="auto"/>
        <w:rPr>
          <w:rFonts w:hint="eastAsia" w:ascii="宋体" w:hAnsi="宋体" w:cs="宋体"/>
          <w:szCs w:val="21"/>
        </w:rPr>
      </w:pPr>
    </w:p>
    <w:p w14:paraId="76E20472">
      <w:pPr>
        <w:spacing w:line="300" w:lineRule="auto"/>
        <w:rPr>
          <w:rFonts w:hint="eastAsia" w:ascii="宋体" w:hAnsi="宋体" w:cs="宋体"/>
          <w:szCs w:val="21"/>
        </w:rPr>
      </w:pPr>
    </w:p>
    <w:p w14:paraId="22E3A024">
      <w:pPr>
        <w:spacing w:line="300" w:lineRule="auto"/>
        <w:rPr>
          <w:rFonts w:hint="eastAsia" w:ascii="宋体" w:hAnsi="宋体" w:cs="宋体"/>
          <w:szCs w:val="21"/>
        </w:rPr>
      </w:pPr>
    </w:p>
    <w:p w14:paraId="2C1958D0">
      <w:pPr>
        <w:spacing w:line="300" w:lineRule="auto"/>
        <w:rPr>
          <w:rFonts w:hint="eastAsia" w:ascii="宋体" w:hAnsi="宋体" w:cs="宋体"/>
          <w:szCs w:val="21"/>
        </w:rPr>
      </w:pPr>
    </w:p>
    <w:p w14:paraId="62BFB953">
      <w:pPr>
        <w:spacing w:line="300" w:lineRule="auto"/>
        <w:rPr>
          <w:rFonts w:hint="eastAsia" w:ascii="宋体" w:hAnsi="宋体" w:cs="宋体"/>
          <w:szCs w:val="21"/>
        </w:rPr>
      </w:pPr>
    </w:p>
    <w:p w14:paraId="3BE789D0">
      <w:pPr>
        <w:spacing w:line="320" w:lineRule="exact"/>
        <w:jc w:val="left"/>
        <w:rPr>
          <w:rFonts w:hint="eastAsia" w:ascii="宋体" w:hAnsi="宋体" w:cs="宋体"/>
          <w:szCs w:val="21"/>
        </w:rPr>
      </w:pPr>
    </w:p>
    <w:p w14:paraId="6667A539">
      <w:pPr>
        <w:snapToGrid w:val="0"/>
        <w:spacing w:before="120" w:beforeLines="50" w:after="50"/>
        <w:jc w:val="center"/>
        <w:rPr>
          <w:rFonts w:hint="eastAsia" w:ascii="宋体" w:hAnsi="宋体" w:cs="宋体"/>
          <w:b/>
          <w:sz w:val="32"/>
          <w:szCs w:val="32"/>
        </w:rPr>
      </w:pPr>
      <w:r>
        <w:rPr>
          <w:rFonts w:hint="eastAsia" w:ascii="宋体" w:hAnsi="宋体" w:cs="宋体"/>
          <w:b/>
          <w:sz w:val="32"/>
          <w:szCs w:val="32"/>
        </w:rPr>
        <w:br w:type="page"/>
      </w:r>
      <w:r>
        <w:rPr>
          <w:rFonts w:hint="eastAsia" w:ascii="宋体" w:hAnsi="宋体" w:cs="宋体"/>
          <w:b/>
          <w:sz w:val="32"/>
          <w:szCs w:val="32"/>
        </w:rPr>
        <w:t>供应商直接控股、管理关系信息表</w:t>
      </w:r>
    </w:p>
    <w:p w14:paraId="55D38637">
      <w:pPr>
        <w:snapToGrid w:val="0"/>
        <w:spacing w:before="120" w:beforeLines="50" w:after="50"/>
        <w:jc w:val="center"/>
        <w:rPr>
          <w:rFonts w:hint="eastAsia" w:ascii="宋体" w:hAnsi="宋体" w:cs="宋体"/>
          <w:b/>
          <w:sz w:val="32"/>
          <w:szCs w:val="32"/>
        </w:rPr>
      </w:pPr>
    </w:p>
    <w:p w14:paraId="060A23B5">
      <w:pPr>
        <w:snapToGrid w:val="0"/>
        <w:spacing w:before="120" w:beforeLines="50" w:after="50"/>
        <w:jc w:val="center"/>
        <w:rPr>
          <w:rFonts w:hint="eastAsia" w:ascii="宋体" w:hAnsi="宋体" w:cs="宋体"/>
          <w:b/>
          <w:szCs w:val="21"/>
        </w:rPr>
      </w:pPr>
      <w:r>
        <w:rPr>
          <w:rFonts w:hint="eastAsia" w:ascii="宋体" w:hAnsi="宋体" w:cs="宋体"/>
          <w:b/>
          <w:szCs w:val="21"/>
        </w:rPr>
        <w:t>供应商直接控股股东信息表</w:t>
      </w:r>
    </w:p>
    <w:p w14:paraId="4189D13A">
      <w:pPr>
        <w:snapToGrid w:val="0"/>
        <w:spacing w:before="50" w:after="120" w:afterLines="50"/>
        <w:jc w:val="center"/>
        <w:rPr>
          <w:rFonts w:hint="eastAsia" w:ascii="宋体" w:hAnsi="宋体" w:cs="宋体"/>
          <w:b/>
          <w:szCs w:val="21"/>
        </w:rPr>
      </w:pPr>
    </w:p>
    <w:tbl>
      <w:tblPr>
        <w:tblStyle w:val="29"/>
        <w:tblW w:w="10152" w:type="dxa"/>
        <w:jc w:val="center"/>
        <w:shd w:val="clear" w:color="auto" w:fill="FBFBFB"/>
        <w:tblLayout w:type="fixed"/>
        <w:tblCellMar>
          <w:top w:w="0" w:type="dxa"/>
          <w:left w:w="0" w:type="dxa"/>
          <w:bottom w:w="0" w:type="dxa"/>
          <w:right w:w="0" w:type="dxa"/>
        </w:tblCellMar>
      </w:tblPr>
      <w:tblGrid>
        <w:gridCol w:w="881"/>
        <w:gridCol w:w="2656"/>
        <w:gridCol w:w="1456"/>
        <w:gridCol w:w="4289"/>
        <w:gridCol w:w="870"/>
      </w:tblGrid>
      <w:tr w14:paraId="16C7E6B0">
        <w:tblPrEx>
          <w:shd w:val="clear" w:color="auto" w:fill="FBFBFB"/>
          <w:tblCellMar>
            <w:top w:w="0" w:type="dxa"/>
            <w:left w:w="0" w:type="dxa"/>
            <w:bottom w:w="0" w:type="dxa"/>
            <w:right w:w="0" w:type="dxa"/>
          </w:tblCellMar>
        </w:tblPrEx>
        <w:trPr>
          <w:tblHeader/>
          <w:jc w:val="center"/>
        </w:trPr>
        <w:tc>
          <w:tcPr>
            <w:tcW w:w="88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86E25C9">
            <w:pPr>
              <w:widowControl/>
              <w:spacing w:line="360" w:lineRule="auto"/>
              <w:jc w:val="center"/>
              <w:rPr>
                <w:rFonts w:hint="eastAsia" w:ascii="宋体" w:hAnsi="宋体" w:cs="宋体"/>
                <w:b/>
                <w:bCs/>
                <w:kern w:val="0"/>
                <w:szCs w:val="21"/>
              </w:rPr>
            </w:pPr>
            <w:r>
              <w:rPr>
                <w:rFonts w:hint="eastAsia" w:ascii="宋体" w:hAnsi="宋体" w:cs="宋体"/>
                <w:b/>
                <w:bCs/>
                <w:kern w:val="0"/>
                <w:szCs w:val="21"/>
              </w:rPr>
              <w:t>序号</w:t>
            </w:r>
          </w:p>
        </w:tc>
        <w:tc>
          <w:tcPr>
            <w:tcW w:w="265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BBF071C">
            <w:pPr>
              <w:widowControl/>
              <w:spacing w:line="360" w:lineRule="auto"/>
              <w:jc w:val="center"/>
              <w:rPr>
                <w:rFonts w:hint="eastAsia" w:ascii="宋体" w:hAnsi="宋体" w:cs="宋体"/>
                <w:b/>
                <w:bCs/>
                <w:kern w:val="0"/>
                <w:szCs w:val="21"/>
              </w:rPr>
            </w:pPr>
            <w:r>
              <w:rPr>
                <w:rFonts w:hint="eastAsia" w:ascii="宋体" w:hAnsi="宋体" w:cs="宋体"/>
                <w:b/>
                <w:bCs/>
                <w:kern w:val="0"/>
                <w:szCs w:val="21"/>
              </w:rPr>
              <w:t>直接控股股东名称</w:t>
            </w:r>
          </w:p>
        </w:tc>
        <w:tc>
          <w:tcPr>
            <w:tcW w:w="145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842AAFE">
            <w:pPr>
              <w:widowControl/>
              <w:spacing w:line="360" w:lineRule="auto"/>
              <w:jc w:val="center"/>
              <w:rPr>
                <w:rFonts w:hint="eastAsia" w:ascii="宋体" w:hAnsi="宋体" w:cs="宋体"/>
                <w:b/>
                <w:bCs/>
                <w:kern w:val="0"/>
                <w:szCs w:val="21"/>
              </w:rPr>
            </w:pPr>
            <w:r>
              <w:rPr>
                <w:rFonts w:hint="eastAsia" w:ascii="宋体" w:hAnsi="宋体" w:cs="宋体"/>
                <w:b/>
                <w:bCs/>
                <w:kern w:val="0"/>
                <w:szCs w:val="21"/>
              </w:rPr>
              <w:t>出资比例</w:t>
            </w:r>
          </w:p>
        </w:tc>
        <w:tc>
          <w:tcPr>
            <w:tcW w:w="42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20A003B">
            <w:pPr>
              <w:widowControl/>
              <w:spacing w:line="360" w:lineRule="auto"/>
              <w:jc w:val="center"/>
              <w:rPr>
                <w:rFonts w:hint="eastAsia" w:ascii="宋体" w:hAnsi="宋体" w:cs="宋体"/>
                <w:b/>
                <w:bCs/>
                <w:kern w:val="0"/>
                <w:szCs w:val="21"/>
              </w:rPr>
            </w:pPr>
            <w:r>
              <w:rPr>
                <w:rFonts w:hint="eastAsia" w:ascii="宋体" w:hAnsi="宋体" w:cs="宋体"/>
                <w:b/>
                <w:bCs/>
                <w:kern w:val="0"/>
                <w:szCs w:val="21"/>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4697D46">
            <w:pPr>
              <w:widowControl/>
              <w:spacing w:line="360" w:lineRule="auto"/>
              <w:jc w:val="center"/>
              <w:rPr>
                <w:rFonts w:hint="eastAsia" w:ascii="宋体" w:hAnsi="宋体" w:cs="宋体"/>
                <w:b/>
                <w:bCs/>
                <w:kern w:val="0"/>
                <w:szCs w:val="21"/>
              </w:rPr>
            </w:pPr>
            <w:r>
              <w:rPr>
                <w:rFonts w:hint="eastAsia" w:ascii="宋体" w:hAnsi="宋体" w:cs="宋体"/>
                <w:b/>
                <w:bCs/>
                <w:kern w:val="0"/>
                <w:szCs w:val="21"/>
              </w:rPr>
              <w:t>备注</w:t>
            </w:r>
          </w:p>
        </w:tc>
      </w:tr>
      <w:tr w14:paraId="366E5C68">
        <w:tblPrEx>
          <w:tblCellMar>
            <w:top w:w="0" w:type="dxa"/>
            <w:left w:w="0" w:type="dxa"/>
            <w:bottom w:w="0" w:type="dxa"/>
            <w:right w:w="0" w:type="dxa"/>
          </w:tblCellMar>
        </w:tblPrEx>
        <w:trPr>
          <w:jc w:val="center"/>
        </w:trPr>
        <w:tc>
          <w:tcPr>
            <w:tcW w:w="88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41B85C">
            <w:pPr>
              <w:widowControl/>
              <w:spacing w:line="360" w:lineRule="auto"/>
              <w:jc w:val="center"/>
              <w:rPr>
                <w:rFonts w:hint="eastAsia" w:ascii="宋体" w:hAnsi="宋体" w:cs="宋体"/>
                <w:kern w:val="0"/>
                <w:szCs w:val="21"/>
              </w:rPr>
            </w:pPr>
            <w:r>
              <w:rPr>
                <w:rFonts w:hint="eastAsia" w:ascii="宋体" w:hAnsi="宋体" w:cs="宋体"/>
                <w:kern w:val="0"/>
                <w:szCs w:val="21"/>
              </w:rPr>
              <w:t>1</w:t>
            </w:r>
          </w:p>
        </w:tc>
        <w:tc>
          <w:tcPr>
            <w:tcW w:w="265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6B68C3">
            <w:pPr>
              <w:widowControl/>
              <w:spacing w:line="360" w:lineRule="auto"/>
              <w:jc w:val="center"/>
              <w:rPr>
                <w:rFonts w:hint="eastAsia" w:ascii="宋体" w:hAnsi="宋体" w:cs="宋体"/>
                <w:kern w:val="0"/>
                <w:szCs w:val="21"/>
              </w:rPr>
            </w:pPr>
          </w:p>
        </w:tc>
        <w:tc>
          <w:tcPr>
            <w:tcW w:w="145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1DED51">
            <w:pPr>
              <w:widowControl/>
              <w:spacing w:line="360" w:lineRule="auto"/>
              <w:jc w:val="center"/>
              <w:rPr>
                <w:rFonts w:hint="eastAsia" w:ascii="宋体" w:hAnsi="宋体" w:cs="宋体"/>
                <w:kern w:val="0"/>
                <w:szCs w:val="21"/>
              </w:rPr>
            </w:pPr>
          </w:p>
        </w:tc>
        <w:tc>
          <w:tcPr>
            <w:tcW w:w="42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81D96A">
            <w:pPr>
              <w:widowControl/>
              <w:spacing w:line="360" w:lineRule="auto"/>
              <w:jc w:val="center"/>
              <w:rPr>
                <w:rFonts w:hint="eastAsia" w:ascii="宋体" w:hAnsi="宋体" w:cs="宋体"/>
                <w:kern w:val="0"/>
                <w:szCs w:val="21"/>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C3B524">
            <w:pPr>
              <w:widowControl/>
              <w:spacing w:line="360" w:lineRule="auto"/>
              <w:jc w:val="center"/>
              <w:rPr>
                <w:rFonts w:hint="eastAsia" w:ascii="宋体" w:hAnsi="宋体" w:cs="宋体"/>
                <w:kern w:val="0"/>
                <w:szCs w:val="21"/>
              </w:rPr>
            </w:pPr>
          </w:p>
        </w:tc>
      </w:tr>
      <w:tr w14:paraId="1A82D3F1">
        <w:tblPrEx>
          <w:tblCellMar>
            <w:top w:w="0" w:type="dxa"/>
            <w:left w:w="0" w:type="dxa"/>
            <w:bottom w:w="0" w:type="dxa"/>
            <w:right w:w="0" w:type="dxa"/>
          </w:tblCellMar>
        </w:tblPrEx>
        <w:trPr>
          <w:jc w:val="center"/>
        </w:trPr>
        <w:tc>
          <w:tcPr>
            <w:tcW w:w="88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3BEE80">
            <w:pPr>
              <w:widowControl/>
              <w:spacing w:line="360" w:lineRule="auto"/>
              <w:jc w:val="center"/>
              <w:rPr>
                <w:rFonts w:hint="eastAsia" w:ascii="宋体" w:hAnsi="宋体" w:cs="宋体"/>
                <w:kern w:val="0"/>
                <w:szCs w:val="21"/>
              </w:rPr>
            </w:pPr>
            <w:r>
              <w:rPr>
                <w:rFonts w:hint="eastAsia" w:ascii="宋体" w:hAnsi="宋体" w:cs="宋体"/>
                <w:kern w:val="0"/>
                <w:szCs w:val="21"/>
              </w:rPr>
              <w:t>2</w:t>
            </w:r>
          </w:p>
        </w:tc>
        <w:tc>
          <w:tcPr>
            <w:tcW w:w="265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3B6790">
            <w:pPr>
              <w:widowControl/>
              <w:spacing w:line="360" w:lineRule="auto"/>
              <w:jc w:val="center"/>
              <w:rPr>
                <w:rFonts w:hint="eastAsia" w:ascii="宋体" w:hAnsi="宋体" w:cs="宋体"/>
                <w:kern w:val="0"/>
                <w:szCs w:val="21"/>
              </w:rPr>
            </w:pPr>
          </w:p>
        </w:tc>
        <w:tc>
          <w:tcPr>
            <w:tcW w:w="145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6D1810">
            <w:pPr>
              <w:widowControl/>
              <w:spacing w:line="360" w:lineRule="auto"/>
              <w:jc w:val="center"/>
              <w:rPr>
                <w:rFonts w:hint="eastAsia" w:ascii="宋体" w:hAnsi="宋体" w:cs="宋体"/>
                <w:kern w:val="0"/>
                <w:szCs w:val="21"/>
              </w:rPr>
            </w:pPr>
          </w:p>
        </w:tc>
        <w:tc>
          <w:tcPr>
            <w:tcW w:w="42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BD99E2">
            <w:pPr>
              <w:widowControl/>
              <w:spacing w:line="360" w:lineRule="auto"/>
              <w:jc w:val="center"/>
              <w:rPr>
                <w:rFonts w:hint="eastAsia" w:ascii="宋体" w:hAnsi="宋体" w:cs="宋体"/>
                <w:kern w:val="0"/>
                <w:szCs w:val="21"/>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1C0F51">
            <w:pPr>
              <w:widowControl/>
              <w:spacing w:line="360" w:lineRule="auto"/>
              <w:jc w:val="center"/>
              <w:rPr>
                <w:rFonts w:hint="eastAsia" w:ascii="宋体" w:hAnsi="宋体" w:cs="宋体"/>
                <w:kern w:val="0"/>
                <w:szCs w:val="21"/>
              </w:rPr>
            </w:pPr>
          </w:p>
        </w:tc>
      </w:tr>
      <w:tr w14:paraId="3B01D641">
        <w:tblPrEx>
          <w:tblCellMar>
            <w:top w:w="0" w:type="dxa"/>
            <w:left w:w="0" w:type="dxa"/>
            <w:bottom w:w="0" w:type="dxa"/>
            <w:right w:w="0" w:type="dxa"/>
          </w:tblCellMar>
        </w:tblPrEx>
        <w:trPr>
          <w:jc w:val="center"/>
        </w:trPr>
        <w:tc>
          <w:tcPr>
            <w:tcW w:w="88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9BD5AE">
            <w:pPr>
              <w:widowControl/>
              <w:spacing w:line="360" w:lineRule="auto"/>
              <w:jc w:val="center"/>
              <w:rPr>
                <w:rFonts w:hint="eastAsia" w:ascii="宋体" w:hAnsi="宋体" w:cs="宋体"/>
                <w:kern w:val="0"/>
                <w:szCs w:val="21"/>
              </w:rPr>
            </w:pPr>
            <w:r>
              <w:rPr>
                <w:rFonts w:hint="eastAsia" w:ascii="宋体" w:hAnsi="宋体" w:cs="宋体"/>
                <w:kern w:val="0"/>
                <w:szCs w:val="21"/>
              </w:rPr>
              <w:t>3</w:t>
            </w:r>
          </w:p>
        </w:tc>
        <w:tc>
          <w:tcPr>
            <w:tcW w:w="265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20D476">
            <w:pPr>
              <w:widowControl/>
              <w:spacing w:line="360" w:lineRule="auto"/>
              <w:jc w:val="center"/>
              <w:rPr>
                <w:rFonts w:hint="eastAsia" w:ascii="宋体" w:hAnsi="宋体" w:cs="宋体"/>
                <w:kern w:val="0"/>
                <w:szCs w:val="21"/>
              </w:rPr>
            </w:pPr>
          </w:p>
        </w:tc>
        <w:tc>
          <w:tcPr>
            <w:tcW w:w="145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8821AA">
            <w:pPr>
              <w:widowControl/>
              <w:spacing w:line="360" w:lineRule="auto"/>
              <w:jc w:val="center"/>
              <w:rPr>
                <w:rFonts w:hint="eastAsia" w:ascii="宋体" w:hAnsi="宋体" w:cs="宋体"/>
                <w:kern w:val="0"/>
                <w:szCs w:val="21"/>
              </w:rPr>
            </w:pPr>
          </w:p>
        </w:tc>
        <w:tc>
          <w:tcPr>
            <w:tcW w:w="42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DA6CDD3">
            <w:pPr>
              <w:widowControl/>
              <w:spacing w:line="360" w:lineRule="auto"/>
              <w:jc w:val="center"/>
              <w:rPr>
                <w:rFonts w:hint="eastAsia" w:ascii="宋体" w:hAnsi="宋体" w:cs="宋体"/>
                <w:kern w:val="0"/>
                <w:szCs w:val="21"/>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5BC275">
            <w:pPr>
              <w:widowControl/>
              <w:spacing w:line="360" w:lineRule="auto"/>
              <w:jc w:val="center"/>
              <w:rPr>
                <w:rFonts w:hint="eastAsia" w:ascii="宋体" w:hAnsi="宋体" w:cs="宋体"/>
                <w:kern w:val="0"/>
                <w:szCs w:val="21"/>
              </w:rPr>
            </w:pPr>
          </w:p>
        </w:tc>
      </w:tr>
      <w:tr w14:paraId="4AE1E92C">
        <w:tblPrEx>
          <w:tblCellMar>
            <w:top w:w="0" w:type="dxa"/>
            <w:left w:w="0" w:type="dxa"/>
            <w:bottom w:w="0" w:type="dxa"/>
            <w:right w:w="0" w:type="dxa"/>
          </w:tblCellMar>
        </w:tblPrEx>
        <w:trPr>
          <w:jc w:val="center"/>
        </w:trPr>
        <w:tc>
          <w:tcPr>
            <w:tcW w:w="88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F0898E">
            <w:pPr>
              <w:widowControl/>
              <w:spacing w:line="360" w:lineRule="auto"/>
              <w:jc w:val="center"/>
              <w:rPr>
                <w:rFonts w:hint="eastAsia" w:ascii="宋体" w:hAnsi="宋体" w:cs="宋体"/>
                <w:kern w:val="0"/>
                <w:szCs w:val="21"/>
              </w:rPr>
            </w:pPr>
            <w:r>
              <w:rPr>
                <w:rFonts w:hint="eastAsia" w:ascii="宋体" w:hAnsi="宋体" w:cs="宋体"/>
                <w:kern w:val="0"/>
                <w:szCs w:val="21"/>
              </w:rPr>
              <w:t>……</w:t>
            </w:r>
          </w:p>
        </w:tc>
        <w:tc>
          <w:tcPr>
            <w:tcW w:w="265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2C62CF">
            <w:pPr>
              <w:widowControl/>
              <w:spacing w:line="360" w:lineRule="auto"/>
              <w:jc w:val="center"/>
              <w:rPr>
                <w:rFonts w:hint="eastAsia" w:ascii="宋体" w:hAnsi="宋体" w:cs="宋体"/>
                <w:kern w:val="0"/>
                <w:szCs w:val="21"/>
              </w:rPr>
            </w:pPr>
          </w:p>
        </w:tc>
        <w:tc>
          <w:tcPr>
            <w:tcW w:w="145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F6E200">
            <w:pPr>
              <w:widowControl/>
              <w:spacing w:line="360" w:lineRule="auto"/>
              <w:jc w:val="center"/>
              <w:rPr>
                <w:rFonts w:hint="eastAsia" w:ascii="宋体" w:hAnsi="宋体" w:cs="宋体"/>
                <w:kern w:val="0"/>
                <w:szCs w:val="21"/>
              </w:rPr>
            </w:pPr>
          </w:p>
        </w:tc>
        <w:tc>
          <w:tcPr>
            <w:tcW w:w="42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1BD6A6">
            <w:pPr>
              <w:widowControl/>
              <w:spacing w:line="360" w:lineRule="auto"/>
              <w:jc w:val="center"/>
              <w:rPr>
                <w:rFonts w:hint="eastAsia" w:ascii="宋体" w:hAnsi="宋体" w:cs="宋体"/>
                <w:kern w:val="0"/>
                <w:szCs w:val="21"/>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ACCA3A">
            <w:pPr>
              <w:widowControl/>
              <w:spacing w:line="360" w:lineRule="auto"/>
              <w:jc w:val="center"/>
              <w:rPr>
                <w:rFonts w:hint="eastAsia" w:ascii="宋体" w:hAnsi="宋体" w:cs="宋体"/>
                <w:kern w:val="0"/>
                <w:szCs w:val="21"/>
              </w:rPr>
            </w:pPr>
          </w:p>
        </w:tc>
      </w:tr>
    </w:tbl>
    <w:p w14:paraId="31E4212A">
      <w:pPr>
        <w:spacing w:line="360" w:lineRule="auto"/>
        <w:jc w:val="left"/>
        <w:rPr>
          <w:rFonts w:hint="eastAsia" w:ascii="宋体" w:hAnsi="宋体" w:cs="宋体"/>
          <w:szCs w:val="21"/>
        </w:rPr>
      </w:pPr>
      <w:r>
        <w:rPr>
          <w:rFonts w:hint="eastAsia" w:ascii="宋体" w:hAnsi="宋体" w:cs="宋体"/>
          <w:szCs w:val="21"/>
        </w:rPr>
        <w:t>注：</w:t>
      </w:r>
    </w:p>
    <w:p w14:paraId="5586495C">
      <w:pPr>
        <w:spacing w:line="360" w:lineRule="auto"/>
        <w:ind w:firstLine="420" w:firstLineChars="200"/>
        <w:jc w:val="left"/>
        <w:rPr>
          <w:rFonts w:hint="eastAsia" w:ascii="宋体" w:hAnsi="宋体" w:cs="宋体"/>
          <w:szCs w:val="21"/>
        </w:rPr>
      </w:pPr>
      <w:r>
        <w:rPr>
          <w:rFonts w:hint="eastAsia" w:ascii="宋体" w:hAnsi="宋体" w:cs="宋体"/>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B43A24D">
      <w:pPr>
        <w:spacing w:line="360" w:lineRule="auto"/>
        <w:ind w:firstLine="420" w:firstLineChars="200"/>
        <w:jc w:val="left"/>
        <w:rPr>
          <w:rFonts w:hint="eastAsia" w:ascii="宋体" w:hAnsi="宋体" w:cs="宋体"/>
          <w:szCs w:val="21"/>
        </w:rPr>
      </w:pPr>
      <w:r>
        <w:rPr>
          <w:rFonts w:hint="eastAsia" w:ascii="宋体" w:hAnsi="宋体" w:cs="宋体"/>
          <w:szCs w:val="21"/>
        </w:rPr>
        <w:t>2.本表所指的控股关系仅限于直接控股关系，不包括间接的控股关系。公司实际控制人与公司之间的关系不属于本表所指的直接控股关系。</w:t>
      </w:r>
    </w:p>
    <w:p w14:paraId="50114115">
      <w:pPr>
        <w:spacing w:line="360" w:lineRule="auto"/>
        <w:ind w:firstLine="420" w:firstLineChars="200"/>
        <w:jc w:val="left"/>
        <w:rPr>
          <w:rFonts w:hint="eastAsia" w:ascii="宋体" w:hAnsi="宋体" w:cs="宋体"/>
          <w:szCs w:val="21"/>
        </w:rPr>
      </w:pPr>
      <w:r>
        <w:rPr>
          <w:rFonts w:hint="eastAsia" w:ascii="宋体" w:hAnsi="宋体" w:cs="宋体"/>
          <w:szCs w:val="21"/>
        </w:rPr>
        <w:t>3.供应商不存在直接控股股东的，则在“直接控股股东名称”填“无”。</w:t>
      </w:r>
    </w:p>
    <w:p w14:paraId="3C4BF8E3">
      <w:pPr>
        <w:spacing w:line="360" w:lineRule="auto"/>
        <w:ind w:firstLine="420" w:firstLineChars="200"/>
        <w:jc w:val="left"/>
        <w:rPr>
          <w:rFonts w:hint="eastAsia" w:ascii="宋体" w:hAnsi="宋体" w:cs="宋体"/>
          <w:szCs w:val="21"/>
        </w:rPr>
      </w:pPr>
    </w:p>
    <w:p w14:paraId="57478FCC">
      <w:pPr>
        <w:spacing w:line="360" w:lineRule="auto"/>
        <w:ind w:firstLine="420" w:firstLineChars="200"/>
        <w:jc w:val="left"/>
        <w:rPr>
          <w:rFonts w:hint="eastAsia" w:ascii="宋体" w:hAnsi="宋体" w:cs="宋体"/>
          <w:szCs w:val="21"/>
        </w:rPr>
      </w:pPr>
    </w:p>
    <w:p w14:paraId="6493BF48">
      <w:pPr>
        <w:spacing w:line="360" w:lineRule="auto"/>
        <w:ind w:right="480"/>
        <w:contextualSpacing/>
        <w:jc w:val="center"/>
        <w:rPr>
          <w:rFonts w:hint="eastAsia" w:ascii="宋体" w:hAnsi="宋体" w:cs="宋体"/>
          <w:szCs w:val="21"/>
          <w:u w:val="single"/>
        </w:rPr>
      </w:pPr>
      <w:r>
        <w:rPr>
          <w:rFonts w:hint="eastAsia" w:ascii="宋体" w:hAnsi="宋体" w:cs="宋体"/>
          <w:szCs w:val="21"/>
        </w:rPr>
        <w:t xml:space="preserve">        法定代表人或者委托代理人（签字或者电子签名）：</w:t>
      </w:r>
      <w:r>
        <w:rPr>
          <w:rFonts w:hint="eastAsia" w:ascii="宋体" w:hAnsi="宋体" w:cs="宋体"/>
          <w:szCs w:val="21"/>
          <w:u w:val="single"/>
        </w:rPr>
        <w:t xml:space="preserve">                    </w:t>
      </w:r>
    </w:p>
    <w:p w14:paraId="3915E944">
      <w:pPr>
        <w:spacing w:line="360" w:lineRule="auto"/>
        <w:ind w:right="480" w:firstLine="2625" w:firstLineChars="1250"/>
        <w:contextualSpacing/>
        <w:rPr>
          <w:rFonts w:hint="eastAsia" w:ascii="宋体" w:hAnsi="宋体" w:cs="宋体"/>
          <w:szCs w:val="21"/>
          <w:u w:val="single"/>
        </w:rPr>
      </w:pPr>
      <w:r>
        <w:rPr>
          <w:rFonts w:hint="eastAsia" w:ascii="宋体" w:hAnsi="宋体" w:cs="宋体"/>
          <w:szCs w:val="21"/>
        </w:rPr>
        <w:t xml:space="preserve">供应商（电子签章）： </w:t>
      </w:r>
      <w:r>
        <w:rPr>
          <w:rFonts w:hint="eastAsia" w:ascii="宋体" w:hAnsi="宋体" w:cs="宋体"/>
          <w:szCs w:val="21"/>
          <w:u w:val="single"/>
        </w:rPr>
        <w:t xml:space="preserve">                              </w:t>
      </w:r>
    </w:p>
    <w:p w14:paraId="1A271639">
      <w:pPr>
        <w:spacing w:line="360" w:lineRule="auto"/>
        <w:ind w:right="480" w:firstLine="4620" w:firstLineChars="2200"/>
        <w:contextualSpacing/>
        <w:rPr>
          <w:rFonts w:hint="eastAsia" w:ascii="宋体" w:hAnsi="宋体" w:cs="宋体"/>
          <w:szCs w:val="21"/>
        </w:rPr>
      </w:pPr>
      <w:r>
        <w:rPr>
          <w:rFonts w:hint="eastAsia" w:ascii="宋体" w:hAnsi="宋体" w:cs="宋体"/>
          <w:szCs w:val="21"/>
        </w:rPr>
        <w:t>年    月    日</w:t>
      </w:r>
    </w:p>
    <w:p w14:paraId="3F711729">
      <w:pPr>
        <w:snapToGrid w:val="0"/>
        <w:jc w:val="center"/>
        <w:rPr>
          <w:rFonts w:hint="eastAsia" w:ascii="宋体" w:hAnsi="宋体" w:cs="宋体"/>
          <w:b/>
          <w:sz w:val="28"/>
          <w:szCs w:val="28"/>
        </w:rPr>
      </w:pPr>
      <w:r>
        <w:rPr>
          <w:rFonts w:hint="eastAsia" w:ascii="宋体" w:hAnsi="宋体" w:cs="宋体"/>
          <w:b/>
          <w:sz w:val="28"/>
          <w:szCs w:val="28"/>
        </w:rPr>
        <w:br w:type="page"/>
      </w:r>
    </w:p>
    <w:p w14:paraId="2E65AE3C">
      <w:pPr>
        <w:snapToGrid w:val="0"/>
        <w:jc w:val="center"/>
        <w:rPr>
          <w:rFonts w:hint="eastAsia" w:ascii="宋体" w:hAnsi="宋体" w:cs="宋体"/>
          <w:b/>
          <w:sz w:val="32"/>
          <w:szCs w:val="32"/>
        </w:rPr>
      </w:pPr>
      <w:r>
        <w:rPr>
          <w:rFonts w:hint="eastAsia" w:ascii="宋体" w:hAnsi="宋体" w:cs="宋体"/>
          <w:b/>
          <w:sz w:val="32"/>
          <w:szCs w:val="32"/>
        </w:rPr>
        <w:t>供应商直接管理关系信息表</w:t>
      </w:r>
    </w:p>
    <w:p w14:paraId="4A8503F2">
      <w:pPr>
        <w:snapToGrid w:val="0"/>
        <w:jc w:val="center"/>
        <w:rPr>
          <w:rFonts w:hint="eastAsia" w:ascii="宋体" w:hAnsi="宋体" w:cs="宋体"/>
          <w:b/>
          <w:sz w:val="32"/>
          <w:szCs w:val="32"/>
        </w:rPr>
      </w:pPr>
    </w:p>
    <w:tbl>
      <w:tblPr>
        <w:tblStyle w:val="29"/>
        <w:tblW w:w="9648" w:type="dxa"/>
        <w:jc w:val="center"/>
        <w:shd w:val="clear" w:color="auto" w:fill="FBFBFB"/>
        <w:tblLayout w:type="fixed"/>
        <w:tblCellMar>
          <w:top w:w="0" w:type="dxa"/>
          <w:left w:w="0" w:type="dxa"/>
          <w:bottom w:w="0" w:type="dxa"/>
          <w:right w:w="0" w:type="dxa"/>
        </w:tblCellMar>
      </w:tblPr>
      <w:tblGrid>
        <w:gridCol w:w="809"/>
        <w:gridCol w:w="3598"/>
        <w:gridCol w:w="3553"/>
        <w:gridCol w:w="1688"/>
      </w:tblGrid>
      <w:tr w14:paraId="6B1EB026">
        <w:tblPrEx>
          <w:shd w:val="clear" w:color="auto" w:fill="FBFBFB"/>
          <w:tblCellMar>
            <w:top w:w="0" w:type="dxa"/>
            <w:left w:w="0" w:type="dxa"/>
            <w:bottom w:w="0" w:type="dxa"/>
            <w:right w:w="0" w:type="dxa"/>
          </w:tblCellMar>
        </w:tblPrEx>
        <w:trPr>
          <w:tblHeader/>
          <w:jc w:val="center"/>
        </w:trPr>
        <w:tc>
          <w:tcPr>
            <w:tcW w:w="80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8012685">
            <w:pPr>
              <w:widowControl/>
              <w:jc w:val="center"/>
              <w:rPr>
                <w:rFonts w:hint="eastAsia" w:ascii="宋体" w:hAnsi="宋体" w:cs="宋体"/>
                <w:b/>
                <w:bCs/>
                <w:kern w:val="0"/>
                <w:szCs w:val="21"/>
              </w:rPr>
            </w:pPr>
            <w:r>
              <w:rPr>
                <w:rFonts w:hint="eastAsia" w:ascii="宋体" w:hAnsi="宋体" w:cs="宋体"/>
                <w:b/>
                <w:bCs/>
                <w:kern w:val="0"/>
                <w:szCs w:val="21"/>
              </w:rPr>
              <w:t>序号</w:t>
            </w:r>
          </w:p>
        </w:tc>
        <w:tc>
          <w:tcPr>
            <w:tcW w:w="359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4AC2D68">
            <w:pPr>
              <w:widowControl/>
              <w:jc w:val="center"/>
              <w:rPr>
                <w:rFonts w:hint="eastAsia" w:ascii="宋体" w:hAnsi="宋体" w:cs="宋体"/>
                <w:b/>
                <w:bCs/>
                <w:kern w:val="0"/>
                <w:szCs w:val="21"/>
              </w:rPr>
            </w:pPr>
            <w:r>
              <w:rPr>
                <w:rFonts w:hint="eastAsia" w:ascii="宋体" w:hAnsi="宋体" w:cs="宋体"/>
                <w:b/>
                <w:bCs/>
                <w:kern w:val="0"/>
                <w:szCs w:val="21"/>
              </w:rPr>
              <w:t>直接管理关系单位名称</w:t>
            </w:r>
          </w:p>
        </w:tc>
        <w:tc>
          <w:tcPr>
            <w:tcW w:w="355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9ADFB7D">
            <w:pPr>
              <w:widowControl/>
              <w:jc w:val="center"/>
              <w:rPr>
                <w:rFonts w:hint="eastAsia" w:ascii="宋体" w:hAnsi="宋体" w:cs="宋体"/>
                <w:b/>
                <w:bCs/>
                <w:kern w:val="0"/>
                <w:szCs w:val="21"/>
              </w:rPr>
            </w:pPr>
            <w:r>
              <w:rPr>
                <w:rFonts w:hint="eastAsia" w:ascii="宋体" w:hAnsi="宋体" w:cs="宋体"/>
                <w:b/>
                <w:bCs/>
                <w:kern w:val="0"/>
                <w:szCs w:val="21"/>
              </w:rPr>
              <w:t>统一社会信用代码</w:t>
            </w:r>
          </w:p>
        </w:tc>
        <w:tc>
          <w:tcPr>
            <w:tcW w:w="168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1936C30">
            <w:pPr>
              <w:widowControl/>
              <w:jc w:val="center"/>
              <w:rPr>
                <w:rFonts w:hint="eastAsia" w:ascii="宋体" w:hAnsi="宋体" w:cs="宋体"/>
                <w:b/>
                <w:bCs/>
                <w:kern w:val="0"/>
                <w:szCs w:val="21"/>
              </w:rPr>
            </w:pPr>
            <w:r>
              <w:rPr>
                <w:rFonts w:hint="eastAsia" w:ascii="宋体" w:hAnsi="宋体" w:cs="宋体"/>
                <w:b/>
                <w:bCs/>
                <w:kern w:val="0"/>
                <w:szCs w:val="21"/>
              </w:rPr>
              <w:t>备注</w:t>
            </w:r>
          </w:p>
        </w:tc>
      </w:tr>
      <w:tr w14:paraId="7D086A3E">
        <w:tblPrEx>
          <w:tblCellMar>
            <w:top w:w="0" w:type="dxa"/>
            <w:left w:w="0" w:type="dxa"/>
            <w:bottom w:w="0" w:type="dxa"/>
            <w:right w:w="0" w:type="dxa"/>
          </w:tblCellMar>
        </w:tblPrEx>
        <w:trPr>
          <w:jc w:val="center"/>
        </w:trPr>
        <w:tc>
          <w:tcPr>
            <w:tcW w:w="80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0B3605">
            <w:pPr>
              <w:widowControl/>
              <w:wordWrap w:val="0"/>
              <w:spacing w:line="200" w:lineRule="atLeast"/>
              <w:jc w:val="center"/>
              <w:rPr>
                <w:rFonts w:hint="eastAsia" w:ascii="宋体" w:hAnsi="宋体" w:cs="宋体"/>
                <w:kern w:val="0"/>
                <w:szCs w:val="21"/>
              </w:rPr>
            </w:pPr>
            <w:r>
              <w:rPr>
                <w:rFonts w:hint="eastAsia" w:ascii="宋体" w:hAnsi="宋体" w:cs="宋体"/>
                <w:kern w:val="0"/>
                <w:szCs w:val="21"/>
              </w:rPr>
              <w:t>1</w:t>
            </w:r>
          </w:p>
        </w:tc>
        <w:tc>
          <w:tcPr>
            <w:tcW w:w="359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2461BF">
            <w:pPr>
              <w:widowControl/>
              <w:wordWrap w:val="0"/>
              <w:spacing w:line="200" w:lineRule="atLeast"/>
              <w:jc w:val="center"/>
              <w:rPr>
                <w:rFonts w:hint="eastAsia" w:ascii="宋体" w:hAnsi="宋体" w:cs="宋体"/>
                <w:kern w:val="0"/>
                <w:szCs w:val="21"/>
              </w:rPr>
            </w:pPr>
          </w:p>
        </w:tc>
        <w:tc>
          <w:tcPr>
            <w:tcW w:w="355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1A0C45">
            <w:pPr>
              <w:widowControl/>
              <w:wordWrap w:val="0"/>
              <w:spacing w:line="200" w:lineRule="atLeast"/>
              <w:jc w:val="center"/>
              <w:rPr>
                <w:rFonts w:hint="eastAsia" w:ascii="宋体" w:hAnsi="宋体" w:cs="宋体"/>
                <w:kern w:val="0"/>
                <w:szCs w:val="21"/>
              </w:rPr>
            </w:pPr>
          </w:p>
        </w:tc>
        <w:tc>
          <w:tcPr>
            <w:tcW w:w="168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7C1F69">
            <w:pPr>
              <w:widowControl/>
              <w:wordWrap w:val="0"/>
              <w:spacing w:line="200" w:lineRule="atLeast"/>
              <w:jc w:val="center"/>
              <w:rPr>
                <w:rFonts w:hint="eastAsia" w:ascii="宋体" w:hAnsi="宋体" w:cs="宋体"/>
                <w:kern w:val="0"/>
                <w:szCs w:val="21"/>
              </w:rPr>
            </w:pPr>
          </w:p>
        </w:tc>
      </w:tr>
      <w:tr w14:paraId="4185A98C">
        <w:tblPrEx>
          <w:tblCellMar>
            <w:top w:w="0" w:type="dxa"/>
            <w:left w:w="0" w:type="dxa"/>
            <w:bottom w:w="0" w:type="dxa"/>
            <w:right w:w="0" w:type="dxa"/>
          </w:tblCellMar>
        </w:tblPrEx>
        <w:trPr>
          <w:jc w:val="center"/>
        </w:trPr>
        <w:tc>
          <w:tcPr>
            <w:tcW w:w="80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050F29">
            <w:pPr>
              <w:widowControl/>
              <w:wordWrap w:val="0"/>
              <w:spacing w:line="200" w:lineRule="atLeast"/>
              <w:jc w:val="center"/>
              <w:rPr>
                <w:rFonts w:hint="eastAsia" w:ascii="宋体" w:hAnsi="宋体" w:cs="宋体"/>
                <w:kern w:val="0"/>
                <w:szCs w:val="21"/>
              </w:rPr>
            </w:pPr>
            <w:r>
              <w:rPr>
                <w:rFonts w:hint="eastAsia" w:ascii="宋体" w:hAnsi="宋体" w:cs="宋体"/>
                <w:kern w:val="0"/>
                <w:szCs w:val="21"/>
              </w:rPr>
              <w:t>2</w:t>
            </w:r>
          </w:p>
        </w:tc>
        <w:tc>
          <w:tcPr>
            <w:tcW w:w="359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BAF700">
            <w:pPr>
              <w:widowControl/>
              <w:wordWrap w:val="0"/>
              <w:spacing w:line="200" w:lineRule="atLeast"/>
              <w:jc w:val="center"/>
              <w:rPr>
                <w:rFonts w:hint="eastAsia" w:ascii="宋体" w:hAnsi="宋体" w:cs="宋体"/>
                <w:kern w:val="0"/>
                <w:szCs w:val="21"/>
              </w:rPr>
            </w:pPr>
          </w:p>
        </w:tc>
        <w:tc>
          <w:tcPr>
            <w:tcW w:w="355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86A300">
            <w:pPr>
              <w:widowControl/>
              <w:wordWrap w:val="0"/>
              <w:spacing w:line="200" w:lineRule="atLeast"/>
              <w:jc w:val="center"/>
              <w:rPr>
                <w:rFonts w:hint="eastAsia" w:ascii="宋体" w:hAnsi="宋体" w:cs="宋体"/>
                <w:kern w:val="0"/>
                <w:szCs w:val="21"/>
              </w:rPr>
            </w:pPr>
          </w:p>
        </w:tc>
        <w:tc>
          <w:tcPr>
            <w:tcW w:w="168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52CC63">
            <w:pPr>
              <w:widowControl/>
              <w:wordWrap w:val="0"/>
              <w:spacing w:line="200" w:lineRule="atLeast"/>
              <w:jc w:val="center"/>
              <w:rPr>
                <w:rFonts w:hint="eastAsia" w:ascii="宋体" w:hAnsi="宋体" w:cs="宋体"/>
                <w:kern w:val="0"/>
                <w:szCs w:val="21"/>
              </w:rPr>
            </w:pPr>
          </w:p>
        </w:tc>
      </w:tr>
      <w:tr w14:paraId="56C2F16C">
        <w:tblPrEx>
          <w:tblCellMar>
            <w:top w:w="0" w:type="dxa"/>
            <w:left w:w="0" w:type="dxa"/>
            <w:bottom w:w="0" w:type="dxa"/>
            <w:right w:w="0" w:type="dxa"/>
          </w:tblCellMar>
        </w:tblPrEx>
        <w:trPr>
          <w:jc w:val="center"/>
        </w:trPr>
        <w:tc>
          <w:tcPr>
            <w:tcW w:w="80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36A45F">
            <w:pPr>
              <w:widowControl/>
              <w:wordWrap w:val="0"/>
              <w:spacing w:line="200" w:lineRule="atLeast"/>
              <w:jc w:val="center"/>
              <w:rPr>
                <w:rFonts w:hint="eastAsia" w:ascii="宋体" w:hAnsi="宋体" w:cs="宋体"/>
                <w:kern w:val="0"/>
                <w:szCs w:val="21"/>
              </w:rPr>
            </w:pPr>
            <w:r>
              <w:rPr>
                <w:rFonts w:hint="eastAsia" w:ascii="宋体" w:hAnsi="宋体" w:cs="宋体"/>
                <w:kern w:val="0"/>
                <w:szCs w:val="21"/>
              </w:rPr>
              <w:t>3</w:t>
            </w:r>
          </w:p>
        </w:tc>
        <w:tc>
          <w:tcPr>
            <w:tcW w:w="359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91A496">
            <w:pPr>
              <w:widowControl/>
              <w:wordWrap w:val="0"/>
              <w:spacing w:line="200" w:lineRule="atLeast"/>
              <w:jc w:val="center"/>
              <w:rPr>
                <w:rFonts w:hint="eastAsia" w:ascii="宋体" w:hAnsi="宋体" w:cs="宋体"/>
                <w:kern w:val="0"/>
                <w:szCs w:val="21"/>
              </w:rPr>
            </w:pPr>
          </w:p>
        </w:tc>
        <w:tc>
          <w:tcPr>
            <w:tcW w:w="355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1F36C4">
            <w:pPr>
              <w:widowControl/>
              <w:wordWrap w:val="0"/>
              <w:spacing w:line="200" w:lineRule="atLeast"/>
              <w:jc w:val="center"/>
              <w:rPr>
                <w:rFonts w:hint="eastAsia" w:ascii="宋体" w:hAnsi="宋体" w:cs="宋体"/>
                <w:kern w:val="0"/>
                <w:szCs w:val="21"/>
              </w:rPr>
            </w:pPr>
          </w:p>
        </w:tc>
        <w:tc>
          <w:tcPr>
            <w:tcW w:w="168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55FD6B">
            <w:pPr>
              <w:widowControl/>
              <w:wordWrap w:val="0"/>
              <w:spacing w:line="200" w:lineRule="atLeast"/>
              <w:jc w:val="center"/>
              <w:rPr>
                <w:rFonts w:hint="eastAsia" w:ascii="宋体" w:hAnsi="宋体" w:cs="宋体"/>
                <w:kern w:val="0"/>
                <w:szCs w:val="21"/>
              </w:rPr>
            </w:pPr>
          </w:p>
        </w:tc>
      </w:tr>
      <w:tr w14:paraId="04D42FF4">
        <w:tblPrEx>
          <w:tblCellMar>
            <w:top w:w="0" w:type="dxa"/>
            <w:left w:w="0" w:type="dxa"/>
            <w:bottom w:w="0" w:type="dxa"/>
            <w:right w:w="0" w:type="dxa"/>
          </w:tblCellMar>
        </w:tblPrEx>
        <w:trPr>
          <w:jc w:val="center"/>
        </w:trPr>
        <w:tc>
          <w:tcPr>
            <w:tcW w:w="80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A6FC60">
            <w:pPr>
              <w:widowControl/>
              <w:wordWrap w:val="0"/>
              <w:spacing w:line="200" w:lineRule="atLeast"/>
              <w:jc w:val="center"/>
              <w:rPr>
                <w:rFonts w:hint="eastAsia" w:ascii="宋体" w:hAnsi="宋体" w:cs="宋体"/>
                <w:kern w:val="0"/>
                <w:szCs w:val="21"/>
              </w:rPr>
            </w:pPr>
            <w:r>
              <w:rPr>
                <w:rFonts w:hint="eastAsia" w:ascii="宋体" w:hAnsi="宋体" w:cs="宋体"/>
                <w:kern w:val="0"/>
                <w:szCs w:val="21"/>
              </w:rPr>
              <w:t>……</w:t>
            </w:r>
          </w:p>
        </w:tc>
        <w:tc>
          <w:tcPr>
            <w:tcW w:w="359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B3F4AB">
            <w:pPr>
              <w:widowControl/>
              <w:wordWrap w:val="0"/>
              <w:spacing w:line="200" w:lineRule="atLeast"/>
              <w:jc w:val="center"/>
              <w:rPr>
                <w:rFonts w:hint="eastAsia" w:ascii="宋体" w:hAnsi="宋体" w:cs="宋体"/>
                <w:kern w:val="0"/>
                <w:szCs w:val="21"/>
              </w:rPr>
            </w:pPr>
          </w:p>
        </w:tc>
        <w:tc>
          <w:tcPr>
            <w:tcW w:w="355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10F5DF0">
            <w:pPr>
              <w:widowControl/>
              <w:wordWrap w:val="0"/>
              <w:spacing w:line="200" w:lineRule="atLeast"/>
              <w:jc w:val="center"/>
              <w:rPr>
                <w:rFonts w:hint="eastAsia" w:ascii="宋体" w:hAnsi="宋体" w:cs="宋体"/>
                <w:kern w:val="0"/>
                <w:szCs w:val="21"/>
              </w:rPr>
            </w:pPr>
          </w:p>
        </w:tc>
        <w:tc>
          <w:tcPr>
            <w:tcW w:w="168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842B23">
            <w:pPr>
              <w:widowControl/>
              <w:wordWrap w:val="0"/>
              <w:spacing w:line="200" w:lineRule="atLeast"/>
              <w:jc w:val="center"/>
              <w:rPr>
                <w:rFonts w:hint="eastAsia" w:ascii="宋体" w:hAnsi="宋体" w:cs="宋体"/>
                <w:kern w:val="0"/>
                <w:szCs w:val="21"/>
              </w:rPr>
            </w:pPr>
          </w:p>
        </w:tc>
      </w:tr>
    </w:tbl>
    <w:p w14:paraId="6995D0F9">
      <w:pPr>
        <w:spacing w:line="360" w:lineRule="auto"/>
        <w:jc w:val="left"/>
        <w:rPr>
          <w:rFonts w:hint="eastAsia" w:ascii="宋体" w:hAnsi="宋体" w:cs="宋体"/>
          <w:szCs w:val="21"/>
        </w:rPr>
      </w:pPr>
      <w:r>
        <w:rPr>
          <w:rFonts w:hint="eastAsia" w:ascii="宋体" w:hAnsi="宋体" w:cs="宋体"/>
          <w:szCs w:val="21"/>
        </w:rPr>
        <w:t>注：</w:t>
      </w:r>
    </w:p>
    <w:p w14:paraId="7D5F7909">
      <w:pPr>
        <w:spacing w:line="360" w:lineRule="auto"/>
        <w:ind w:firstLine="420" w:firstLineChars="200"/>
        <w:jc w:val="left"/>
        <w:rPr>
          <w:rFonts w:hint="eastAsia" w:ascii="宋体" w:hAnsi="宋体" w:cs="宋体"/>
          <w:szCs w:val="21"/>
        </w:rPr>
      </w:pPr>
      <w:r>
        <w:rPr>
          <w:rFonts w:hint="eastAsia" w:ascii="宋体" w:hAnsi="宋体" w:cs="宋体"/>
          <w:szCs w:val="21"/>
        </w:rPr>
        <w:t>1.管理关系：是指不具有出资持股关系的其他单位之间存在的管理与被管理关系，如一些上下级关系的事业单位和团体组织。</w:t>
      </w:r>
    </w:p>
    <w:p w14:paraId="774CBF6A">
      <w:pPr>
        <w:spacing w:line="360" w:lineRule="auto"/>
        <w:ind w:firstLine="420" w:firstLineChars="200"/>
        <w:jc w:val="left"/>
        <w:rPr>
          <w:rFonts w:hint="eastAsia" w:ascii="宋体" w:hAnsi="宋体" w:cs="宋体"/>
          <w:szCs w:val="21"/>
        </w:rPr>
      </w:pPr>
      <w:r>
        <w:rPr>
          <w:rFonts w:hint="eastAsia" w:ascii="宋体" w:hAnsi="宋体" w:cs="宋体"/>
          <w:szCs w:val="21"/>
        </w:rPr>
        <w:t>2.</w:t>
      </w:r>
      <w:r>
        <w:rPr>
          <w:rFonts w:hint="eastAsia" w:ascii="宋体" w:hAnsi="宋体" w:cs="宋体"/>
          <w:spacing w:val="-6"/>
          <w:szCs w:val="21"/>
        </w:rPr>
        <w:t>本表所指的管理关系仅限于直接管理关系，不包括间接的管理关系。</w:t>
      </w:r>
    </w:p>
    <w:p w14:paraId="7D8629B2">
      <w:pPr>
        <w:spacing w:line="360" w:lineRule="auto"/>
        <w:ind w:firstLine="420" w:firstLineChars="200"/>
        <w:jc w:val="left"/>
        <w:rPr>
          <w:rFonts w:hint="eastAsia" w:ascii="宋体" w:hAnsi="宋体" w:cs="宋体"/>
          <w:szCs w:val="21"/>
        </w:rPr>
      </w:pPr>
      <w:r>
        <w:rPr>
          <w:rFonts w:hint="eastAsia" w:ascii="宋体" w:hAnsi="宋体" w:cs="宋体"/>
          <w:szCs w:val="21"/>
        </w:rPr>
        <w:t>3.供应商不存在直接管理关系的，则在“直接管理关系单位名称”填“无”。</w:t>
      </w:r>
    </w:p>
    <w:p w14:paraId="14D820F4">
      <w:pPr>
        <w:spacing w:line="360" w:lineRule="auto"/>
        <w:jc w:val="left"/>
        <w:rPr>
          <w:rFonts w:hint="eastAsia" w:ascii="宋体" w:hAnsi="宋体" w:cs="宋体"/>
          <w:szCs w:val="21"/>
        </w:rPr>
      </w:pPr>
    </w:p>
    <w:p w14:paraId="462C5C95">
      <w:pPr>
        <w:spacing w:line="360" w:lineRule="auto"/>
        <w:jc w:val="left"/>
        <w:rPr>
          <w:rFonts w:hint="eastAsia" w:ascii="宋体" w:hAnsi="宋体" w:cs="宋体"/>
          <w:szCs w:val="21"/>
        </w:rPr>
      </w:pPr>
    </w:p>
    <w:p w14:paraId="4CF519BD">
      <w:pPr>
        <w:spacing w:line="360" w:lineRule="auto"/>
        <w:jc w:val="left"/>
        <w:rPr>
          <w:rFonts w:hint="eastAsia" w:ascii="宋体" w:hAnsi="宋体" w:cs="宋体"/>
          <w:szCs w:val="21"/>
        </w:rPr>
      </w:pPr>
    </w:p>
    <w:p w14:paraId="4EFBF907">
      <w:pPr>
        <w:spacing w:line="360" w:lineRule="auto"/>
        <w:jc w:val="left"/>
        <w:rPr>
          <w:rFonts w:hint="eastAsia" w:ascii="宋体" w:hAnsi="宋体" w:cs="宋体"/>
          <w:szCs w:val="21"/>
        </w:rPr>
      </w:pPr>
    </w:p>
    <w:p w14:paraId="3C6E886A">
      <w:pPr>
        <w:spacing w:line="360" w:lineRule="auto"/>
        <w:jc w:val="left"/>
        <w:rPr>
          <w:rFonts w:hint="eastAsia" w:ascii="宋体" w:hAnsi="宋体" w:cs="宋体"/>
          <w:szCs w:val="21"/>
        </w:rPr>
      </w:pPr>
    </w:p>
    <w:p w14:paraId="5FC6806A">
      <w:pPr>
        <w:spacing w:line="360" w:lineRule="auto"/>
        <w:jc w:val="left"/>
        <w:rPr>
          <w:rFonts w:hint="eastAsia" w:ascii="宋体" w:hAnsi="宋体" w:cs="宋体"/>
          <w:szCs w:val="21"/>
        </w:rPr>
      </w:pPr>
    </w:p>
    <w:p w14:paraId="55E3AE13">
      <w:pPr>
        <w:spacing w:line="360" w:lineRule="auto"/>
        <w:ind w:right="480"/>
        <w:contextualSpacing/>
        <w:jc w:val="center"/>
        <w:rPr>
          <w:rFonts w:hint="eastAsia" w:ascii="宋体" w:hAnsi="宋体" w:cs="宋体"/>
          <w:szCs w:val="21"/>
          <w:u w:val="single"/>
        </w:rPr>
      </w:pPr>
      <w:r>
        <w:rPr>
          <w:rFonts w:hint="eastAsia" w:ascii="宋体" w:hAnsi="宋体" w:cs="宋体"/>
          <w:szCs w:val="21"/>
        </w:rPr>
        <w:t xml:space="preserve">              法定代表人或者委托代理人（签字或者电子签名）：</w:t>
      </w:r>
      <w:r>
        <w:rPr>
          <w:rFonts w:hint="eastAsia" w:ascii="宋体" w:hAnsi="宋体" w:cs="宋体"/>
          <w:szCs w:val="21"/>
          <w:u w:val="single"/>
        </w:rPr>
        <w:t xml:space="preserve">                   </w:t>
      </w:r>
    </w:p>
    <w:p w14:paraId="1F81546C">
      <w:pPr>
        <w:spacing w:line="360" w:lineRule="auto"/>
        <w:ind w:right="480" w:firstLine="2940" w:firstLineChars="1400"/>
        <w:contextualSpacing/>
        <w:rPr>
          <w:rFonts w:hint="eastAsia" w:ascii="宋体" w:hAnsi="宋体" w:cs="宋体"/>
          <w:szCs w:val="21"/>
        </w:rPr>
      </w:pPr>
      <w:r>
        <w:rPr>
          <w:rFonts w:hint="eastAsia" w:ascii="宋体" w:hAnsi="宋体" w:cs="宋体"/>
          <w:szCs w:val="21"/>
        </w:rPr>
        <w:t>供应商（电子签章）：</w:t>
      </w:r>
      <w:r>
        <w:rPr>
          <w:rFonts w:hint="eastAsia" w:ascii="宋体" w:hAnsi="宋体" w:cs="宋体"/>
          <w:szCs w:val="21"/>
          <w:u w:val="single"/>
        </w:rPr>
        <w:t xml:space="preserve">                </w:t>
      </w:r>
    </w:p>
    <w:p w14:paraId="5E5FBAD6">
      <w:pPr>
        <w:spacing w:line="360" w:lineRule="auto"/>
        <w:ind w:right="480" w:firstLine="210" w:firstLineChars="100"/>
        <w:contextualSpacing/>
        <w:jc w:val="center"/>
        <w:rPr>
          <w:rFonts w:hint="eastAsia" w:ascii="宋体" w:hAnsi="宋体" w:cs="宋体"/>
          <w:szCs w:val="21"/>
        </w:rPr>
      </w:pPr>
      <w:r>
        <w:rPr>
          <w:rFonts w:hint="eastAsia" w:ascii="宋体" w:hAnsi="宋体" w:cs="宋体"/>
          <w:szCs w:val="21"/>
        </w:rPr>
        <w:t xml:space="preserve">                                        年    月    日</w:t>
      </w:r>
    </w:p>
    <w:p w14:paraId="49FD62A9">
      <w:pPr>
        <w:spacing w:line="500" w:lineRule="exact"/>
        <w:jc w:val="center"/>
        <w:rPr>
          <w:rFonts w:hint="eastAsia" w:ascii="宋体" w:hAnsi="宋体" w:cs="宋体"/>
          <w:b/>
          <w:sz w:val="32"/>
          <w:szCs w:val="32"/>
        </w:rPr>
      </w:pPr>
      <w:r>
        <w:rPr>
          <w:rFonts w:hint="eastAsia" w:ascii="宋体" w:hAnsi="宋体" w:cs="宋体"/>
          <w:b/>
          <w:szCs w:val="21"/>
        </w:rPr>
        <w:br w:type="page"/>
      </w:r>
      <w:r>
        <w:rPr>
          <w:rFonts w:hint="eastAsia" w:ascii="宋体" w:hAnsi="宋体" w:cs="宋体"/>
          <w:b/>
          <w:sz w:val="32"/>
          <w:szCs w:val="32"/>
        </w:rPr>
        <w:t>竞标声明</w:t>
      </w:r>
    </w:p>
    <w:p w14:paraId="43824117">
      <w:pPr>
        <w:spacing w:line="320" w:lineRule="exact"/>
        <w:jc w:val="center"/>
        <w:rPr>
          <w:rFonts w:hint="eastAsia" w:ascii="宋体" w:hAnsi="宋体" w:cs="宋体"/>
          <w:sz w:val="24"/>
          <w:szCs w:val="20"/>
        </w:rPr>
      </w:pPr>
    </w:p>
    <w:p w14:paraId="1B5AB442">
      <w:pPr>
        <w:spacing w:line="440" w:lineRule="exact"/>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（采购人名称）</w:t>
      </w:r>
      <w:r>
        <w:rPr>
          <w:rFonts w:hint="eastAsia" w:ascii="宋体" w:hAnsi="宋体" w:cs="宋体"/>
          <w:szCs w:val="21"/>
        </w:rPr>
        <w:t>：</w:t>
      </w:r>
    </w:p>
    <w:p w14:paraId="72A1F7E1">
      <w:pPr>
        <w:wordWrap w:val="0"/>
        <w:spacing w:line="440" w:lineRule="exact"/>
        <w:ind w:firstLine="420" w:firstLineChars="200"/>
        <w:rPr>
          <w:rFonts w:hint="eastAsia" w:ascii="宋体" w:hAnsi="宋体" w:cs="宋体"/>
          <w:szCs w:val="21"/>
        </w:rPr>
      </w:pPr>
      <w:r>
        <w:rPr>
          <w:rFonts w:hint="eastAsia" w:ascii="宋体" w:hAnsi="宋体" w:cs="宋体"/>
          <w:szCs w:val="21"/>
        </w:rPr>
        <w:t>我方</w:t>
      </w:r>
      <w:r>
        <w:rPr>
          <w:rFonts w:hint="eastAsia" w:ascii="宋体" w:hAnsi="宋体" w:cs="宋体"/>
          <w:szCs w:val="21"/>
          <w:u w:val="single"/>
        </w:rPr>
        <w:t>（供应商名称）</w:t>
      </w:r>
      <w:r>
        <w:rPr>
          <w:rFonts w:hint="eastAsia" w:ascii="宋体" w:hAnsi="宋体" w:cs="宋体"/>
          <w:szCs w:val="21"/>
        </w:rPr>
        <w:t>系中华人民共和国合法供应商，经营地址</w:t>
      </w:r>
      <w:r>
        <w:rPr>
          <w:rFonts w:hint="eastAsia" w:ascii="宋体" w:hAnsi="宋体" w:cs="宋体"/>
          <w:szCs w:val="21"/>
          <w:u w:val="single"/>
        </w:rPr>
        <w:t xml:space="preserve">                         </w:t>
      </w:r>
      <w:r>
        <w:rPr>
          <w:rFonts w:hint="eastAsia" w:ascii="宋体" w:hAnsi="宋体" w:cs="宋体"/>
          <w:szCs w:val="21"/>
        </w:rPr>
        <w:t>。</w:t>
      </w:r>
    </w:p>
    <w:p w14:paraId="6439806B">
      <w:pPr>
        <w:spacing w:line="440" w:lineRule="exact"/>
        <w:ind w:firstLine="420" w:firstLineChars="200"/>
        <w:rPr>
          <w:rFonts w:hint="eastAsia" w:ascii="宋体" w:hAnsi="宋体" w:cs="宋体"/>
          <w:szCs w:val="21"/>
        </w:rPr>
      </w:pPr>
      <w:r>
        <w:rPr>
          <w:rFonts w:hint="eastAsia" w:ascii="宋体" w:hAnsi="宋体" w:cs="宋体"/>
          <w:szCs w:val="21"/>
        </w:rPr>
        <w:t>我方愿意参加贵方组织的</w:t>
      </w:r>
      <w:r>
        <w:rPr>
          <w:rFonts w:hint="eastAsia" w:ascii="宋体" w:hAnsi="宋体" w:cs="宋体"/>
          <w:szCs w:val="21"/>
          <w:u w:val="single"/>
        </w:rPr>
        <w:t>（项目名称）</w:t>
      </w:r>
      <w:r>
        <w:rPr>
          <w:rFonts w:hint="eastAsia" w:ascii="宋体" w:hAnsi="宋体" w:cs="宋体"/>
          <w:szCs w:val="21"/>
        </w:rPr>
        <w:t>项目的竞标，为便于贵方公正、择优地确定成交供应商及其竞标产品和服务，我方就本次竞标有关事项郑重声明如下：</w:t>
      </w:r>
    </w:p>
    <w:p w14:paraId="7A50E375">
      <w:pPr>
        <w:spacing w:line="440" w:lineRule="exact"/>
        <w:ind w:firstLine="420" w:firstLineChars="200"/>
        <w:rPr>
          <w:rFonts w:hint="eastAsia" w:ascii="宋体" w:hAnsi="宋体" w:cs="宋体"/>
          <w:szCs w:val="21"/>
        </w:rPr>
      </w:pPr>
      <w:r>
        <w:rPr>
          <w:rFonts w:hint="eastAsia" w:ascii="宋体" w:hAnsi="宋体" w:cs="宋体"/>
          <w:szCs w:val="21"/>
        </w:rPr>
        <w:t>1.我方向贵方提交的所有响应文件、资料都是准确的和真实的。</w:t>
      </w:r>
    </w:p>
    <w:p w14:paraId="3752198E">
      <w:pPr>
        <w:spacing w:line="440" w:lineRule="exact"/>
        <w:ind w:firstLine="420" w:firstLineChars="200"/>
        <w:rPr>
          <w:rFonts w:hint="eastAsia" w:ascii="宋体" w:hAnsi="宋体" w:cs="宋体"/>
          <w:szCs w:val="21"/>
        </w:rPr>
      </w:pPr>
      <w:r>
        <w:rPr>
          <w:rFonts w:hint="eastAsia" w:ascii="宋体" w:hAnsi="宋体" w:cs="宋体"/>
          <w:szCs w:val="21"/>
        </w:rPr>
        <w:t>2.我方不是为本次采购项目提供整体设计、规范编制或者项目管理、监理、检测等服务的供应商。</w:t>
      </w:r>
    </w:p>
    <w:p w14:paraId="1CDB167F">
      <w:pPr>
        <w:spacing w:line="440" w:lineRule="exact"/>
        <w:ind w:firstLine="420" w:firstLineChars="200"/>
        <w:rPr>
          <w:rFonts w:hint="eastAsia" w:ascii="宋体" w:hAnsi="宋体" w:cs="宋体"/>
          <w:szCs w:val="21"/>
        </w:rPr>
      </w:pPr>
      <w:r>
        <w:rPr>
          <w:rFonts w:hint="eastAsia" w:ascii="宋体" w:hAnsi="宋体" w:cs="宋体"/>
          <w:szCs w:val="21"/>
        </w:rPr>
        <w:t>3.在此，我方宣布同意如下：</w:t>
      </w:r>
    </w:p>
    <w:p w14:paraId="6D9C9021">
      <w:pPr>
        <w:spacing w:line="440" w:lineRule="exact"/>
        <w:ind w:firstLine="420" w:firstLineChars="200"/>
        <w:rPr>
          <w:rFonts w:hint="eastAsia" w:ascii="宋体" w:hAnsi="宋体" w:cs="宋体"/>
          <w:szCs w:val="21"/>
        </w:rPr>
      </w:pPr>
      <w:r>
        <w:rPr>
          <w:rFonts w:hint="eastAsia" w:ascii="宋体" w:hAnsi="宋体" w:cs="宋体"/>
          <w:szCs w:val="21"/>
        </w:rPr>
        <w:t>（1）将按谈判文件的约定履行合同责任和义务；</w:t>
      </w:r>
    </w:p>
    <w:p w14:paraId="50AF0C61">
      <w:pPr>
        <w:spacing w:line="440" w:lineRule="exact"/>
        <w:ind w:firstLine="420" w:firstLineChars="200"/>
        <w:rPr>
          <w:rFonts w:hint="eastAsia" w:ascii="宋体" w:hAnsi="宋体" w:cs="宋体"/>
          <w:szCs w:val="21"/>
        </w:rPr>
      </w:pPr>
      <w:r>
        <w:rPr>
          <w:rFonts w:hint="eastAsia" w:ascii="宋体" w:hAnsi="宋体" w:cs="宋体"/>
          <w:szCs w:val="21"/>
        </w:rPr>
        <w:t>（2）已详细审查全部谈判文件，包括补遗文件（如有）；</w:t>
      </w:r>
    </w:p>
    <w:p w14:paraId="427E7780">
      <w:pPr>
        <w:spacing w:line="440" w:lineRule="exact"/>
        <w:ind w:firstLine="420" w:firstLineChars="200"/>
        <w:rPr>
          <w:rFonts w:hint="eastAsia" w:ascii="宋体" w:hAnsi="宋体" w:cs="宋体"/>
          <w:szCs w:val="21"/>
        </w:rPr>
      </w:pPr>
      <w:r>
        <w:rPr>
          <w:rFonts w:hint="eastAsia" w:ascii="宋体" w:hAnsi="宋体" w:cs="宋体"/>
          <w:szCs w:val="21"/>
        </w:rPr>
        <w:t>（3）同意提供按照贵方可能要求的与谈判有关的一切数据或者资料；</w:t>
      </w:r>
    </w:p>
    <w:p w14:paraId="6734E0B1">
      <w:pPr>
        <w:spacing w:line="440" w:lineRule="exact"/>
        <w:ind w:firstLine="420" w:firstLineChars="200"/>
        <w:rPr>
          <w:rFonts w:hint="eastAsia" w:ascii="宋体" w:hAnsi="宋体" w:cs="宋体"/>
          <w:szCs w:val="21"/>
        </w:rPr>
      </w:pPr>
      <w:r>
        <w:rPr>
          <w:rFonts w:hint="eastAsia" w:ascii="宋体" w:hAnsi="宋体" w:cs="宋体"/>
          <w:szCs w:val="21"/>
        </w:rPr>
        <w:t>（4）响应谈判文件规定的竞标有效期。</w:t>
      </w:r>
    </w:p>
    <w:p w14:paraId="29B7686F">
      <w:pPr>
        <w:spacing w:line="440" w:lineRule="exact"/>
        <w:ind w:firstLine="420" w:firstLineChars="200"/>
        <w:rPr>
          <w:rFonts w:hint="eastAsia" w:ascii="宋体" w:hAnsi="宋体" w:cs="宋体"/>
          <w:szCs w:val="21"/>
        </w:rPr>
      </w:pPr>
      <w:r>
        <w:rPr>
          <w:rFonts w:hint="eastAsia" w:ascii="宋体" w:hAnsi="宋体" w:cs="宋体"/>
          <w:szCs w:val="21"/>
        </w:rPr>
        <w:t>4.我方承诺符合《中华人民共和国政府采购法》第二十二条规定：</w:t>
      </w:r>
    </w:p>
    <w:p w14:paraId="7EECAE3B">
      <w:pPr>
        <w:spacing w:line="440" w:lineRule="exact"/>
        <w:ind w:firstLine="420" w:firstLineChars="200"/>
        <w:rPr>
          <w:rFonts w:hint="eastAsia" w:ascii="宋体" w:hAnsi="宋体" w:cs="宋体"/>
          <w:szCs w:val="21"/>
        </w:rPr>
      </w:pPr>
      <w:r>
        <w:rPr>
          <w:rFonts w:hint="eastAsia" w:ascii="宋体" w:hAnsi="宋体" w:cs="宋体"/>
          <w:szCs w:val="21"/>
        </w:rPr>
        <w:t>（1）具有独立承担民事责任的能力；</w:t>
      </w:r>
    </w:p>
    <w:p w14:paraId="0F40DE73">
      <w:pPr>
        <w:spacing w:line="440" w:lineRule="exact"/>
        <w:ind w:firstLine="420" w:firstLineChars="200"/>
        <w:rPr>
          <w:rFonts w:hint="eastAsia" w:ascii="宋体" w:hAnsi="宋体" w:cs="宋体"/>
          <w:szCs w:val="21"/>
        </w:rPr>
      </w:pPr>
      <w:r>
        <w:rPr>
          <w:rFonts w:hint="eastAsia" w:ascii="宋体" w:hAnsi="宋体" w:cs="宋体"/>
          <w:szCs w:val="21"/>
        </w:rPr>
        <w:t>（2）具有良好的商业信誉和健全的财务会计制度；</w:t>
      </w:r>
    </w:p>
    <w:p w14:paraId="63C6E023">
      <w:pPr>
        <w:spacing w:line="440" w:lineRule="exact"/>
        <w:ind w:firstLine="420" w:firstLineChars="200"/>
        <w:rPr>
          <w:rFonts w:hint="eastAsia" w:ascii="宋体" w:hAnsi="宋体" w:cs="宋体"/>
          <w:szCs w:val="21"/>
        </w:rPr>
      </w:pPr>
      <w:r>
        <w:rPr>
          <w:rFonts w:hint="eastAsia" w:ascii="宋体" w:hAnsi="宋体" w:cs="宋体"/>
          <w:szCs w:val="21"/>
        </w:rPr>
        <w:t>（3）具有履行合同所必需的设备和专业技术能力；</w:t>
      </w:r>
    </w:p>
    <w:p w14:paraId="33619EF9">
      <w:pPr>
        <w:spacing w:line="440" w:lineRule="exact"/>
        <w:ind w:firstLine="420" w:firstLineChars="200"/>
        <w:rPr>
          <w:rFonts w:hint="eastAsia" w:ascii="宋体" w:hAnsi="宋体" w:cs="宋体"/>
          <w:szCs w:val="21"/>
        </w:rPr>
      </w:pPr>
      <w:r>
        <w:rPr>
          <w:rFonts w:hint="eastAsia" w:ascii="宋体" w:hAnsi="宋体" w:cs="宋体"/>
          <w:szCs w:val="21"/>
        </w:rPr>
        <w:t>（4）有依法缴纳税收和社会保障资金的良好记录；</w:t>
      </w:r>
    </w:p>
    <w:p w14:paraId="0DE4049A">
      <w:pPr>
        <w:spacing w:line="440" w:lineRule="exact"/>
        <w:ind w:firstLine="420" w:firstLineChars="200"/>
        <w:rPr>
          <w:rFonts w:hint="eastAsia" w:ascii="宋体" w:hAnsi="宋体" w:cs="宋体"/>
          <w:szCs w:val="21"/>
        </w:rPr>
      </w:pPr>
      <w:r>
        <w:rPr>
          <w:rFonts w:hint="eastAsia" w:ascii="宋体" w:hAnsi="宋体" w:cs="宋体"/>
          <w:szCs w:val="21"/>
        </w:rPr>
        <w:t>（5）参加政府采购活动前三年内，在经营活动中没有重大违法记录；</w:t>
      </w:r>
    </w:p>
    <w:p w14:paraId="647DE1D0">
      <w:pPr>
        <w:spacing w:line="440" w:lineRule="exact"/>
        <w:ind w:firstLine="420" w:firstLineChars="200"/>
        <w:rPr>
          <w:rFonts w:hint="eastAsia" w:ascii="宋体" w:hAnsi="宋体" w:cs="宋体"/>
          <w:szCs w:val="21"/>
        </w:rPr>
      </w:pPr>
      <w:r>
        <w:rPr>
          <w:rFonts w:hint="eastAsia" w:ascii="宋体" w:hAnsi="宋体" w:cs="宋体"/>
          <w:szCs w:val="21"/>
        </w:rPr>
        <w:t>（6）法律、行政法规规定的其他条件。</w:t>
      </w:r>
    </w:p>
    <w:p w14:paraId="13D989EF">
      <w:pPr>
        <w:spacing w:line="440" w:lineRule="exact"/>
        <w:ind w:firstLine="420" w:firstLineChars="200"/>
        <w:rPr>
          <w:rFonts w:hint="eastAsia" w:ascii="宋体" w:hAnsi="宋体" w:cs="宋体"/>
          <w:szCs w:val="21"/>
        </w:rPr>
      </w:pPr>
      <w:r>
        <w:rPr>
          <w:rFonts w:hint="eastAsia" w:ascii="宋体" w:hAnsi="宋体" w:cs="宋体"/>
          <w:szCs w:val="21"/>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8E6A0D5">
      <w:pPr>
        <w:spacing w:line="440" w:lineRule="exact"/>
        <w:ind w:firstLine="420" w:firstLineChars="200"/>
        <w:rPr>
          <w:rFonts w:hint="eastAsia" w:ascii="宋体" w:hAnsi="宋体" w:cs="宋体"/>
          <w:szCs w:val="21"/>
        </w:rPr>
      </w:pPr>
      <w:r>
        <w:rPr>
          <w:rFonts w:hint="eastAsia" w:ascii="宋体" w:hAnsi="宋体" w:cs="宋体"/>
          <w:szCs w:val="21"/>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C305B53">
      <w:pPr>
        <w:spacing w:line="440" w:lineRule="exact"/>
        <w:ind w:firstLine="420" w:firstLineChars="200"/>
        <w:rPr>
          <w:rFonts w:hint="eastAsia" w:ascii="宋体" w:hAnsi="宋体" w:cs="宋体"/>
          <w:szCs w:val="21"/>
        </w:rPr>
      </w:pPr>
      <w:r>
        <w:rPr>
          <w:rFonts w:hint="eastAsia" w:ascii="宋体" w:hAnsi="宋体" w:cs="宋体"/>
          <w:szCs w:val="21"/>
        </w:rPr>
        <w:t>□我方本次响应文件</w:t>
      </w:r>
      <w:r>
        <w:rPr>
          <w:rFonts w:hint="eastAsia" w:ascii="宋体" w:hAnsi="宋体" w:cs="宋体"/>
          <w:kern w:val="0"/>
          <w:szCs w:val="21"/>
        </w:rPr>
        <w:t>内容中</w:t>
      </w:r>
      <w:r>
        <w:rPr>
          <w:rFonts w:hint="eastAsia" w:ascii="宋体" w:hAnsi="宋体" w:cs="宋体"/>
          <w:szCs w:val="21"/>
        </w:rPr>
        <w:t>未</w:t>
      </w:r>
      <w:r>
        <w:rPr>
          <w:rFonts w:hint="eastAsia" w:ascii="宋体" w:hAnsi="宋体" w:cs="宋体"/>
          <w:kern w:val="0"/>
          <w:szCs w:val="21"/>
        </w:rPr>
        <w:t>涉及商业秘密；</w:t>
      </w:r>
    </w:p>
    <w:p w14:paraId="17996755">
      <w:pPr>
        <w:spacing w:line="440" w:lineRule="exact"/>
        <w:ind w:firstLine="420" w:firstLineChars="200"/>
        <w:rPr>
          <w:rFonts w:hint="eastAsia" w:ascii="宋体" w:hAnsi="宋体" w:cs="宋体"/>
          <w:szCs w:val="21"/>
        </w:rPr>
      </w:pPr>
      <w:r>
        <w:rPr>
          <w:rFonts w:hint="eastAsia" w:ascii="宋体" w:hAnsi="宋体" w:cs="宋体"/>
          <w:szCs w:val="21"/>
        </w:rPr>
        <w:t>□我方本次响应文件</w:t>
      </w:r>
      <w:r>
        <w:rPr>
          <w:rFonts w:hint="eastAsia" w:ascii="宋体" w:hAnsi="宋体" w:cs="宋体"/>
          <w:kern w:val="0"/>
          <w:szCs w:val="21"/>
        </w:rPr>
        <w:t>涉及商业秘密的内容有：</w:t>
      </w:r>
      <w:r>
        <w:rPr>
          <w:rFonts w:hint="eastAsia" w:ascii="宋体" w:hAnsi="宋体" w:cs="宋体"/>
          <w:kern w:val="0"/>
          <w:szCs w:val="21"/>
          <w:u w:val="single"/>
        </w:rPr>
        <w:t xml:space="preserve">                         </w:t>
      </w:r>
      <w:r>
        <w:rPr>
          <w:rFonts w:hint="eastAsia" w:ascii="宋体" w:hAnsi="宋体" w:cs="宋体"/>
          <w:kern w:val="0"/>
          <w:szCs w:val="21"/>
        </w:rPr>
        <w:t>；</w:t>
      </w:r>
    </w:p>
    <w:p w14:paraId="4176A129">
      <w:pPr>
        <w:pStyle w:val="17"/>
        <w:spacing w:line="440" w:lineRule="exact"/>
        <w:ind w:firstLine="420" w:firstLineChars="200"/>
        <w:rPr>
          <w:rFonts w:hint="eastAsia" w:hAnsi="宋体" w:cs="宋体"/>
          <w:sz w:val="21"/>
          <w:u w:val="single"/>
        </w:rPr>
      </w:pPr>
      <w:r>
        <w:rPr>
          <w:rFonts w:hint="eastAsia" w:hAnsi="宋体" w:cs="宋体"/>
          <w:sz w:val="21"/>
        </w:rPr>
        <w:t>7.与本谈判有关的一切正式往来信函请寄：</w:t>
      </w:r>
      <w:r>
        <w:rPr>
          <w:rFonts w:hint="eastAsia" w:hAnsi="宋体" w:cs="宋体"/>
          <w:sz w:val="21"/>
          <w:u w:val="single"/>
        </w:rPr>
        <w:t xml:space="preserve">                  </w:t>
      </w:r>
      <w:r>
        <w:rPr>
          <w:rFonts w:hint="eastAsia" w:hAnsi="宋体" w:cs="宋体"/>
          <w:sz w:val="21"/>
        </w:rPr>
        <w:t>邮政编号：</w:t>
      </w:r>
      <w:r>
        <w:rPr>
          <w:rFonts w:hint="eastAsia" w:hAnsi="宋体" w:cs="宋体"/>
          <w:sz w:val="21"/>
          <w:u w:val="single"/>
        </w:rPr>
        <w:t xml:space="preserve">    </w:t>
      </w:r>
    </w:p>
    <w:p w14:paraId="2D5E01D6">
      <w:pPr>
        <w:pStyle w:val="17"/>
        <w:spacing w:line="440" w:lineRule="exact"/>
        <w:ind w:firstLine="420" w:firstLineChars="200"/>
        <w:rPr>
          <w:rFonts w:hint="eastAsia" w:hAnsi="宋体" w:cs="宋体"/>
          <w:sz w:val="21"/>
        </w:rPr>
      </w:pPr>
      <w:r>
        <w:rPr>
          <w:rFonts w:hint="eastAsia" w:hAnsi="宋体" w:cs="宋体"/>
          <w:sz w:val="21"/>
        </w:rPr>
        <w:t>电话/传真：</w:t>
      </w:r>
      <w:r>
        <w:rPr>
          <w:rFonts w:hint="eastAsia" w:hAnsi="宋体" w:cs="宋体"/>
          <w:sz w:val="21"/>
          <w:u w:val="single"/>
        </w:rPr>
        <w:t xml:space="preserve">                        </w:t>
      </w:r>
      <w:r>
        <w:rPr>
          <w:rFonts w:hint="eastAsia" w:hAnsi="宋体" w:cs="宋体"/>
          <w:sz w:val="21"/>
        </w:rPr>
        <w:t xml:space="preserve"> 电子邮箱：</w:t>
      </w:r>
      <w:r>
        <w:rPr>
          <w:rFonts w:hint="eastAsia" w:hAnsi="宋体" w:cs="宋体"/>
          <w:sz w:val="21"/>
          <w:u w:val="single"/>
        </w:rPr>
        <w:t xml:space="preserve">             </w:t>
      </w:r>
      <w:r>
        <w:rPr>
          <w:rFonts w:hint="eastAsia" w:hAnsi="宋体" w:cs="宋体"/>
          <w:sz w:val="21"/>
        </w:rPr>
        <w:t xml:space="preserve">    </w:t>
      </w:r>
    </w:p>
    <w:p w14:paraId="588261C1">
      <w:pPr>
        <w:pStyle w:val="15"/>
        <w:tabs>
          <w:tab w:val="left" w:pos="939"/>
        </w:tabs>
        <w:spacing w:line="440" w:lineRule="exact"/>
        <w:ind w:left="0" w:leftChars="0" w:firstLine="315" w:firstLineChars="150"/>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帐号/行号：</w:t>
      </w:r>
      <w:r>
        <w:rPr>
          <w:rFonts w:hint="eastAsia" w:ascii="宋体" w:hAnsi="宋体" w:cs="宋体"/>
          <w:szCs w:val="21"/>
          <w:u w:val="single"/>
        </w:rPr>
        <w:t xml:space="preserve">           </w:t>
      </w:r>
    </w:p>
    <w:p w14:paraId="69E9589C">
      <w:pPr>
        <w:pStyle w:val="15"/>
        <w:tabs>
          <w:tab w:val="left" w:pos="939"/>
        </w:tabs>
        <w:spacing w:line="440" w:lineRule="exact"/>
        <w:ind w:left="0" w:leftChars="0" w:firstLine="315" w:firstLineChars="150"/>
        <w:rPr>
          <w:rFonts w:hint="eastAsia" w:ascii="宋体" w:hAnsi="宋体" w:cs="宋体"/>
          <w:szCs w:val="21"/>
        </w:rPr>
      </w:pPr>
      <w:r>
        <w:rPr>
          <w:rFonts w:hint="eastAsia" w:ascii="宋体" w:hAnsi="宋体" w:cs="宋体"/>
          <w:szCs w:val="21"/>
        </w:rPr>
        <w:t>8.以上事项如有虚假或者隐瞒，我方愿意承担一切后果，并不再寻求任何旨在减轻或者免除法律责任的辩解。</w:t>
      </w:r>
    </w:p>
    <w:p w14:paraId="3D3B21D8">
      <w:pPr>
        <w:pStyle w:val="15"/>
        <w:tabs>
          <w:tab w:val="left" w:pos="939"/>
        </w:tabs>
        <w:spacing w:line="440" w:lineRule="exact"/>
        <w:ind w:left="0" w:leftChars="0" w:firstLine="315" w:firstLineChars="150"/>
        <w:rPr>
          <w:rFonts w:hint="eastAsia" w:ascii="宋体" w:hAnsi="宋体" w:cs="宋体"/>
          <w:szCs w:val="21"/>
        </w:rPr>
      </w:pPr>
      <w:r>
        <w:rPr>
          <w:rFonts w:hint="eastAsia" w:ascii="宋体" w:hAnsi="宋体" w:cs="宋体"/>
          <w:szCs w:val="21"/>
        </w:rPr>
        <w:t>特此承诺。</w:t>
      </w:r>
    </w:p>
    <w:p w14:paraId="76F0F1BF">
      <w:pPr>
        <w:spacing w:line="440" w:lineRule="exact"/>
        <w:jc w:val="left"/>
        <w:rPr>
          <w:rFonts w:hint="eastAsia" w:ascii="宋体" w:hAnsi="宋体" w:cs="宋体"/>
          <w:b/>
          <w:szCs w:val="21"/>
        </w:rPr>
      </w:pPr>
      <w:r>
        <w:rPr>
          <w:rFonts w:hint="eastAsia" w:ascii="宋体" w:hAnsi="宋体" w:cs="宋体"/>
          <w:b/>
          <w:szCs w:val="21"/>
        </w:rPr>
        <w:t xml:space="preserve">    注：如为联合体竞标，盖章处须加盖联合体牵头人电子签章并由联合体牵头人法定代表人分别签字或者盖章或者电子签名，否则响应文件按无效处理。</w:t>
      </w:r>
    </w:p>
    <w:p w14:paraId="4F4F44DA">
      <w:pPr>
        <w:spacing w:line="440" w:lineRule="exact"/>
        <w:jc w:val="left"/>
        <w:rPr>
          <w:rFonts w:hint="eastAsia" w:ascii="宋体" w:hAnsi="宋体" w:cs="宋体"/>
          <w:szCs w:val="21"/>
        </w:rPr>
      </w:pPr>
    </w:p>
    <w:p w14:paraId="4B66F206">
      <w:pPr>
        <w:spacing w:line="440" w:lineRule="exact"/>
        <w:ind w:firstLine="1575" w:firstLineChars="750"/>
        <w:rPr>
          <w:rFonts w:hint="eastAsia" w:ascii="宋体" w:hAnsi="宋体" w:cs="宋体"/>
          <w:szCs w:val="21"/>
        </w:rPr>
      </w:pPr>
      <w:r>
        <w:rPr>
          <w:rFonts w:hint="eastAsia" w:ascii="宋体" w:hAnsi="宋体" w:cs="宋体"/>
          <w:szCs w:val="21"/>
        </w:rPr>
        <w:t>法定代表人（签字或者盖章或者电子签名）：</w:t>
      </w:r>
      <w:r>
        <w:rPr>
          <w:rFonts w:hint="eastAsia" w:ascii="宋体" w:hAnsi="宋体" w:cs="宋体"/>
          <w:szCs w:val="21"/>
          <w:u w:val="single"/>
        </w:rPr>
        <w:t xml:space="preserve">                            </w:t>
      </w:r>
      <w:r>
        <w:rPr>
          <w:rFonts w:hint="eastAsia" w:ascii="宋体" w:hAnsi="宋体" w:cs="宋体"/>
          <w:szCs w:val="21"/>
        </w:rPr>
        <w:t xml:space="preserve">                                     </w:t>
      </w:r>
    </w:p>
    <w:p w14:paraId="33A33335">
      <w:pPr>
        <w:spacing w:line="440" w:lineRule="exact"/>
        <w:ind w:firstLine="3780" w:firstLineChars="1800"/>
        <w:rPr>
          <w:rFonts w:hint="eastAsia" w:ascii="宋体" w:hAnsi="宋体" w:cs="宋体"/>
          <w:szCs w:val="21"/>
          <w:u w:val="single"/>
        </w:rPr>
      </w:pPr>
      <w:r>
        <w:rPr>
          <w:rFonts w:hint="eastAsia" w:ascii="宋体" w:hAnsi="宋体" w:cs="宋体"/>
          <w:szCs w:val="21"/>
        </w:rPr>
        <w:t>供应商（电子签章）：</w:t>
      </w:r>
      <w:r>
        <w:rPr>
          <w:rFonts w:hint="eastAsia" w:ascii="宋体" w:hAnsi="宋体" w:cs="宋体"/>
          <w:szCs w:val="21"/>
          <w:u w:val="single"/>
        </w:rPr>
        <w:t xml:space="preserve">                               </w:t>
      </w:r>
      <w:r>
        <w:rPr>
          <w:rFonts w:hint="eastAsia" w:ascii="宋体" w:hAnsi="宋体" w:cs="宋体"/>
          <w:szCs w:val="21"/>
        </w:rPr>
        <w:t xml:space="preserve">           </w:t>
      </w:r>
    </w:p>
    <w:p w14:paraId="2DA32681">
      <w:pPr>
        <w:spacing w:line="440" w:lineRule="exact"/>
        <w:ind w:firstLine="210" w:firstLineChars="100"/>
        <w:contextualSpacing/>
        <w:jc w:val="center"/>
        <w:rPr>
          <w:rFonts w:hint="eastAsia" w:ascii="宋体" w:hAnsi="宋体" w:cs="宋体"/>
          <w:szCs w:val="21"/>
        </w:rPr>
      </w:pPr>
      <w:r>
        <w:rPr>
          <w:rFonts w:hint="eastAsia" w:ascii="宋体" w:hAnsi="宋体" w:cs="宋体"/>
          <w:szCs w:val="21"/>
        </w:rPr>
        <w:t xml:space="preserve">                                                         年    月    日 </w:t>
      </w:r>
    </w:p>
    <w:p w14:paraId="05037310">
      <w:pPr>
        <w:pStyle w:val="2"/>
        <w:overflowPunct w:val="0"/>
        <w:spacing w:line="520" w:lineRule="exact"/>
        <w:ind w:firstLine="0"/>
        <w:jc w:val="center"/>
        <w:rPr>
          <w:rFonts w:hint="eastAsia" w:ascii="宋体" w:hAnsi="宋体" w:cs="宋体"/>
          <w:sz w:val="32"/>
          <w:szCs w:val="32"/>
        </w:rPr>
        <w:sectPr>
          <w:pgSz w:w="11910" w:h="16840"/>
          <w:pgMar w:top="1340" w:right="1500" w:bottom="280" w:left="1680" w:header="720" w:footer="720" w:gutter="0"/>
          <w:cols w:space="720" w:num="1"/>
        </w:sectPr>
      </w:pPr>
      <w:r>
        <w:rPr>
          <w:rFonts w:hint="eastAsia" w:ascii="宋体" w:hAnsi="宋体" w:cs="宋体"/>
          <w:sz w:val="32"/>
          <w:szCs w:val="32"/>
        </w:rPr>
        <w:br w:type="page"/>
      </w:r>
    </w:p>
    <w:p w14:paraId="1B537F1B">
      <w:pPr>
        <w:pStyle w:val="2"/>
        <w:overflowPunct w:val="0"/>
        <w:spacing w:line="520" w:lineRule="exact"/>
        <w:ind w:firstLine="0"/>
        <w:jc w:val="center"/>
        <w:rPr>
          <w:rFonts w:hint="eastAsia" w:ascii="宋体" w:hAnsi="宋体" w:cs="宋体"/>
          <w:b/>
          <w:sz w:val="32"/>
          <w:szCs w:val="32"/>
        </w:rPr>
      </w:pPr>
      <w:r>
        <w:rPr>
          <w:rFonts w:hint="eastAsia" w:ascii="宋体" w:hAnsi="宋体" w:cs="宋体"/>
          <w:b/>
          <w:sz w:val="24"/>
          <w:szCs w:val="24"/>
        </w:rPr>
        <w:t>4.</w:t>
      </w:r>
      <w:r>
        <w:rPr>
          <w:rFonts w:hint="eastAsia" w:ascii="宋体" w:hAnsi="宋体" w:cs="宋体"/>
          <w:b/>
          <w:sz w:val="32"/>
          <w:szCs w:val="32"/>
        </w:rPr>
        <w:t>联合体竞标协议书（如有）</w:t>
      </w:r>
    </w:p>
    <w:p w14:paraId="4D89D436">
      <w:pPr>
        <w:pStyle w:val="2"/>
        <w:overflowPunct w:val="0"/>
        <w:spacing w:line="360" w:lineRule="auto"/>
        <w:ind w:firstLine="0"/>
        <w:rPr>
          <w:rFonts w:hint="eastAsia" w:ascii="宋体" w:hAnsi="宋体" w:cs="宋体"/>
          <w:sz w:val="24"/>
          <w:szCs w:val="24"/>
        </w:rPr>
      </w:pPr>
    </w:p>
    <w:p w14:paraId="581866EA">
      <w:pPr>
        <w:pStyle w:val="2"/>
        <w:overflowPunct w:val="0"/>
        <w:spacing w:line="360" w:lineRule="auto"/>
        <w:ind w:firstLineChars="200"/>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rPr>
        <w:t>（所有成员单位名称）自愿组成</w:t>
      </w:r>
      <w:r>
        <w:rPr>
          <w:rFonts w:hint="eastAsia" w:ascii="宋体" w:hAnsi="宋体" w:cs="宋体"/>
          <w:szCs w:val="21"/>
          <w:u w:val="single"/>
        </w:rPr>
        <w:t xml:space="preserve">      </w:t>
      </w:r>
      <w:r>
        <w:rPr>
          <w:rFonts w:hint="eastAsia" w:ascii="宋体" w:hAnsi="宋体" w:cs="宋体"/>
          <w:szCs w:val="21"/>
        </w:rPr>
        <w:t>（联合体名称）联合体，共同参加</w:t>
      </w:r>
      <w:r>
        <w:rPr>
          <w:rFonts w:hint="eastAsia" w:ascii="宋体" w:hAnsi="宋体" w:cs="宋体"/>
          <w:szCs w:val="21"/>
          <w:u w:val="single"/>
        </w:rPr>
        <w:t xml:space="preserve">      </w:t>
      </w:r>
      <w:r>
        <w:rPr>
          <w:rFonts w:hint="eastAsia" w:ascii="宋体" w:hAnsi="宋体" w:cs="宋体"/>
          <w:szCs w:val="21"/>
        </w:rPr>
        <w:t>（项目名称）采购项目竞标。现就联合体竞标事宜订立如下协议。</w:t>
      </w:r>
    </w:p>
    <w:p w14:paraId="3064912F">
      <w:pPr>
        <w:pStyle w:val="2"/>
        <w:overflowPunct w:val="0"/>
        <w:spacing w:line="360" w:lineRule="auto"/>
        <w:ind w:firstLineChars="200"/>
        <w:rPr>
          <w:rFonts w:hint="eastAsia"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rPr>
        <w:t>（某成员单位名称）为</w:t>
      </w:r>
      <w:r>
        <w:rPr>
          <w:rFonts w:hint="eastAsia" w:ascii="宋体" w:hAnsi="宋体" w:cs="宋体"/>
          <w:szCs w:val="21"/>
          <w:u w:val="single"/>
        </w:rPr>
        <w:t xml:space="preserve">     </w:t>
      </w:r>
      <w:r>
        <w:rPr>
          <w:rFonts w:hint="eastAsia" w:ascii="宋体" w:hAnsi="宋体" w:cs="宋体"/>
          <w:szCs w:val="21"/>
        </w:rPr>
        <w:t>（联合体名称）牵头人。</w:t>
      </w:r>
    </w:p>
    <w:p w14:paraId="5EB94DE5">
      <w:pPr>
        <w:pStyle w:val="2"/>
        <w:overflowPunct w:val="0"/>
        <w:spacing w:line="360" w:lineRule="auto"/>
        <w:ind w:firstLineChars="200"/>
        <w:rPr>
          <w:rFonts w:hint="eastAsia" w:ascii="宋体" w:hAnsi="宋体" w:cs="宋体"/>
          <w:szCs w:val="21"/>
        </w:rPr>
      </w:pPr>
      <w:r>
        <w:rPr>
          <w:rFonts w:hint="eastAsia" w:ascii="宋体" w:hAnsi="宋体" w:cs="宋体"/>
          <w:szCs w:val="21"/>
        </w:rPr>
        <w:t>2.联合体各成员授权牵头人代表联合体参加竞标活动，签署文件及对文件的盖章，提交和接收相关的资料、信息及指示，进行合同谈判活动，负责合同实施阶段的组织和协调工作，以及处理与本竞标项目有关的一切事宜。</w:t>
      </w:r>
    </w:p>
    <w:p w14:paraId="259B8C35">
      <w:pPr>
        <w:pStyle w:val="2"/>
        <w:overflowPunct w:val="0"/>
        <w:spacing w:line="360" w:lineRule="auto"/>
        <w:ind w:firstLineChars="200"/>
        <w:rPr>
          <w:rFonts w:hint="eastAsia" w:ascii="宋体" w:hAnsi="宋体" w:cs="宋体"/>
          <w:szCs w:val="21"/>
        </w:rPr>
      </w:pPr>
      <w:r>
        <w:rPr>
          <w:rFonts w:hint="eastAsia" w:ascii="宋体" w:hAnsi="宋体" w:cs="宋体"/>
          <w:szCs w:val="21"/>
        </w:rPr>
        <w:t>3.联合体牵头人在本项目中签署和盖章的一切文件和处理的一切事宜，联合体各成员均予以承认。联合体各成员将严格按照谈判文件、响应文件和合同的要求全面履行义务，并向采购人承担连带责任。</w:t>
      </w:r>
    </w:p>
    <w:p w14:paraId="45F85041">
      <w:pPr>
        <w:pStyle w:val="2"/>
        <w:overflowPunct w:val="0"/>
        <w:spacing w:line="360" w:lineRule="auto"/>
        <w:ind w:firstLineChars="200"/>
        <w:rPr>
          <w:rFonts w:hint="eastAsia" w:ascii="宋体" w:hAnsi="宋体" w:cs="宋体"/>
          <w:szCs w:val="21"/>
        </w:rPr>
      </w:pPr>
      <w:r>
        <w:rPr>
          <w:rFonts w:hint="eastAsia" w:ascii="宋体" w:hAnsi="宋体" w:cs="宋体"/>
          <w:szCs w:val="21"/>
        </w:rPr>
        <w:t>4.联合体各成员单位内部的职责分工如下：</w:t>
      </w:r>
      <w:r>
        <w:rPr>
          <w:rFonts w:hint="eastAsia" w:ascii="宋体" w:hAnsi="宋体" w:cs="宋体"/>
          <w:szCs w:val="21"/>
          <w:u w:val="single"/>
        </w:rPr>
        <w:t xml:space="preserve">       </w:t>
      </w:r>
      <w:r>
        <w:rPr>
          <w:rFonts w:hint="eastAsia" w:ascii="宋体" w:hAnsi="宋体" w:cs="宋体"/>
          <w:szCs w:val="21"/>
        </w:rPr>
        <w:t>。</w:t>
      </w:r>
    </w:p>
    <w:p w14:paraId="776EDC2B">
      <w:pPr>
        <w:pStyle w:val="2"/>
        <w:overflowPunct w:val="0"/>
        <w:spacing w:line="360" w:lineRule="auto"/>
        <w:ind w:firstLineChars="200"/>
        <w:rPr>
          <w:rFonts w:hint="eastAsia" w:ascii="宋体" w:hAnsi="宋体" w:cs="宋体"/>
          <w:szCs w:val="21"/>
        </w:rPr>
      </w:pPr>
      <w:r>
        <w:rPr>
          <w:rFonts w:hint="eastAsia" w:ascii="宋体" w:hAnsi="宋体" w:cs="宋体"/>
          <w:szCs w:val="21"/>
        </w:rPr>
        <w:t>5.本</w:t>
      </w:r>
      <w:r>
        <w:rPr>
          <w:rFonts w:hint="eastAsia" w:ascii="宋体" w:hAnsi="宋体" w:cs="宋体"/>
          <w:spacing w:val="-6"/>
          <w:szCs w:val="21"/>
        </w:rPr>
        <w:t>协议书自所有成员单位法定代表人或者其委托代理人签字或者盖单位章之日起生效，合同履行完毕后自动失效。</w:t>
      </w:r>
    </w:p>
    <w:p w14:paraId="0E6D8A18">
      <w:pPr>
        <w:pStyle w:val="2"/>
        <w:overflowPunct w:val="0"/>
        <w:spacing w:line="360" w:lineRule="auto"/>
        <w:ind w:firstLineChars="200"/>
        <w:rPr>
          <w:rFonts w:hint="eastAsia" w:ascii="宋体" w:hAnsi="宋体" w:cs="宋体"/>
          <w:szCs w:val="21"/>
        </w:rPr>
      </w:pPr>
      <w:r>
        <w:rPr>
          <w:rFonts w:hint="eastAsia" w:ascii="宋体" w:hAnsi="宋体" w:cs="宋体"/>
          <w:szCs w:val="21"/>
        </w:rPr>
        <w:t>6.本协议书一式</w:t>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rPr>
        <w:t>份，联合体成员和采购人各执一份。</w:t>
      </w:r>
    </w:p>
    <w:p w14:paraId="38EFA146">
      <w:pPr>
        <w:pStyle w:val="2"/>
        <w:overflowPunct w:val="0"/>
        <w:spacing w:line="360" w:lineRule="auto"/>
        <w:ind w:firstLineChars="200"/>
        <w:rPr>
          <w:rFonts w:hint="eastAsia" w:ascii="宋体" w:hAnsi="宋体" w:cs="宋体"/>
          <w:szCs w:val="21"/>
        </w:rPr>
      </w:pPr>
      <w:r>
        <w:rPr>
          <w:rFonts w:hint="eastAsia" w:ascii="宋体" w:hAnsi="宋体" w:cs="宋体"/>
          <w:szCs w:val="21"/>
        </w:rPr>
        <w:t>注：本协议书应附法定代表人身份证明书；有委托代理的，应附权委托书（格式自拟）。</w:t>
      </w:r>
    </w:p>
    <w:p w14:paraId="6A6241AE">
      <w:pPr>
        <w:pStyle w:val="2"/>
        <w:overflowPunct w:val="0"/>
        <w:spacing w:line="360" w:lineRule="auto"/>
        <w:ind w:firstLine="367" w:firstLineChars="175"/>
        <w:rPr>
          <w:rFonts w:hint="eastAsia" w:ascii="宋体" w:hAnsi="宋体" w:cs="宋体"/>
          <w:szCs w:val="21"/>
        </w:rPr>
      </w:pPr>
    </w:p>
    <w:p w14:paraId="08768362">
      <w:pPr>
        <w:pStyle w:val="2"/>
        <w:overflowPunct w:val="0"/>
        <w:spacing w:line="360" w:lineRule="auto"/>
        <w:ind w:firstLine="0"/>
        <w:rPr>
          <w:rFonts w:hint="eastAsia" w:ascii="宋体" w:hAnsi="宋体" w:cs="宋体"/>
          <w:szCs w:val="21"/>
        </w:rPr>
      </w:pPr>
      <w:r>
        <w:rPr>
          <w:rFonts w:hint="eastAsia" w:ascii="宋体" w:hAnsi="宋体" w:cs="宋体"/>
          <w:szCs w:val="21"/>
        </w:rPr>
        <w:t>联合体牵头人名称（电子签章）：</w:t>
      </w:r>
    </w:p>
    <w:p w14:paraId="2309CF8A">
      <w:pPr>
        <w:pStyle w:val="2"/>
        <w:overflowPunct w:val="0"/>
        <w:spacing w:line="360" w:lineRule="auto"/>
        <w:ind w:firstLine="0"/>
        <w:rPr>
          <w:rFonts w:hint="eastAsia" w:ascii="宋体" w:hAnsi="宋体" w:cs="宋体"/>
          <w:szCs w:val="21"/>
        </w:rPr>
      </w:pPr>
      <w:r>
        <w:rPr>
          <w:rFonts w:hint="eastAsia" w:ascii="宋体" w:hAnsi="宋体" w:cs="宋体"/>
          <w:szCs w:val="21"/>
        </w:rPr>
        <w:t>法定代表人或者其委托代理人（签字或者电子签名）：</w:t>
      </w:r>
    </w:p>
    <w:p w14:paraId="35B9E518">
      <w:pPr>
        <w:pStyle w:val="2"/>
        <w:overflowPunct w:val="0"/>
        <w:spacing w:line="360" w:lineRule="auto"/>
        <w:ind w:firstLine="0"/>
        <w:rPr>
          <w:rFonts w:hint="eastAsia" w:ascii="宋体" w:hAnsi="宋体" w:cs="宋体"/>
          <w:szCs w:val="21"/>
        </w:rPr>
      </w:pPr>
    </w:p>
    <w:p w14:paraId="326F5F60">
      <w:pPr>
        <w:pStyle w:val="2"/>
        <w:overflowPunct w:val="0"/>
        <w:spacing w:line="360" w:lineRule="auto"/>
        <w:ind w:firstLine="0"/>
        <w:rPr>
          <w:rFonts w:hint="eastAsia" w:ascii="宋体" w:hAnsi="宋体" w:cs="宋体"/>
          <w:szCs w:val="21"/>
        </w:rPr>
      </w:pPr>
      <w:r>
        <w:rPr>
          <w:rFonts w:hint="eastAsia" w:ascii="宋体" w:hAnsi="宋体" w:cs="宋体"/>
          <w:szCs w:val="21"/>
        </w:rPr>
        <w:t>联合体成员名称（盖公章或者电子签章）：</w:t>
      </w:r>
    </w:p>
    <w:p w14:paraId="58210839">
      <w:pPr>
        <w:pStyle w:val="2"/>
        <w:overflowPunct w:val="0"/>
        <w:spacing w:line="360" w:lineRule="auto"/>
        <w:ind w:firstLine="0"/>
        <w:rPr>
          <w:rFonts w:hint="eastAsia" w:ascii="宋体" w:hAnsi="宋体" w:cs="宋体"/>
          <w:szCs w:val="21"/>
        </w:rPr>
      </w:pPr>
      <w:r>
        <w:rPr>
          <w:rFonts w:hint="eastAsia" w:ascii="宋体" w:hAnsi="宋体" w:cs="宋体"/>
          <w:szCs w:val="21"/>
        </w:rPr>
        <w:t>法定代表人或者其委托代理人（签字或者电子签名）：</w:t>
      </w:r>
    </w:p>
    <w:p w14:paraId="1182DE2E">
      <w:pPr>
        <w:pStyle w:val="2"/>
        <w:overflowPunct w:val="0"/>
        <w:spacing w:line="360" w:lineRule="auto"/>
        <w:ind w:firstLine="0"/>
        <w:rPr>
          <w:rFonts w:hint="eastAsia" w:ascii="宋体" w:hAnsi="宋体" w:cs="宋体"/>
          <w:szCs w:val="21"/>
        </w:rPr>
      </w:pPr>
    </w:p>
    <w:p w14:paraId="693DCEC3">
      <w:pPr>
        <w:pStyle w:val="2"/>
        <w:overflowPunct w:val="0"/>
        <w:spacing w:line="360" w:lineRule="auto"/>
        <w:ind w:firstLine="0"/>
        <w:rPr>
          <w:rFonts w:hint="eastAsia" w:ascii="宋体" w:hAnsi="宋体" w:cs="宋体"/>
          <w:szCs w:val="21"/>
        </w:rPr>
      </w:pPr>
      <w:r>
        <w:rPr>
          <w:rFonts w:hint="eastAsia" w:ascii="宋体" w:hAnsi="宋体" w:cs="宋体"/>
          <w:szCs w:val="21"/>
        </w:rPr>
        <w:t>联合体成员名称（盖公章或者电子签章）：</w:t>
      </w:r>
    </w:p>
    <w:p w14:paraId="44F1121B">
      <w:pPr>
        <w:pStyle w:val="2"/>
        <w:overflowPunct w:val="0"/>
        <w:spacing w:line="360" w:lineRule="auto"/>
        <w:ind w:firstLine="0"/>
        <w:rPr>
          <w:rFonts w:hint="eastAsia" w:ascii="宋体" w:hAnsi="宋体" w:cs="宋体"/>
          <w:szCs w:val="21"/>
        </w:rPr>
      </w:pPr>
      <w:r>
        <w:rPr>
          <w:rFonts w:hint="eastAsia" w:ascii="宋体" w:hAnsi="宋体" w:cs="宋体"/>
          <w:szCs w:val="21"/>
        </w:rPr>
        <w:t>法定代表人或者其委托代理人（签字或者电子签名）：</w:t>
      </w:r>
    </w:p>
    <w:p w14:paraId="1591748B">
      <w:pPr>
        <w:pStyle w:val="2"/>
        <w:overflowPunct w:val="0"/>
        <w:spacing w:line="360" w:lineRule="auto"/>
        <w:ind w:firstLine="0"/>
        <w:rPr>
          <w:rFonts w:hint="eastAsia" w:ascii="宋体" w:hAnsi="宋体" w:cs="宋体"/>
          <w:szCs w:val="21"/>
        </w:rPr>
      </w:pPr>
      <w:r>
        <w:rPr>
          <w:rFonts w:hint="eastAsia" w:ascii="宋体" w:hAnsi="宋体" w:cs="宋体"/>
          <w:szCs w:val="21"/>
        </w:rPr>
        <w:t>……</w:t>
      </w:r>
    </w:p>
    <w:p w14:paraId="20907505">
      <w:pPr>
        <w:spacing w:line="360" w:lineRule="auto"/>
        <w:rPr>
          <w:rFonts w:hint="eastAsia" w:ascii="宋体" w:hAnsi="宋体" w:cs="宋体"/>
          <w:szCs w:val="21"/>
        </w:rPr>
      </w:pPr>
    </w:p>
    <w:p w14:paraId="512B038A">
      <w:pPr>
        <w:spacing w:line="360" w:lineRule="auto"/>
        <w:rPr>
          <w:rFonts w:hint="eastAsia" w:ascii="宋体" w:hAnsi="宋体" w:cs="宋体"/>
          <w:szCs w:val="21"/>
        </w:rPr>
      </w:pPr>
    </w:p>
    <w:p w14:paraId="5CCC7528">
      <w:pPr>
        <w:spacing w:line="360" w:lineRule="auto"/>
        <w:jc w:val="right"/>
        <w:rPr>
          <w:rFonts w:hint="eastAsia" w:ascii="宋体" w:hAnsi="宋体" w:cs="宋体"/>
          <w:sz w:val="24"/>
        </w:rPr>
      </w:pPr>
      <w:r>
        <w:rPr>
          <w:rFonts w:hint="eastAsia" w:ascii="宋体" w:hAnsi="宋体" w:cs="宋体"/>
          <w:szCs w:val="21"/>
        </w:rPr>
        <w:t xml:space="preserve">日期：    年   月   日 </w:t>
      </w:r>
    </w:p>
    <w:p w14:paraId="2A353C60">
      <w:pPr>
        <w:spacing w:line="360" w:lineRule="auto"/>
        <w:ind w:right="420"/>
        <w:contextualSpacing/>
        <w:jc w:val="left"/>
        <w:rPr>
          <w:rFonts w:hint="eastAsia" w:ascii="宋体" w:hAnsi="宋体" w:cs="宋体"/>
          <w:b/>
          <w:sz w:val="32"/>
          <w:szCs w:val="32"/>
        </w:rPr>
      </w:pPr>
      <w:r>
        <w:rPr>
          <w:rFonts w:hint="eastAsia" w:ascii="宋体" w:hAnsi="宋体" w:cs="宋体"/>
          <w:szCs w:val="21"/>
        </w:rPr>
        <w:br w:type="page"/>
      </w:r>
      <w:r>
        <w:rPr>
          <w:rFonts w:hint="eastAsia" w:ascii="宋体" w:hAnsi="宋体" w:cs="宋体"/>
          <w:b/>
          <w:bCs/>
          <w:sz w:val="32"/>
          <w:szCs w:val="32"/>
        </w:rPr>
        <w:t>二、</w:t>
      </w:r>
      <w:r>
        <w:rPr>
          <w:rFonts w:hint="eastAsia" w:ascii="宋体" w:hAnsi="宋体" w:cs="宋体"/>
          <w:b/>
          <w:sz w:val="32"/>
          <w:szCs w:val="32"/>
        </w:rPr>
        <w:t xml:space="preserve">报价文件格式 </w:t>
      </w:r>
    </w:p>
    <w:p w14:paraId="2E3249CB">
      <w:pPr>
        <w:snapToGrid w:val="0"/>
        <w:spacing w:before="120" w:beforeLines="50" w:after="50" w:line="360" w:lineRule="auto"/>
        <w:jc w:val="left"/>
        <w:rPr>
          <w:rFonts w:hint="eastAsia" w:ascii="宋体" w:hAnsi="宋体" w:cs="宋体"/>
          <w:b/>
          <w:sz w:val="32"/>
          <w:szCs w:val="32"/>
        </w:rPr>
      </w:pPr>
      <w:r>
        <w:rPr>
          <w:rFonts w:hint="eastAsia" w:ascii="宋体" w:hAnsi="宋体" w:cs="宋体"/>
          <w:b/>
          <w:sz w:val="32"/>
          <w:szCs w:val="32"/>
        </w:rPr>
        <w:t>1.报价文件封面格式</w:t>
      </w:r>
    </w:p>
    <w:p w14:paraId="71C72A4B">
      <w:pPr>
        <w:snapToGrid w:val="0"/>
        <w:spacing w:before="120" w:beforeLines="50" w:after="50"/>
        <w:rPr>
          <w:rFonts w:hint="eastAsia" w:ascii="宋体" w:hAnsi="宋体" w:cs="宋体"/>
          <w:bCs/>
          <w:sz w:val="32"/>
          <w:szCs w:val="20"/>
        </w:rPr>
      </w:pPr>
      <w:r>
        <w:rPr>
          <w:rFonts w:hint="eastAsia" w:ascii="宋体" w:hAnsi="宋体" w:cs="宋体"/>
          <w:sz w:val="24"/>
        </w:rPr>
        <w:t xml:space="preserve">                                                    </w:t>
      </w:r>
    </w:p>
    <w:p w14:paraId="104EE70E">
      <w:pPr>
        <w:snapToGrid w:val="0"/>
        <w:spacing w:before="120" w:beforeLines="50" w:after="50"/>
        <w:jc w:val="center"/>
        <w:rPr>
          <w:rFonts w:hint="eastAsia" w:ascii="宋体" w:hAnsi="宋体" w:cs="宋体"/>
          <w:sz w:val="24"/>
          <w:szCs w:val="20"/>
        </w:rPr>
      </w:pPr>
      <w:r>
        <w:rPr>
          <w:rFonts w:hint="eastAsia" w:ascii="宋体" w:hAnsi="宋体" w:cs="宋体"/>
          <w:sz w:val="44"/>
          <w:szCs w:val="44"/>
        </w:rPr>
        <w:t>电 子 响 应 文 件</w:t>
      </w:r>
    </w:p>
    <w:p w14:paraId="5EF5149C">
      <w:pPr>
        <w:snapToGrid w:val="0"/>
        <w:spacing w:before="120" w:beforeLines="50" w:after="50"/>
        <w:rPr>
          <w:rFonts w:hint="eastAsia" w:ascii="宋体" w:hAnsi="宋体" w:cs="宋体"/>
          <w:sz w:val="24"/>
          <w:szCs w:val="20"/>
        </w:rPr>
      </w:pPr>
    </w:p>
    <w:p w14:paraId="696269B0">
      <w:pPr>
        <w:snapToGrid w:val="0"/>
        <w:spacing w:before="120" w:beforeLines="50" w:after="50"/>
        <w:rPr>
          <w:rFonts w:hint="eastAsia" w:ascii="宋体" w:hAnsi="宋体" w:cs="宋体"/>
          <w:sz w:val="24"/>
          <w:szCs w:val="20"/>
        </w:rPr>
      </w:pPr>
    </w:p>
    <w:p w14:paraId="31CBC9E9">
      <w:pPr>
        <w:snapToGrid w:val="0"/>
        <w:spacing w:before="120" w:beforeLines="50" w:after="50"/>
        <w:jc w:val="center"/>
        <w:rPr>
          <w:rFonts w:hint="eastAsia" w:ascii="宋体" w:hAnsi="宋体" w:cs="宋体"/>
          <w:bCs/>
          <w:sz w:val="44"/>
          <w:szCs w:val="44"/>
        </w:rPr>
      </w:pPr>
      <w:r>
        <w:rPr>
          <w:rFonts w:hint="eastAsia" w:ascii="宋体" w:hAnsi="宋体" w:cs="宋体"/>
          <w:bCs/>
          <w:sz w:val="44"/>
          <w:szCs w:val="44"/>
        </w:rPr>
        <w:t>报  价  文  件</w:t>
      </w:r>
    </w:p>
    <w:p w14:paraId="474E5C13">
      <w:pPr>
        <w:snapToGrid w:val="0"/>
        <w:spacing w:before="120" w:beforeLines="50" w:after="50"/>
        <w:rPr>
          <w:rFonts w:hint="eastAsia" w:ascii="宋体" w:hAnsi="宋体" w:cs="宋体"/>
          <w:bCs/>
          <w:sz w:val="24"/>
          <w:szCs w:val="20"/>
        </w:rPr>
      </w:pPr>
    </w:p>
    <w:p w14:paraId="3ED220A7">
      <w:pPr>
        <w:snapToGrid w:val="0"/>
        <w:spacing w:before="120" w:beforeLines="50" w:after="50"/>
        <w:rPr>
          <w:rFonts w:hint="eastAsia" w:ascii="宋体" w:hAnsi="宋体" w:cs="宋体"/>
          <w:bCs/>
          <w:sz w:val="24"/>
          <w:szCs w:val="20"/>
        </w:rPr>
      </w:pPr>
    </w:p>
    <w:p w14:paraId="0A26D036">
      <w:pPr>
        <w:snapToGrid w:val="0"/>
        <w:spacing w:before="120" w:beforeLines="50" w:after="50"/>
        <w:rPr>
          <w:rFonts w:hint="eastAsia" w:ascii="宋体" w:hAnsi="宋体" w:cs="宋体"/>
          <w:bCs/>
          <w:sz w:val="24"/>
          <w:szCs w:val="20"/>
        </w:rPr>
      </w:pPr>
    </w:p>
    <w:p w14:paraId="343AB63B">
      <w:pPr>
        <w:snapToGrid w:val="0"/>
        <w:spacing w:before="120" w:beforeLines="50" w:after="50"/>
        <w:rPr>
          <w:rFonts w:hint="eastAsia" w:ascii="宋体" w:hAnsi="宋体" w:cs="宋体"/>
          <w:bCs/>
          <w:sz w:val="24"/>
          <w:szCs w:val="20"/>
        </w:rPr>
      </w:pPr>
    </w:p>
    <w:p w14:paraId="6B856EA4">
      <w:pPr>
        <w:snapToGrid w:val="0"/>
        <w:spacing w:before="120" w:beforeLines="50" w:after="50"/>
        <w:rPr>
          <w:rFonts w:hint="eastAsia" w:ascii="宋体" w:hAnsi="宋体" w:cs="宋体"/>
          <w:bCs/>
          <w:sz w:val="24"/>
          <w:szCs w:val="20"/>
        </w:rPr>
      </w:pPr>
    </w:p>
    <w:p w14:paraId="00B10DA3">
      <w:pPr>
        <w:snapToGrid w:val="0"/>
        <w:spacing w:before="120" w:beforeLines="50" w:after="50"/>
        <w:ind w:firstLine="640" w:firstLineChars="200"/>
        <w:rPr>
          <w:rFonts w:hint="eastAsia" w:ascii="宋体" w:hAnsi="宋体" w:cs="宋体"/>
          <w:bCs/>
          <w:sz w:val="32"/>
          <w:szCs w:val="32"/>
        </w:rPr>
      </w:pPr>
      <w:r>
        <w:rPr>
          <w:rFonts w:hint="eastAsia" w:ascii="宋体" w:hAnsi="宋体" w:cs="宋体"/>
          <w:bCs/>
          <w:sz w:val="32"/>
          <w:szCs w:val="32"/>
        </w:rPr>
        <w:t>项目名称：</w:t>
      </w:r>
    </w:p>
    <w:p w14:paraId="4B8B94F5">
      <w:pPr>
        <w:snapToGrid w:val="0"/>
        <w:spacing w:before="120" w:beforeLines="50" w:after="50"/>
        <w:ind w:firstLine="720" w:firstLineChars="225"/>
        <w:rPr>
          <w:rFonts w:hint="eastAsia" w:ascii="宋体" w:hAnsi="宋体" w:cs="宋体"/>
          <w:bCs/>
          <w:sz w:val="32"/>
          <w:szCs w:val="32"/>
        </w:rPr>
      </w:pPr>
    </w:p>
    <w:p w14:paraId="580A71F5">
      <w:pPr>
        <w:snapToGrid w:val="0"/>
        <w:spacing w:before="120" w:beforeLines="50" w:after="50"/>
        <w:ind w:firstLine="640" w:firstLineChars="200"/>
        <w:rPr>
          <w:rFonts w:hint="eastAsia" w:ascii="宋体" w:hAnsi="宋体" w:cs="宋体"/>
          <w:bCs/>
          <w:sz w:val="32"/>
          <w:szCs w:val="32"/>
        </w:rPr>
      </w:pPr>
      <w:r>
        <w:rPr>
          <w:rFonts w:hint="eastAsia" w:ascii="宋体" w:hAnsi="宋体" w:cs="宋体"/>
          <w:bCs/>
          <w:sz w:val="32"/>
          <w:szCs w:val="32"/>
        </w:rPr>
        <w:t>项目编号：</w:t>
      </w:r>
    </w:p>
    <w:p w14:paraId="2F5800FF">
      <w:pPr>
        <w:snapToGrid w:val="0"/>
        <w:spacing w:before="120" w:beforeLines="50" w:after="50"/>
        <w:ind w:firstLine="720" w:firstLineChars="225"/>
        <w:rPr>
          <w:rFonts w:hint="eastAsia" w:ascii="宋体" w:hAnsi="宋体" w:cs="宋体"/>
          <w:bCs/>
          <w:sz w:val="32"/>
          <w:szCs w:val="32"/>
        </w:rPr>
      </w:pPr>
      <w:r>
        <w:rPr>
          <w:rFonts w:hint="eastAsia" w:ascii="宋体" w:hAnsi="宋体" w:cs="宋体"/>
          <w:bCs/>
          <w:sz w:val="32"/>
          <w:szCs w:val="32"/>
        </w:rPr>
        <w:t xml:space="preserve"> </w:t>
      </w:r>
    </w:p>
    <w:p w14:paraId="2C0918FC">
      <w:pPr>
        <w:snapToGrid w:val="0"/>
        <w:spacing w:before="120" w:beforeLines="50" w:after="50"/>
        <w:ind w:firstLine="640" w:firstLineChars="200"/>
        <w:rPr>
          <w:rFonts w:hint="eastAsia" w:ascii="宋体" w:hAnsi="宋体" w:cs="宋体"/>
          <w:bCs/>
          <w:sz w:val="32"/>
          <w:szCs w:val="32"/>
        </w:rPr>
      </w:pPr>
      <w:r>
        <w:rPr>
          <w:rFonts w:hint="eastAsia" w:ascii="宋体" w:hAnsi="宋体" w:cs="宋体"/>
          <w:bCs/>
          <w:sz w:val="32"/>
          <w:szCs w:val="32"/>
        </w:rPr>
        <w:t>所竞分标（如有则填写，无分标时填写“无”或者留空）：</w:t>
      </w:r>
    </w:p>
    <w:p w14:paraId="4416BDD6">
      <w:pPr>
        <w:snapToGrid w:val="0"/>
        <w:spacing w:before="120" w:beforeLines="50" w:after="50"/>
        <w:ind w:firstLine="720" w:firstLineChars="225"/>
        <w:rPr>
          <w:rFonts w:hint="eastAsia" w:ascii="宋体" w:hAnsi="宋体" w:cs="宋体"/>
          <w:bCs/>
          <w:sz w:val="32"/>
          <w:szCs w:val="32"/>
        </w:rPr>
      </w:pPr>
    </w:p>
    <w:p w14:paraId="2ED698A3">
      <w:pPr>
        <w:pStyle w:val="2"/>
        <w:snapToGrid w:val="0"/>
        <w:spacing w:before="50" w:after="50"/>
        <w:ind w:firstLine="640" w:firstLineChars="200"/>
        <w:rPr>
          <w:rFonts w:hint="eastAsia" w:ascii="宋体" w:hAnsi="宋体" w:cs="宋体"/>
          <w:bCs/>
          <w:sz w:val="32"/>
          <w:szCs w:val="32"/>
        </w:rPr>
      </w:pPr>
      <w:r>
        <w:rPr>
          <w:rFonts w:hint="eastAsia" w:ascii="宋体" w:hAnsi="宋体" w:cs="宋体"/>
          <w:bCs/>
          <w:sz w:val="32"/>
          <w:szCs w:val="32"/>
        </w:rPr>
        <w:t>供应商名称：</w:t>
      </w:r>
    </w:p>
    <w:p w14:paraId="51CB3C49">
      <w:pPr>
        <w:pStyle w:val="2"/>
        <w:snapToGrid w:val="0"/>
        <w:spacing w:before="50" w:after="50"/>
        <w:ind w:firstLine="640" w:firstLineChars="200"/>
        <w:rPr>
          <w:rFonts w:hint="eastAsia" w:ascii="宋体" w:hAnsi="宋体" w:cs="宋体"/>
          <w:bCs/>
          <w:sz w:val="32"/>
          <w:szCs w:val="32"/>
        </w:rPr>
      </w:pPr>
    </w:p>
    <w:p w14:paraId="7ADB5BDE">
      <w:pPr>
        <w:pStyle w:val="2"/>
        <w:snapToGrid w:val="0"/>
        <w:spacing w:before="50" w:after="50"/>
        <w:ind w:firstLine="720" w:firstLineChars="225"/>
        <w:rPr>
          <w:rFonts w:hint="eastAsia" w:ascii="宋体" w:hAnsi="宋体" w:cs="宋体"/>
          <w:bCs/>
          <w:sz w:val="32"/>
          <w:szCs w:val="32"/>
        </w:rPr>
      </w:pPr>
    </w:p>
    <w:p w14:paraId="3E1E8E89">
      <w:pPr>
        <w:pStyle w:val="2"/>
        <w:snapToGrid w:val="0"/>
        <w:spacing w:before="50" w:after="50"/>
        <w:ind w:firstLine="0"/>
        <w:rPr>
          <w:rFonts w:hint="eastAsia" w:ascii="宋体" w:hAnsi="宋体" w:cs="宋体"/>
          <w:bCs/>
          <w:sz w:val="32"/>
          <w:szCs w:val="32"/>
        </w:rPr>
      </w:pPr>
    </w:p>
    <w:p w14:paraId="55006722">
      <w:pPr>
        <w:pStyle w:val="2"/>
        <w:snapToGrid w:val="0"/>
        <w:spacing w:before="50" w:after="50"/>
        <w:ind w:firstLine="1280" w:firstLineChars="400"/>
        <w:rPr>
          <w:rFonts w:hint="eastAsia" w:ascii="宋体" w:hAnsi="宋体" w:cs="宋体"/>
          <w:bCs/>
          <w:sz w:val="32"/>
          <w:szCs w:val="32"/>
        </w:rPr>
      </w:pPr>
    </w:p>
    <w:p w14:paraId="6456DC33">
      <w:pPr>
        <w:snapToGrid w:val="0"/>
        <w:spacing w:before="120" w:beforeLines="50" w:after="50"/>
        <w:jc w:val="center"/>
        <w:rPr>
          <w:rFonts w:hint="eastAsia" w:ascii="宋体" w:hAnsi="宋体" w:cs="宋体"/>
          <w:sz w:val="32"/>
          <w:szCs w:val="32"/>
        </w:rPr>
      </w:pPr>
      <w:r>
        <w:rPr>
          <w:rFonts w:hint="eastAsia" w:ascii="宋体" w:hAnsi="宋体" w:cs="宋体"/>
          <w:sz w:val="32"/>
          <w:szCs w:val="32"/>
        </w:rPr>
        <w:t>年    月    日</w:t>
      </w:r>
    </w:p>
    <w:p w14:paraId="2BC15764">
      <w:pPr>
        <w:snapToGrid w:val="0"/>
        <w:spacing w:before="120" w:beforeLines="50" w:after="50" w:line="360" w:lineRule="auto"/>
        <w:ind w:left="142"/>
        <w:jc w:val="left"/>
        <w:rPr>
          <w:rFonts w:hint="eastAsia" w:ascii="宋体" w:hAnsi="宋体" w:cs="宋体"/>
          <w:b/>
          <w:bCs/>
          <w:sz w:val="24"/>
        </w:rPr>
      </w:pPr>
      <w:r>
        <w:rPr>
          <w:rFonts w:hint="eastAsia" w:ascii="宋体" w:hAnsi="宋体" w:cs="宋体"/>
          <w:szCs w:val="21"/>
        </w:rPr>
        <w:br w:type="page"/>
      </w:r>
      <w:r>
        <w:rPr>
          <w:rFonts w:hint="eastAsia" w:ascii="宋体" w:hAnsi="宋体" w:cs="宋体"/>
          <w:b/>
          <w:bCs/>
          <w:sz w:val="32"/>
          <w:szCs w:val="32"/>
        </w:rPr>
        <w:t>2.报价文件目录</w:t>
      </w:r>
    </w:p>
    <w:p w14:paraId="25D11802">
      <w:pPr>
        <w:tabs>
          <w:tab w:val="left" w:pos="3479"/>
        </w:tabs>
        <w:spacing w:line="520" w:lineRule="exact"/>
        <w:jc w:val="left"/>
        <w:rPr>
          <w:rFonts w:hint="eastAsia" w:ascii="宋体" w:hAnsi="宋体" w:cs="宋体"/>
          <w:szCs w:val="21"/>
        </w:rPr>
      </w:pPr>
      <w:r>
        <w:rPr>
          <w:rFonts w:hint="eastAsia" w:ascii="宋体" w:hAnsi="宋体" w:cs="宋体"/>
          <w:szCs w:val="21"/>
        </w:rPr>
        <w:t>根据谈判文件规定及供应商提供的材料自行编写目录（部分格式后附）。</w:t>
      </w:r>
    </w:p>
    <w:p w14:paraId="25A920B6">
      <w:pPr>
        <w:tabs>
          <w:tab w:val="left" w:pos="3479"/>
        </w:tabs>
        <w:spacing w:line="520" w:lineRule="exact"/>
        <w:jc w:val="center"/>
        <w:rPr>
          <w:rFonts w:hint="eastAsia" w:ascii="宋体" w:hAnsi="宋体" w:cs="宋体"/>
          <w:bCs/>
          <w:sz w:val="32"/>
          <w:szCs w:val="32"/>
        </w:rPr>
      </w:pPr>
      <w:r>
        <w:rPr>
          <w:rFonts w:hint="eastAsia" w:ascii="宋体" w:hAnsi="宋体" w:cs="宋体"/>
          <w:szCs w:val="21"/>
        </w:rPr>
        <w:br w:type="page"/>
      </w:r>
      <w:r>
        <w:rPr>
          <w:rFonts w:hint="eastAsia" w:ascii="宋体" w:hAnsi="宋体" w:cs="宋体"/>
          <w:b/>
          <w:sz w:val="32"/>
          <w:szCs w:val="32"/>
        </w:rPr>
        <w:t>竞标报价表（适用于A分标）</w:t>
      </w:r>
    </w:p>
    <w:p w14:paraId="694451A7">
      <w:pPr>
        <w:spacing w:line="520" w:lineRule="exact"/>
        <w:jc w:val="center"/>
        <w:rPr>
          <w:rFonts w:hint="eastAsia" w:ascii="宋体" w:hAnsi="宋体" w:cs="宋体"/>
          <w:bCs/>
          <w:sz w:val="32"/>
          <w:szCs w:val="32"/>
        </w:rPr>
      </w:pPr>
    </w:p>
    <w:p w14:paraId="4EECCFF4">
      <w:pPr>
        <w:snapToGrid w:val="0"/>
        <w:spacing w:before="50" w:after="50" w:line="360" w:lineRule="auto"/>
        <w:rPr>
          <w:rFonts w:hint="eastAsia" w:ascii="宋体" w:hAnsi="宋体" w:cs="宋体"/>
          <w:szCs w:val="21"/>
        </w:rPr>
      </w:pPr>
      <w:r>
        <w:rPr>
          <w:rFonts w:hint="eastAsia" w:ascii="宋体" w:hAnsi="宋体" w:cs="宋体"/>
          <w:szCs w:val="21"/>
        </w:rPr>
        <w:t>项目名称：</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 xml:space="preserve"> 分标（如有）：</w:t>
      </w:r>
      <w:r>
        <w:rPr>
          <w:rFonts w:hint="eastAsia" w:ascii="宋体" w:hAnsi="宋体" w:cs="宋体"/>
          <w:szCs w:val="21"/>
          <w:u w:val="single"/>
        </w:rPr>
        <w:t xml:space="preserve">            </w:t>
      </w:r>
    </w:p>
    <w:p w14:paraId="4A606618">
      <w:pPr>
        <w:snapToGrid w:val="0"/>
        <w:spacing w:before="50" w:after="50" w:line="360" w:lineRule="auto"/>
        <w:rPr>
          <w:rFonts w:hint="eastAsia" w:ascii="宋体" w:hAnsi="宋体" w:cs="宋体"/>
          <w:szCs w:val="21"/>
        </w:rPr>
      </w:pPr>
      <w:r>
        <w:rPr>
          <w:rFonts w:hint="eastAsia" w:ascii="宋体" w:hAnsi="宋体" w:cs="宋体"/>
          <w:szCs w:val="21"/>
        </w:rPr>
        <w:t>供应商名称：</w:t>
      </w:r>
      <w:r>
        <w:rPr>
          <w:rFonts w:hint="eastAsia" w:ascii="宋体" w:hAnsi="宋体" w:cs="宋体"/>
          <w:szCs w:val="21"/>
          <w:u w:val="single"/>
        </w:rPr>
        <w:t xml:space="preserve">              </w:t>
      </w:r>
      <w:r>
        <w:rPr>
          <w:rFonts w:hint="eastAsia" w:ascii="宋体" w:hAnsi="宋体" w:cs="宋体"/>
          <w:szCs w:val="21"/>
        </w:rPr>
        <w:t xml:space="preserve">                      </w:t>
      </w:r>
    </w:p>
    <w:p w14:paraId="5144AA67">
      <w:pPr>
        <w:snapToGrid w:val="0"/>
        <w:spacing w:before="50" w:after="50" w:line="360" w:lineRule="auto"/>
        <w:rPr>
          <w:rFonts w:hint="eastAsia" w:ascii="宋体" w:hAnsi="宋体" w:cs="宋体"/>
          <w:szCs w:val="21"/>
        </w:rPr>
      </w:pPr>
      <w:r>
        <w:rPr>
          <w:rFonts w:hint="eastAsia" w:ascii="宋体" w:hAnsi="宋体" w:cs="宋体"/>
          <w:szCs w:val="21"/>
        </w:rPr>
        <w:t>单位：元</w:t>
      </w:r>
    </w:p>
    <w:tbl>
      <w:tblPr>
        <w:tblStyle w:val="29"/>
        <w:tblW w:w="1051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6"/>
        <w:gridCol w:w="1066"/>
        <w:gridCol w:w="1005"/>
        <w:gridCol w:w="870"/>
        <w:gridCol w:w="1066"/>
        <w:gridCol w:w="1201"/>
        <w:gridCol w:w="1096"/>
        <w:gridCol w:w="1096"/>
        <w:gridCol w:w="780"/>
        <w:gridCol w:w="1726"/>
      </w:tblGrid>
      <w:tr w14:paraId="6EC63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4AA88F79">
            <w:pPr>
              <w:spacing w:line="360" w:lineRule="auto"/>
              <w:jc w:val="center"/>
              <w:rPr>
                <w:rFonts w:hint="eastAsia" w:ascii="宋体" w:hAnsi="宋体" w:cs="宋体"/>
                <w:b/>
                <w:bCs/>
                <w:szCs w:val="21"/>
              </w:rPr>
            </w:pPr>
            <w:r>
              <w:rPr>
                <w:rFonts w:hint="eastAsia" w:ascii="宋体" w:hAnsi="宋体" w:cs="宋体"/>
                <w:b/>
                <w:bCs/>
                <w:szCs w:val="21"/>
              </w:rPr>
              <w:t>序号</w:t>
            </w:r>
          </w:p>
        </w:tc>
        <w:tc>
          <w:tcPr>
            <w:tcW w:w="1066" w:type="dxa"/>
            <w:tcBorders>
              <w:top w:val="single" w:color="auto" w:sz="4" w:space="0"/>
              <w:left w:val="single" w:color="auto" w:sz="4" w:space="0"/>
              <w:bottom w:val="single" w:color="auto" w:sz="4" w:space="0"/>
              <w:right w:val="single" w:color="auto" w:sz="4" w:space="0"/>
            </w:tcBorders>
            <w:vAlign w:val="center"/>
          </w:tcPr>
          <w:p w14:paraId="1582A9E3">
            <w:pPr>
              <w:spacing w:line="360" w:lineRule="auto"/>
              <w:jc w:val="center"/>
              <w:rPr>
                <w:rFonts w:hint="eastAsia" w:ascii="宋体" w:hAnsi="宋体" w:cs="宋体"/>
                <w:b/>
                <w:bCs/>
                <w:szCs w:val="21"/>
              </w:rPr>
            </w:pPr>
            <w:r>
              <w:rPr>
                <w:rFonts w:hint="eastAsia" w:ascii="宋体" w:hAnsi="宋体" w:cs="宋体"/>
                <w:b/>
                <w:bCs/>
                <w:szCs w:val="21"/>
              </w:rPr>
              <w:t>标的名称</w:t>
            </w:r>
          </w:p>
        </w:tc>
        <w:tc>
          <w:tcPr>
            <w:tcW w:w="1005" w:type="dxa"/>
            <w:tcBorders>
              <w:top w:val="single" w:color="auto" w:sz="4" w:space="0"/>
              <w:left w:val="single" w:color="auto" w:sz="4" w:space="0"/>
              <w:bottom w:val="single" w:color="auto" w:sz="4" w:space="0"/>
              <w:right w:val="single" w:color="auto" w:sz="4" w:space="0"/>
            </w:tcBorders>
            <w:vAlign w:val="center"/>
          </w:tcPr>
          <w:p w14:paraId="7E56DC47">
            <w:pPr>
              <w:spacing w:line="360" w:lineRule="auto"/>
              <w:jc w:val="center"/>
              <w:rPr>
                <w:rFonts w:hint="eastAsia" w:ascii="宋体" w:hAnsi="宋体" w:cs="宋体"/>
                <w:b/>
                <w:bCs/>
                <w:szCs w:val="21"/>
              </w:rPr>
            </w:pPr>
            <w:r>
              <w:rPr>
                <w:rFonts w:hint="eastAsia" w:ascii="宋体" w:hAnsi="宋体" w:cs="宋体"/>
                <w:b/>
                <w:bCs/>
                <w:szCs w:val="21"/>
              </w:rPr>
              <w:t>数量及单位</w:t>
            </w:r>
          </w:p>
          <w:p w14:paraId="359F6F10">
            <w:pPr>
              <w:spacing w:line="360" w:lineRule="auto"/>
              <w:jc w:val="center"/>
              <w:rPr>
                <w:rFonts w:hint="eastAsia" w:ascii="宋体" w:hAnsi="宋体" w:cs="宋体"/>
                <w:b/>
                <w:bCs/>
                <w:szCs w:val="21"/>
              </w:rPr>
            </w:pPr>
            <w:r>
              <w:rPr>
                <w:rFonts w:hint="eastAsia" w:ascii="宋体" w:hAnsi="宋体" w:cs="宋体"/>
                <w:b/>
                <w:bCs/>
                <w:szCs w:val="21"/>
              </w:rPr>
              <w:t>①</w:t>
            </w:r>
          </w:p>
        </w:tc>
        <w:tc>
          <w:tcPr>
            <w:tcW w:w="870" w:type="dxa"/>
            <w:tcBorders>
              <w:top w:val="single" w:color="auto" w:sz="4" w:space="0"/>
              <w:left w:val="single" w:color="auto" w:sz="4" w:space="0"/>
              <w:bottom w:val="single" w:color="auto" w:sz="4" w:space="0"/>
              <w:right w:val="single" w:color="auto" w:sz="4" w:space="0"/>
            </w:tcBorders>
            <w:vAlign w:val="center"/>
          </w:tcPr>
          <w:p w14:paraId="3000A15F">
            <w:pPr>
              <w:spacing w:line="360" w:lineRule="auto"/>
              <w:jc w:val="center"/>
              <w:rPr>
                <w:rFonts w:hint="eastAsia" w:ascii="宋体" w:hAnsi="宋体" w:cs="宋体"/>
                <w:b/>
                <w:bCs/>
                <w:szCs w:val="21"/>
              </w:rPr>
            </w:pPr>
            <w:r>
              <w:rPr>
                <w:rFonts w:hint="eastAsia" w:ascii="宋体" w:hAnsi="宋体" w:cs="宋体"/>
                <w:b/>
                <w:bCs/>
                <w:szCs w:val="21"/>
              </w:rPr>
              <w:t>品牌</w:t>
            </w:r>
          </w:p>
        </w:tc>
        <w:tc>
          <w:tcPr>
            <w:tcW w:w="1066" w:type="dxa"/>
            <w:tcBorders>
              <w:top w:val="single" w:color="auto" w:sz="4" w:space="0"/>
              <w:left w:val="single" w:color="auto" w:sz="4" w:space="0"/>
              <w:bottom w:val="single" w:color="auto" w:sz="4" w:space="0"/>
              <w:right w:val="single" w:color="auto" w:sz="4" w:space="0"/>
            </w:tcBorders>
            <w:vAlign w:val="center"/>
          </w:tcPr>
          <w:p w14:paraId="1C15B3B7">
            <w:pPr>
              <w:spacing w:line="360" w:lineRule="auto"/>
              <w:jc w:val="center"/>
              <w:rPr>
                <w:rFonts w:hint="eastAsia" w:ascii="宋体" w:hAnsi="宋体" w:cs="宋体"/>
                <w:b/>
                <w:bCs/>
                <w:szCs w:val="21"/>
              </w:rPr>
            </w:pPr>
            <w:r>
              <w:rPr>
                <w:rFonts w:hint="eastAsia" w:ascii="宋体" w:hAnsi="宋体" w:cs="宋体"/>
                <w:b/>
                <w:bCs/>
                <w:szCs w:val="21"/>
              </w:rPr>
              <w:t>规格</w:t>
            </w:r>
          </w:p>
          <w:p w14:paraId="604197FE">
            <w:pPr>
              <w:spacing w:line="360" w:lineRule="auto"/>
              <w:jc w:val="center"/>
              <w:rPr>
                <w:rFonts w:hint="eastAsia" w:ascii="宋体" w:hAnsi="宋体" w:cs="宋体"/>
                <w:b/>
                <w:bCs/>
                <w:szCs w:val="21"/>
              </w:rPr>
            </w:pPr>
            <w:r>
              <w:rPr>
                <w:rFonts w:hint="eastAsia" w:ascii="宋体" w:hAnsi="宋体" w:cs="宋体"/>
                <w:b/>
                <w:bCs/>
                <w:szCs w:val="21"/>
              </w:rPr>
              <w:t>型号</w:t>
            </w:r>
          </w:p>
        </w:tc>
        <w:tc>
          <w:tcPr>
            <w:tcW w:w="1201" w:type="dxa"/>
            <w:tcBorders>
              <w:top w:val="single" w:color="auto" w:sz="4" w:space="0"/>
              <w:left w:val="single" w:color="auto" w:sz="4" w:space="0"/>
              <w:bottom w:val="single" w:color="auto" w:sz="4" w:space="0"/>
              <w:right w:val="single" w:color="auto" w:sz="4" w:space="0"/>
            </w:tcBorders>
            <w:vAlign w:val="center"/>
          </w:tcPr>
          <w:p w14:paraId="086D2243">
            <w:pPr>
              <w:spacing w:line="360" w:lineRule="auto"/>
              <w:jc w:val="center"/>
              <w:rPr>
                <w:rFonts w:hint="eastAsia" w:ascii="宋体" w:hAnsi="宋体" w:cs="宋体"/>
                <w:b/>
                <w:bCs/>
                <w:szCs w:val="21"/>
              </w:rPr>
            </w:pPr>
            <w:r>
              <w:rPr>
                <w:rFonts w:hint="eastAsia" w:ascii="宋体" w:hAnsi="宋体" w:cs="宋体"/>
                <w:b/>
                <w:bCs/>
                <w:szCs w:val="21"/>
              </w:rPr>
              <w:t>制造商</w:t>
            </w:r>
          </w:p>
        </w:tc>
        <w:tc>
          <w:tcPr>
            <w:tcW w:w="1096" w:type="dxa"/>
            <w:tcBorders>
              <w:top w:val="single" w:color="auto" w:sz="4" w:space="0"/>
              <w:left w:val="single" w:color="auto" w:sz="4" w:space="0"/>
              <w:bottom w:val="single" w:color="auto" w:sz="4" w:space="0"/>
              <w:right w:val="single" w:color="auto" w:sz="4" w:space="0"/>
            </w:tcBorders>
            <w:vAlign w:val="center"/>
          </w:tcPr>
          <w:p w14:paraId="4D3007F6">
            <w:pPr>
              <w:spacing w:line="360" w:lineRule="auto"/>
              <w:jc w:val="center"/>
              <w:rPr>
                <w:rFonts w:hint="eastAsia" w:ascii="宋体" w:hAnsi="宋体" w:cs="宋体"/>
                <w:b/>
                <w:bCs/>
                <w:szCs w:val="21"/>
              </w:rPr>
            </w:pPr>
            <w:r>
              <w:rPr>
                <w:rFonts w:hint="eastAsia" w:ascii="宋体" w:hAnsi="宋体" w:cs="宋体"/>
                <w:b/>
                <w:bCs/>
                <w:szCs w:val="21"/>
              </w:rPr>
              <w:t>原产地</w:t>
            </w:r>
          </w:p>
        </w:tc>
        <w:tc>
          <w:tcPr>
            <w:tcW w:w="1096" w:type="dxa"/>
            <w:tcBorders>
              <w:top w:val="single" w:color="auto" w:sz="4" w:space="0"/>
              <w:left w:val="single" w:color="auto" w:sz="4" w:space="0"/>
              <w:bottom w:val="single" w:color="auto" w:sz="4" w:space="0"/>
              <w:right w:val="single" w:color="auto" w:sz="4" w:space="0"/>
            </w:tcBorders>
            <w:vAlign w:val="center"/>
          </w:tcPr>
          <w:p w14:paraId="797AD49C">
            <w:pPr>
              <w:spacing w:line="360" w:lineRule="auto"/>
              <w:jc w:val="center"/>
              <w:rPr>
                <w:rFonts w:hint="eastAsia" w:ascii="宋体" w:hAnsi="宋体" w:cs="宋体"/>
                <w:b/>
                <w:bCs/>
                <w:szCs w:val="21"/>
              </w:rPr>
            </w:pPr>
            <w:r>
              <w:rPr>
                <w:rFonts w:hint="eastAsia" w:ascii="宋体" w:hAnsi="宋体" w:cs="宋体"/>
                <w:b/>
                <w:bCs/>
                <w:szCs w:val="21"/>
              </w:rPr>
              <w:t>参数性能、指标及配置</w:t>
            </w:r>
          </w:p>
        </w:tc>
        <w:tc>
          <w:tcPr>
            <w:tcW w:w="780" w:type="dxa"/>
            <w:tcBorders>
              <w:top w:val="single" w:color="auto" w:sz="4" w:space="0"/>
              <w:left w:val="single" w:color="auto" w:sz="4" w:space="0"/>
              <w:bottom w:val="single" w:color="auto" w:sz="4" w:space="0"/>
              <w:right w:val="single" w:color="auto" w:sz="4" w:space="0"/>
            </w:tcBorders>
            <w:vAlign w:val="center"/>
          </w:tcPr>
          <w:p w14:paraId="64E8BA46">
            <w:pPr>
              <w:spacing w:line="360" w:lineRule="auto"/>
              <w:jc w:val="center"/>
              <w:rPr>
                <w:rFonts w:hint="eastAsia" w:ascii="宋体" w:hAnsi="宋体" w:cs="宋体"/>
                <w:b/>
                <w:bCs/>
                <w:szCs w:val="21"/>
              </w:rPr>
            </w:pPr>
            <w:r>
              <w:rPr>
                <w:rFonts w:hint="eastAsia" w:ascii="宋体" w:hAnsi="宋体" w:cs="宋体"/>
                <w:b/>
                <w:bCs/>
                <w:szCs w:val="21"/>
              </w:rPr>
              <w:t>单价</w:t>
            </w:r>
          </w:p>
          <w:p w14:paraId="1A210E97">
            <w:pPr>
              <w:spacing w:line="360" w:lineRule="auto"/>
              <w:jc w:val="center"/>
              <w:rPr>
                <w:rFonts w:hint="eastAsia" w:ascii="宋体" w:hAnsi="宋体" w:cs="宋体"/>
                <w:b/>
                <w:bCs/>
                <w:szCs w:val="21"/>
              </w:rPr>
            </w:pPr>
            <w:r>
              <w:rPr>
                <w:rFonts w:hint="eastAsia" w:ascii="宋体" w:hAnsi="宋体" w:cs="宋体"/>
                <w:b/>
                <w:bCs/>
                <w:szCs w:val="21"/>
              </w:rPr>
              <w:t>②</w:t>
            </w:r>
          </w:p>
        </w:tc>
        <w:tc>
          <w:tcPr>
            <w:tcW w:w="1726" w:type="dxa"/>
            <w:tcBorders>
              <w:top w:val="single" w:color="auto" w:sz="4" w:space="0"/>
              <w:left w:val="single" w:color="auto" w:sz="4" w:space="0"/>
              <w:bottom w:val="single" w:color="auto" w:sz="4" w:space="0"/>
              <w:right w:val="single" w:color="auto" w:sz="4" w:space="0"/>
            </w:tcBorders>
            <w:vAlign w:val="center"/>
          </w:tcPr>
          <w:p w14:paraId="6E88A467">
            <w:pPr>
              <w:spacing w:line="360" w:lineRule="auto"/>
              <w:jc w:val="center"/>
              <w:rPr>
                <w:rFonts w:hint="eastAsia" w:ascii="宋体" w:hAnsi="宋体" w:cs="宋体"/>
                <w:b/>
                <w:bCs/>
                <w:szCs w:val="21"/>
              </w:rPr>
            </w:pPr>
            <w:r>
              <w:rPr>
                <w:rFonts w:hint="eastAsia" w:ascii="宋体" w:hAnsi="宋体" w:cs="宋体"/>
                <w:b/>
                <w:bCs/>
                <w:szCs w:val="21"/>
              </w:rPr>
              <w:t>竞标报价</w:t>
            </w:r>
          </w:p>
          <w:p w14:paraId="45CB939C">
            <w:pPr>
              <w:spacing w:line="360" w:lineRule="auto"/>
              <w:jc w:val="center"/>
              <w:rPr>
                <w:rFonts w:hint="eastAsia" w:ascii="宋体" w:hAnsi="宋体" w:cs="宋体"/>
                <w:b/>
                <w:bCs/>
                <w:szCs w:val="21"/>
              </w:rPr>
            </w:pPr>
            <w:r>
              <w:rPr>
                <w:rFonts w:hint="eastAsia" w:ascii="宋体" w:hAnsi="宋体" w:cs="宋体"/>
                <w:b/>
                <w:bCs/>
                <w:szCs w:val="21"/>
              </w:rPr>
              <w:t>③=①×②</w:t>
            </w:r>
          </w:p>
        </w:tc>
      </w:tr>
      <w:tr w14:paraId="5C78D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47D1617C">
            <w:pPr>
              <w:spacing w:line="360" w:lineRule="auto"/>
              <w:jc w:val="center"/>
              <w:rPr>
                <w:rFonts w:hint="eastAsia" w:ascii="宋体" w:hAnsi="宋体" w:cs="宋体"/>
                <w:szCs w:val="21"/>
              </w:rPr>
            </w:pPr>
            <w:r>
              <w:rPr>
                <w:rFonts w:hint="eastAsia" w:ascii="宋体" w:hAnsi="宋体" w:cs="宋体"/>
                <w:szCs w:val="21"/>
              </w:rPr>
              <w:t>1</w:t>
            </w:r>
          </w:p>
        </w:tc>
        <w:tc>
          <w:tcPr>
            <w:tcW w:w="1066" w:type="dxa"/>
            <w:tcBorders>
              <w:top w:val="single" w:color="auto" w:sz="4" w:space="0"/>
              <w:left w:val="single" w:color="auto" w:sz="4" w:space="0"/>
              <w:bottom w:val="single" w:color="auto" w:sz="4" w:space="0"/>
              <w:right w:val="single" w:color="auto" w:sz="4" w:space="0"/>
            </w:tcBorders>
            <w:vAlign w:val="center"/>
          </w:tcPr>
          <w:p w14:paraId="56FE742B">
            <w:pPr>
              <w:spacing w:line="360" w:lineRule="auto"/>
              <w:jc w:val="center"/>
              <w:rPr>
                <w:rFonts w:hint="eastAsia" w:ascii="宋体" w:hAnsi="宋体" w:cs="宋体"/>
                <w:szCs w:val="21"/>
              </w:rPr>
            </w:pPr>
          </w:p>
        </w:tc>
        <w:tc>
          <w:tcPr>
            <w:tcW w:w="1005" w:type="dxa"/>
            <w:tcBorders>
              <w:top w:val="single" w:color="auto" w:sz="4" w:space="0"/>
              <w:left w:val="single" w:color="auto" w:sz="4" w:space="0"/>
              <w:bottom w:val="single" w:color="auto" w:sz="4" w:space="0"/>
              <w:right w:val="single" w:color="auto" w:sz="4" w:space="0"/>
            </w:tcBorders>
            <w:vAlign w:val="center"/>
          </w:tcPr>
          <w:p w14:paraId="02070A84">
            <w:pPr>
              <w:spacing w:line="360" w:lineRule="auto"/>
              <w:jc w:val="center"/>
              <w:rPr>
                <w:rFonts w:hint="eastAsia" w:ascii="宋体" w:hAnsi="宋体" w:cs="宋体"/>
                <w:szCs w:val="21"/>
              </w:rPr>
            </w:pPr>
          </w:p>
        </w:tc>
        <w:tc>
          <w:tcPr>
            <w:tcW w:w="870" w:type="dxa"/>
            <w:tcBorders>
              <w:top w:val="single" w:color="auto" w:sz="4" w:space="0"/>
              <w:left w:val="single" w:color="auto" w:sz="4" w:space="0"/>
              <w:bottom w:val="single" w:color="auto" w:sz="4" w:space="0"/>
              <w:right w:val="single" w:color="auto" w:sz="4" w:space="0"/>
            </w:tcBorders>
            <w:vAlign w:val="center"/>
          </w:tcPr>
          <w:p w14:paraId="21A6CC9D">
            <w:pPr>
              <w:spacing w:line="360" w:lineRule="auto"/>
              <w:jc w:val="center"/>
              <w:rPr>
                <w:rFonts w:hint="eastAsia" w:ascii="宋体" w:hAnsi="宋体" w:cs="宋体"/>
                <w:szCs w:val="21"/>
              </w:rPr>
            </w:pPr>
          </w:p>
        </w:tc>
        <w:tc>
          <w:tcPr>
            <w:tcW w:w="1066" w:type="dxa"/>
            <w:tcBorders>
              <w:top w:val="single" w:color="auto" w:sz="4" w:space="0"/>
              <w:left w:val="single" w:color="auto" w:sz="4" w:space="0"/>
              <w:bottom w:val="single" w:color="auto" w:sz="4" w:space="0"/>
              <w:right w:val="single" w:color="auto" w:sz="4" w:space="0"/>
            </w:tcBorders>
            <w:vAlign w:val="center"/>
          </w:tcPr>
          <w:p w14:paraId="37102566">
            <w:pPr>
              <w:spacing w:line="360" w:lineRule="auto"/>
              <w:jc w:val="center"/>
              <w:rPr>
                <w:rFonts w:hint="eastAsia" w:ascii="宋体" w:hAnsi="宋体" w:cs="宋体"/>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6D22E800">
            <w:pPr>
              <w:spacing w:line="360" w:lineRule="auto"/>
              <w:jc w:val="center"/>
              <w:rPr>
                <w:rFonts w:hint="eastAsia" w:ascii="宋体" w:hAnsi="宋体" w:cs="宋体"/>
                <w:szCs w:val="21"/>
              </w:rPr>
            </w:pPr>
          </w:p>
        </w:tc>
        <w:tc>
          <w:tcPr>
            <w:tcW w:w="1096" w:type="dxa"/>
            <w:tcBorders>
              <w:top w:val="single" w:color="auto" w:sz="4" w:space="0"/>
              <w:left w:val="single" w:color="auto" w:sz="4" w:space="0"/>
              <w:bottom w:val="single" w:color="auto" w:sz="4" w:space="0"/>
              <w:right w:val="single" w:color="auto" w:sz="4" w:space="0"/>
            </w:tcBorders>
          </w:tcPr>
          <w:p w14:paraId="71A7AAC0">
            <w:pPr>
              <w:spacing w:line="360" w:lineRule="auto"/>
              <w:jc w:val="center"/>
              <w:rPr>
                <w:rFonts w:hint="eastAsia" w:ascii="宋体" w:hAnsi="宋体" w:cs="宋体"/>
                <w:szCs w:val="21"/>
              </w:rPr>
            </w:pPr>
          </w:p>
        </w:tc>
        <w:tc>
          <w:tcPr>
            <w:tcW w:w="1096" w:type="dxa"/>
            <w:tcBorders>
              <w:top w:val="single" w:color="auto" w:sz="4" w:space="0"/>
              <w:left w:val="single" w:color="auto" w:sz="4" w:space="0"/>
              <w:bottom w:val="single" w:color="auto" w:sz="4" w:space="0"/>
              <w:right w:val="single" w:color="auto" w:sz="4" w:space="0"/>
            </w:tcBorders>
            <w:vAlign w:val="center"/>
          </w:tcPr>
          <w:p w14:paraId="220C7D9E">
            <w:pPr>
              <w:spacing w:line="360" w:lineRule="auto"/>
              <w:jc w:val="center"/>
              <w:rPr>
                <w:rFonts w:hint="eastAsia" w:ascii="宋体" w:hAnsi="宋体" w:cs="宋体"/>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37670873">
            <w:pPr>
              <w:spacing w:line="360" w:lineRule="auto"/>
              <w:jc w:val="center"/>
              <w:rPr>
                <w:rFonts w:hint="eastAsia" w:ascii="宋体" w:hAnsi="宋体" w:cs="宋体"/>
                <w:szCs w:val="21"/>
              </w:rPr>
            </w:pPr>
          </w:p>
        </w:tc>
        <w:tc>
          <w:tcPr>
            <w:tcW w:w="1726" w:type="dxa"/>
            <w:tcBorders>
              <w:top w:val="single" w:color="auto" w:sz="4" w:space="0"/>
              <w:left w:val="single" w:color="auto" w:sz="4" w:space="0"/>
              <w:bottom w:val="single" w:color="auto" w:sz="4" w:space="0"/>
              <w:right w:val="single" w:color="auto" w:sz="4" w:space="0"/>
            </w:tcBorders>
            <w:vAlign w:val="center"/>
          </w:tcPr>
          <w:p w14:paraId="0ECAE20F">
            <w:pPr>
              <w:spacing w:line="360" w:lineRule="auto"/>
              <w:jc w:val="center"/>
              <w:rPr>
                <w:rFonts w:hint="eastAsia" w:ascii="宋体" w:hAnsi="宋体" w:cs="宋体"/>
                <w:szCs w:val="21"/>
              </w:rPr>
            </w:pPr>
          </w:p>
        </w:tc>
      </w:tr>
      <w:tr w14:paraId="5D568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2F68A4DE">
            <w:pPr>
              <w:spacing w:line="360" w:lineRule="auto"/>
              <w:jc w:val="center"/>
              <w:rPr>
                <w:rFonts w:hint="eastAsia" w:ascii="宋体" w:hAnsi="宋体" w:cs="宋体"/>
                <w:szCs w:val="21"/>
              </w:rPr>
            </w:pPr>
            <w:r>
              <w:rPr>
                <w:rFonts w:hint="eastAsia" w:ascii="宋体" w:hAnsi="宋体" w:cs="宋体"/>
                <w:szCs w:val="21"/>
              </w:rPr>
              <w:t>2</w:t>
            </w:r>
          </w:p>
        </w:tc>
        <w:tc>
          <w:tcPr>
            <w:tcW w:w="1066" w:type="dxa"/>
            <w:tcBorders>
              <w:top w:val="single" w:color="auto" w:sz="4" w:space="0"/>
              <w:left w:val="single" w:color="auto" w:sz="4" w:space="0"/>
              <w:bottom w:val="single" w:color="auto" w:sz="4" w:space="0"/>
              <w:right w:val="single" w:color="auto" w:sz="4" w:space="0"/>
            </w:tcBorders>
            <w:vAlign w:val="center"/>
          </w:tcPr>
          <w:p w14:paraId="79CDEDA0">
            <w:pPr>
              <w:spacing w:line="360" w:lineRule="auto"/>
              <w:jc w:val="center"/>
              <w:rPr>
                <w:rFonts w:hint="eastAsia" w:ascii="宋体" w:hAnsi="宋体" w:cs="宋体"/>
                <w:szCs w:val="21"/>
              </w:rPr>
            </w:pPr>
          </w:p>
        </w:tc>
        <w:tc>
          <w:tcPr>
            <w:tcW w:w="1005" w:type="dxa"/>
            <w:tcBorders>
              <w:top w:val="single" w:color="auto" w:sz="4" w:space="0"/>
              <w:left w:val="single" w:color="auto" w:sz="4" w:space="0"/>
              <w:bottom w:val="single" w:color="auto" w:sz="4" w:space="0"/>
              <w:right w:val="single" w:color="auto" w:sz="4" w:space="0"/>
            </w:tcBorders>
            <w:vAlign w:val="center"/>
          </w:tcPr>
          <w:p w14:paraId="0946A70C">
            <w:pPr>
              <w:spacing w:line="360" w:lineRule="auto"/>
              <w:jc w:val="center"/>
              <w:rPr>
                <w:rFonts w:hint="eastAsia" w:ascii="宋体" w:hAnsi="宋体" w:cs="宋体"/>
                <w:szCs w:val="21"/>
              </w:rPr>
            </w:pPr>
          </w:p>
        </w:tc>
        <w:tc>
          <w:tcPr>
            <w:tcW w:w="870" w:type="dxa"/>
            <w:tcBorders>
              <w:top w:val="single" w:color="auto" w:sz="4" w:space="0"/>
              <w:left w:val="single" w:color="auto" w:sz="4" w:space="0"/>
              <w:bottom w:val="single" w:color="auto" w:sz="4" w:space="0"/>
              <w:right w:val="single" w:color="auto" w:sz="4" w:space="0"/>
            </w:tcBorders>
            <w:vAlign w:val="center"/>
          </w:tcPr>
          <w:p w14:paraId="45F601E3">
            <w:pPr>
              <w:spacing w:line="360" w:lineRule="auto"/>
              <w:jc w:val="center"/>
              <w:rPr>
                <w:rFonts w:hint="eastAsia" w:ascii="宋体" w:hAnsi="宋体" w:cs="宋体"/>
                <w:szCs w:val="21"/>
              </w:rPr>
            </w:pPr>
          </w:p>
        </w:tc>
        <w:tc>
          <w:tcPr>
            <w:tcW w:w="1066" w:type="dxa"/>
            <w:tcBorders>
              <w:top w:val="single" w:color="auto" w:sz="4" w:space="0"/>
              <w:left w:val="single" w:color="auto" w:sz="4" w:space="0"/>
              <w:bottom w:val="single" w:color="auto" w:sz="4" w:space="0"/>
              <w:right w:val="single" w:color="auto" w:sz="4" w:space="0"/>
            </w:tcBorders>
            <w:vAlign w:val="center"/>
          </w:tcPr>
          <w:p w14:paraId="5724DCD7">
            <w:pPr>
              <w:spacing w:line="360" w:lineRule="auto"/>
              <w:jc w:val="center"/>
              <w:rPr>
                <w:rFonts w:hint="eastAsia" w:ascii="宋体" w:hAnsi="宋体" w:cs="宋体"/>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7415E9F7">
            <w:pPr>
              <w:spacing w:line="360" w:lineRule="auto"/>
              <w:jc w:val="center"/>
              <w:rPr>
                <w:rFonts w:hint="eastAsia" w:ascii="宋体" w:hAnsi="宋体" w:cs="宋体"/>
                <w:szCs w:val="21"/>
              </w:rPr>
            </w:pPr>
          </w:p>
        </w:tc>
        <w:tc>
          <w:tcPr>
            <w:tcW w:w="1096" w:type="dxa"/>
            <w:tcBorders>
              <w:top w:val="single" w:color="auto" w:sz="4" w:space="0"/>
              <w:left w:val="single" w:color="auto" w:sz="4" w:space="0"/>
              <w:bottom w:val="single" w:color="auto" w:sz="4" w:space="0"/>
              <w:right w:val="single" w:color="auto" w:sz="4" w:space="0"/>
            </w:tcBorders>
          </w:tcPr>
          <w:p w14:paraId="217CC13F">
            <w:pPr>
              <w:spacing w:line="360" w:lineRule="auto"/>
              <w:jc w:val="center"/>
              <w:rPr>
                <w:rFonts w:hint="eastAsia" w:ascii="宋体" w:hAnsi="宋体" w:cs="宋体"/>
                <w:szCs w:val="21"/>
              </w:rPr>
            </w:pPr>
          </w:p>
        </w:tc>
        <w:tc>
          <w:tcPr>
            <w:tcW w:w="1096" w:type="dxa"/>
            <w:tcBorders>
              <w:top w:val="single" w:color="auto" w:sz="4" w:space="0"/>
              <w:left w:val="single" w:color="auto" w:sz="4" w:space="0"/>
              <w:bottom w:val="single" w:color="auto" w:sz="4" w:space="0"/>
              <w:right w:val="single" w:color="auto" w:sz="4" w:space="0"/>
            </w:tcBorders>
            <w:vAlign w:val="center"/>
          </w:tcPr>
          <w:p w14:paraId="246C0054">
            <w:pPr>
              <w:spacing w:line="360" w:lineRule="auto"/>
              <w:jc w:val="center"/>
              <w:rPr>
                <w:rFonts w:hint="eastAsia" w:ascii="宋体" w:hAnsi="宋体" w:cs="宋体"/>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31F2C534">
            <w:pPr>
              <w:spacing w:line="360" w:lineRule="auto"/>
              <w:jc w:val="center"/>
              <w:rPr>
                <w:rFonts w:hint="eastAsia" w:ascii="宋体" w:hAnsi="宋体" w:cs="宋体"/>
                <w:szCs w:val="21"/>
              </w:rPr>
            </w:pPr>
          </w:p>
        </w:tc>
        <w:tc>
          <w:tcPr>
            <w:tcW w:w="1726" w:type="dxa"/>
            <w:tcBorders>
              <w:top w:val="single" w:color="auto" w:sz="4" w:space="0"/>
              <w:left w:val="single" w:color="auto" w:sz="4" w:space="0"/>
              <w:bottom w:val="single" w:color="auto" w:sz="4" w:space="0"/>
              <w:right w:val="single" w:color="auto" w:sz="4" w:space="0"/>
            </w:tcBorders>
            <w:vAlign w:val="center"/>
          </w:tcPr>
          <w:p w14:paraId="7CD84107">
            <w:pPr>
              <w:spacing w:line="360" w:lineRule="auto"/>
              <w:jc w:val="center"/>
              <w:rPr>
                <w:rFonts w:hint="eastAsia" w:ascii="宋体" w:hAnsi="宋体" w:cs="宋体"/>
                <w:szCs w:val="21"/>
              </w:rPr>
            </w:pPr>
          </w:p>
        </w:tc>
      </w:tr>
      <w:tr w14:paraId="4DD818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056FF7BB">
            <w:pPr>
              <w:spacing w:line="360" w:lineRule="auto"/>
              <w:jc w:val="center"/>
              <w:rPr>
                <w:rFonts w:hint="eastAsia" w:ascii="宋体" w:hAnsi="宋体" w:cs="宋体"/>
                <w:szCs w:val="21"/>
              </w:rPr>
            </w:pPr>
            <w:r>
              <w:rPr>
                <w:rFonts w:hint="eastAsia" w:ascii="宋体" w:hAnsi="宋体" w:cs="宋体"/>
                <w:szCs w:val="21"/>
              </w:rPr>
              <w:t>…</w:t>
            </w:r>
          </w:p>
        </w:tc>
        <w:tc>
          <w:tcPr>
            <w:tcW w:w="1066" w:type="dxa"/>
            <w:tcBorders>
              <w:top w:val="single" w:color="auto" w:sz="4" w:space="0"/>
              <w:left w:val="single" w:color="auto" w:sz="4" w:space="0"/>
              <w:bottom w:val="single" w:color="auto" w:sz="4" w:space="0"/>
              <w:right w:val="single" w:color="auto" w:sz="4" w:space="0"/>
            </w:tcBorders>
            <w:vAlign w:val="center"/>
          </w:tcPr>
          <w:p w14:paraId="3AD437A4">
            <w:pPr>
              <w:spacing w:line="360" w:lineRule="auto"/>
              <w:jc w:val="center"/>
              <w:rPr>
                <w:rFonts w:hint="eastAsia" w:ascii="宋体" w:hAnsi="宋体" w:cs="宋体"/>
                <w:szCs w:val="21"/>
              </w:rPr>
            </w:pPr>
            <w:r>
              <w:rPr>
                <w:rFonts w:hint="eastAsia" w:ascii="宋体" w:hAnsi="宋体" w:cs="宋体"/>
                <w:szCs w:val="21"/>
              </w:rPr>
              <w:t>……</w:t>
            </w:r>
          </w:p>
        </w:tc>
        <w:tc>
          <w:tcPr>
            <w:tcW w:w="1005" w:type="dxa"/>
            <w:tcBorders>
              <w:top w:val="single" w:color="auto" w:sz="4" w:space="0"/>
              <w:left w:val="single" w:color="auto" w:sz="4" w:space="0"/>
              <w:bottom w:val="single" w:color="auto" w:sz="4" w:space="0"/>
              <w:right w:val="single" w:color="auto" w:sz="4" w:space="0"/>
            </w:tcBorders>
            <w:vAlign w:val="center"/>
          </w:tcPr>
          <w:p w14:paraId="102DEB24">
            <w:pPr>
              <w:spacing w:line="360" w:lineRule="auto"/>
              <w:jc w:val="center"/>
              <w:rPr>
                <w:rFonts w:hint="eastAsia" w:ascii="宋体" w:hAnsi="宋体" w:cs="宋体"/>
                <w:szCs w:val="21"/>
              </w:rPr>
            </w:pPr>
          </w:p>
        </w:tc>
        <w:tc>
          <w:tcPr>
            <w:tcW w:w="870" w:type="dxa"/>
            <w:tcBorders>
              <w:top w:val="single" w:color="auto" w:sz="4" w:space="0"/>
              <w:left w:val="single" w:color="auto" w:sz="4" w:space="0"/>
              <w:bottom w:val="single" w:color="auto" w:sz="4" w:space="0"/>
              <w:right w:val="single" w:color="auto" w:sz="4" w:space="0"/>
            </w:tcBorders>
            <w:vAlign w:val="center"/>
          </w:tcPr>
          <w:p w14:paraId="6949D781">
            <w:pPr>
              <w:spacing w:line="360" w:lineRule="auto"/>
              <w:jc w:val="center"/>
              <w:rPr>
                <w:rFonts w:hint="eastAsia" w:ascii="宋体" w:hAnsi="宋体" w:cs="宋体"/>
                <w:szCs w:val="21"/>
              </w:rPr>
            </w:pPr>
          </w:p>
        </w:tc>
        <w:tc>
          <w:tcPr>
            <w:tcW w:w="1066" w:type="dxa"/>
            <w:tcBorders>
              <w:top w:val="single" w:color="auto" w:sz="4" w:space="0"/>
              <w:left w:val="single" w:color="auto" w:sz="4" w:space="0"/>
              <w:bottom w:val="single" w:color="auto" w:sz="4" w:space="0"/>
              <w:right w:val="single" w:color="auto" w:sz="4" w:space="0"/>
            </w:tcBorders>
            <w:vAlign w:val="center"/>
          </w:tcPr>
          <w:p w14:paraId="266606E7">
            <w:pPr>
              <w:spacing w:line="360" w:lineRule="auto"/>
              <w:jc w:val="center"/>
              <w:rPr>
                <w:rFonts w:hint="eastAsia" w:ascii="宋体" w:hAnsi="宋体" w:cs="宋体"/>
                <w:szCs w:val="21"/>
              </w:rPr>
            </w:pPr>
          </w:p>
        </w:tc>
        <w:tc>
          <w:tcPr>
            <w:tcW w:w="1201" w:type="dxa"/>
            <w:tcBorders>
              <w:top w:val="single" w:color="auto" w:sz="4" w:space="0"/>
              <w:left w:val="single" w:color="auto" w:sz="4" w:space="0"/>
              <w:bottom w:val="single" w:color="auto" w:sz="4" w:space="0"/>
              <w:right w:val="single" w:color="auto" w:sz="4" w:space="0"/>
            </w:tcBorders>
            <w:vAlign w:val="center"/>
          </w:tcPr>
          <w:p w14:paraId="40DAF9E2">
            <w:pPr>
              <w:spacing w:line="360" w:lineRule="auto"/>
              <w:jc w:val="center"/>
              <w:rPr>
                <w:rFonts w:hint="eastAsia" w:ascii="宋体" w:hAnsi="宋体" w:cs="宋体"/>
                <w:szCs w:val="21"/>
              </w:rPr>
            </w:pPr>
          </w:p>
        </w:tc>
        <w:tc>
          <w:tcPr>
            <w:tcW w:w="1096" w:type="dxa"/>
            <w:tcBorders>
              <w:top w:val="single" w:color="auto" w:sz="4" w:space="0"/>
              <w:left w:val="single" w:color="auto" w:sz="4" w:space="0"/>
              <w:bottom w:val="single" w:color="auto" w:sz="4" w:space="0"/>
              <w:right w:val="single" w:color="auto" w:sz="4" w:space="0"/>
            </w:tcBorders>
          </w:tcPr>
          <w:p w14:paraId="12502A5D">
            <w:pPr>
              <w:spacing w:line="360" w:lineRule="auto"/>
              <w:jc w:val="center"/>
              <w:rPr>
                <w:rFonts w:hint="eastAsia" w:ascii="宋体" w:hAnsi="宋体" w:cs="宋体"/>
                <w:szCs w:val="21"/>
              </w:rPr>
            </w:pPr>
          </w:p>
        </w:tc>
        <w:tc>
          <w:tcPr>
            <w:tcW w:w="1096" w:type="dxa"/>
            <w:tcBorders>
              <w:top w:val="single" w:color="auto" w:sz="4" w:space="0"/>
              <w:left w:val="single" w:color="auto" w:sz="4" w:space="0"/>
              <w:bottom w:val="single" w:color="auto" w:sz="4" w:space="0"/>
              <w:right w:val="single" w:color="auto" w:sz="4" w:space="0"/>
            </w:tcBorders>
            <w:vAlign w:val="center"/>
          </w:tcPr>
          <w:p w14:paraId="67AA89D4">
            <w:pPr>
              <w:spacing w:line="360" w:lineRule="auto"/>
              <w:jc w:val="center"/>
              <w:rPr>
                <w:rFonts w:hint="eastAsia" w:ascii="宋体" w:hAnsi="宋体" w:cs="宋体"/>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41B4CD51">
            <w:pPr>
              <w:spacing w:line="360" w:lineRule="auto"/>
              <w:jc w:val="center"/>
              <w:rPr>
                <w:rFonts w:hint="eastAsia" w:ascii="宋体" w:hAnsi="宋体" w:cs="宋体"/>
                <w:szCs w:val="21"/>
              </w:rPr>
            </w:pPr>
          </w:p>
        </w:tc>
        <w:tc>
          <w:tcPr>
            <w:tcW w:w="1726" w:type="dxa"/>
            <w:tcBorders>
              <w:top w:val="single" w:color="auto" w:sz="4" w:space="0"/>
              <w:left w:val="single" w:color="auto" w:sz="4" w:space="0"/>
              <w:bottom w:val="single" w:color="auto" w:sz="4" w:space="0"/>
              <w:right w:val="single" w:color="auto" w:sz="4" w:space="0"/>
            </w:tcBorders>
            <w:vAlign w:val="center"/>
          </w:tcPr>
          <w:p w14:paraId="254CC1E8">
            <w:pPr>
              <w:spacing w:line="360" w:lineRule="auto"/>
              <w:jc w:val="center"/>
              <w:rPr>
                <w:rFonts w:hint="eastAsia" w:ascii="宋体" w:hAnsi="宋体" w:cs="宋体"/>
                <w:szCs w:val="21"/>
              </w:rPr>
            </w:pPr>
          </w:p>
        </w:tc>
      </w:tr>
      <w:tr w14:paraId="091B8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3" w:hRule="atLeast"/>
          <w:jc w:val="center"/>
        </w:trPr>
        <w:tc>
          <w:tcPr>
            <w:tcW w:w="10512" w:type="dxa"/>
            <w:gridSpan w:val="10"/>
            <w:tcBorders>
              <w:top w:val="single" w:color="auto" w:sz="4" w:space="0"/>
              <w:left w:val="single" w:color="auto" w:sz="4" w:space="0"/>
              <w:bottom w:val="single" w:color="auto" w:sz="4" w:space="0"/>
              <w:right w:val="single" w:color="auto" w:sz="4" w:space="0"/>
            </w:tcBorders>
          </w:tcPr>
          <w:p w14:paraId="6FE67654">
            <w:pPr>
              <w:snapToGrid w:val="0"/>
              <w:spacing w:before="50" w:after="50" w:line="360" w:lineRule="auto"/>
              <w:rPr>
                <w:rFonts w:hint="eastAsia" w:ascii="宋体" w:hAnsi="宋体" w:cs="宋体"/>
                <w:szCs w:val="21"/>
              </w:rPr>
            </w:pPr>
            <w:r>
              <w:rPr>
                <w:rFonts w:hint="eastAsia" w:ascii="宋体" w:hAnsi="宋体" w:cs="宋体"/>
                <w:szCs w:val="21"/>
              </w:rPr>
              <w:t>合计金额大写：人民币</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w:t>
            </w:r>
          </w:p>
          <w:p w14:paraId="3E184A42">
            <w:pPr>
              <w:snapToGrid w:val="0"/>
              <w:spacing w:before="50" w:after="50" w:line="360" w:lineRule="auto"/>
              <w:rPr>
                <w:rFonts w:hint="eastAsia" w:ascii="宋体" w:hAnsi="宋体" w:cs="宋体"/>
                <w:szCs w:val="21"/>
                <w:u w:val="single"/>
              </w:rPr>
            </w:pPr>
            <w:r>
              <w:rPr>
                <w:rFonts w:hint="eastAsia" w:ascii="宋体" w:hAnsi="宋体" w:cs="宋体"/>
                <w:szCs w:val="21"/>
                <w:u w:val="single"/>
              </w:rPr>
              <w:t>竞标货物中，属于优先采购节能产品总值为￥       （具体明细详见附表，附表格式自拟），占本竞标报价的比例为    %；属于优先采购环境标志产品总值为￥          （具体明细详见附表，附表格式自拟），占本竞标报价的比例为   %。</w:t>
            </w:r>
          </w:p>
        </w:tc>
      </w:tr>
    </w:tbl>
    <w:p w14:paraId="4FCF2877">
      <w:pPr>
        <w:spacing w:line="360" w:lineRule="auto"/>
        <w:jc w:val="left"/>
        <w:rPr>
          <w:rFonts w:hint="eastAsia" w:ascii="宋体" w:hAnsi="宋体" w:cs="宋体"/>
          <w:szCs w:val="21"/>
        </w:rPr>
      </w:pPr>
      <w:r>
        <w:rPr>
          <w:rFonts w:hint="eastAsia" w:ascii="宋体" w:hAnsi="宋体" w:cs="宋体"/>
          <w:szCs w:val="21"/>
        </w:rPr>
        <w:t xml:space="preserve">注: </w:t>
      </w:r>
    </w:p>
    <w:p w14:paraId="7FDC73EC">
      <w:pPr>
        <w:numPr>
          <w:ilvl w:val="0"/>
          <w:numId w:val="1"/>
        </w:numPr>
        <w:spacing w:line="360" w:lineRule="auto"/>
        <w:ind w:firstLine="420" w:firstLineChars="200"/>
        <w:jc w:val="left"/>
        <w:rPr>
          <w:rFonts w:hint="eastAsia" w:ascii="宋体" w:hAnsi="宋体" w:cs="宋体"/>
          <w:szCs w:val="21"/>
        </w:rPr>
      </w:pPr>
      <w:r>
        <w:rPr>
          <w:rFonts w:hint="eastAsia" w:ascii="宋体" w:hAnsi="宋体" w:cs="宋体"/>
          <w:szCs w:val="21"/>
        </w:rPr>
        <w:t>以上竞标报价表中“标的名称、数量及单位、品牌、规格型号、制造商、原产地、参数性能、指标及配置”必须如实填写完整。</w:t>
      </w:r>
      <w:r>
        <w:rPr>
          <w:rFonts w:hint="eastAsia" w:ascii="宋体" w:hAnsi="宋体" w:cs="宋体"/>
          <w:b/>
          <w:bCs/>
          <w:szCs w:val="21"/>
        </w:rPr>
        <w:t>除“施工、辅材及集成服务、定制产品等”外，其他标的的品牌、型号、制造商等必须填写具体，不能简单填写国产、定制等</w:t>
      </w:r>
      <w:r>
        <w:rPr>
          <w:rFonts w:hint="eastAsia" w:ascii="宋体" w:hAnsi="宋体" w:cs="宋体"/>
          <w:szCs w:val="21"/>
        </w:rPr>
        <w:t>，品牌、规格型号没有则填无，填写有缺漏的，其响应文件按无效处理。</w:t>
      </w:r>
    </w:p>
    <w:p w14:paraId="02C2552D">
      <w:pPr>
        <w:spacing w:line="360" w:lineRule="auto"/>
        <w:ind w:firstLine="420" w:firstLineChars="200"/>
        <w:jc w:val="left"/>
        <w:rPr>
          <w:rFonts w:hint="eastAsia" w:ascii="宋体" w:hAnsi="宋体" w:cs="宋体"/>
          <w:szCs w:val="21"/>
        </w:rPr>
      </w:pPr>
      <w:r>
        <w:rPr>
          <w:rFonts w:hint="eastAsia" w:ascii="宋体" w:hAnsi="宋体" w:cs="宋体"/>
          <w:szCs w:val="21"/>
        </w:rPr>
        <w:t>2.供应商的报价表必须加盖供应商电子签章并由法定代表人或者委托代理人签字或者电子签名，</w:t>
      </w:r>
      <w:r>
        <w:rPr>
          <w:rFonts w:hint="eastAsia" w:ascii="宋体" w:hAnsi="宋体" w:cs="宋体"/>
          <w:b/>
          <w:szCs w:val="21"/>
        </w:rPr>
        <w:t>否则其响应文件按无效处理</w:t>
      </w:r>
      <w:r>
        <w:rPr>
          <w:rFonts w:hint="eastAsia" w:ascii="宋体" w:hAnsi="宋体" w:cs="宋体"/>
          <w:szCs w:val="21"/>
        </w:rPr>
        <w:t>。</w:t>
      </w:r>
    </w:p>
    <w:p w14:paraId="6281CCF1">
      <w:pPr>
        <w:spacing w:line="360" w:lineRule="auto"/>
        <w:ind w:firstLine="420" w:firstLineChars="200"/>
        <w:jc w:val="left"/>
        <w:rPr>
          <w:rFonts w:hint="eastAsia" w:ascii="宋体" w:hAnsi="宋体" w:cs="宋体"/>
          <w:b/>
          <w:szCs w:val="21"/>
        </w:rPr>
      </w:pPr>
      <w:r>
        <w:rPr>
          <w:rFonts w:hint="eastAsia" w:ascii="宋体" w:hAnsi="宋体" w:cs="宋体"/>
          <w:bCs/>
          <w:szCs w:val="21"/>
        </w:rPr>
        <w:t>3.</w:t>
      </w:r>
      <w:r>
        <w:rPr>
          <w:rFonts w:hint="eastAsia" w:ascii="宋体" w:hAnsi="宋体" w:cs="宋体"/>
          <w:szCs w:val="21"/>
        </w:rPr>
        <w:t>报价一经涂改，应在涂改处加盖供应商公章或者加盖电子签章或者由法定代表人或者授权委托人签字（或者电子签名）</w:t>
      </w:r>
      <w:r>
        <w:rPr>
          <w:rFonts w:hint="eastAsia" w:ascii="宋体" w:hAnsi="宋体" w:cs="宋体"/>
          <w:b/>
          <w:szCs w:val="21"/>
        </w:rPr>
        <w:t>，否则其响应文件按无效处理。</w:t>
      </w:r>
    </w:p>
    <w:p w14:paraId="3DDF1D06">
      <w:pPr>
        <w:spacing w:line="360" w:lineRule="auto"/>
        <w:ind w:firstLine="420" w:firstLineChars="200"/>
        <w:jc w:val="left"/>
        <w:rPr>
          <w:rFonts w:hint="eastAsia" w:ascii="宋体" w:hAnsi="宋体" w:cs="宋体"/>
          <w:szCs w:val="21"/>
        </w:rPr>
      </w:pPr>
      <w:r>
        <w:rPr>
          <w:rFonts w:hint="eastAsia" w:ascii="宋体" w:hAnsi="宋体" w:cs="宋体"/>
          <w:szCs w:val="21"/>
        </w:rPr>
        <w:t>4.谈判文件中列明采购专用耗材的，应按谈判文件规定的耗材量或者按耗材的常规试用量提供报价。</w:t>
      </w:r>
    </w:p>
    <w:p w14:paraId="394794F7">
      <w:pPr>
        <w:spacing w:line="360" w:lineRule="auto"/>
        <w:ind w:firstLine="420" w:firstLineChars="200"/>
        <w:jc w:val="left"/>
        <w:rPr>
          <w:rFonts w:hint="eastAsia" w:ascii="宋体" w:hAnsi="宋体" w:cs="宋体"/>
          <w:i/>
          <w:szCs w:val="21"/>
        </w:rPr>
      </w:pPr>
      <w:r>
        <w:rPr>
          <w:rFonts w:hint="eastAsia" w:ascii="宋体" w:hAnsi="宋体" w:cs="宋体"/>
          <w:szCs w:val="21"/>
        </w:rPr>
        <w:t>5.如为联合体竞标，“供应商名称”处必须列明联合体各方名称，标注联合体牵头人名称，</w:t>
      </w:r>
      <w:r>
        <w:rPr>
          <w:rFonts w:hint="eastAsia" w:ascii="宋体" w:hAnsi="宋体" w:cs="宋体"/>
          <w:b/>
          <w:szCs w:val="21"/>
        </w:rPr>
        <w:t>否则其响应文件按无效处理。</w:t>
      </w:r>
    </w:p>
    <w:p w14:paraId="4819504D">
      <w:pPr>
        <w:spacing w:line="360" w:lineRule="auto"/>
        <w:ind w:firstLine="420" w:firstLineChars="200"/>
        <w:jc w:val="left"/>
        <w:rPr>
          <w:rFonts w:hint="eastAsia" w:ascii="宋体" w:hAnsi="宋体" w:cs="宋体"/>
          <w:szCs w:val="21"/>
        </w:rPr>
      </w:pPr>
      <w:r>
        <w:rPr>
          <w:rFonts w:hint="eastAsia" w:ascii="宋体" w:hAnsi="宋体" w:cs="宋体"/>
          <w:szCs w:val="21"/>
        </w:rPr>
        <w:t>6.如为联合体竞标，</w:t>
      </w:r>
      <w:r>
        <w:rPr>
          <w:rFonts w:hint="eastAsia" w:ascii="宋体" w:hAnsi="宋体" w:cs="宋体"/>
          <w:spacing w:val="-6"/>
          <w:szCs w:val="21"/>
        </w:rPr>
        <w:t xml:space="preserve"> 盖章处须加盖联合体牵头人电子签章</w:t>
      </w:r>
      <w:r>
        <w:rPr>
          <w:rFonts w:hint="eastAsia" w:ascii="宋体" w:hAnsi="宋体" w:cs="宋体"/>
          <w:szCs w:val="21"/>
        </w:rPr>
        <w:t>，</w:t>
      </w:r>
      <w:r>
        <w:rPr>
          <w:rFonts w:hint="eastAsia" w:ascii="宋体" w:hAnsi="宋体" w:cs="宋体"/>
          <w:b/>
          <w:szCs w:val="21"/>
        </w:rPr>
        <w:t>否则其响应文件按无效处理。</w:t>
      </w:r>
    </w:p>
    <w:p w14:paraId="2FE450D8">
      <w:pPr>
        <w:spacing w:line="360" w:lineRule="auto"/>
        <w:ind w:firstLine="420" w:firstLineChars="200"/>
        <w:rPr>
          <w:rFonts w:hint="eastAsia" w:ascii="宋体" w:hAnsi="宋体" w:cs="宋体"/>
          <w:b/>
          <w:szCs w:val="21"/>
        </w:rPr>
      </w:pPr>
      <w:r>
        <w:rPr>
          <w:rFonts w:hint="eastAsia" w:ascii="宋体" w:hAnsi="宋体" w:cs="宋体"/>
          <w:szCs w:val="21"/>
        </w:rPr>
        <w:t>7.</w:t>
      </w:r>
      <w:r>
        <w:rPr>
          <w:rFonts w:hint="eastAsia" w:ascii="宋体" w:hAnsi="宋体" w:cs="宋体"/>
          <w:spacing w:val="-6"/>
          <w:szCs w:val="21"/>
        </w:rPr>
        <w:t>如有多分标，分别列明各分标的报价表，</w:t>
      </w:r>
      <w:r>
        <w:rPr>
          <w:rFonts w:hint="eastAsia" w:ascii="宋体" w:hAnsi="宋体" w:cs="宋体"/>
          <w:b/>
          <w:spacing w:val="-6"/>
          <w:szCs w:val="21"/>
        </w:rPr>
        <w:t>否则其响应文件按无效处理。</w:t>
      </w:r>
    </w:p>
    <w:p w14:paraId="4BD4CCA5">
      <w:pPr>
        <w:spacing w:line="360" w:lineRule="auto"/>
        <w:ind w:right="-817" w:rightChars="-389" w:firstLine="2310" w:firstLineChars="1100"/>
        <w:contextualSpacing/>
        <w:rPr>
          <w:rFonts w:hint="eastAsia" w:ascii="宋体" w:hAnsi="宋体" w:cs="宋体"/>
          <w:szCs w:val="21"/>
        </w:rPr>
      </w:pPr>
      <w:r>
        <w:rPr>
          <w:rFonts w:hint="eastAsia" w:ascii="宋体" w:hAnsi="宋体" w:cs="宋体"/>
          <w:szCs w:val="21"/>
        </w:rPr>
        <w:t xml:space="preserve">法定代表人或者委托代理人（签字或者电子签名）：                    </w:t>
      </w:r>
    </w:p>
    <w:p w14:paraId="42E0522F">
      <w:pPr>
        <w:spacing w:line="360" w:lineRule="auto"/>
        <w:ind w:right="-817" w:rightChars="-389" w:firstLine="2310" w:firstLineChars="1100"/>
        <w:contextualSpacing/>
        <w:rPr>
          <w:rFonts w:hint="eastAsia" w:ascii="宋体" w:hAnsi="宋体" w:cs="宋体"/>
          <w:szCs w:val="21"/>
        </w:rPr>
      </w:pPr>
      <w:r>
        <w:rPr>
          <w:rFonts w:hint="eastAsia" w:ascii="宋体" w:hAnsi="宋体" w:cs="宋体"/>
          <w:szCs w:val="21"/>
        </w:rPr>
        <w:t xml:space="preserve">供应商（电子签章）：      </w:t>
      </w:r>
    </w:p>
    <w:p w14:paraId="64B8A732">
      <w:pPr>
        <w:spacing w:line="360" w:lineRule="auto"/>
        <w:ind w:right="-817" w:rightChars="-389"/>
        <w:contextualSpacing/>
        <w:rPr>
          <w:rFonts w:hint="eastAsia" w:ascii="宋体" w:hAnsi="宋体" w:cs="宋体"/>
          <w:szCs w:val="21"/>
        </w:rPr>
        <w:sectPr>
          <w:pgSz w:w="11910" w:h="16840"/>
          <w:pgMar w:top="1340" w:right="1500" w:bottom="280" w:left="1680" w:header="720" w:footer="720" w:gutter="0"/>
          <w:cols w:space="720" w:num="1"/>
        </w:sectPr>
      </w:pPr>
      <w:r>
        <w:rPr>
          <w:rFonts w:hint="eastAsia" w:ascii="宋体" w:hAnsi="宋体" w:cs="宋体"/>
          <w:szCs w:val="21"/>
        </w:rPr>
        <w:t xml:space="preserve">                      日期：   年   月   日</w:t>
      </w:r>
    </w:p>
    <w:p w14:paraId="247FC49A">
      <w:pPr>
        <w:tabs>
          <w:tab w:val="left" w:pos="3479"/>
        </w:tabs>
        <w:spacing w:line="520" w:lineRule="exact"/>
        <w:jc w:val="center"/>
        <w:rPr>
          <w:rFonts w:hint="eastAsia" w:ascii="宋体" w:hAnsi="宋体" w:cs="宋体"/>
          <w:bCs/>
          <w:sz w:val="32"/>
          <w:szCs w:val="32"/>
        </w:rPr>
      </w:pPr>
      <w:r>
        <w:rPr>
          <w:rFonts w:hint="eastAsia" w:ascii="宋体" w:hAnsi="宋体" w:cs="宋体"/>
          <w:b/>
          <w:sz w:val="32"/>
          <w:szCs w:val="32"/>
        </w:rPr>
        <w:t>竞标报价表（适用于B分标）</w:t>
      </w:r>
    </w:p>
    <w:p w14:paraId="21D39F78">
      <w:pPr>
        <w:spacing w:line="520" w:lineRule="exact"/>
        <w:jc w:val="center"/>
        <w:rPr>
          <w:rFonts w:hint="eastAsia" w:ascii="宋体" w:hAnsi="宋体" w:cs="宋体"/>
          <w:bCs/>
          <w:sz w:val="32"/>
          <w:szCs w:val="32"/>
        </w:rPr>
      </w:pPr>
    </w:p>
    <w:p w14:paraId="1AB9F9D5">
      <w:pPr>
        <w:snapToGrid w:val="0"/>
        <w:spacing w:before="50" w:after="50" w:line="360" w:lineRule="auto"/>
        <w:rPr>
          <w:rFonts w:hint="eastAsia" w:ascii="宋体" w:hAnsi="宋体" w:cs="宋体"/>
          <w:szCs w:val="21"/>
        </w:rPr>
      </w:pPr>
      <w:r>
        <w:rPr>
          <w:rFonts w:hint="eastAsia" w:ascii="宋体" w:hAnsi="宋体" w:cs="宋体"/>
          <w:szCs w:val="21"/>
        </w:rPr>
        <w:t>项目名称：</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 xml:space="preserve"> 分标（如有）：</w:t>
      </w:r>
      <w:r>
        <w:rPr>
          <w:rFonts w:hint="eastAsia" w:ascii="宋体" w:hAnsi="宋体" w:cs="宋体"/>
          <w:szCs w:val="21"/>
          <w:u w:val="single"/>
        </w:rPr>
        <w:t xml:space="preserve">            </w:t>
      </w:r>
    </w:p>
    <w:p w14:paraId="514FC406">
      <w:pPr>
        <w:snapToGrid w:val="0"/>
        <w:spacing w:before="50" w:after="50" w:line="360" w:lineRule="auto"/>
        <w:rPr>
          <w:rFonts w:hint="eastAsia" w:ascii="宋体" w:hAnsi="宋体" w:cs="宋体"/>
          <w:szCs w:val="21"/>
        </w:rPr>
      </w:pPr>
      <w:r>
        <w:rPr>
          <w:rFonts w:hint="eastAsia" w:ascii="宋体" w:hAnsi="宋体" w:cs="宋体"/>
          <w:szCs w:val="21"/>
        </w:rPr>
        <w:t>供应商名称：</w:t>
      </w:r>
      <w:r>
        <w:rPr>
          <w:rFonts w:hint="eastAsia" w:ascii="宋体" w:hAnsi="宋体" w:cs="宋体"/>
          <w:szCs w:val="21"/>
          <w:u w:val="single"/>
        </w:rPr>
        <w:t xml:space="preserve">              </w:t>
      </w:r>
      <w:r>
        <w:rPr>
          <w:rFonts w:hint="eastAsia" w:ascii="宋体" w:hAnsi="宋体" w:cs="宋体"/>
          <w:szCs w:val="21"/>
        </w:rPr>
        <w:t xml:space="preserve">                      </w:t>
      </w:r>
    </w:p>
    <w:p w14:paraId="3E31FB46">
      <w:pPr>
        <w:snapToGrid w:val="0"/>
        <w:spacing w:before="50" w:after="50" w:line="360" w:lineRule="auto"/>
        <w:rPr>
          <w:rFonts w:hint="eastAsia" w:ascii="宋体" w:hAnsi="宋体" w:cs="宋体"/>
          <w:szCs w:val="21"/>
        </w:rPr>
      </w:pPr>
      <w:r>
        <w:rPr>
          <w:rFonts w:hint="eastAsia" w:ascii="宋体" w:hAnsi="宋体" w:cs="宋体"/>
          <w:szCs w:val="21"/>
        </w:rPr>
        <w:t>单位：元</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677"/>
        <w:gridCol w:w="1426"/>
        <w:gridCol w:w="2762"/>
        <w:gridCol w:w="1318"/>
      </w:tblGrid>
      <w:tr w14:paraId="2820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14:paraId="12542935">
            <w:pPr>
              <w:spacing w:line="360" w:lineRule="auto"/>
              <w:contextualSpacing/>
              <w:jc w:val="center"/>
              <w:rPr>
                <w:rFonts w:hint="eastAsia" w:ascii="宋体" w:hAnsi="宋体" w:cs="宋体"/>
                <w:b/>
                <w:bCs/>
                <w:szCs w:val="21"/>
              </w:rPr>
            </w:pPr>
            <w:r>
              <w:rPr>
                <w:rFonts w:hint="eastAsia" w:ascii="宋体" w:hAnsi="宋体" w:cs="宋体"/>
                <w:b/>
                <w:bCs/>
                <w:szCs w:val="21"/>
              </w:rPr>
              <w:t>序号</w:t>
            </w:r>
          </w:p>
        </w:tc>
        <w:tc>
          <w:tcPr>
            <w:tcW w:w="2677" w:type="dxa"/>
            <w:tcBorders>
              <w:top w:val="single" w:color="auto" w:sz="4" w:space="0"/>
              <w:left w:val="single" w:color="auto" w:sz="4" w:space="0"/>
              <w:bottom w:val="single" w:color="auto" w:sz="4" w:space="0"/>
              <w:right w:val="single" w:color="auto" w:sz="4" w:space="0"/>
            </w:tcBorders>
            <w:vAlign w:val="center"/>
          </w:tcPr>
          <w:p w14:paraId="6E4CF0B6">
            <w:pPr>
              <w:spacing w:line="360" w:lineRule="auto"/>
              <w:contextualSpacing/>
              <w:jc w:val="center"/>
              <w:rPr>
                <w:rFonts w:hint="eastAsia" w:ascii="宋体" w:hAnsi="宋体" w:cs="宋体"/>
                <w:b/>
                <w:bCs/>
                <w:szCs w:val="21"/>
              </w:rPr>
            </w:pPr>
            <w:r>
              <w:rPr>
                <w:rFonts w:hint="eastAsia" w:ascii="宋体" w:hAnsi="宋体" w:cs="宋体"/>
                <w:b/>
                <w:bCs/>
                <w:szCs w:val="21"/>
              </w:rPr>
              <w:t>标的名称</w:t>
            </w:r>
          </w:p>
        </w:tc>
        <w:tc>
          <w:tcPr>
            <w:tcW w:w="1426" w:type="dxa"/>
            <w:tcBorders>
              <w:top w:val="single" w:color="auto" w:sz="4" w:space="0"/>
              <w:left w:val="single" w:color="auto" w:sz="4" w:space="0"/>
              <w:bottom w:val="single" w:color="auto" w:sz="4" w:space="0"/>
              <w:right w:val="single" w:color="auto" w:sz="4" w:space="0"/>
            </w:tcBorders>
            <w:vAlign w:val="center"/>
          </w:tcPr>
          <w:p w14:paraId="1F85A58F">
            <w:pPr>
              <w:spacing w:line="360" w:lineRule="auto"/>
              <w:contextualSpacing/>
              <w:jc w:val="center"/>
              <w:rPr>
                <w:rFonts w:hint="eastAsia" w:ascii="宋体" w:hAnsi="宋体" w:cs="宋体"/>
                <w:b/>
                <w:bCs/>
                <w:szCs w:val="21"/>
              </w:rPr>
            </w:pPr>
            <w:r>
              <w:rPr>
                <w:rFonts w:hint="eastAsia" w:ascii="宋体" w:hAnsi="宋体" w:cs="宋体"/>
                <w:b/>
                <w:bCs/>
                <w:szCs w:val="21"/>
              </w:rPr>
              <w:t>数量单位</w:t>
            </w:r>
          </w:p>
        </w:tc>
        <w:tc>
          <w:tcPr>
            <w:tcW w:w="2762" w:type="dxa"/>
            <w:tcBorders>
              <w:top w:val="single" w:color="auto" w:sz="4" w:space="0"/>
              <w:left w:val="single" w:color="auto" w:sz="4" w:space="0"/>
              <w:bottom w:val="single" w:color="auto" w:sz="4" w:space="0"/>
              <w:right w:val="single" w:color="auto" w:sz="4" w:space="0"/>
            </w:tcBorders>
            <w:vAlign w:val="center"/>
          </w:tcPr>
          <w:p w14:paraId="059A3A35">
            <w:pPr>
              <w:spacing w:line="360" w:lineRule="auto"/>
              <w:contextualSpacing/>
              <w:jc w:val="center"/>
              <w:rPr>
                <w:rFonts w:hint="eastAsia" w:ascii="宋体" w:hAnsi="宋体" w:cs="宋体"/>
                <w:b/>
                <w:bCs/>
                <w:szCs w:val="21"/>
              </w:rPr>
            </w:pPr>
            <w:r>
              <w:rPr>
                <w:rFonts w:hint="eastAsia" w:ascii="宋体" w:hAnsi="宋体" w:cs="宋体"/>
                <w:b/>
                <w:bCs/>
                <w:szCs w:val="21"/>
              </w:rPr>
              <w:t>总报价</w:t>
            </w:r>
          </w:p>
        </w:tc>
        <w:tc>
          <w:tcPr>
            <w:tcW w:w="1318" w:type="dxa"/>
            <w:tcBorders>
              <w:top w:val="single" w:color="auto" w:sz="4" w:space="0"/>
              <w:left w:val="single" w:color="auto" w:sz="4" w:space="0"/>
              <w:bottom w:val="single" w:color="auto" w:sz="4" w:space="0"/>
              <w:right w:val="single" w:color="auto" w:sz="4" w:space="0"/>
            </w:tcBorders>
            <w:vAlign w:val="center"/>
          </w:tcPr>
          <w:p w14:paraId="006B846E">
            <w:pPr>
              <w:spacing w:line="360" w:lineRule="auto"/>
              <w:contextualSpacing/>
              <w:jc w:val="center"/>
              <w:rPr>
                <w:rFonts w:hint="eastAsia" w:ascii="宋体" w:hAnsi="宋体" w:cs="宋体"/>
                <w:b/>
                <w:bCs/>
                <w:szCs w:val="21"/>
              </w:rPr>
            </w:pPr>
            <w:r>
              <w:rPr>
                <w:rFonts w:hint="eastAsia" w:ascii="宋体" w:hAnsi="宋体" w:cs="宋体"/>
                <w:b/>
                <w:bCs/>
                <w:szCs w:val="21"/>
              </w:rPr>
              <w:t>备注</w:t>
            </w:r>
          </w:p>
        </w:tc>
      </w:tr>
      <w:tr w14:paraId="5237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14:paraId="67DB0F04">
            <w:pPr>
              <w:spacing w:line="360" w:lineRule="auto"/>
              <w:contextualSpacing/>
              <w:jc w:val="center"/>
              <w:rPr>
                <w:rFonts w:hint="eastAsia" w:ascii="宋体" w:hAnsi="宋体" w:cs="宋体"/>
                <w:szCs w:val="21"/>
              </w:rPr>
            </w:pPr>
            <w:r>
              <w:rPr>
                <w:rFonts w:hint="eastAsia" w:ascii="宋体" w:hAnsi="宋体" w:cs="宋体"/>
                <w:szCs w:val="21"/>
              </w:rPr>
              <w:t>1</w:t>
            </w:r>
          </w:p>
        </w:tc>
        <w:tc>
          <w:tcPr>
            <w:tcW w:w="2677" w:type="dxa"/>
            <w:tcBorders>
              <w:top w:val="single" w:color="auto" w:sz="4" w:space="0"/>
              <w:left w:val="single" w:color="auto" w:sz="4" w:space="0"/>
              <w:bottom w:val="single" w:color="auto" w:sz="4" w:space="0"/>
              <w:right w:val="single" w:color="auto" w:sz="4" w:space="0"/>
            </w:tcBorders>
            <w:vAlign w:val="center"/>
          </w:tcPr>
          <w:p w14:paraId="3CED1E9F">
            <w:pPr>
              <w:spacing w:line="360" w:lineRule="auto"/>
              <w:contextualSpacing/>
              <w:jc w:val="center"/>
              <w:rPr>
                <w:rFonts w:hint="eastAsia" w:ascii="宋体" w:hAnsi="宋体" w:cs="宋体"/>
                <w:szCs w:val="21"/>
              </w:rPr>
            </w:pPr>
          </w:p>
        </w:tc>
        <w:tc>
          <w:tcPr>
            <w:tcW w:w="1426" w:type="dxa"/>
            <w:tcBorders>
              <w:top w:val="single" w:color="auto" w:sz="4" w:space="0"/>
              <w:left w:val="single" w:color="auto" w:sz="4" w:space="0"/>
              <w:bottom w:val="single" w:color="auto" w:sz="4" w:space="0"/>
              <w:right w:val="single" w:color="auto" w:sz="4" w:space="0"/>
            </w:tcBorders>
            <w:vAlign w:val="center"/>
          </w:tcPr>
          <w:p w14:paraId="6C8A827C">
            <w:pPr>
              <w:spacing w:line="360" w:lineRule="auto"/>
              <w:contextualSpacing/>
              <w:rPr>
                <w:rFonts w:hint="eastAsia" w:ascii="宋体" w:hAnsi="宋体" w:cs="宋体"/>
                <w:szCs w:val="21"/>
              </w:rPr>
            </w:pPr>
          </w:p>
        </w:tc>
        <w:tc>
          <w:tcPr>
            <w:tcW w:w="2762" w:type="dxa"/>
            <w:tcBorders>
              <w:top w:val="single" w:color="auto" w:sz="4" w:space="0"/>
              <w:left w:val="single" w:color="auto" w:sz="4" w:space="0"/>
              <w:bottom w:val="single" w:color="auto" w:sz="4" w:space="0"/>
              <w:right w:val="single" w:color="auto" w:sz="4" w:space="0"/>
            </w:tcBorders>
          </w:tcPr>
          <w:p w14:paraId="17DF8EB9">
            <w:pPr>
              <w:spacing w:line="360" w:lineRule="auto"/>
              <w:contextualSpacing/>
              <w:rPr>
                <w:rFonts w:hint="eastAsia" w:ascii="宋体" w:hAnsi="宋体" w:cs="宋体"/>
                <w:szCs w:val="21"/>
              </w:rPr>
            </w:pPr>
          </w:p>
        </w:tc>
        <w:tc>
          <w:tcPr>
            <w:tcW w:w="1318" w:type="dxa"/>
            <w:tcBorders>
              <w:top w:val="single" w:color="auto" w:sz="4" w:space="0"/>
              <w:left w:val="single" w:color="auto" w:sz="4" w:space="0"/>
              <w:bottom w:val="single" w:color="auto" w:sz="4" w:space="0"/>
              <w:right w:val="single" w:color="auto" w:sz="4" w:space="0"/>
            </w:tcBorders>
            <w:vAlign w:val="center"/>
          </w:tcPr>
          <w:p w14:paraId="756B52C0">
            <w:pPr>
              <w:spacing w:line="360" w:lineRule="auto"/>
              <w:contextualSpacing/>
              <w:rPr>
                <w:rFonts w:hint="eastAsia" w:ascii="宋体" w:hAnsi="宋体" w:cs="宋体"/>
                <w:szCs w:val="21"/>
              </w:rPr>
            </w:pPr>
          </w:p>
        </w:tc>
      </w:tr>
      <w:tr w14:paraId="74FB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8908" w:type="dxa"/>
            <w:gridSpan w:val="5"/>
            <w:tcBorders>
              <w:top w:val="single" w:color="auto" w:sz="4" w:space="0"/>
              <w:left w:val="single" w:color="auto" w:sz="4" w:space="0"/>
              <w:bottom w:val="single" w:color="auto" w:sz="4" w:space="0"/>
              <w:right w:val="single" w:color="auto" w:sz="4" w:space="0"/>
            </w:tcBorders>
            <w:vAlign w:val="center"/>
          </w:tcPr>
          <w:p w14:paraId="3E79532B">
            <w:pPr>
              <w:spacing w:line="360" w:lineRule="auto"/>
              <w:contextualSpacing/>
              <w:rPr>
                <w:rFonts w:hint="eastAsia" w:ascii="宋体" w:hAnsi="宋体" w:cs="宋体"/>
                <w:szCs w:val="21"/>
              </w:rPr>
            </w:pPr>
            <w:r>
              <w:rPr>
                <w:rFonts w:hint="eastAsia" w:ascii="宋体" w:hAnsi="宋体" w:cs="宋体"/>
                <w:szCs w:val="21"/>
              </w:rPr>
              <w:t>合计金额大写：人民币</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w:t>
            </w:r>
          </w:p>
          <w:p w14:paraId="79600141">
            <w:pPr>
              <w:spacing w:line="360" w:lineRule="auto"/>
              <w:contextualSpacing/>
              <w:rPr>
                <w:rFonts w:hint="eastAsia" w:ascii="宋体" w:hAnsi="宋体" w:cs="宋体"/>
                <w:szCs w:val="21"/>
              </w:rPr>
            </w:pPr>
            <w:r>
              <w:rPr>
                <w:rFonts w:hint="eastAsia" w:ascii="宋体" w:hAnsi="宋体" w:cs="宋体"/>
                <w:szCs w:val="21"/>
                <w:lang w:val="zh-CN"/>
              </w:rPr>
              <w:t>其中，安全文明施工费：</w:t>
            </w:r>
            <w:r>
              <w:rPr>
                <w:rFonts w:hint="eastAsia" w:ascii="宋体" w:hAnsi="宋体" w:cs="宋体"/>
                <w:szCs w:val="21"/>
              </w:rPr>
              <w:t>人民币</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w:t>
            </w:r>
          </w:p>
        </w:tc>
      </w:tr>
      <w:tr w14:paraId="1765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8908" w:type="dxa"/>
            <w:gridSpan w:val="5"/>
            <w:tcBorders>
              <w:top w:val="single" w:color="auto" w:sz="4" w:space="0"/>
              <w:left w:val="single" w:color="auto" w:sz="4" w:space="0"/>
              <w:bottom w:val="single" w:color="auto" w:sz="4" w:space="0"/>
              <w:right w:val="single" w:color="auto" w:sz="4" w:space="0"/>
            </w:tcBorders>
            <w:vAlign w:val="center"/>
          </w:tcPr>
          <w:p w14:paraId="121428C0">
            <w:pPr>
              <w:spacing w:line="360" w:lineRule="auto"/>
              <w:contextualSpacing/>
              <w:rPr>
                <w:rFonts w:hint="eastAsia" w:ascii="宋体" w:hAnsi="宋体" w:cs="宋体"/>
                <w:szCs w:val="21"/>
              </w:rPr>
            </w:pPr>
            <w:r>
              <w:rPr>
                <w:rFonts w:hint="eastAsia" w:ascii="宋体" w:hAnsi="宋体" w:cs="宋体"/>
                <w:kern w:val="56"/>
                <w:szCs w:val="21"/>
              </w:rPr>
              <w:t>工期：</w:t>
            </w:r>
            <w:r>
              <w:rPr>
                <w:rFonts w:hint="eastAsia" w:ascii="宋体" w:hAnsi="宋体" w:cs="宋体"/>
                <w:kern w:val="56"/>
                <w:szCs w:val="21"/>
                <w:u w:val="single"/>
              </w:rPr>
              <w:t xml:space="preserve">                </w:t>
            </w:r>
          </w:p>
        </w:tc>
      </w:tr>
      <w:tr w14:paraId="5F9B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1" w:hRule="atLeast"/>
          <w:jc w:val="center"/>
        </w:trPr>
        <w:tc>
          <w:tcPr>
            <w:tcW w:w="8908" w:type="dxa"/>
            <w:gridSpan w:val="5"/>
            <w:tcBorders>
              <w:top w:val="single" w:color="auto" w:sz="4" w:space="0"/>
              <w:left w:val="single" w:color="auto" w:sz="4" w:space="0"/>
              <w:bottom w:val="single" w:color="auto" w:sz="4" w:space="0"/>
              <w:right w:val="single" w:color="auto" w:sz="4" w:space="0"/>
            </w:tcBorders>
            <w:vAlign w:val="center"/>
          </w:tcPr>
          <w:p w14:paraId="45B5F7BF">
            <w:pPr>
              <w:spacing w:line="360" w:lineRule="auto"/>
              <w:contextualSpacing/>
              <w:rPr>
                <w:rFonts w:hint="eastAsia" w:ascii="宋体" w:hAnsi="宋体" w:cs="宋体"/>
                <w:kern w:val="56"/>
                <w:szCs w:val="21"/>
              </w:rPr>
            </w:pPr>
            <w:r>
              <w:rPr>
                <w:rFonts w:hint="eastAsia" w:ascii="宋体" w:hAnsi="宋体" w:cs="宋体"/>
                <w:kern w:val="56"/>
                <w:szCs w:val="21"/>
              </w:rPr>
              <w:t>质量要求：</w:t>
            </w:r>
            <w:r>
              <w:rPr>
                <w:rFonts w:hint="eastAsia" w:ascii="宋体" w:hAnsi="宋体" w:cs="宋体"/>
                <w:kern w:val="56"/>
                <w:szCs w:val="21"/>
                <w:u w:val="single"/>
              </w:rPr>
              <w:t xml:space="preserve">            </w:t>
            </w:r>
          </w:p>
        </w:tc>
      </w:tr>
    </w:tbl>
    <w:p w14:paraId="33B9300D">
      <w:pPr>
        <w:spacing w:line="360" w:lineRule="auto"/>
        <w:contextualSpacing/>
        <w:jc w:val="left"/>
        <w:rPr>
          <w:rFonts w:hint="eastAsia" w:ascii="宋体" w:hAnsi="宋体" w:cs="宋体"/>
          <w:szCs w:val="21"/>
        </w:rPr>
      </w:pPr>
      <w:r>
        <w:rPr>
          <w:rFonts w:hint="eastAsia" w:ascii="宋体" w:hAnsi="宋体" w:cs="宋体"/>
          <w:b/>
          <w:bCs/>
          <w:szCs w:val="21"/>
        </w:rPr>
        <w:t>注：</w:t>
      </w:r>
      <w:r>
        <w:rPr>
          <w:rFonts w:hint="eastAsia" w:ascii="宋体" w:hAnsi="宋体" w:cs="宋体"/>
          <w:szCs w:val="21"/>
        </w:rPr>
        <w:t xml:space="preserve"> </w:t>
      </w:r>
    </w:p>
    <w:p w14:paraId="731A53A1">
      <w:pPr>
        <w:spacing w:line="360" w:lineRule="auto"/>
        <w:ind w:firstLine="420" w:firstLineChars="200"/>
        <w:contextualSpacing/>
        <w:jc w:val="left"/>
        <w:rPr>
          <w:rFonts w:hint="eastAsia" w:ascii="宋体" w:hAnsi="宋体" w:cs="宋体"/>
          <w:szCs w:val="21"/>
        </w:rPr>
      </w:pPr>
      <w:r>
        <w:rPr>
          <w:rFonts w:hint="eastAsia" w:ascii="宋体" w:hAnsi="宋体" w:cs="宋体"/>
          <w:szCs w:val="21"/>
        </w:rPr>
        <w:t>1.供应商的报价表必须加盖供应商公章并由法定代表人或者委托代理人签字，</w:t>
      </w:r>
      <w:r>
        <w:rPr>
          <w:rFonts w:hint="eastAsia" w:ascii="宋体" w:hAnsi="宋体" w:cs="宋体"/>
          <w:b/>
          <w:szCs w:val="21"/>
        </w:rPr>
        <w:t>否则其响应文件按无效响应处理</w:t>
      </w:r>
      <w:r>
        <w:rPr>
          <w:rFonts w:hint="eastAsia" w:ascii="宋体" w:hAnsi="宋体" w:cs="宋体"/>
          <w:szCs w:val="21"/>
        </w:rPr>
        <w:t>。</w:t>
      </w:r>
    </w:p>
    <w:p w14:paraId="50B6A445">
      <w:pPr>
        <w:spacing w:line="360" w:lineRule="auto"/>
        <w:ind w:firstLine="420" w:firstLineChars="200"/>
        <w:contextualSpacing/>
        <w:jc w:val="left"/>
        <w:rPr>
          <w:rFonts w:hint="eastAsia" w:ascii="宋体" w:hAnsi="宋体" w:cs="宋体"/>
          <w:b/>
          <w:szCs w:val="21"/>
        </w:rPr>
      </w:pPr>
      <w:r>
        <w:rPr>
          <w:rFonts w:hint="eastAsia" w:ascii="宋体" w:hAnsi="宋体" w:cs="宋体"/>
          <w:bCs/>
          <w:szCs w:val="21"/>
        </w:rPr>
        <w:t>2.</w:t>
      </w:r>
      <w:r>
        <w:rPr>
          <w:rFonts w:hint="eastAsia" w:ascii="宋体" w:hAnsi="宋体" w:cs="宋体"/>
          <w:szCs w:val="21"/>
        </w:rPr>
        <w:t>报价一经涂改，应在涂改处加盖供应商公章或者由法定代表人或者委托代理人签字或者盖章</w:t>
      </w:r>
      <w:r>
        <w:rPr>
          <w:rFonts w:hint="eastAsia" w:ascii="宋体" w:hAnsi="宋体" w:cs="宋体"/>
          <w:b/>
          <w:szCs w:val="21"/>
        </w:rPr>
        <w:t>，否则其响应文件按无效响应处理。</w:t>
      </w:r>
    </w:p>
    <w:p w14:paraId="3C7D1AA8">
      <w:pPr>
        <w:spacing w:line="360" w:lineRule="auto"/>
        <w:ind w:firstLine="420" w:firstLineChars="200"/>
        <w:contextualSpacing/>
        <w:jc w:val="left"/>
        <w:rPr>
          <w:rFonts w:hint="eastAsia" w:ascii="宋体" w:hAnsi="宋体" w:cs="宋体"/>
          <w:b/>
          <w:spacing w:val="-6"/>
          <w:szCs w:val="21"/>
        </w:rPr>
      </w:pPr>
      <w:r>
        <w:rPr>
          <w:rFonts w:hint="eastAsia" w:ascii="宋体" w:hAnsi="宋体" w:cs="宋体"/>
          <w:szCs w:val="21"/>
        </w:rPr>
        <w:t>3.</w:t>
      </w:r>
      <w:r>
        <w:rPr>
          <w:rFonts w:hint="eastAsia" w:ascii="宋体" w:hAnsi="宋体" w:cs="宋体"/>
          <w:spacing w:val="-6"/>
          <w:szCs w:val="21"/>
        </w:rPr>
        <w:t>如有多分标，分别列明各分标的报价表，</w:t>
      </w:r>
      <w:r>
        <w:rPr>
          <w:rFonts w:hint="eastAsia" w:ascii="宋体" w:hAnsi="宋体" w:cs="宋体"/>
          <w:b/>
          <w:spacing w:val="-6"/>
          <w:szCs w:val="21"/>
        </w:rPr>
        <w:t>否则其响应文件按无效响应处理。</w:t>
      </w:r>
    </w:p>
    <w:p w14:paraId="5DC50799">
      <w:pPr>
        <w:spacing w:line="360" w:lineRule="auto"/>
        <w:ind w:firstLine="398" w:firstLineChars="200"/>
        <w:contextualSpacing/>
        <w:rPr>
          <w:rFonts w:hint="eastAsia" w:ascii="宋体" w:hAnsi="宋体" w:cs="宋体"/>
          <w:szCs w:val="21"/>
        </w:rPr>
      </w:pPr>
      <w:r>
        <w:rPr>
          <w:rFonts w:hint="eastAsia" w:ascii="宋体" w:hAnsi="宋体" w:cs="宋体"/>
          <w:b/>
          <w:spacing w:val="-6"/>
          <w:szCs w:val="21"/>
        </w:rPr>
        <w:t>4.竞标报价表须后附已标价的工程量清单，清单格式详见采购人或采购代理机构提供的工程量清单，否则其响应文件按无效响应处理。</w:t>
      </w:r>
    </w:p>
    <w:p w14:paraId="08B45404">
      <w:pPr>
        <w:spacing w:line="360" w:lineRule="auto"/>
        <w:ind w:right="-817" w:rightChars="-389" w:firstLine="2310" w:firstLineChars="1100"/>
        <w:contextualSpacing/>
        <w:rPr>
          <w:rFonts w:hint="eastAsia" w:ascii="宋体" w:hAnsi="宋体" w:cs="宋体"/>
          <w:szCs w:val="21"/>
        </w:rPr>
      </w:pPr>
    </w:p>
    <w:p w14:paraId="6DD4D202">
      <w:pPr>
        <w:spacing w:line="360" w:lineRule="auto"/>
        <w:ind w:right="-817" w:rightChars="-389" w:firstLine="2310" w:firstLineChars="1100"/>
        <w:contextualSpacing/>
        <w:rPr>
          <w:rFonts w:hint="eastAsia" w:ascii="宋体" w:hAnsi="宋体" w:cs="宋体"/>
          <w:szCs w:val="21"/>
        </w:rPr>
      </w:pPr>
      <w:r>
        <w:rPr>
          <w:rFonts w:hint="eastAsia" w:ascii="宋体" w:hAnsi="宋体" w:cs="宋体"/>
          <w:szCs w:val="21"/>
        </w:rPr>
        <w:t xml:space="preserve">法定代表人或者委托代理人（签字或者电子签名）：                    </w:t>
      </w:r>
    </w:p>
    <w:p w14:paraId="211F8040">
      <w:pPr>
        <w:spacing w:line="360" w:lineRule="auto"/>
        <w:ind w:right="-817" w:rightChars="-389" w:firstLine="2310" w:firstLineChars="1100"/>
        <w:contextualSpacing/>
        <w:rPr>
          <w:rFonts w:hint="eastAsia" w:ascii="宋体" w:hAnsi="宋体" w:cs="宋体"/>
          <w:szCs w:val="21"/>
        </w:rPr>
      </w:pPr>
      <w:r>
        <w:rPr>
          <w:rFonts w:hint="eastAsia" w:ascii="宋体" w:hAnsi="宋体" w:cs="宋体"/>
          <w:szCs w:val="21"/>
        </w:rPr>
        <w:t xml:space="preserve">供应商（电子签章）：      </w:t>
      </w:r>
    </w:p>
    <w:p w14:paraId="62AC8F82">
      <w:pPr>
        <w:spacing w:line="360" w:lineRule="auto"/>
        <w:ind w:right="-817" w:rightChars="-389"/>
        <w:contextualSpacing/>
        <w:rPr>
          <w:rFonts w:hint="eastAsia" w:ascii="宋体" w:hAnsi="宋体" w:cs="宋体"/>
          <w:b/>
          <w:szCs w:val="21"/>
        </w:rPr>
      </w:pPr>
      <w:r>
        <w:rPr>
          <w:rFonts w:hint="eastAsia" w:ascii="宋体" w:hAnsi="宋体" w:cs="宋体"/>
          <w:szCs w:val="21"/>
        </w:rPr>
        <w:t xml:space="preserve">                      日期：   年   月   日</w:t>
      </w:r>
    </w:p>
    <w:p w14:paraId="62D3A900">
      <w:pPr>
        <w:spacing w:line="360" w:lineRule="auto"/>
        <w:ind w:right="-817" w:rightChars="-389"/>
        <w:contextualSpacing/>
        <w:rPr>
          <w:rFonts w:hint="eastAsia" w:ascii="宋体" w:hAnsi="宋体" w:cs="宋体"/>
          <w:szCs w:val="21"/>
        </w:rPr>
      </w:pPr>
    </w:p>
    <w:p w14:paraId="0341EB1A">
      <w:pPr>
        <w:spacing w:line="360" w:lineRule="auto"/>
        <w:ind w:right="420"/>
        <w:contextualSpacing/>
        <w:jc w:val="left"/>
        <w:rPr>
          <w:rFonts w:hint="eastAsia" w:ascii="宋体" w:hAnsi="宋体" w:cs="宋体"/>
          <w:szCs w:val="21"/>
        </w:rPr>
        <w:sectPr>
          <w:pgSz w:w="11910" w:h="16840"/>
          <w:pgMar w:top="1340" w:right="1500" w:bottom="280" w:left="1680" w:header="720" w:footer="720" w:gutter="0"/>
          <w:cols w:space="720" w:num="1"/>
        </w:sectPr>
      </w:pPr>
    </w:p>
    <w:p w14:paraId="49EBAD8A">
      <w:pPr>
        <w:spacing w:line="520" w:lineRule="exact"/>
        <w:jc w:val="center"/>
        <w:rPr>
          <w:rFonts w:hint="eastAsia" w:ascii="宋体" w:hAnsi="宋体" w:cs="宋体"/>
          <w:b/>
          <w:bCs/>
          <w:sz w:val="32"/>
          <w:szCs w:val="32"/>
        </w:rPr>
      </w:pPr>
      <w:r>
        <w:rPr>
          <w:rFonts w:hint="eastAsia" w:ascii="宋体" w:hAnsi="宋体" w:cs="宋体"/>
          <w:b/>
          <w:bCs/>
          <w:sz w:val="32"/>
          <w:szCs w:val="32"/>
        </w:rPr>
        <w:t>竞标函及竞标函附录（适用于B分标）</w:t>
      </w:r>
    </w:p>
    <w:p w14:paraId="3B085A9C">
      <w:pPr>
        <w:spacing w:line="520" w:lineRule="exact"/>
        <w:jc w:val="center"/>
        <w:rPr>
          <w:rFonts w:hint="eastAsia" w:ascii="宋体" w:hAnsi="宋体" w:cs="宋体"/>
          <w:b/>
          <w:bCs/>
          <w:sz w:val="32"/>
          <w:szCs w:val="32"/>
        </w:rPr>
      </w:pPr>
    </w:p>
    <w:p w14:paraId="2AEAA806">
      <w:pPr>
        <w:spacing w:line="520" w:lineRule="exact"/>
        <w:jc w:val="center"/>
        <w:rPr>
          <w:rFonts w:hint="eastAsia" w:ascii="宋体" w:hAnsi="宋体" w:cs="宋体"/>
          <w:b/>
          <w:bCs/>
          <w:sz w:val="32"/>
          <w:szCs w:val="32"/>
        </w:rPr>
      </w:pPr>
      <w:r>
        <w:rPr>
          <w:rFonts w:hint="eastAsia" w:ascii="宋体" w:hAnsi="宋体" w:cs="宋体"/>
          <w:b/>
          <w:bCs/>
          <w:sz w:val="32"/>
          <w:szCs w:val="32"/>
        </w:rPr>
        <w:t>（一）竞标函</w:t>
      </w:r>
    </w:p>
    <w:p w14:paraId="5E2FE241">
      <w:pPr>
        <w:spacing w:line="520" w:lineRule="exact"/>
        <w:jc w:val="center"/>
        <w:rPr>
          <w:rFonts w:hint="eastAsia" w:ascii="宋体" w:hAnsi="宋体" w:cs="宋体"/>
          <w:b/>
          <w:bCs/>
          <w:sz w:val="32"/>
          <w:szCs w:val="32"/>
        </w:rPr>
      </w:pPr>
    </w:p>
    <w:p w14:paraId="4EBA3E0B">
      <w:pPr>
        <w:spacing w:line="360" w:lineRule="auto"/>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lang w:val="zh-CN" w:bidi="zh-CN"/>
        </w:rPr>
        <w:t>采购人名称</w:t>
      </w:r>
      <w:r>
        <w:rPr>
          <w:rFonts w:hint="eastAsia" w:ascii="宋体" w:hAnsi="宋体" w:cs="宋体"/>
          <w:szCs w:val="21"/>
        </w:rPr>
        <w:t>）：</w:t>
      </w:r>
    </w:p>
    <w:p w14:paraId="487189ED">
      <w:pPr>
        <w:pStyle w:val="81"/>
        <w:numPr>
          <w:ilvl w:val="0"/>
          <w:numId w:val="2"/>
        </w:numPr>
        <w:tabs>
          <w:tab w:val="left" w:pos="762"/>
          <w:tab w:val="left" w:pos="2074"/>
          <w:tab w:val="left" w:pos="3430"/>
          <w:tab w:val="left" w:pos="4687"/>
          <w:tab w:val="left" w:pos="7898"/>
        </w:tabs>
        <w:ind w:firstLine="440"/>
        <w:rPr>
          <w:rFonts w:hint="eastAsia"/>
          <w:szCs w:val="21"/>
        </w:rPr>
      </w:pPr>
      <w:bookmarkStart w:id="79" w:name="bookmark2065"/>
      <w:bookmarkEnd w:id="79"/>
      <w:r>
        <w:rPr>
          <w:rFonts w:hint="eastAsia"/>
          <w:szCs w:val="21"/>
        </w:rPr>
        <w:t>我方已仔细研究了</w:t>
      </w:r>
      <w:r>
        <w:rPr>
          <w:rFonts w:hint="eastAsia"/>
          <w:szCs w:val="21"/>
          <w:u w:val="single"/>
          <w:lang w:val="en-US"/>
        </w:rPr>
        <w:t xml:space="preserve">           </w:t>
      </w:r>
      <w:r>
        <w:rPr>
          <w:rFonts w:hint="eastAsia"/>
          <w:szCs w:val="21"/>
          <w:u w:val="single"/>
        </w:rPr>
        <w:t>（项目名称、项目编号）</w:t>
      </w:r>
      <w:r>
        <w:rPr>
          <w:rFonts w:hint="eastAsia"/>
          <w:szCs w:val="21"/>
          <w:u w:val="single"/>
          <w:lang w:val="en-US"/>
        </w:rPr>
        <w:t xml:space="preserve">          </w:t>
      </w:r>
      <w:r>
        <w:rPr>
          <w:rFonts w:hint="eastAsia"/>
          <w:szCs w:val="21"/>
        </w:rPr>
        <w:t>采购文件的</w:t>
      </w:r>
      <w:r>
        <w:rPr>
          <w:rFonts w:hint="eastAsia"/>
          <w:szCs w:val="21"/>
          <w:u w:val="single"/>
          <w:lang w:val="en-US"/>
        </w:rPr>
        <w:t xml:space="preserve">   </w:t>
      </w:r>
      <w:r>
        <w:rPr>
          <w:rFonts w:hint="eastAsia"/>
          <w:szCs w:val="21"/>
          <w:lang w:val="en-US"/>
        </w:rPr>
        <w:t>分标</w:t>
      </w:r>
      <w:r>
        <w:rPr>
          <w:rFonts w:hint="eastAsia"/>
          <w:szCs w:val="21"/>
        </w:rPr>
        <w:t>全部内容，愿意以人民币（大写）</w:t>
      </w:r>
      <w:r>
        <w:rPr>
          <w:rFonts w:hint="eastAsia"/>
          <w:szCs w:val="21"/>
          <w:u w:val="single"/>
          <w:lang w:val="en-US"/>
        </w:rPr>
        <w:t xml:space="preserve">            </w:t>
      </w:r>
      <w:r>
        <w:rPr>
          <w:rFonts w:hint="eastAsia"/>
          <w:szCs w:val="21"/>
        </w:rPr>
        <w:t>元（¥</w:t>
      </w:r>
      <w:r>
        <w:rPr>
          <w:rFonts w:hint="eastAsia"/>
          <w:szCs w:val="21"/>
          <w:u w:val="single"/>
          <w:lang w:val="en-US"/>
        </w:rPr>
        <w:t xml:space="preserve">        </w:t>
      </w:r>
      <w:r>
        <w:rPr>
          <w:rFonts w:hint="eastAsia"/>
          <w:szCs w:val="21"/>
        </w:rPr>
        <w:t>）的竞标总报价，工期</w:t>
      </w:r>
      <w:r>
        <w:rPr>
          <w:rFonts w:hint="eastAsia"/>
          <w:szCs w:val="21"/>
          <w:u w:val="single"/>
          <w:lang w:val="en-US"/>
        </w:rPr>
        <w:t xml:space="preserve">            </w:t>
      </w:r>
      <w:r>
        <w:rPr>
          <w:rFonts w:hint="eastAsia"/>
          <w:szCs w:val="21"/>
        </w:rPr>
        <w:t>日历天，按合同约定实施和完成承包工程，修补工程中的任何缺陷，工程质量达到</w:t>
      </w:r>
      <w:r>
        <w:rPr>
          <w:rFonts w:hint="eastAsia"/>
          <w:szCs w:val="21"/>
          <w:u w:val="single"/>
          <w:lang w:val="en-US"/>
        </w:rPr>
        <w:t xml:space="preserve">           </w:t>
      </w:r>
      <w:r>
        <w:rPr>
          <w:rFonts w:hint="eastAsia"/>
          <w:szCs w:val="21"/>
          <w:u w:val="single"/>
        </w:rPr>
        <w:t xml:space="preserve"> </w:t>
      </w:r>
      <w:r>
        <w:rPr>
          <w:rFonts w:hint="eastAsia"/>
          <w:szCs w:val="21"/>
          <w:lang w:val="en-US" w:bidi="en-US"/>
        </w:rPr>
        <w:t>。</w:t>
      </w:r>
    </w:p>
    <w:p w14:paraId="38ADB633">
      <w:pPr>
        <w:pStyle w:val="81"/>
        <w:numPr>
          <w:ilvl w:val="0"/>
          <w:numId w:val="2"/>
        </w:numPr>
        <w:tabs>
          <w:tab w:val="left" w:pos="762"/>
        </w:tabs>
        <w:ind w:firstLine="420"/>
        <w:rPr>
          <w:rFonts w:hint="eastAsia"/>
          <w:szCs w:val="21"/>
        </w:rPr>
      </w:pPr>
      <w:bookmarkStart w:id="80" w:name="bookmark2066"/>
      <w:bookmarkEnd w:id="80"/>
      <w:bookmarkStart w:id="81" w:name="bookmark2067"/>
      <w:bookmarkEnd w:id="81"/>
      <w:bookmarkStart w:id="82" w:name="bookmark2068"/>
      <w:bookmarkEnd w:id="82"/>
      <w:r>
        <w:rPr>
          <w:rFonts w:hint="eastAsia"/>
          <w:szCs w:val="21"/>
        </w:rPr>
        <w:t>我方承认竞标函附录是我方竞标函的组成部分。</w:t>
      </w:r>
    </w:p>
    <w:p w14:paraId="21C62466">
      <w:pPr>
        <w:pStyle w:val="81"/>
        <w:numPr>
          <w:ilvl w:val="0"/>
          <w:numId w:val="2"/>
        </w:numPr>
        <w:tabs>
          <w:tab w:val="left" w:pos="762"/>
        </w:tabs>
        <w:ind w:firstLine="420"/>
        <w:rPr>
          <w:rFonts w:hint="eastAsia"/>
          <w:szCs w:val="21"/>
        </w:rPr>
      </w:pPr>
      <w:r>
        <w:rPr>
          <w:rFonts w:hint="eastAsia"/>
          <w:szCs w:val="21"/>
        </w:rPr>
        <w:t>如我方成交：</w:t>
      </w:r>
    </w:p>
    <w:p w14:paraId="60D973D5">
      <w:pPr>
        <w:pStyle w:val="81"/>
        <w:tabs>
          <w:tab w:val="left" w:pos="903"/>
        </w:tabs>
        <w:ind w:firstLine="420"/>
        <w:rPr>
          <w:rFonts w:hint="eastAsia"/>
          <w:szCs w:val="21"/>
        </w:rPr>
      </w:pPr>
      <w:bookmarkStart w:id="83" w:name="bookmark2069"/>
      <w:r>
        <w:rPr>
          <w:rFonts w:hint="eastAsia"/>
          <w:szCs w:val="21"/>
        </w:rPr>
        <w:t>（</w:t>
      </w:r>
      <w:bookmarkEnd w:id="83"/>
      <w:r>
        <w:rPr>
          <w:rFonts w:hint="eastAsia"/>
          <w:szCs w:val="21"/>
        </w:rPr>
        <w:t>1）我方承诺在收到成交通知书后，在成交通知书规定的期限内与你方签订合同。</w:t>
      </w:r>
    </w:p>
    <w:p w14:paraId="4EB64017">
      <w:pPr>
        <w:pStyle w:val="81"/>
        <w:tabs>
          <w:tab w:val="left" w:pos="903"/>
        </w:tabs>
        <w:ind w:firstLine="420"/>
        <w:rPr>
          <w:rFonts w:hint="eastAsia"/>
          <w:szCs w:val="21"/>
        </w:rPr>
      </w:pPr>
      <w:bookmarkStart w:id="84" w:name="bookmark2070"/>
      <w:r>
        <w:rPr>
          <w:rFonts w:hint="eastAsia"/>
          <w:szCs w:val="21"/>
        </w:rPr>
        <w:t>（</w:t>
      </w:r>
      <w:bookmarkEnd w:id="84"/>
      <w:r>
        <w:rPr>
          <w:rFonts w:hint="eastAsia"/>
          <w:szCs w:val="21"/>
        </w:rPr>
        <w:t>2）在签订合同时不向你方提出附加条件。</w:t>
      </w:r>
    </w:p>
    <w:p w14:paraId="5AC09271">
      <w:pPr>
        <w:pStyle w:val="81"/>
        <w:tabs>
          <w:tab w:val="left" w:pos="903"/>
        </w:tabs>
        <w:ind w:firstLine="420"/>
        <w:rPr>
          <w:rFonts w:hint="eastAsia"/>
          <w:szCs w:val="21"/>
        </w:rPr>
      </w:pPr>
      <w:bookmarkStart w:id="85" w:name="bookmark2071"/>
      <w:r>
        <w:rPr>
          <w:rFonts w:hint="eastAsia"/>
          <w:szCs w:val="21"/>
        </w:rPr>
        <w:t>（</w:t>
      </w:r>
      <w:bookmarkEnd w:id="85"/>
      <w:r>
        <w:rPr>
          <w:rFonts w:hint="eastAsia"/>
          <w:szCs w:val="21"/>
        </w:rPr>
        <w:t>3）我方承诺按照</w:t>
      </w:r>
      <w:r>
        <w:rPr>
          <w:rFonts w:hint="eastAsia"/>
          <w:szCs w:val="21"/>
          <w:lang w:val="en-US"/>
        </w:rPr>
        <w:t>采购</w:t>
      </w:r>
      <w:r>
        <w:rPr>
          <w:rFonts w:hint="eastAsia"/>
          <w:szCs w:val="21"/>
        </w:rPr>
        <w:t>文件规定向你方递交履约担保。</w:t>
      </w:r>
    </w:p>
    <w:p w14:paraId="11255118">
      <w:pPr>
        <w:pStyle w:val="81"/>
        <w:tabs>
          <w:tab w:val="left" w:pos="903"/>
        </w:tabs>
        <w:ind w:firstLine="420"/>
        <w:rPr>
          <w:rFonts w:hint="eastAsia"/>
          <w:szCs w:val="21"/>
        </w:rPr>
      </w:pPr>
      <w:bookmarkStart w:id="86" w:name="bookmark2072"/>
      <w:r>
        <w:rPr>
          <w:rFonts w:hint="eastAsia"/>
          <w:szCs w:val="21"/>
        </w:rPr>
        <w:t>（</w:t>
      </w:r>
      <w:bookmarkEnd w:id="86"/>
      <w:r>
        <w:rPr>
          <w:rFonts w:hint="eastAsia"/>
          <w:szCs w:val="21"/>
        </w:rPr>
        <w:t>4）我方承诺在合同约定的期限内完成并移交全部合同工程。</w:t>
      </w:r>
    </w:p>
    <w:p w14:paraId="69B34365">
      <w:pPr>
        <w:pStyle w:val="81"/>
        <w:numPr>
          <w:ilvl w:val="0"/>
          <w:numId w:val="2"/>
        </w:numPr>
        <w:tabs>
          <w:tab w:val="left" w:pos="762"/>
        </w:tabs>
        <w:ind w:firstLine="440"/>
        <w:rPr>
          <w:rFonts w:hint="eastAsia"/>
          <w:szCs w:val="21"/>
        </w:rPr>
      </w:pPr>
      <w:bookmarkStart w:id="87" w:name="bookmark2073"/>
      <w:bookmarkEnd w:id="87"/>
      <w:r>
        <w:rPr>
          <w:rFonts w:hint="eastAsia"/>
          <w:szCs w:val="21"/>
        </w:rPr>
        <w:t>在合同协议书正式签署生效之前，本竞标函连同你方的成交通知书将构成我们双方之间共同遵守的文件，对双方具有约束力。</w:t>
      </w:r>
    </w:p>
    <w:p w14:paraId="4A3D58CE">
      <w:pPr>
        <w:spacing w:line="360" w:lineRule="auto"/>
        <w:ind w:firstLine="420" w:firstLineChars="200"/>
        <w:rPr>
          <w:rFonts w:hint="eastAsia" w:ascii="宋体" w:hAnsi="宋体" w:cs="宋体"/>
          <w:szCs w:val="21"/>
        </w:rPr>
      </w:pPr>
      <w:bookmarkStart w:id="88" w:name="bookmark2074"/>
      <w:bookmarkEnd w:id="88"/>
      <w:r>
        <w:rPr>
          <w:rFonts w:hint="eastAsia" w:ascii="宋体" w:hAnsi="宋体" w:cs="宋体"/>
          <w:szCs w:val="21"/>
        </w:rPr>
        <w:t>5.</w:t>
      </w:r>
      <w:r>
        <w:rPr>
          <w:rFonts w:hint="eastAsia" w:ascii="宋体" w:hAnsi="宋体" w:cs="宋体"/>
          <w:szCs w:val="21"/>
          <w:u w:val="single"/>
        </w:rPr>
        <w:t xml:space="preserve">                                                   </w:t>
      </w:r>
      <w:r>
        <w:rPr>
          <w:rFonts w:hint="eastAsia" w:ascii="宋体" w:hAnsi="宋体" w:cs="宋体"/>
          <w:szCs w:val="21"/>
        </w:rPr>
        <w:t>（其他补充说明）。</w:t>
      </w:r>
    </w:p>
    <w:p w14:paraId="39A460B1">
      <w:pPr>
        <w:spacing w:line="360" w:lineRule="auto"/>
        <w:jc w:val="center"/>
        <w:rPr>
          <w:rFonts w:hint="eastAsia" w:ascii="宋体" w:hAnsi="宋体" w:cs="宋体"/>
          <w:b/>
          <w:bCs/>
          <w:szCs w:val="21"/>
        </w:rPr>
      </w:pPr>
    </w:p>
    <w:p w14:paraId="616BC6B0">
      <w:pPr>
        <w:spacing w:line="360" w:lineRule="auto"/>
        <w:ind w:right="-817" w:rightChars="-389" w:firstLine="2310" w:firstLineChars="1100"/>
        <w:contextualSpacing/>
        <w:rPr>
          <w:rFonts w:hint="eastAsia" w:ascii="宋体" w:hAnsi="宋体" w:cs="宋体"/>
          <w:szCs w:val="21"/>
        </w:rPr>
      </w:pPr>
    </w:p>
    <w:p w14:paraId="27936CFF">
      <w:pPr>
        <w:spacing w:line="360" w:lineRule="auto"/>
        <w:ind w:right="-817" w:rightChars="-389" w:firstLine="2310" w:firstLineChars="1100"/>
        <w:contextualSpacing/>
        <w:rPr>
          <w:rFonts w:hint="eastAsia" w:ascii="宋体" w:hAnsi="宋体" w:cs="宋体"/>
          <w:szCs w:val="21"/>
        </w:rPr>
      </w:pPr>
      <w:r>
        <w:rPr>
          <w:rFonts w:hint="eastAsia" w:ascii="宋体" w:hAnsi="宋体" w:cs="宋体"/>
          <w:szCs w:val="21"/>
        </w:rPr>
        <w:t xml:space="preserve">法定代表人或者委托代理人（签字或者电子签名）：                    </w:t>
      </w:r>
    </w:p>
    <w:p w14:paraId="3F4D68C5">
      <w:pPr>
        <w:spacing w:line="360" w:lineRule="auto"/>
        <w:ind w:right="-817" w:rightChars="-389" w:firstLine="2310" w:firstLineChars="1100"/>
        <w:contextualSpacing/>
        <w:rPr>
          <w:rFonts w:hint="eastAsia" w:ascii="宋体" w:hAnsi="宋体" w:cs="宋体"/>
          <w:szCs w:val="21"/>
        </w:rPr>
      </w:pPr>
      <w:r>
        <w:rPr>
          <w:rFonts w:hint="eastAsia" w:ascii="宋体" w:hAnsi="宋体" w:cs="宋体"/>
          <w:szCs w:val="21"/>
        </w:rPr>
        <w:t xml:space="preserve">供应商（电子签章）：      </w:t>
      </w:r>
    </w:p>
    <w:p w14:paraId="22A4EDCF">
      <w:pPr>
        <w:spacing w:line="360" w:lineRule="auto"/>
        <w:jc w:val="center"/>
        <w:rPr>
          <w:rFonts w:hint="eastAsia" w:ascii="宋体" w:hAnsi="宋体" w:cs="宋体"/>
          <w:b/>
          <w:bCs/>
          <w:sz w:val="32"/>
          <w:szCs w:val="32"/>
        </w:rPr>
      </w:pPr>
      <w:r>
        <w:rPr>
          <w:rFonts w:hint="eastAsia" w:ascii="宋体" w:hAnsi="宋体" w:cs="宋体"/>
          <w:szCs w:val="21"/>
        </w:rPr>
        <w:t xml:space="preserve">       日期：   年   月   日</w:t>
      </w:r>
      <w:r>
        <w:rPr>
          <w:rFonts w:hint="eastAsia" w:ascii="宋体" w:hAnsi="宋体" w:cs="宋体"/>
          <w:b/>
          <w:bCs/>
          <w:sz w:val="32"/>
          <w:szCs w:val="32"/>
        </w:rPr>
        <w:br w:type="page"/>
      </w:r>
      <w:r>
        <w:rPr>
          <w:rFonts w:hint="eastAsia" w:ascii="宋体" w:hAnsi="宋体" w:cs="宋体"/>
          <w:b/>
          <w:bCs/>
          <w:sz w:val="32"/>
          <w:szCs w:val="32"/>
        </w:rPr>
        <w:t>（二）竞标函附录</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734E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5F1A571">
            <w:pPr>
              <w:spacing w:line="360" w:lineRule="auto"/>
              <w:jc w:val="center"/>
              <w:rPr>
                <w:rFonts w:hint="eastAsia" w:ascii="宋体" w:hAnsi="宋体" w:cs="宋体"/>
                <w:szCs w:val="21"/>
              </w:rPr>
            </w:pPr>
            <w:r>
              <w:rPr>
                <w:rFonts w:hint="eastAsia" w:ascii="宋体" w:hAnsi="宋体" w:cs="宋体"/>
                <w:szCs w:val="21"/>
              </w:rPr>
              <w:t>序 号</w:t>
            </w:r>
          </w:p>
        </w:tc>
        <w:tc>
          <w:tcPr>
            <w:tcW w:w="1985" w:type="dxa"/>
            <w:vAlign w:val="center"/>
          </w:tcPr>
          <w:p w14:paraId="256988BE">
            <w:pPr>
              <w:spacing w:line="360" w:lineRule="auto"/>
              <w:jc w:val="center"/>
              <w:rPr>
                <w:rFonts w:hint="eastAsia" w:ascii="宋体" w:hAnsi="宋体" w:cs="宋体"/>
                <w:szCs w:val="21"/>
              </w:rPr>
            </w:pPr>
            <w:r>
              <w:rPr>
                <w:rFonts w:hint="eastAsia" w:ascii="宋体" w:hAnsi="宋体" w:cs="宋体"/>
                <w:szCs w:val="21"/>
              </w:rPr>
              <w:t>条款内容</w:t>
            </w:r>
          </w:p>
        </w:tc>
        <w:tc>
          <w:tcPr>
            <w:tcW w:w="2126" w:type="dxa"/>
            <w:vAlign w:val="center"/>
          </w:tcPr>
          <w:p w14:paraId="391872E4">
            <w:pPr>
              <w:spacing w:line="360" w:lineRule="auto"/>
              <w:jc w:val="center"/>
              <w:rPr>
                <w:rFonts w:hint="eastAsia" w:ascii="宋体" w:hAnsi="宋体" w:cs="宋体"/>
                <w:szCs w:val="21"/>
              </w:rPr>
            </w:pPr>
            <w:r>
              <w:rPr>
                <w:rFonts w:hint="eastAsia" w:ascii="宋体" w:hAnsi="宋体" w:cs="宋体"/>
                <w:szCs w:val="21"/>
              </w:rPr>
              <w:t>合同条款号</w:t>
            </w:r>
          </w:p>
        </w:tc>
        <w:tc>
          <w:tcPr>
            <w:tcW w:w="1984" w:type="dxa"/>
            <w:vAlign w:val="center"/>
          </w:tcPr>
          <w:p w14:paraId="0506306D">
            <w:pPr>
              <w:spacing w:line="360" w:lineRule="auto"/>
              <w:jc w:val="center"/>
              <w:rPr>
                <w:rFonts w:hint="eastAsia" w:ascii="宋体" w:hAnsi="宋体" w:cs="宋体"/>
                <w:szCs w:val="21"/>
              </w:rPr>
            </w:pPr>
            <w:r>
              <w:rPr>
                <w:rFonts w:hint="eastAsia" w:ascii="宋体" w:hAnsi="宋体" w:cs="宋体"/>
                <w:szCs w:val="21"/>
              </w:rPr>
              <w:t>约定内容</w:t>
            </w:r>
          </w:p>
        </w:tc>
        <w:tc>
          <w:tcPr>
            <w:tcW w:w="1843" w:type="dxa"/>
            <w:vAlign w:val="center"/>
          </w:tcPr>
          <w:p w14:paraId="0189C5FF">
            <w:pPr>
              <w:spacing w:line="360" w:lineRule="auto"/>
              <w:jc w:val="center"/>
              <w:rPr>
                <w:rFonts w:hint="eastAsia" w:ascii="宋体" w:hAnsi="宋体" w:cs="宋体"/>
                <w:szCs w:val="21"/>
              </w:rPr>
            </w:pPr>
            <w:r>
              <w:rPr>
                <w:rFonts w:hint="eastAsia" w:ascii="宋体" w:hAnsi="宋体" w:cs="宋体"/>
                <w:szCs w:val="21"/>
              </w:rPr>
              <w:t>供应商响应情况</w:t>
            </w:r>
          </w:p>
        </w:tc>
      </w:tr>
      <w:tr w14:paraId="777A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2F05DCB">
            <w:pPr>
              <w:spacing w:line="360" w:lineRule="auto"/>
              <w:jc w:val="center"/>
              <w:rPr>
                <w:rFonts w:hint="eastAsia" w:ascii="宋体" w:hAnsi="宋体" w:cs="宋体"/>
                <w:szCs w:val="21"/>
              </w:rPr>
            </w:pPr>
            <w:r>
              <w:rPr>
                <w:rFonts w:hint="eastAsia" w:ascii="宋体" w:hAnsi="宋体" w:cs="宋体"/>
                <w:szCs w:val="21"/>
              </w:rPr>
              <w:t>1</w:t>
            </w:r>
          </w:p>
        </w:tc>
        <w:tc>
          <w:tcPr>
            <w:tcW w:w="1985" w:type="dxa"/>
            <w:vAlign w:val="center"/>
          </w:tcPr>
          <w:p w14:paraId="104267D3">
            <w:pPr>
              <w:spacing w:line="360" w:lineRule="auto"/>
              <w:rPr>
                <w:rFonts w:hint="eastAsia" w:ascii="宋体" w:hAnsi="宋体" w:cs="宋体"/>
                <w:szCs w:val="21"/>
              </w:rPr>
            </w:pPr>
            <w:r>
              <w:rPr>
                <w:rFonts w:hint="eastAsia" w:ascii="宋体" w:hAnsi="宋体" w:cs="宋体"/>
                <w:szCs w:val="21"/>
              </w:rPr>
              <w:t>项目经理</w:t>
            </w:r>
          </w:p>
        </w:tc>
        <w:tc>
          <w:tcPr>
            <w:tcW w:w="2126" w:type="dxa"/>
            <w:tcMar>
              <w:left w:w="170" w:type="dxa"/>
            </w:tcMar>
            <w:vAlign w:val="center"/>
          </w:tcPr>
          <w:p w14:paraId="2F706C1E">
            <w:pPr>
              <w:spacing w:line="360" w:lineRule="auto"/>
              <w:jc w:val="center"/>
              <w:rPr>
                <w:rFonts w:hint="eastAsia" w:ascii="宋体" w:hAnsi="宋体" w:cs="宋体"/>
                <w:szCs w:val="21"/>
              </w:rPr>
            </w:pPr>
            <w:r>
              <w:rPr>
                <w:rFonts w:hint="eastAsia" w:ascii="宋体" w:hAnsi="宋体" w:cs="宋体"/>
                <w:szCs w:val="21"/>
              </w:rPr>
              <w:t>专用条款</w:t>
            </w:r>
          </w:p>
        </w:tc>
        <w:tc>
          <w:tcPr>
            <w:tcW w:w="1984" w:type="dxa"/>
            <w:vAlign w:val="center"/>
          </w:tcPr>
          <w:p w14:paraId="7AFA16F9">
            <w:pPr>
              <w:spacing w:line="360" w:lineRule="auto"/>
              <w:rPr>
                <w:rFonts w:hint="eastAsia"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p>
        </w:tc>
        <w:tc>
          <w:tcPr>
            <w:tcW w:w="1843" w:type="dxa"/>
            <w:vAlign w:val="center"/>
          </w:tcPr>
          <w:p w14:paraId="389E27AB">
            <w:pPr>
              <w:spacing w:line="360" w:lineRule="auto"/>
              <w:jc w:val="center"/>
              <w:rPr>
                <w:rFonts w:hint="eastAsia" w:ascii="宋体" w:hAnsi="宋体" w:cs="宋体"/>
                <w:szCs w:val="21"/>
              </w:rPr>
            </w:pPr>
          </w:p>
        </w:tc>
      </w:tr>
      <w:tr w14:paraId="23B8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ABF99B2">
            <w:pPr>
              <w:spacing w:line="360" w:lineRule="auto"/>
              <w:jc w:val="center"/>
              <w:rPr>
                <w:rFonts w:hint="eastAsia" w:ascii="宋体" w:hAnsi="宋体" w:cs="宋体"/>
                <w:szCs w:val="21"/>
              </w:rPr>
            </w:pPr>
            <w:r>
              <w:rPr>
                <w:rFonts w:hint="eastAsia" w:ascii="宋体" w:hAnsi="宋体" w:cs="宋体"/>
                <w:szCs w:val="21"/>
              </w:rPr>
              <w:t>2</w:t>
            </w:r>
          </w:p>
        </w:tc>
        <w:tc>
          <w:tcPr>
            <w:tcW w:w="1985" w:type="dxa"/>
            <w:vAlign w:val="center"/>
          </w:tcPr>
          <w:p w14:paraId="3D7928A7">
            <w:pPr>
              <w:spacing w:line="360" w:lineRule="auto"/>
              <w:rPr>
                <w:rFonts w:hint="eastAsia" w:ascii="宋体" w:hAnsi="宋体" w:cs="宋体"/>
                <w:szCs w:val="21"/>
              </w:rPr>
            </w:pPr>
            <w:r>
              <w:rPr>
                <w:rFonts w:hint="eastAsia" w:ascii="宋体" w:hAnsi="宋体" w:cs="宋体"/>
                <w:szCs w:val="21"/>
              </w:rPr>
              <w:t>竞标有效期</w:t>
            </w:r>
          </w:p>
        </w:tc>
        <w:tc>
          <w:tcPr>
            <w:tcW w:w="2126" w:type="dxa"/>
            <w:tcMar>
              <w:left w:w="170" w:type="dxa"/>
            </w:tcMar>
            <w:vAlign w:val="center"/>
          </w:tcPr>
          <w:p w14:paraId="3DF84724">
            <w:pPr>
              <w:spacing w:line="360" w:lineRule="auto"/>
              <w:rPr>
                <w:rFonts w:hint="eastAsia" w:ascii="宋体" w:hAnsi="宋体" w:cs="宋体"/>
                <w:szCs w:val="21"/>
              </w:rPr>
            </w:pPr>
          </w:p>
        </w:tc>
        <w:tc>
          <w:tcPr>
            <w:tcW w:w="1984" w:type="dxa"/>
            <w:vAlign w:val="center"/>
          </w:tcPr>
          <w:p w14:paraId="75096759">
            <w:pPr>
              <w:spacing w:line="360" w:lineRule="auto"/>
              <w:jc w:val="center"/>
              <w:rPr>
                <w:rFonts w:hint="eastAsia" w:ascii="宋体" w:hAnsi="宋体" w:cs="宋体"/>
                <w:szCs w:val="21"/>
                <w:u w:val="single"/>
              </w:rPr>
            </w:pPr>
            <w:r>
              <w:rPr>
                <w:rFonts w:hint="eastAsia" w:ascii="宋体" w:hAnsi="宋体" w:cs="宋体"/>
                <w:szCs w:val="21"/>
              </w:rPr>
              <w:t>自首次响应文件提交截止之日起120日</w:t>
            </w:r>
          </w:p>
        </w:tc>
        <w:tc>
          <w:tcPr>
            <w:tcW w:w="1843" w:type="dxa"/>
            <w:vAlign w:val="center"/>
          </w:tcPr>
          <w:p w14:paraId="46CFABB8">
            <w:pPr>
              <w:spacing w:line="360" w:lineRule="auto"/>
              <w:jc w:val="center"/>
              <w:rPr>
                <w:rFonts w:hint="eastAsia" w:ascii="宋体" w:hAnsi="宋体" w:cs="宋体"/>
                <w:szCs w:val="21"/>
              </w:rPr>
            </w:pPr>
          </w:p>
        </w:tc>
      </w:tr>
      <w:tr w14:paraId="6672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F6149AD">
            <w:pPr>
              <w:spacing w:line="360" w:lineRule="auto"/>
              <w:jc w:val="center"/>
              <w:rPr>
                <w:rFonts w:hint="eastAsia" w:ascii="宋体" w:hAnsi="宋体" w:cs="宋体"/>
                <w:szCs w:val="21"/>
              </w:rPr>
            </w:pPr>
            <w:r>
              <w:rPr>
                <w:rFonts w:hint="eastAsia" w:ascii="宋体" w:hAnsi="宋体" w:cs="宋体"/>
                <w:szCs w:val="21"/>
              </w:rPr>
              <w:t>3</w:t>
            </w:r>
          </w:p>
        </w:tc>
        <w:tc>
          <w:tcPr>
            <w:tcW w:w="1985" w:type="dxa"/>
            <w:vAlign w:val="center"/>
          </w:tcPr>
          <w:p w14:paraId="4AD84BFA">
            <w:pPr>
              <w:spacing w:line="360" w:lineRule="auto"/>
              <w:rPr>
                <w:rFonts w:hint="eastAsia" w:ascii="宋体" w:hAnsi="宋体" w:cs="宋体"/>
                <w:szCs w:val="21"/>
              </w:rPr>
            </w:pPr>
            <w:r>
              <w:rPr>
                <w:rFonts w:hint="eastAsia" w:ascii="宋体" w:hAnsi="宋体" w:cs="宋体"/>
                <w:szCs w:val="21"/>
              </w:rPr>
              <w:t>工期</w:t>
            </w:r>
          </w:p>
        </w:tc>
        <w:tc>
          <w:tcPr>
            <w:tcW w:w="2126" w:type="dxa"/>
            <w:tcMar>
              <w:left w:w="170" w:type="dxa"/>
            </w:tcMar>
            <w:vAlign w:val="center"/>
          </w:tcPr>
          <w:p w14:paraId="66EB6E7C">
            <w:pPr>
              <w:spacing w:line="360" w:lineRule="auto"/>
              <w:jc w:val="center"/>
              <w:rPr>
                <w:rFonts w:hint="eastAsia" w:ascii="宋体" w:hAnsi="宋体" w:cs="宋体"/>
                <w:szCs w:val="21"/>
              </w:rPr>
            </w:pPr>
            <w:r>
              <w:rPr>
                <w:rFonts w:hint="eastAsia" w:ascii="宋体" w:hAnsi="宋体" w:cs="宋体"/>
                <w:szCs w:val="21"/>
              </w:rPr>
              <w:t>专用条款</w:t>
            </w:r>
          </w:p>
        </w:tc>
        <w:tc>
          <w:tcPr>
            <w:tcW w:w="1984" w:type="dxa"/>
            <w:vAlign w:val="center"/>
          </w:tcPr>
          <w:p w14:paraId="1C418CFC">
            <w:pPr>
              <w:spacing w:line="360" w:lineRule="auto"/>
              <w:jc w:val="center"/>
              <w:rPr>
                <w:rFonts w:hint="eastAsia" w:ascii="宋体" w:hAnsi="宋体" w:cs="宋体"/>
                <w:szCs w:val="21"/>
              </w:rPr>
            </w:pPr>
            <w:r>
              <w:rPr>
                <w:rFonts w:hint="eastAsia" w:ascii="宋体" w:hAnsi="宋体" w:cs="宋体"/>
                <w:szCs w:val="21"/>
                <w:highlight w:val="none"/>
              </w:rPr>
              <w:t>自签订合同之日起30日历日完成所有施工并验收合格。</w:t>
            </w:r>
          </w:p>
        </w:tc>
        <w:tc>
          <w:tcPr>
            <w:tcW w:w="1843" w:type="dxa"/>
            <w:vAlign w:val="center"/>
          </w:tcPr>
          <w:p w14:paraId="76F55129">
            <w:pPr>
              <w:spacing w:line="360" w:lineRule="auto"/>
              <w:jc w:val="center"/>
              <w:rPr>
                <w:rFonts w:hint="eastAsia" w:ascii="宋体" w:hAnsi="宋体" w:cs="宋体"/>
                <w:szCs w:val="21"/>
              </w:rPr>
            </w:pPr>
          </w:p>
        </w:tc>
      </w:tr>
      <w:tr w14:paraId="4740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81C20F7">
            <w:pPr>
              <w:spacing w:line="360" w:lineRule="auto"/>
              <w:jc w:val="center"/>
              <w:rPr>
                <w:rFonts w:hint="eastAsia" w:ascii="宋体" w:hAnsi="宋体" w:cs="宋体"/>
                <w:szCs w:val="21"/>
              </w:rPr>
            </w:pPr>
            <w:r>
              <w:rPr>
                <w:rFonts w:hint="eastAsia" w:ascii="宋体" w:hAnsi="宋体" w:cs="宋体"/>
                <w:szCs w:val="21"/>
              </w:rPr>
              <w:t>4</w:t>
            </w:r>
          </w:p>
        </w:tc>
        <w:tc>
          <w:tcPr>
            <w:tcW w:w="1985" w:type="dxa"/>
            <w:vAlign w:val="center"/>
          </w:tcPr>
          <w:p w14:paraId="2B5B994D">
            <w:pPr>
              <w:spacing w:line="360" w:lineRule="auto"/>
              <w:rPr>
                <w:rFonts w:hint="eastAsia" w:ascii="宋体" w:hAnsi="宋体" w:cs="宋体"/>
                <w:szCs w:val="21"/>
              </w:rPr>
            </w:pPr>
            <w:r>
              <w:rPr>
                <w:rFonts w:hint="eastAsia" w:ascii="宋体" w:hAnsi="宋体" w:cs="宋体"/>
                <w:szCs w:val="21"/>
              </w:rPr>
              <w:t>缺陷责任期</w:t>
            </w:r>
          </w:p>
        </w:tc>
        <w:tc>
          <w:tcPr>
            <w:tcW w:w="2126" w:type="dxa"/>
            <w:tcMar>
              <w:left w:w="170" w:type="dxa"/>
            </w:tcMar>
            <w:vAlign w:val="center"/>
          </w:tcPr>
          <w:p w14:paraId="2C5D472E">
            <w:pPr>
              <w:spacing w:line="360" w:lineRule="auto"/>
              <w:jc w:val="center"/>
              <w:rPr>
                <w:rFonts w:hint="eastAsia" w:ascii="宋体" w:hAnsi="宋体" w:cs="宋体"/>
                <w:szCs w:val="21"/>
              </w:rPr>
            </w:pPr>
            <w:r>
              <w:rPr>
                <w:rFonts w:hint="eastAsia" w:ascii="宋体" w:hAnsi="宋体" w:cs="宋体"/>
                <w:szCs w:val="21"/>
              </w:rPr>
              <w:t>专用条款</w:t>
            </w:r>
          </w:p>
        </w:tc>
        <w:tc>
          <w:tcPr>
            <w:tcW w:w="1984" w:type="dxa"/>
            <w:vAlign w:val="center"/>
          </w:tcPr>
          <w:p w14:paraId="641FAACD">
            <w:pPr>
              <w:spacing w:line="360" w:lineRule="auto"/>
              <w:jc w:val="center"/>
              <w:rPr>
                <w:rFonts w:hint="eastAsia" w:ascii="宋体" w:hAnsi="宋体" w:cs="宋体"/>
                <w:szCs w:val="21"/>
              </w:rPr>
            </w:pPr>
            <w:r>
              <w:rPr>
                <w:rFonts w:hint="eastAsia" w:ascii="宋体" w:hAnsi="宋体" w:cs="宋体"/>
                <w:szCs w:val="21"/>
                <w:lang w:val="en-US" w:eastAsia="zh-CN"/>
              </w:rPr>
              <w:t>24</w:t>
            </w:r>
            <w:r>
              <w:rPr>
                <w:rFonts w:hint="eastAsia" w:ascii="宋体" w:hAnsi="宋体" w:cs="宋体"/>
                <w:szCs w:val="21"/>
              </w:rPr>
              <w:t>个月</w:t>
            </w:r>
          </w:p>
        </w:tc>
        <w:tc>
          <w:tcPr>
            <w:tcW w:w="1843" w:type="dxa"/>
            <w:vAlign w:val="center"/>
          </w:tcPr>
          <w:p w14:paraId="036E1EAB">
            <w:pPr>
              <w:spacing w:line="360" w:lineRule="auto"/>
              <w:jc w:val="center"/>
              <w:rPr>
                <w:rFonts w:hint="eastAsia" w:ascii="宋体" w:hAnsi="宋体" w:cs="宋体"/>
                <w:szCs w:val="21"/>
              </w:rPr>
            </w:pPr>
          </w:p>
        </w:tc>
      </w:tr>
      <w:tr w14:paraId="18F8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2D0F69F0">
            <w:pPr>
              <w:spacing w:line="360" w:lineRule="auto"/>
              <w:jc w:val="center"/>
              <w:rPr>
                <w:rFonts w:hint="eastAsia" w:ascii="宋体" w:hAnsi="宋体" w:cs="宋体"/>
                <w:szCs w:val="21"/>
              </w:rPr>
            </w:pPr>
            <w:r>
              <w:rPr>
                <w:rFonts w:hint="eastAsia" w:ascii="宋体" w:hAnsi="宋体" w:cs="宋体"/>
                <w:szCs w:val="21"/>
              </w:rPr>
              <w:t>5</w:t>
            </w:r>
          </w:p>
        </w:tc>
        <w:tc>
          <w:tcPr>
            <w:tcW w:w="1985" w:type="dxa"/>
            <w:vAlign w:val="center"/>
          </w:tcPr>
          <w:p w14:paraId="32159238">
            <w:pPr>
              <w:spacing w:line="360" w:lineRule="auto"/>
              <w:rPr>
                <w:rFonts w:hint="eastAsia" w:ascii="宋体" w:hAnsi="宋体" w:cs="宋体"/>
                <w:szCs w:val="21"/>
              </w:rPr>
            </w:pPr>
            <w:r>
              <w:rPr>
                <w:rFonts w:hint="eastAsia" w:ascii="宋体" w:hAnsi="宋体" w:cs="宋体"/>
                <w:szCs w:val="21"/>
              </w:rPr>
              <w:t>分包</w:t>
            </w:r>
          </w:p>
        </w:tc>
        <w:tc>
          <w:tcPr>
            <w:tcW w:w="2126" w:type="dxa"/>
            <w:tcMar>
              <w:left w:w="170" w:type="dxa"/>
            </w:tcMar>
            <w:vAlign w:val="center"/>
          </w:tcPr>
          <w:p w14:paraId="26C516A4">
            <w:pPr>
              <w:spacing w:line="360" w:lineRule="auto"/>
              <w:jc w:val="center"/>
              <w:rPr>
                <w:rFonts w:hint="eastAsia" w:ascii="宋体" w:hAnsi="宋体" w:cs="宋体"/>
                <w:szCs w:val="21"/>
              </w:rPr>
            </w:pPr>
            <w:r>
              <w:rPr>
                <w:rFonts w:hint="eastAsia" w:ascii="宋体" w:hAnsi="宋体" w:cs="宋体"/>
                <w:szCs w:val="21"/>
              </w:rPr>
              <w:t>专用条款</w:t>
            </w:r>
          </w:p>
        </w:tc>
        <w:tc>
          <w:tcPr>
            <w:tcW w:w="1984" w:type="dxa"/>
            <w:vAlign w:val="center"/>
          </w:tcPr>
          <w:p w14:paraId="2790E3BD">
            <w:pPr>
              <w:spacing w:line="360" w:lineRule="auto"/>
              <w:jc w:val="center"/>
              <w:rPr>
                <w:rFonts w:hint="eastAsia" w:ascii="宋体" w:hAnsi="宋体" w:cs="宋体"/>
                <w:szCs w:val="21"/>
              </w:rPr>
            </w:pPr>
            <w:r>
              <w:rPr>
                <w:rFonts w:hint="eastAsia" w:ascii="宋体" w:hAnsi="宋体" w:cs="宋体"/>
                <w:szCs w:val="21"/>
              </w:rPr>
              <w:t>不分包</w:t>
            </w:r>
          </w:p>
        </w:tc>
        <w:tc>
          <w:tcPr>
            <w:tcW w:w="1843" w:type="dxa"/>
            <w:vAlign w:val="center"/>
          </w:tcPr>
          <w:p w14:paraId="4D6CF89D">
            <w:pPr>
              <w:spacing w:line="360" w:lineRule="auto"/>
              <w:jc w:val="center"/>
              <w:rPr>
                <w:rFonts w:hint="eastAsia" w:ascii="宋体" w:hAnsi="宋体" w:cs="宋体"/>
                <w:szCs w:val="21"/>
              </w:rPr>
            </w:pPr>
          </w:p>
        </w:tc>
      </w:tr>
      <w:tr w14:paraId="3F23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6614F61">
            <w:pPr>
              <w:spacing w:line="360" w:lineRule="auto"/>
              <w:jc w:val="center"/>
              <w:rPr>
                <w:rFonts w:hint="eastAsia" w:ascii="宋体" w:hAnsi="宋体" w:cs="宋体"/>
                <w:szCs w:val="21"/>
              </w:rPr>
            </w:pPr>
            <w:r>
              <w:rPr>
                <w:rFonts w:hint="eastAsia" w:ascii="宋体" w:hAnsi="宋体" w:cs="宋体"/>
                <w:szCs w:val="21"/>
              </w:rPr>
              <w:t>6</w:t>
            </w:r>
          </w:p>
        </w:tc>
        <w:tc>
          <w:tcPr>
            <w:tcW w:w="1985" w:type="dxa"/>
            <w:vAlign w:val="center"/>
          </w:tcPr>
          <w:p w14:paraId="0486E89F">
            <w:pPr>
              <w:spacing w:line="360" w:lineRule="auto"/>
              <w:rPr>
                <w:rFonts w:hint="eastAsia" w:ascii="宋体" w:hAnsi="宋体" w:cs="宋体"/>
                <w:szCs w:val="21"/>
              </w:rPr>
            </w:pPr>
            <w:r>
              <w:rPr>
                <w:rFonts w:hint="eastAsia" w:ascii="宋体" w:hAnsi="宋体" w:cs="宋体"/>
                <w:szCs w:val="21"/>
              </w:rPr>
              <w:t>逾期竣工违约金</w:t>
            </w:r>
          </w:p>
        </w:tc>
        <w:tc>
          <w:tcPr>
            <w:tcW w:w="2126" w:type="dxa"/>
            <w:tcMar>
              <w:left w:w="170" w:type="dxa"/>
            </w:tcMar>
            <w:vAlign w:val="center"/>
          </w:tcPr>
          <w:p w14:paraId="0CDDF848">
            <w:pPr>
              <w:spacing w:line="360" w:lineRule="auto"/>
              <w:jc w:val="center"/>
              <w:rPr>
                <w:rFonts w:hint="eastAsia" w:ascii="宋体" w:hAnsi="宋体" w:cs="宋体"/>
                <w:szCs w:val="21"/>
              </w:rPr>
            </w:pPr>
            <w:r>
              <w:rPr>
                <w:rFonts w:hint="eastAsia" w:ascii="宋体" w:hAnsi="宋体" w:cs="宋体"/>
                <w:szCs w:val="21"/>
              </w:rPr>
              <w:t>专用条款</w:t>
            </w:r>
          </w:p>
        </w:tc>
        <w:tc>
          <w:tcPr>
            <w:tcW w:w="1984" w:type="dxa"/>
            <w:vAlign w:val="center"/>
          </w:tcPr>
          <w:p w14:paraId="6FE3E7C2">
            <w:pPr>
              <w:spacing w:line="360" w:lineRule="auto"/>
              <w:rPr>
                <w:rFonts w:hint="eastAsia" w:ascii="宋体" w:hAnsi="宋体" w:cs="宋体"/>
                <w:szCs w:val="21"/>
              </w:rPr>
            </w:pPr>
            <w:r>
              <w:rPr>
                <w:rFonts w:hint="eastAsia" w:ascii="宋体" w:hAnsi="宋体" w:cs="宋体"/>
                <w:szCs w:val="21"/>
                <w:u w:val="single"/>
              </w:rPr>
              <w:t>按逾期竣工的单项工程罚款，每延误一天,按单项工程应支付给承包人的结算造价的万分之 四处罚</w:t>
            </w:r>
          </w:p>
        </w:tc>
        <w:tc>
          <w:tcPr>
            <w:tcW w:w="1843" w:type="dxa"/>
            <w:vAlign w:val="center"/>
          </w:tcPr>
          <w:p w14:paraId="57103046">
            <w:pPr>
              <w:spacing w:line="360" w:lineRule="auto"/>
              <w:jc w:val="center"/>
              <w:rPr>
                <w:rFonts w:hint="eastAsia" w:ascii="宋体" w:hAnsi="宋体" w:cs="宋体"/>
                <w:szCs w:val="21"/>
              </w:rPr>
            </w:pPr>
          </w:p>
        </w:tc>
      </w:tr>
      <w:tr w14:paraId="249E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2EAFCC24">
            <w:pPr>
              <w:spacing w:line="360" w:lineRule="auto"/>
              <w:jc w:val="center"/>
              <w:rPr>
                <w:rFonts w:hint="eastAsia" w:ascii="宋体" w:hAnsi="宋体" w:cs="宋体"/>
                <w:szCs w:val="21"/>
              </w:rPr>
            </w:pPr>
            <w:r>
              <w:rPr>
                <w:rFonts w:hint="eastAsia" w:ascii="宋体" w:hAnsi="宋体" w:cs="宋体"/>
                <w:szCs w:val="21"/>
              </w:rPr>
              <w:t>7</w:t>
            </w:r>
          </w:p>
        </w:tc>
        <w:tc>
          <w:tcPr>
            <w:tcW w:w="1985" w:type="dxa"/>
            <w:vAlign w:val="center"/>
          </w:tcPr>
          <w:p w14:paraId="7C7F7D46">
            <w:pPr>
              <w:spacing w:line="360" w:lineRule="auto"/>
              <w:rPr>
                <w:rFonts w:hint="eastAsia" w:ascii="宋体" w:hAnsi="宋体" w:cs="宋体"/>
                <w:szCs w:val="21"/>
              </w:rPr>
            </w:pPr>
            <w:r>
              <w:rPr>
                <w:rFonts w:hint="eastAsia" w:ascii="宋体" w:hAnsi="宋体" w:cs="宋体"/>
                <w:szCs w:val="21"/>
              </w:rPr>
              <w:t>逾期竣工违约金最高限额</w:t>
            </w:r>
          </w:p>
        </w:tc>
        <w:tc>
          <w:tcPr>
            <w:tcW w:w="2126" w:type="dxa"/>
            <w:tcMar>
              <w:left w:w="170" w:type="dxa"/>
            </w:tcMar>
            <w:vAlign w:val="center"/>
          </w:tcPr>
          <w:p w14:paraId="1FAFDB5F">
            <w:pPr>
              <w:spacing w:line="360" w:lineRule="auto"/>
              <w:jc w:val="center"/>
              <w:rPr>
                <w:rFonts w:hint="eastAsia" w:ascii="宋体" w:hAnsi="宋体" w:cs="宋体"/>
                <w:szCs w:val="21"/>
              </w:rPr>
            </w:pPr>
            <w:r>
              <w:rPr>
                <w:rFonts w:hint="eastAsia" w:ascii="宋体" w:hAnsi="宋体" w:cs="宋体"/>
                <w:szCs w:val="21"/>
              </w:rPr>
              <w:t>专用条款</w:t>
            </w:r>
          </w:p>
        </w:tc>
        <w:tc>
          <w:tcPr>
            <w:tcW w:w="1984" w:type="dxa"/>
            <w:vAlign w:val="center"/>
          </w:tcPr>
          <w:p w14:paraId="16819857">
            <w:pPr>
              <w:spacing w:line="360" w:lineRule="auto"/>
              <w:jc w:val="center"/>
              <w:rPr>
                <w:rFonts w:hint="eastAsia" w:ascii="宋体" w:hAnsi="宋体" w:cs="宋体"/>
                <w:szCs w:val="21"/>
              </w:rPr>
            </w:pPr>
            <w:r>
              <w:rPr>
                <w:rFonts w:hint="eastAsia" w:ascii="宋体" w:hAnsi="宋体" w:cs="宋体"/>
                <w:szCs w:val="21"/>
                <w:u w:val="single"/>
              </w:rPr>
              <w:t>逾期竣工的单项工程结算造价的5%</w:t>
            </w:r>
          </w:p>
        </w:tc>
        <w:tc>
          <w:tcPr>
            <w:tcW w:w="1843" w:type="dxa"/>
            <w:vAlign w:val="center"/>
          </w:tcPr>
          <w:p w14:paraId="5C1AA48B">
            <w:pPr>
              <w:spacing w:line="360" w:lineRule="auto"/>
              <w:jc w:val="center"/>
              <w:rPr>
                <w:rFonts w:hint="eastAsia" w:ascii="宋体" w:hAnsi="宋体" w:cs="宋体"/>
                <w:szCs w:val="21"/>
              </w:rPr>
            </w:pPr>
          </w:p>
        </w:tc>
      </w:tr>
      <w:tr w14:paraId="68A5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D175279">
            <w:pPr>
              <w:spacing w:line="360" w:lineRule="auto"/>
              <w:jc w:val="center"/>
              <w:rPr>
                <w:rFonts w:hint="eastAsia" w:ascii="宋体" w:hAnsi="宋体" w:cs="宋体"/>
                <w:szCs w:val="21"/>
              </w:rPr>
            </w:pPr>
            <w:r>
              <w:rPr>
                <w:rFonts w:hint="eastAsia" w:ascii="宋体" w:hAnsi="宋体" w:cs="宋体"/>
                <w:szCs w:val="21"/>
              </w:rPr>
              <w:t>8</w:t>
            </w:r>
          </w:p>
        </w:tc>
        <w:tc>
          <w:tcPr>
            <w:tcW w:w="1985" w:type="dxa"/>
            <w:vAlign w:val="center"/>
          </w:tcPr>
          <w:p w14:paraId="54D90868">
            <w:pPr>
              <w:spacing w:line="360" w:lineRule="auto"/>
              <w:rPr>
                <w:rFonts w:hint="eastAsia" w:ascii="宋体" w:hAnsi="宋体" w:cs="宋体"/>
                <w:szCs w:val="21"/>
              </w:rPr>
            </w:pPr>
            <w:r>
              <w:rPr>
                <w:rFonts w:hint="eastAsia" w:ascii="宋体" w:hAnsi="宋体" w:cs="宋体"/>
                <w:szCs w:val="21"/>
              </w:rPr>
              <w:t>质量要求</w:t>
            </w:r>
          </w:p>
        </w:tc>
        <w:tc>
          <w:tcPr>
            <w:tcW w:w="2126" w:type="dxa"/>
            <w:tcMar>
              <w:left w:w="170" w:type="dxa"/>
            </w:tcMar>
            <w:vAlign w:val="center"/>
          </w:tcPr>
          <w:p w14:paraId="29397DD3">
            <w:pPr>
              <w:spacing w:line="360" w:lineRule="auto"/>
              <w:jc w:val="center"/>
              <w:rPr>
                <w:rFonts w:hint="eastAsia" w:ascii="宋体" w:hAnsi="宋体" w:cs="宋体"/>
                <w:szCs w:val="21"/>
              </w:rPr>
            </w:pPr>
            <w:r>
              <w:rPr>
                <w:rFonts w:hint="eastAsia" w:ascii="宋体" w:hAnsi="宋体" w:cs="宋体"/>
                <w:szCs w:val="21"/>
              </w:rPr>
              <w:t>专用条款</w:t>
            </w:r>
          </w:p>
        </w:tc>
        <w:tc>
          <w:tcPr>
            <w:tcW w:w="1984" w:type="dxa"/>
            <w:vAlign w:val="center"/>
          </w:tcPr>
          <w:p w14:paraId="74E37E37">
            <w:pPr>
              <w:spacing w:line="360" w:lineRule="auto"/>
              <w:jc w:val="center"/>
              <w:rPr>
                <w:rFonts w:hint="eastAsia" w:ascii="宋体" w:hAnsi="宋体" w:cs="宋体"/>
                <w:szCs w:val="21"/>
              </w:rPr>
            </w:pPr>
            <w:r>
              <w:rPr>
                <w:rFonts w:hint="eastAsia" w:ascii="宋体" w:hAnsi="宋体" w:cs="宋体"/>
                <w:szCs w:val="21"/>
              </w:rPr>
              <w:t>达到国家施工验收规范合格标准要求</w:t>
            </w:r>
          </w:p>
        </w:tc>
        <w:tc>
          <w:tcPr>
            <w:tcW w:w="1843" w:type="dxa"/>
            <w:vAlign w:val="center"/>
          </w:tcPr>
          <w:p w14:paraId="73D3BAEC">
            <w:pPr>
              <w:spacing w:line="360" w:lineRule="auto"/>
              <w:jc w:val="center"/>
              <w:rPr>
                <w:rFonts w:hint="eastAsia" w:ascii="宋体" w:hAnsi="宋体" w:cs="宋体"/>
                <w:szCs w:val="21"/>
              </w:rPr>
            </w:pPr>
          </w:p>
        </w:tc>
      </w:tr>
      <w:tr w14:paraId="67AD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998B976">
            <w:pPr>
              <w:spacing w:line="360" w:lineRule="auto"/>
              <w:jc w:val="center"/>
              <w:rPr>
                <w:rFonts w:hint="eastAsia" w:ascii="宋体" w:hAnsi="宋体" w:cs="宋体"/>
                <w:szCs w:val="21"/>
              </w:rPr>
            </w:pPr>
            <w:r>
              <w:rPr>
                <w:rFonts w:hint="eastAsia" w:ascii="宋体" w:hAnsi="宋体" w:cs="宋体"/>
                <w:szCs w:val="21"/>
              </w:rPr>
              <w:t>9</w:t>
            </w:r>
          </w:p>
        </w:tc>
        <w:tc>
          <w:tcPr>
            <w:tcW w:w="1985" w:type="dxa"/>
            <w:vAlign w:val="center"/>
          </w:tcPr>
          <w:p w14:paraId="1022E89B">
            <w:pPr>
              <w:spacing w:line="360" w:lineRule="auto"/>
              <w:rPr>
                <w:rFonts w:hint="eastAsia" w:ascii="宋体" w:hAnsi="宋体" w:cs="宋体"/>
                <w:szCs w:val="21"/>
              </w:rPr>
            </w:pPr>
            <w:r>
              <w:rPr>
                <w:rFonts w:hint="eastAsia" w:ascii="宋体" w:hAnsi="宋体" w:cs="宋体"/>
                <w:szCs w:val="21"/>
              </w:rPr>
              <w:t>预付款额度</w:t>
            </w:r>
          </w:p>
        </w:tc>
        <w:tc>
          <w:tcPr>
            <w:tcW w:w="2126" w:type="dxa"/>
            <w:tcMar>
              <w:left w:w="170" w:type="dxa"/>
            </w:tcMar>
            <w:vAlign w:val="center"/>
          </w:tcPr>
          <w:p w14:paraId="2192B255">
            <w:pPr>
              <w:spacing w:line="360" w:lineRule="auto"/>
              <w:jc w:val="center"/>
              <w:rPr>
                <w:rFonts w:hint="eastAsia" w:ascii="宋体" w:hAnsi="宋体" w:cs="宋体"/>
                <w:szCs w:val="21"/>
              </w:rPr>
            </w:pPr>
            <w:r>
              <w:rPr>
                <w:rFonts w:hint="eastAsia" w:ascii="宋体" w:hAnsi="宋体" w:cs="宋体"/>
                <w:szCs w:val="21"/>
              </w:rPr>
              <w:t>专用条款</w:t>
            </w:r>
          </w:p>
        </w:tc>
        <w:tc>
          <w:tcPr>
            <w:tcW w:w="1984" w:type="dxa"/>
            <w:vAlign w:val="center"/>
          </w:tcPr>
          <w:p w14:paraId="0B2A08F4">
            <w:pPr>
              <w:spacing w:line="360" w:lineRule="auto"/>
              <w:jc w:val="center"/>
              <w:rPr>
                <w:rFonts w:hint="eastAsia" w:ascii="宋体" w:hAnsi="宋体" w:cs="宋体"/>
                <w:szCs w:val="21"/>
              </w:rPr>
            </w:pPr>
            <w:r>
              <w:rPr>
                <w:rFonts w:hint="eastAsia" w:ascii="宋体" w:hAnsi="宋体" w:cs="宋体"/>
                <w:szCs w:val="21"/>
                <w:highlight w:val="none"/>
              </w:rPr>
              <w:t>合同价款的20%</w:t>
            </w:r>
          </w:p>
        </w:tc>
        <w:tc>
          <w:tcPr>
            <w:tcW w:w="1843" w:type="dxa"/>
            <w:vAlign w:val="center"/>
          </w:tcPr>
          <w:p w14:paraId="5EAF833D">
            <w:pPr>
              <w:spacing w:line="360" w:lineRule="auto"/>
              <w:jc w:val="center"/>
              <w:rPr>
                <w:rFonts w:hint="eastAsia" w:ascii="宋体" w:hAnsi="宋体" w:cs="宋体"/>
                <w:szCs w:val="21"/>
              </w:rPr>
            </w:pPr>
          </w:p>
        </w:tc>
      </w:tr>
      <w:tr w14:paraId="0205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C55BBEA">
            <w:pPr>
              <w:spacing w:line="360" w:lineRule="auto"/>
              <w:jc w:val="center"/>
              <w:rPr>
                <w:rFonts w:hint="eastAsia" w:ascii="宋体" w:hAnsi="宋体" w:cs="宋体"/>
                <w:szCs w:val="21"/>
              </w:rPr>
            </w:pPr>
            <w:r>
              <w:rPr>
                <w:rFonts w:hint="eastAsia" w:ascii="宋体" w:hAnsi="宋体" w:cs="宋体"/>
                <w:szCs w:val="21"/>
              </w:rPr>
              <w:t>……</w:t>
            </w:r>
          </w:p>
        </w:tc>
        <w:tc>
          <w:tcPr>
            <w:tcW w:w="1985" w:type="dxa"/>
            <w:vAlign w:val="center"/>
          </w:tcPr>
          <w:p w14:paraId="2D98D009">
            <w:pPr>
              <w:spacing w:line="360" w:lineRule="auto"/>
              <w:jc w:val="center"/>
              <w:rPr>
                <w:rFonts w:hint="eastAsia" w:ascii="宋体" w:hAnsi="宋体" w:cs="宋体"/>
                <w:szCs w:val="21"/>
              </w:rPr>
            </w:pPr>
            <w:r>
              <w:rPr>
                <w:rFonts w:hint="eastAsia" w:ascii="宋体" w:hAnsi="宋体" w:cs="宋体"/>
                <w:szCs w:val="21"/>
              </w:rPr>
              <w:t>……</w:t>
            </w:r>
          </w:p>
        </w:tc>
        <w:tc>
          <w:tcPr>
            <w:tcW w:w="2126" w:type="dxa"/>
            <w:tcMar>
              <w:left w:w="170" w:type="dxa"/>
            </w:tcMar>
            <w:vAlign w:val="center"/>
          </w:tcPr>
          <w:p w14:paraId="7B4AD9E7">
            <w:pPr>
              <w:spacing w:line="360" w:lineRule="auto"/>
              <w:jc w:val="center"/>
              <w:rPr>
                <w:rFonts w:hint="eastAsia" w:ascii="宋体" w:hAnsi="宋体" w:cs="宋体"/>
                <w:szCs w:val="21"/>
              </w:rPr>
            </w:pPr>
          </w:p>
        </w:tc>
        <w:tc>
          <w:tcPr>
            <w:tcW w:w="1984" w:type="dxa"/>
            <w:vAlign w:val="center"/>
          </w:tcPr>
          <w:p w14:paraId="57AF85E4">
            <w:pPr>
              <w:spacing w:line="360" w:lineRule="auto"/>
              <w:jc w:val="center"/>
              <w:rPr>
                <w:rFonts w:hint="eastAsia" w:ascii="宋体" w:hAnsi="宋体" w:cs="宋体"/>
                <w:szCs w:val="21"/>
              </w:rPr>
            </w:pPr>
          </w:p>
        </w:tc>
        <w:tc>
          <w:tcPr>
            <w:tcW w:w="1843" w:type="dxa"/>
            <w:vAlign w:val="center"/>
          </w:tcPr>
          <w:p w14:paraId="1680DC2C">
            <w:pPr>
              <w:spacing w:line="360" w:lineRule="auto"/>
              <w:jc w:val="center"/>
              <w:rPr>
                <w:rFonts w:hint="eastAsia" w:ascii="宋体" w:hAnsi="宋体" w:cs="宋体"/>
                <w:szCs w:val="21"/>
              </w:rPr>
            </w:pPr>
          </w:p>
        </w:tc>
      </w:tr>
      <w:tr w14:paraId="6E91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2FC4B588">
            <w:pPr>
              <w:spacing w:line="360" w:lineRule="auto"/>
              <w:jc w:val="center"/>
              <w:rPr>
                <w:rFonts w:hint="eastAsia" w:ascii="宋体" w:hAnsi="宋体" w:cs="宋体"/>
                <w:szCs w:val="21"/>
              </w:rPr>
            </w:pPr>
            <w:r>
              <w:rPr>
                <w:rFonts w:hint="eastAsia" w:ascii="宋体" w:hAnsi="宋体" w:cs="宋体"/>
                <w:szCs w:val="21"/>
              </w:rPr>
              <w:t>……</w:t>
            </w:r>
          </w:p>
        </w:tc>
        <w:tc>
          <w:tcPr>
            <w:tcW w:w="1985" w:type="dxa"/>
            <w:vAlign w:val="center"/>
          </w:tcPr>
          <w:p w14:paraId="09F39B2F">
            <w:pPr>
              <w:spacing w:line="360" w:lineRule="auto"/>
              <w:jc w:val="center"/>
              <w:rPr>
                <w:rFonts w:hint="eastAsia" w:ascii="宋体" w:hAnsi="宋体" w:cs="宋体"/>
                <w:szCs w:val="21"/>
              </w:rPr>
            </w:pPr>
            <w:r>
              <w:rPr>
                <w:rFonts w:hint="eastAsia" w:ascii="宋体" w:hAnsi="宋体" w:cs="宋体"/>
                <w:szCs w:val="21"/>
              </w:rPr>
              <w:t>……</w:t>
            </w:r>
          </w:p>
        </w:tc>
        <w:tc>
          <w:tcPr>
            <w:tcW w:w="2126" w:type="dxa"/>
            <w:tcMar>
              <w:left w:w="170" w:type="dxa"/>
            </w:tcMar>
            <w:vAlign w:val="center"/>
          </w:tcPr>
          <w:p w14:paraId="45498FD4">
            <w:pPr>
              <w:spacing w:line="360" w:lineRule="auto"/>
              <w:jc w:val="center"/>
              <w:rPr>
                <w:rFonts w:hint="eastAsia" w:ascii="宋体" w:hAnsi="宋体" w:cs="宋体"/>
                <w:szCs w:val="21"/>
              </w:rPr>
            </w:pPr>
          </w:p>
        </w:tc>
        <w:tc>
          <w:tcPr>
            <w:tcW w:w="1984" w:type="dxa"/>
            <w:vAlign w:val="center"/>
          </w:tcPr>
          <w:p w14:paraId="27E17DD0">
            <w:pPr>
              <w:spacing w:line="360" w:lineRule="auto"/>
              <w:jc w:val="center"/>
              <w:rPr>
                <w:rFonts w:hint="eastAsia" w:ascii="宋体" w:hAnsi="宋体" w:cs="宋体"/>
                <w:szCs w:val="21"/>
              </w:rPr>
            </w:pPr>
          </w:p>
        </w:tc>
        <w:tc>
          <w:tcPr>
            <w:tcW w:w="1843" w:type="dxa"/>
            <w:vAlign w:val="center"/>
          </w:tcPr>
          <w:p w14:paraId="568C6C80">
            <w:pPr>
              <w:spacing w:line="360" w:lineRule="auto"/>
              <w:jc w:val="center"/>
              <w:rPr>
                <w:rFonts w:hint="eastAsia" w:ascii="宋体" w:hAnsi="宋体" w:cs="宋体"/>
                <w:szCs w:val="21"/>
              </w:rPr>
            </w:pPr>
          </w:p>
        </w:tc>
      </w:tr>
      <w:tr w14:paraId="3938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vAlign w:val="center"/>
          </w:tcPr>
          <w:p w14:paraId="25B70073">
            <w:pPr>
              <w:spacing w:line="360" w:lineRule="auto"/>
              <w:rPr>
                <w:rFonts w:hint="eastAsia" w:ascii="宋体" w:hAnsi="宋体" w:cs="宋体"/>
                <w:szCs w:val="21"/>
              </w:rPr>
            </w:pPr>
            <w:r>
              <w:rPr>
                <w:rFonts w:hint="eastAsia" w:ascii="宋体" w:hAnsi="宋体" w:cs="宋体"/>
                <w:szCs w:val="21"/>
              </w:rPr>
              <w:t>说明：供应商在响应文件中规定的实质性要求和条件的基础上，可做出其他有利于采购人的承诺。此类承诺可在本表中予以补充填写。</w:t>
            </w:r>
          </w:p>
        </w:tc>
      </w:tr>
    </w:tbl>
    <w:p w14:paraId="60083030">
      <w:pPr>
        <w:spacing w:line="360" w:lineRule="auto"/>
        <w:ind w:right="-817" w:rightChars="-389" w:firstLine="2310" w:firstLineChars="1100"/>
        <w:contextualSpacing/>
        <w:rPr>
          <w:rFonts w:hint="eastAsia" w:ascii="宋体" w:hAnsi="宋体" w:cs="宋体"/>
          <w:szCs w:val="21"/>
        </w:rPr>
      </w:pPr>
    </w:p>
    <w:p w14:paraId="1525086C">
      <w:pPr>
        <w:spacing w:line="360" w:lineRule="auto"/>
        <w:ind w:right="-817" w:rightChars="-389" w:firstLine="2310" w:firstLineChars="1100"/>
        <w:contextualSpacing/>
        <w:rPr>
          <w:rFonts w:hint="eastAsia" w:ascii="宋体" w:hAnsi="宋体" w:cs="宋体"/>
          <w:szCs w:val="21"/>
        </w:rPr>
      </w:pPr>
      <w:r>
        <w:rPr>
          <w:rFonts w:hint="eastAsia" w:ascii="宋体" w:hAnsi="宋体" w:cs="宋体"/>
          <w:szCs w:val="21"/>
        </w:rPr>
        <w:t xml:space="preserve">法定代表人或者委托代理人（签字或者电子签名）：                    </w:t>
      </w:r>
    </w:p>
    <w:p w14:paraId="418D235E">
      <w:pPr>
        <w:spacing w:line="360" w:lineRule="auto"/>
        <w:ind w:right="-817" w:rightChars="-389" w:firstLine="2310" w:firstLineChars="1100"/>
        <w:contextualSpacing/>
        <w:rPr>
          <w:rFonts w:hint="eastAsia" w:ascii="宋体" w:hAnsi="宋体" w:cs="宋体"/>
          <w:szCs w:val="21"/>
        </w:rPr>
      </w:pPr>
      <w:r>
        <w:rPr>
          <w:rFonts w:hint="eastAsia" w:ascii="宋体" w:hAnsi="宋体" w:cs="宋体"/>
          <w:szCs w:val="21"/>
        </w:rPr>
        <w:t xml:space="preserve">供应商（电子签章）：      </w:t>
      </w:r>
    </w:p>
    <w:p w14:paraId="02D1CC0E">
      <w:pPr>
        <w:spacing w:line="360" w:lineRule="auto"/>
        <w:jc w:val="center"/>
        <w:rPr>
          <w:rFonts w:hint="eastAsia" w:ascii="宋体" w:hAnsi="宋体" w:cs="宋体"/>
          <w:szCs w:val="21"/>
        </w:rPr>
      </w:pPr>
      <w:r>
        <w:rPr>
          <w:rFonts w:hint="eastAsia" w:ascii="宋体" w:hAnsi="宋体" w:cs="宋体"/>
          <w:szCs w:val="21"/>
        </w:rPr>
        <w:t xml:space="preserve">       日期：   年   月   日</w:t>
      </w:r>
    </w:p>
    <w:p w14:paraId="50BF6FF1">
      <w:pPr>
        <w:spacing w:line="360" w:lineRule="auto"/>
        <w:ind w:right="420"/>
        <w:contextualSpacing/>
        <w:jc w:val="left"/>
        <w:rPr>
          <w:rFonts w:hint="eastAsia" w:ascii="宋体" w:hAnsi="宋体" w:cs="宋体"/>
          <w:szCs w:val="21"/>
        </w:rPr>
        <w:sectPr>
          <w:pgSz w:w="11910" w:h="16840"/>
          <w:pgMar w:top="1340" w:right="1500" w:bottom="280" w:left="1680" w:header="720" w:footer="720" w:gutter="0"/>
          <w:cols w:space="720" w:num="1"/>
        </w:sectPr>
      </w:pPr>
    </w:p>
    <w:p w14:paraId="0A02FAD0">
      <w:pPr>
        <w:spacing w:line="360" w:lineRule="auto"/>
        <w:contextualSpacing/>
        <w:jc w:val="center"/>
        <w:rPr>
          <w:rFonts w:hint="eastAsia" w:ascii="宋体" w:hAnsi="宋体" w:cs="仿宋_GB2312"/>
          <w:b/>
          <w:sz w:val="32"/>
          <w:szCs w:val="32"/>
        </w:rPr>
      </w:pPr>
      <w:r>
        <w:rPr>
          <w:rFonts w:hint="eastAsia" w:ascii="宋体" w:hAnsi="宋体" w:cs="宋体"/>
          <w:b/>
          <w:sz w:val="32"/>
          <w:szCs w:val="32"/>
        </w:rPr>
        <w:t>已标价工程量清单（适用于B分标）</w:t>
      </w:r>
    </w:p>
    <w:p w14:paraId="33EDDE5F">
      <w:pPr>
        <w:spacing w:line="360" w:lineRule="auto"/>
        <w:ind w:right="420"/>
        <w:contextualSpacing/>
        <w:jc w:val="center"/>
        <w:rPr>
          <w:rFonts w:hint="eastAsia" w:ascii="宋体" w:hAnsi="宋体" w:cs="宋体"/>
          <w:b/>
          <w:sz w:val="32"/>
          <w:szCs w:val="32"/>
        </w:rPr>
      </w:pPr>
      <w:r>
        <w:rPr>
          <w:rFonts w:hint="eastAsia"/>
        </w:rPr>
        <w:t xml:space="preserve">    （</w:t>
      </w:r>
      <w:r>
        <w:rPr>
          <w:rFonts w:hint="eastAsia" w:ascii="宋体" w:hAnsi="宋体" w:cs="宋体"/>
          <w:szCs w:val="21"/>
        </w:rPr>
        <w:t>按工程量清单格式编写</w:t>
      </w:r>
      <w:r>
        <w:rPr>
          <w:rFonts w:hint="eastAsia"/>
        </w:rPr>
        <w:t>）</w:t>
      </w:r>
      <w:r>
        <w:rPr>
          <w:rFonts w:hint="eastAsia" w:ascii="宋体" w:hAnsi="宋体" w:cs="宋体"/>
          <w:szCs w:val="21"/>
        </w:rPr>
        <w:br w:type="page"/>
      </w:r>
      <w:r>
        <w:rPr>
          <w:rFonts w:hint="eastAsia" w:ascii="宋体" w:hAnsi="宋体" w:cs="宋体"/>
          <w:b/>
          <w:bCs/>
          <w:sz w:val="32"/>
          <w:szCs w:val="32"/>
        </w:rPr>
        <w:t>三、</w:t>
      </w:r>
      <w:r>
        <w:rPr>
          <w:rFonts w:hint="eastAsia" w:ascii="宋体" w:hAnsi="宋体" w:cs="宋体"/>
          <w:b/>
          <w:sz w:val="32"/>
          <w:szCs w:val="32"/>
        </w:rPr>
        <w:t>商务技术文件格式</w:t>
      </w:r>
    </w:p>
    <w:p w14:paraId="14993FAD">
      <w:pPr>
        <w:snapToGrid w:val="0"/>
        <w:spacing w:before="120" w:beforeLines="50" w:after="50" w:line="360" w:lineRule="auto"/>
        <w:jc w:val="left"/>
        <w:rPr>
          <w:rFonts w:hint="eastAsia" w:ascii="宋体" w:hAnsi="宋体" w:cs="宋体"/>
          <w:b/>
          <w:sz w:val="32"/>
          <w:szCs w:val="32"/>
        </w:rPr>
      </w:pPr>
      <w:r>
        <w:rPr>
          <w:rFonts w:hint="eastAsia" w:ascii="宋体" w:hAnsi="宋体" w:cs="宋体"/>
          <w:b/>
          <w:sz w:val="32"/>
          <w:szCs w:val="32"/>
        </w:rPr>
        <w:t>1.商务技术文件封面格式</w:t>
      </w:r>
    </w:p>
    <w:p w14:paraId="1DF7849D">
      <w:pPr>
        <w:snapToGrid w:val="0"/>
        <w:spacing w:before="120" w:beforeLines="50" w:after="50"/>
        <w:rPr>
          <w:rFonts w:hint="eastAsia" w:ascii="宋体" w:hAnsi="宋体" w:cs="宋体"/>
          <w:bCs/>
          <w:sz w:val="32"/>
          <w:szCs w:val="20"/>
        </w:rPr>
      </w:pPr>
      <w:r>
        <w:rPr>
          <w:rFonts w:hint="eastAsia" w:ascii="宋体" w:hAnsi="宋体" w:cs="宋体"/>
          <w:sz w:val="24"/>
        </w:rPr>
        <w:t xml:space="preserve">                                                    </w:t>
      </w:r>
    </w:p>
    <w:p w14:paraId="19091F3D">
      <w:pPr>
        <w:snapToGrid w:val="0"/>
        <w:spacing w:before="120" w:beforeLines="50" w:after="50"/>
        <w:jc w:val="center"/>
        <w:rPr>
          <w:rFonts w:hint="eastAsia" w:ascii="宋体" w:hAnsi="宋体" w:cs="宋体"/>
          <w:sz w:val="24"/>
          <w:szCs w:val="20"/>
        </w:rPr>
      </w:pPr>
      <w:r>
        <w:rPr>
          <w:rFonts w:hint="eastAsia" w:ascii="宋体" w:hAnsi="宋体" w:cs="宋体"/>
          <w:sz w:val="44"/>
          <w:szCs w:val="44"/>
        </w:rPr>
        <w:t>电 子 响 应 文 件</w:t>
      </w:r>
    </w:p>
    <w:p w14:paraId="5B2F3FE6">
      <w:pPr>
        <w:snapToGrid w:val="0"/>
        <w:spacing w:before="120" w:beforeLines="50" w:after="50"/>
        <w:rPr>
          <w:rFonts w:hint="eastAsia" w:ascii="宋体" w:hAnsi="宋体" w:cs="宋体"/>
          <w:sz w:val="24"/>
          <w:szCs w:val="20"/>
        </w:rPr>
      </w:pPr>
    </w:p>
    <w:p w14:paraId="6ABABD94">
      <w:pPr>
        <w:snapToGrid w:val="0"/>
        <w:spacing w:before="120" w:beforeLines="50" w:after="50"/>
        <w:rPr>
          <w:rFonts w:hint="eastAsia" w:ascii="宋体" w:hAnsi="宋体" w:cs="宋体"/>
          <w:sz w:val="24"/>
          <w:szCs w:val="20"/>
        </w:rPr>
      </w:pPr>
    </w:p>
    <w:p w14:paraId="1C9B76D7">
      <w:pPr>
        <w:snapToGrid w:val="0"/>
        <w:spacing w:before="120" w:beforeLines="50" w:after="50"/>
        <w:jc w:val="center"/>
        <w:rPr>
          <w:rFonts w:hint="eastAsia" w:ascii="宋体" w:hAnsi="宋体" w:cs="宋体"/>
          <w:bCs/>
          <w:sz w:val="44"/>
          <w:szCs w:val="44"/>
        </w:rPr>
      </w:pPr>
      <w:r>
        <w:rPr>
          <w:rFonts w:hint="eastAsia" w:ascii="宋体" w:hAnsi="宋体" w:cs="宋体"/>
          <w:bCs/>
          <w:sz w:val="44"/>
          <w:szCs w:val="44"/>
        </w:rPr>
        <w:t>商  务  技  术  文  件</w:t>
      </w:r>
    </w:p>
    <w:p w14:paraId="458BA665">
      <w:pPr>
        <w:snapToGrid w:val="0"/>
        <w:spacing w:before="120" w:beforeLines="50" w:after="50"/>
        <w:rPr>
          <w:rFonts w:hint="eastAsia" w:ascii="宋体" w:hAnsi="宋体" w:cs="宋体"/>
          <w:bCs/>
          <w:sz w:val="24"/>
          <w:szCs w:val="20"/>
        </w:rPr>
      </w:pPr>
    </w:p>
    <w:p w14:paraId="51526EB3">
      <w:pPr>
        <w:snapToGrid w:val="0"/>
        <w:spacing w:before="120" w:beforeLines="50" w:after="50"/>
        <w:rPr>
          <w:rFonts w:hint="eastAsia" w:ascii="宋体" w:hAnsi="宋体" w:cs="宋体"/>
          <w:bCs/>
          <w:sz w:val="24"/>
          <w:szCs w:val="20"/>
        </w:rPr>
      </w:pPr>
    </w:p>
    <w:p w14:paraId="26187AA2">
      <w:pPr>
        <w:snapToGrid w:val="0"/>
        <w:spacing w:before="120" w:beforeLines="50" w:after="50"/>
        <w:rPr>
          <w:rFonts w:hint="eastAsia" w:ascii="宋体" w:hAnsi="宋体" w:cs="宋体"/>
          <w:bCs/>
          <w:sz w:val="24"/>
          <w:szCs w:val="20"/>
        </w:rPr>
      </w:pPr>
    </w:p>
    <w:p w14:paraId="64342380">
      <w:pPr>
        <w:snapToGrid w:val="0"/>
        <w:spacing w:before="120" w:beforeLines="50" w:after="50"/>
        <w:rPr>
          <w:rFonts w:hint="eastAsia" w:ascii="宋体" w:hAnsi="宋体" w:cs="宋体"/>
          <w:bCs/>
          <w:sz w:val="24"/>
          <w:szCs w:val="20"/>
        </w:rPr>
      </w:pPr>
    </w:p>
    <w:p w14:paraId="48FAAB92">
      <w:pPr>
        <w:snapToGrid w:val="0"/>
        <w:spacing w:before="120" w:beforeLines="50" w:after="50"/>
        <w:rPr>
          <w:rFonts w:hint="eastAsia" w:ascii="宋体" w:hAnsi="宋体" w:cs="宋体"/>
          <w:bCs/>
          <w:sz w:val="24"/>
          <w:szCs w:val="20"/>
        </w:rPr>
      </w:pPr>
    </w:p>
    <w:p w14:paraId="60216555">
      <w:pPr>
        <w:snapToGrid w:val="0"/>
        <w:spacing w:before="120" w:beforeLines="50" w:after="50"/>
        <w:ind w:firstLine="640" w:firstLineChars="200"/>
        <w:rPr>
          <w:rFonts w:hint="eastAsia" w:ascii="宋体" w:hAnsi="宋体" w:cs="宋体"/>
          <w:bCs/>
          <w:sz w:val="32"/>
          <w:szCs w:val="32"/>
        </w:rPr>
      </w:pPr>
      <w:r>
        <w:rPr>
          <w:rFonts w:hint="eastAsia" w:ascii="宋体" w:hAnsi="宋体" w:cs="宋体"/>
          <w:bCs/>
          <w:sz w:val="32"/>
          <w:szCs w:val="32"/>
        </w:rPr>
        <w:t>项目名称：</w:t>
      </w:r>
    </w:p>
    <w:p w14:paraId="4DA5C0F4">
      <w:pPr>
        <w:snapToGrid w:val="0"/>
        <w:spacing w:before="120" w:beforeLines="50" w:after="50"/>
        <w:ind w:firstLine="720" w:firstLineChars="225"/>
        <w:rPr>
          <w:rFonts w:hint="eastAsia" w:ascii="宋体" w:hAnsi="宋体" w:cs="宋体"/>
          <w:bCs/>
          <w:sz w:val="32"/>
          <w:szCs w:val="32"/>
        </w:rPr>
      </w:pPr>
    </w:p>
    <w:p w14:paraId="1046B8A0">
      <w:pPr>
        <w:snapToGrid w:val="0"/>
        <w:spacing w:before="120" w:beforeLines="50" w:after="50"/>
        <w:ind w:firstLine="640" w:firstLineChars="200"/>
        <w:rPr>
          <w:rFonts w:hint="eastAsia" w:ascii="宋体" w:hAnsi="宋体" w:cs="宋体"/>
          <w:bCs/>
          <w:sz w:val="32"/>
          <w:szCs w:val="32"/>
        </w:rPr>
      </w:pPr>
      <w:r>
        <w:rPr>
          <w:rFonts w:hint="eastAsia" w:ascii="宋体" w:hAnsi="宋体" w:cs="宋体"/>
          <w:bCs/>
          <w:sz w:val="32"/>
          <w:szCs w:val="32"/>
        </w:rPr>
        <w:t>项目编号：</w:t>
      </w:r>
    </w:p>
    <w:p w14:paraId="713BB30B">
      <w:pPr>
        <w:snapToGrid w:val="0"/>
        <w:spacing w:before="120" w:beforeLines="50" w:after="50"/>
        <w:ind w:firstLine="720" w:firstLineChars="225"/>
        <w:rPr>
          <w:rFonts w:hint="eastAsia" w:ascii="宋体" w:hAnsi="宋体" w:cs="宋体"/>
          <w:bCs/>
          <w:sz w:val="32"/>
          <w:szCs w:val="32"/>
        </w:rPr>
      </w:pPr>
      <w:r>
        <w:rPr>
          <w:rFonts w:hint="eastAsia" w:ascii="宋体" w:hAnsi="宋体" w:cs="宋体"/>
          <w:bCs/>
          <w:sz w:val="32"/>
          <w:szCs w:val="32"/>
        </w:rPr>
        <w:t xml:space="preserve"> </w:t>
      </w:r>
    </w:p>
    <w:p w14:paraId="0A2807BB">
      <w:pPr>
        <w:snapToGrid w:val="0"/>
        <w:spacing w:before="120" w:beforeLines="50" w:after="50"/>
        <w:ind w:firstLine="640" w:firstLineChars="200"/>
        <w:rPr>
          <w:rFonts w:hint="eastAsia" w:ascii="宋体" w:hAnsi="宋体" w:cs="宋体"/>
          <w:bCs/>
          <w:sz w:val="32"/>
          <w:szCs w:val="32"/>
        </w:rPr>
      </w:pPr>
      <w:r>
        <w:rPr>
          <w:rFonts w:hint="eastAsia" w:ascii="宋体" w:hAnsi="宋体" w:cs="宋体"/>
          <w:bCs/>
          <w:sz w:val="32"/>
          <w:szCs w:val="32"/>
        </w:rPr>
        <w:t>所竞分标（如有则填写，无分标时填写“无”或者留空）：</w:t>
      </w:r>
    </w:p>
    <w:p w14:paraId="27CF7B68">
      <w:pPr>
        <w:snapToGrid w:val="0"/>
        <w:spacing w:before="120" w:beforeLines="50" w:after="50"/>
        <w:ind w:firstLine="720" w:firstLineChars="225"/>
        <w:rPr>
          <w:rFonts w:hint="eastAsia" w:ascii="宋体" w:hAnsi="宋体" w:cs="宋体"/>
          <w:bCs/>
          <w:sz w:val="32"/>
          <w:szCs w:val="32"/>
        </w:rPr>
      </w:pPr>
    </w:p>
    <w:p w14:paraId="61DFF9D3">
      <w:pPr>
        <w:pStyle w:val="2"/>
        <w:snapToGrid w:val="0"/>
        <w:spacing w:before="50" w:after="50"/>
        <w:ind w:firstLine="640" w:firstLineChars="200"/>
        <w:rPr>
          <w:rFonts w:hint="eastAsia" w:ascii="宋体" w:hAnsi="宋体" w:cs="宋体"/>
          <w:bCs/>
          <w:sz w:val="32"/>
          <w:szCs w:val="32"/>
        </w:rPr>
      </w:pPr>
      <w:r>
        <w:rPr>
          <w:rFonts w:hint="eastAsia" w:ascii="宋体" w:hAnsi="宋体" w:cs="宋体"/>
          <w:bCs/>
          <w:sz w:val="32"/>
          <w:szCs w:val="32"/>
        </w:rPr>
        <w:t>供应商名称：</w:t>
      </w:r>
    </w:p>
    <w:p w14:paraId="74322F41">
      <w:pPr>
        <w:pStyle w:val="2"/>
        <w:snapToGrid w:val="0"/>
        <w:spacing w:before="50" w:after="50"/>
        <w:ind w:firstLine="640" w:firstLineChars="200"/>
        <w:rPr>
          <w:rFonts w:hint="eastAsia" w:ascii="宋体" w:hAnsi="宋体" w:cs="宋体"/>
          <w:bCs/>
          <w:sz w:val="32"/>
          <w:szCs w:val="32"/>
        </w:rPr>
      </w:pPr>
    </w:p>
    <w:p w14:paraId="09A920CE">
      <w:pPr>
        <w:pStyle w:val="2"/>
        <w:snapToGrid w:val="0"/>
        <w:spacing w:before="50" w:after="50"/>
        <w:ind w:firstLine="720" w:firstLineChars="225"/>
        <w:rPr>
          <w:rFonts w:hint="eastAsia" w:ascii="宋体" w:hAnsi="宋体" w:cs="宋体"/>
          <w:bCs/>
          <w:sz w:val="32"/>
          <w:szCs w:val="32"/>
        </w:rPr>
      </w:pPr>
    </w:p>
    <w:p w14:paraId="1F589B95">
      <w:pPr>
        <w:pStyle w:val="2"/>
        <w:snapToGrid w:val="0"/>
        <w:spacing w:before="50" w:after="50"/>
        <w:ind w:firstLine="0"/>
        <w:rPr>
          <w:rFonts w:hint="eastAsia" w:ascii="宋体" w:hAnsi="宋体" w:cs="宋体"/>
          <w:bCs/>
          <w:sz w:val="32"/>
          <w:szCs w:val="32"/>
        </w:rPr>
      </w:pPr>
    </w:p>
    <w:p w14:paraId="1568A344">
      <w:pPr>
        <w:pStyle w:val="2"/>
        <w:snapToGrid w:val="0"/>
        <w:spacing w:before="50" w:after="50"/>
        <w:ind w:firstLine="1280" w:firstLineChars="400"/>
        <w:rPr>
          <w:rFonts w:hint="eastAsia" w:ascii="宋体" w:hAnsi="宋体" w:cs="宋体"/>
          <w:bCs/>
          <w:sz w:val="32"/>
          <w:szCs w:val="32"/>
        </w:rPr>
      </w:pPr>
    </w:p>
    <w:p w14:paraId="15AC8DB2">
      <w:pPr>
        <w:snapToGrid w:val="0"/>
        <w:spacing w:before="120" w:beforeLines="50" w:after="50"/>
        <w:jc w:val="center"/>
        <w:rPr>
          <w:rFonts w:hint="eastAsia" w:ascii="宋体" w:hAnsi="宋体" w:cs="宋体"/>
          <w:sz w:val="32"/>
          <w:szCs w:val="32"/>
        </w:rPr>
      </w:pPr>
      <w:r>
        <w:rPr>
          <w:rFonts w:hint="eastAsia" w:ascii="宋体" w:hAnsi="宋体" w:cs="宋体"/>
          <w:sz w:val="32"/>
          <w:szCs w:val="32"/>
        </w:rPr>
        <w:t>年    月    日</w:t>
      </w:r>
    </w:p>
    <w:p w14:paraId="7F1DFFF9">
      <w:pPr>
        <w:snapToGrid w:val="0"/>
        <w:spacing w:before="120" w:beforeLines="50" w:after="50" w:line="360" w:lineRule="auto"/>
        <w:ind w:left="142"/>
        <w:jc w:val="left"/>
        <w:rPr>
          <w:rFonts w:hint="eastAsia" w:ascii="宋体" w:hAnsi="宋体" w:cs="宋体"/>
          <w:b/>
          <w:bCs/>
          <w:sz w:val="24"/>
        </w:rPr>
      </w:pPr>
      <w:r>
        <w:rPr>
          <w:rFonts w:hint="eastAsia" w:ascii="宋体" w:hAnsi="宋体" w:cs="宋体"/>
          <w:sz w:val="24"/>
        </w:rPr>
        <w:br w:type="page"/>
      </w:r>
      <w:r>
        <w:rPr>
          <w:rFonts w:hint="eastAsia" w:ascii="宋体" w:hAnsi="宋体" w:cs="宋体"/>
          <w:b/>
          <w:bCs/>
          <w:sz w:val="32"/>
          <w:szCs w:val="32"/>
        </w:rPr>
        <w:t>2.商务技术文件目录</w:t>
      </w:r>
    </w:p>
    <w:p w14:paraId="12FD8236">
      <w:pPr>
        <w:snapToGrid w:val="0"/>
        <w:spacing w:before="120" w:beforeLines="50" w:after="50" w:line="360" w:lineRule="auto"/>
        <w:ind w:firstLine="420" w:firstLineChars="200"/>
        <w:rPr>
          <w:rFonts w:hint="eastAsia" w:ascii="宋体" w:hAnsi="宋体" w:cs="宋体"/>
          <w:szCs w:val="21"/>
        </w:rPr>
      </w:pPr>
      <w:r>
        <w:rPr>
          <w:rFonts w:hint="eastAsia" w:ascii="宋体" w:hAnsi="宋体" w:cs="宋体"/>
          <w:szCs w:val="21"/>
        </w:rPr>
        <w:t>根据谈判文件规定及供应商提供的材料自行编写目录（部分格式后附）。</w:t>
      </w:r>
    </w:p>
    <w:p w14:paraId="11EC510D">
      <w:pPr>
        <w:spacing w:line="400" w:lineRule="exact"/>
        <w:rPr>
          <w:rFonts w:hint="eastAsia" w:ascii="宋体" w:hAnsi="宋体" w:cs="宋体"/>
          <w:sz w:val="32"/>
          <w:szCs w:val="32"/>
        </w:rPr>
      </w:pPr>
    </w:p>
    <w:p w14:paraId="5EF72EC4">
      <w:pPr>
        <w:spacing w:line="520" w:lineRule="exact"/>
        <w:jc w:val="center"/>
        <w:rPr>
          <w:rFonts w:hint="eastAsia" w:ascii="宋体" w:hAnsi="宋体" w:cs="宋体"/>
          <w:sz w:val="32"/>
          <w:szCs w:val="32"/>
        </w:rPr>
      </w:pPr>
      <w:r>
        <w:rPr>
          <w:rFonts w:hint="eastAsia" w:ascii="宋体" w:hAnsi="宋体" w:cs="宋体"/>
          <w:sz w:val="44"/>
          <w:szCs w:val="44"/>
        </w:rPr>
        <w:br w:type="page"/>
      </w:r>
      <w:r>
        <w:rPr>
          <w:rFonts w:hint="eastAsia" w:ascii="宋体" w:hAnsi="宋体" w:cs="宋体"/>
          <w:b/>
          <w:bCs/>
          <w:sz w:val="32"/>
          <w:szCs w:val="32"/>
        </w:rPr>
        <w:t>无串通竞标行为的承诺函</w:t>
      </w:r>
    </w:p>
    <w:p w14:paraId="37E65A3B">
      <w:pPr>
        <w:spacing w:line="360" w:lineRule="auto"/>
        <w:ind w:firstLine="640" w:firstLineChars="200"/>
        <w:rPr>
          <w:rFonts w:hint="eastAsia" w:ascii="宋体" w:hAnsi="宋体" w:cs="宋体"/>
          <w:sz w:val="32"/>
          <w:szCs w:val="32"/>
        </w:rPr>
      </w:pPr>
    </w:p>
    <w:p w14:paraId="075F3DBA">
      <w:pPr>
        <w:spacing w:line="360" w:lineRule="auto"/>
        <w:ind w:firstLine="422" w:firstLineChars="200"/>
        <w:rPr>
          <w:rFonts w:hint="eastAsia" w:ascii="宋体" w:hAnsi="宋体" w:cs="宋体"/>
          <w:b/>
          <w:bCs/>
          <w:szCs w:val="21"/>
        </w:rPr>
      </w:pPr>
      <w:r>
        <w:rPr>
          <w:rFonts w:hint="eastAsia" w:ascii="宋体" w:hAnsi="宋体" w:cs="宋体"/>
          <w:b/>
          <w:bCs/>
          <w:szCs w:val="21"/>
        </w:rPr>
        <w:t>一、我方承诺无下列相互串通竞标的情形：</w:t>
      </w:r>
    </w:p>
    <w:p w14:paraId="4187D337">
      <w:pPr>
        <w:spacing w:line="360" w:lineRule="auto"/>
        <w:ind w:firstLine="420" w:firstLineChars="200"/>
        <w:rPr>
          <w:rFonts w:hint="eastAsia" w:ascii="宋体" w:hAnsi="宋体" w:cs="宋体"/>
          <w:szCs w:val="21"/>
        </w:rPr>
      </w:pPr>
      <w:r>
        <w:rPr>
          <w:rFonts w:hint="eastAsia" w:ascii="宋体" w:hAnsi="宋体" w:cs="宋体"/>
          <w:szCs w:val="21"/>
        </w:rPr>
        <w:t>1.不同供应商的响应文件由同一单位或者个人编制；</w:t>
      </w:r>
    </w:p>
    <w:p w14:paraId="1F63E3E7">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00F8CE1C">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7DF208A2">
      <w:pPr>
        <w:spacing w:line="360" w:lineRule="auto"/>
        <w:ind w:firstLine="420" w:firstLineChars="200"/>
        <w:rPr>
          <w:rFonts w:hint="eastAsia" w:ascii="宋体" w:hAnsi="宋体" w:cs="宋体"/>
          <w:szCs w:val="21"/>
        </w:rPr>
      </w:pPr>
      <w:r>
        <w:rPr>
          <w:rFonts w:hint="eastAsia" w:ascii="宋体" w:hAnsi="宋体" w:cs="宋体"/>
          <w:szCs w:val="21"/>
        </w:rPr>
        <w:t>4.不</w:t>
      </w:r>
      <w:r>
        <w:rPr>
          <w:rFonts w:hint="eastAsia" w:ascii="宋体" w:hAnsi="宋体" w:cs="宋体"/>
          <w:spacing w:val="-6"/>
          <w:szCs w:val="21"/>
        </w:rPr>
        <w:t>同供应商的响应文件异常一致或者竞标报价呈规律性差异；</w:t>
      </w:r>
    </w:p>
    <w:p w14:paraId="12849029">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58271D5C">
      <w:pPr>
        <w:spacing w:line="360" w:lineRule="auto"/>
        <w:ind w:firstLine="420" w:firstLineChars="200"/>
        <w:rPr>
          <w:rFonts w:hint="eastAsia" w:ascii="宋体" w:hAnsi="宋体" w:cs="宋体"/>
          <w:szCs w:val="21"/>
        </w:rPr>
      </w:pPr>
      <w:r>
        <w:rPr>
          <w:rFonts w:hint="eastAsia" w:ascii="宋体" w:hAnsi="宋体" w:cs="宋体"/>
          <w:szCs w:val="21"/>
        </w:rPr>
        <w:t>6.不同供应商的竞标保证金从同一单位或者个人账户转出。</w:t>
      </w:r>
    </w:p>
    <w:p w14:paraId="53943F39">
      <w:pPr>
        <w:spacing w:line="360" w:lineRule="auto"/>
        <w:ind w:firstLine="422" w:firstLineChars="200"/>
        <w:rPr>
          <w:rFonts w:hint="eastAsia" w:ascii="宋体" w:hAnsi="宋体" w:cs="宋体"/>
          <w:b/>
          <w:bCs/>
          <w:szCs w:val="21"/>
        </w:rPr>
      </w:pPr>
      <w:r>
        <w:rPr>
          <w:rFonts w:hint="eastAsia" w:ascii="宋体" w:hAnsi="宋体" w:cs="宋体"/>
          <w:b/>
          <w:bCs/>
          <w:szCs w:val="21"/>
        </w:rPr>
        <w:t>二、我方承诺无下列恶意串通的情形：</w:t>
      </w:r>
    </w:p>
    <w:p w14:paraId="20539095">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3724F32B">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044C93B5">
      <w:pPr>
        <w:spacing w:line="360" w:lineRule="auto"/>
        <w:ind w:firstLine="420" w:firstLineChars="200"/>
        <w:rPr>
          <w:rFonts w:hint="eastAsia" w:ascii="宋体" w:hAnsi="宋体" w:cs="宋体"/>
          <w:szCs w:val="21"/>
        </w:rPr>
      </w:pPr>
      <w:r>
        <w:rPr>
          <w:rFonts w:hint="eastAsia" w:ascii="宋体" w:hAnsi="宋体" w:cs="宋体"/>
          <w:szCs w:val="21"/>
        </w:rPr>
        <w:t>3.供</w:t>
      </w:r>
      <w:r>
        <w:rPr>
          <w:rFonts w:hint="eastAsia" w:ascii="宋体" w:hAnsi="宋体" w:cs="宋体"/>
          <w:spacing w:val="-6"/>
          <w:szCs w:val="21"/>
        </w:rPr>
        <w:t>应商之间协商报价、技术方案等响应文件的实质性内容；</w:t>
      </w:r>
    </w:p>
    <w:p w14:paraId="298FAA45">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03B9731E">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5.供应商之间事先约定一致抬高或者压低竞标报价，或者在竞争性谈判项目中事先约定轮流以高价位或者低价位成交，或者事先约定由某一特定供应商成交，然后再参加竞标；</w:t>
      </w:r>
    </w:p>
    <w:p w14:paraId="02BD7F14">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65EF2187">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w:t>
      </w:r>
      <w:r>
        <w:rPr>
          <w:rFonts w:hint="eastAsia" w:ascii="宋体" w:hAnsi="宋体" w:cs="宋体"/>
          <w:spacing w:val="-6"/>
          <w:szCs w:val="21"/>
        </w:rPr>
        <w:t>谋求特定供应商成交或者排斥其他供应商的其他串通行为。</w:t>
      </w:r>
    </w:p>
    <w:p w14:paraId="686516D1">
      <w:pPr>
        <w:spacing w:line="360" w:lineRule="auto"/>
        <w:ind w:firstLine="420" w:firstLineChars="200"/>
        <w:rPr>
          <w:rFonts w:hint="eastAsia" w:ascii="宋体" w:hAnsi="宋体" w:cs="宋体"/>
          <w:szCs w:val="21"/>
        </w:rPr>
      </w:pPr>
    </w:p>
    <w:p w14:paraId="2D5DB5C1">
      <w:pPr>
        <w:spacing w:line="360" w:lineRule="auto"/>
        <w:ind w:firstLine="422" w:firstLineChars="200"/>
        <w:rPr>
          <w:rFonts w:hint="eastAsia" w:ascii="宋体" w:hAnsi="宋体" w:cs="宋体"/>
          <w:b/>
          <w:bCs/>
          <w:szCs w:val="21"/>
        </w:rPr>
      </w:pPr>
      <w:r>
        <w:rPr>
          <w:rFonts w:hint="eastAsia" w:ascii="宋体" w:hAnsi="宋体" w:cs="宋体"/>
          <w:b/>
          <w:bCs/>
          <w:szCs w:val="21"/>
        </w:rPr>
        <w:t>以上情形一经核查属实，我方愿意承担一切后果，并不再寻求任何旨在减轻或者免除法律责任的辩解。</w:t>
      </w:r>
    </w:p>
    <w:p w14:paraId="56E504DE">
      <w:pPr>
        <w:spacing w:line="360" w:lineRule="auto"/>
        <w:ind w:firstLine="420" w:firstLineChars="200"/>
        <w:rPr>
          <w:rFonts w:hint="eastAsia" w:ascii="宋体" w:hAnsi="宋体" w:cs="宋体"/>
          <w:szCs w:val="21"/>
        </w:rPr>
      </w:pPr>
    </w:p>
    <w:p w14:paraId="450FD9EE">
      <w:pPr>
        <w:spacing w:line="360" w:lineRule="auto"/>
        <w:rPr>
          <w:rFonts w:hint="eastAsia" w:ascii="宋体" w:hAnsi="宋体" w:cs="宋体"/>
          <w:szCs w:val="21"/>
        </w:rPr>
      </w:pPr>
    </w:p>
    <w:p w14:paraId="52F1B5E0">
      <w:pPr>
        <w:spacing w:line="360" w:lineRule="auto"/>
        <w:ind w:firstLine="3150" w:firstLineChars="1500"/>
        <w:rPr>
          <w:rFonts w:hint="eastAsia" w:ascii="宋体" w:hAnsi="宋体" w:cs="宋体"/>
          <w:szCs w:val="21"/>
        </w:rPr>
      </w:pPr>
      <w:r>
        <w:rPr>
          <w:rFonts w:hint="eastAsia" w:ascii="宋体" w:hAnsi="宋体" w:cs="宋体"/>
          <w:szCs w:val="21"/>
        </w:rPr>
        <w:t>供应商（电子签章）：</w:t>
      </w:r>
    </w:p>
    <w:p w14:paraId="2D99ED40">
      <w:pPr>
        <w:spacing w:line="360" w:lineRule="auto"/>
        <w:ind w:firstLine="420" w:firstLineChars="200"/>
        <w:jc w:val="center"/>
        <w:rPr>
          <w:rFonts w:hint="eastAsia" w:ascii="宋体" w:hAnsi="宋体" w:cs="宋体"/>
          <w:szCs w:val="21"/>
        </w:rPr>
      </w:pPr>
      <w:r>
        <w:rPr>
          <w:rFonts w:hint="eastAsia" w:ascii="宋体" w:hAnsi="宋体" w:cs="宋体"/>
          <w:szCs w:val="21"/>
        </w:rPr>
        <w:t xml:space="preserve">                               年   月   日</w:t>
      </w:r>
    </w:p>
    <w:p w14:paraId="45075B4A">
      <w:pPr>
        <w:spacing w:line="360" w:lineRule="auto"/>
        <w:ind w:firstLine="640" w:firstLineChars="200"/>
        <w:jc w:val="center"/>
        <w:rPr>
          <w:rFonts w:hint="eastAsia" w:ascii="宋体" w:hAnsi="宋体" w:cs="宋体"/>
          <w:sz w:val="32"/>
          <w:szCs w:val="32"/>
        </w:rPr>
      </w:pPr>
    </w:p>
    <w:p w14:paraId="5C86C263">
      <w:pPr>
        <w:widowControl/>
        <w:jc w:val="left"/>
        <w:rPr>
          <w:rFonts w:hint="eastAsia" w:ascii="宋体" w:hAnsi="宋体" w:cs="宋体"/>
          <w:bCs/>
          <w:sz w:val="44"/>
          <w:szCs w:val="44"/>
        </w:rPr>
        <w:sectPr>
          <w:pgSz w:w="11910" w:h="16840"/>
          <w:pgMar w:top="1340" w:right="1500" w:bottom="280" w:left="1680" w:header="720" w:footer="720" w:gutter="0"/>
          <w:cols w:space="720" w:num="1"/>
        </w:sectPr>
      </w:pPr>
    </w:p>
    <w:p w14:paraId="0FDAD167">
      <w:pPr>
        <w:spacing w:before="240" w:beforeLines="100" w:after="120" w:afterLines="50" w:line="520" w:lineRule="exact"/>
        <w:ind w:left="540"/>
        <w:jc w:val="center"/>
        <w:rPr>
          <w:rFonts w:hint="eastAsia" w:ascii="宋体" w:hAnsi="宋体" w:cs="宋体"/>
          <w:b/>
          <w:sz w:val="32"/>
          <w:szCs w:val="32"/>
        </w:rPr>
      </w:pPr>
      <w:r>
        <w:rPr>
          <w:rFonts w:hint="eastAsia" w:ascii="宋体" w:hAnsi="宋体" w:cs="宋体"/>
          <w:b/>
          <w:sz w:val="32"/>
          <w:szCs w:val="32"/>
        </w:rPr>
        <w:t>法定代表人证明书</w:t>
      </w:r>
    </w:p>
    <w:p w14:paraId="17B14909">
      <w:pPr>
        <w:spacing w:line="360" w:lineRule="auto"/>
        <w:ind w:left="540"/>
        <w:contextualSpacing/>
        <w:rPr>
          <w:rFonts w:hint="eastAsia" w:ascii="宋体" w:hAnsi="宋体" w:cs="宋体"/>
          <w:sz w:val="32"/>
          <w:szCs w:val="32"/>
        </w:rPr>
      </w:pPr>
    </w:p>
    <w:p w14:paraId="0FEB2BFA">
      <w:pPr>
        <w:spacing w:line="360" w:lineRule="auto"/>
        <w:ind w:left="540"/>
        <w:contextualSpacing/>
        <w:rPr>
          <w:rFonts w:hint="eastAsia" w:ascii="宋体" w:hAnsi="宋体" w:cs="宋体"/>
          <w:szCs w:val="21"/>
        </w:rPr>
      </w:pPr>
      <w:r>
        <w:rPr>
          <w:rFonts w:hint="eastAsia" w:ascii="宋体" w:hAnsi="宋体" w:cs="宋体"/>
          <w:szCs w:val="21"/>
        </w:rPr>
        <w:t>供应商名称：</w:t>
      </w:r>
      <w:r>
        <w:rPr>
          <w:rFonts w:hint="eastAsia" w:ascii="宋体" w:hAnsi="宋体" w:cs="宋体"/>
          <w:szCs w:val="21"/>
          <w:u w:val="single"/>
        </w:rPr>
        <w:t xml:space="preserve">                                                        </w:t>
      </w:r>
    </w:p>
    <w:p w14:paraId="5EA981E4">
      <w:pPr>
        <w:spacing w:line="360" w:lineRule="auto"/>
        <w:ind w:left="540"/>
        <w:contextualSpacing/>
        <w:rPr>
          <w:rFonts w:hint="eastAsia"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1EBC3FBF">
      <w:pPr>
        <w:spacing w:line="360" w:lineRule="auto"/>
        <w:ind w:left="540"/>
        <w:contextualSpacing/>
        <w:rPr>
          <w:rFonts w:hint="eastAsia" w:ascii="宋体" w:hAnsi="宋体" w:cs="宋体"/>
          <w:szCs w:val="21"/>
        </w:rPr>
      </w:pPr>
      <w:r>
        <w:rPr>
          <w:rFonts w:hint="eastAsia" w:ascii="宋体" w:hAnsi="宋体" w:cs="宋体"/>
          <w:szCs w:val="21"/>
        </w:rPr>
        <w:t>姓    名：</w:t>
      </w:r>
      <w:r>
        <w:rPr>
          <w:rFonts w:hint="eastAsia" w:ascii="宋体" w:hAnsi="宋体" w:cs="宋体"/>
          <w:szCs w:val="21"/>
          <w:u w:val="single"/>
        </w:rPr>
        <w:t xml:space="preserve">               </w:t>
      </w:r>
      <w:r>
        <w:rPr>
          <w:rFonts w:hint="eastAsia" w:ascii="宋体" w:hAnsi="宋体" w:cs="宋体"/>
          <w:szCs w:val="21"/>
        </w:rPr>
        <w:t>性      别：</w:t>
      </w:r>
      <w:r>
        <w:rPr>
          <w:rFonts w:hint="eastAsia" w:ascii="宋体" w:hAnsi="宋体" w:cs="宋体"/>
          <w:szCs w:val="21"/>
          <w:u w:val="single"/>
        </w:rPr>
        <w:t xml:space="preserve">                </w:t>
      </w:r>
    </w:p>
    <w:p w14:paraId="483FDA75">
      <w:pPr>
        <w:spacing w:line="360" w:lineRule="auto"/>
        <w:ind w:left="540"/>
        <w:contextualSpacing/>
        <w:rPr>
          <w:rFonts w:hint="eastAsia" w:ascii="宋体" w:hAnsi="宋体" w:cs="宋体"/>
          <w:szCs w:val="21"/>
          <w:u w:val="single"/>
        </w:rPr>
      </w:pPr>
      <w:r>
        <w:rPr>
          <w:rFonts w:hint="eastAsia" w:ascii="宋体" w:hAnsi="宋体" w:cs="宋体"/>
          <w:szCs w:val="21"/>
        </w:rPr>
        <w:t>年    龄：</w:t>
      </w:r>
      <w:r>
        <w:rPr>
          <w:rFonts w:hint="eastAsia" w:ascii="宋体" w:hAnsi="宋体" w:cs="宋体"/>
          <w:szCs w:val="21"/>
          <w:u w:val="single"/>
        </w:rPr>
        <w:t xml:space="preserve">               </w:t>
      </w:r>
      <w:r>
        <w:rPr>
          <w:rFonts w:hint="eastAsia" w:ascii="宋体" w:hAnsi="宋体" w:cs="宋体"/>
          <w:szCs w:val="21"/>
        </w:rPr>
        <w:t>职      务：</w:t>
      </w:r>
      <w:r>
        <w:rPr>
          <w:rFonts w:hint="eastAsia" w:ascii="宋体" w:hAnsi="宋体" w:cs="宋体"/>
          <w:szCs w:val="21"/>
          <w:u w:val="single"/>
        </w:rPr>
        <w:t xml:space="preserve">                </w:t>
      </w:r>
    </w:p>
    <w:p w14:paraId="2733F461">
      <w:pPr>
        <w:spacing w:line="360" w:lineRule="auto"/>
        <w:ind w:left="540"/>
        <w:contextualSpacing/>
        <w:rPr>
          <w:rFonts w:hint="eastAsia"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p>
    <w:p w14:paraId="74245A44">
      <w:pPr>
        <w:spacing w:line="360" w:lineRule="auto"/>
        <w:ind w:left="540"/>
        <w:contextualSpacing/>
        <w:rPr>
          <w:rFonts w:hint="eastAsia" w:ascii="宋体" w:hAnsi="宋体" w:cs="宋体"/>
          <w:szCs w:val="21"/>
        </w:rPr>
      </w:pPr>
      <w:r>
        <w:rPr>
          <w:rFonts w:hint="eastAsia" w:ascii="宋体" w:hAnsi="宋体" w:cs="宋体"/>
          <w:szCs w:val="21"/>
        </w:rPr>
        <w:t>系</w:t>
      </w:r>
      <w:r>
        <w:rPr>
          <w:rFonts w:hint="eastAsia" w:ascii="宋体" w:hAnsi="宋体" w:cs="宋体"/>
          <w:szCs w:val="21"/>
          <w:u w:val="single"/>
        </w:rPr>
        <w:t xml:space="preserve">    （供应商名称）   </w:t>
      </w:r>
      <w:r>
        <w:rPr>
          <w:rFonts w:hint="eastAsia" w:ascii="宋体" w:hAnsi="宋体" w:cs="宋体"/>
          <w:szCs w:val="21"/>
        </w:rPr>
        <w:t>的法定代表人。</w:t>
      </w:r>
    </w:p>
    <w:p w14:paraId="034BBF08">
      <w:pPr>
        <w:spacing w:line="360" w:lineRule="auto"/>
        <w:ind w:left="540"/>
        <w:contextualSpacing/>
        <w:rPr>
          <w:rFonts w:hint="eastAsia" w:ascii="宋体" w:hAnsi="宋体" w:cs="宋体"/>
          <w:szCs w:val="21"/>
        </w:rPr>
      </w:pPr>
      <w:r>
        <w:rPr>
          <w:rFonts w:hint="eastAsia" w:ascii="宋体" w:hAnsi="宋体" w:cs="宋体"/>
          <w:szCs w:val="21"/>
        </w:rPr>
        <w:t>特此证明。</w:t>
      </w:r>
    </w:p>
    <w:p w14:paraId="7AC5C3CF">
      <w:pPr>
        <w:spacing w:line="360" w:lineRule="auto"/>
        <w:ind w:left="540"/>
        <w:contextualSpacing/>
        <w:rPr>
          <w:rFonts w:hint="eastAsia" w:ascii="宋体" w:hAnsi="宋体" w:cs="宋体"/>
          <w:szCs w:val="21"/>
        </w:rPr>
      </w:pPr>
    </w:p>
    <w:p w14:paraId="61CC1454">
      <w:pPr>
        <w:spacing w:line="360" w:lineRule="auto"/>
        <w:ind w:left="540"/>
        <w:contextualSpacing/>
        <w:rPr>
          <w:rFonts w:hint="eastAsia" w:ascii="宋体" w:hAnsi="宋体" w:cs="宋体"/>
          <w:szCs w:val="21"/>
        </w:rPr>
      </w:pPr>
    </w:p>
    <w:p w14:paraId="709C58DC">
      <w:pPr>
        <w:spacing w:line="360" w:lineRule="auto"/>
        <w:ind w:left="540"/>
        <w:contextualSpacing/>
        <w:rPr>
          <w:rFonts w:hint="eastAsia" w:ascii="宋体" w:hAnsi="宋体" w:cs="宋体"/>
          <w:szCs w:val="21"/>
        </w:rPr>
      </w:pPr>
    </w:p>
    <w:p w14:paraId="28287F50">
      <w:pPr>
        <w:spacing w:line="360" w:lineRule="auto"/>
        <w:ind w:left="540"/>
        <w:contextualSpacing/>
        <w:rPr>
          <w:rFonts w:hint="eastAsia" w:ascii="宋体" w:hAnsi="宋体" w:cs="宋体"/>
          <w:szCs w:val="21"/>
        </w:rPr>
      </w:pPr>
      <w:r>
        <w:rPr>
          <w:rFonts w:hint="eastAsia" w:ascii="宋体" w:hAnsi="宋体" w:cs="宋体"/>
          <w:szCs w:val="21"/>
        </w:rPr>
        <w:t>附件：法定代表人有效身份证正反面复印件</w:t>
      </w:r>
    </w:p>
    <w:p w14:paraId="19DCAF25">
      <w:pPr>
        <w:spacing w:line="360" w:lineRule="auto"/>
        <w:ind w:left="540"/>
        <w:contextualSpacing/>
        <w:rPr>
          <w:rFonts w:hint="eastAsia" w:ascii="宋体" w:hAnsi="宋体" w:cs="宋体"/>
          <w:szCs w:val="21"/>
        </w:rPr>
      </w:pPr>
    </w:p>
    <w:p w14:paraId="72C2A401">
      <w:pPr>
        <w:spacing w:line="360" w:lineRule="auto"/>
        <w:ind w:left="540"/>
        <w:contextualSpacing/>
        <w:jc w:val="right"/>
        <w:rPr>
          <w:rFonts w:hint="eastAsia" w:ascii="宋体" w:hAnsi="宋体" w:cs="宋体"/>
          <w:szCs w:val="21"/>
        </w:rPr>
      </w:pPr>
      <w:r>
        <w:rPr>
          <w:rFonts w:hint="eastAsia" w:ascii="宋体" w:hAnsi="宋体" w:cs="宋体"/>
          <w:szCs w:val="21"/>
        </w:rPr>
        <w:t>供应商（电子签章）：</w:t>
      </w:r>
      <w:r>
        <w:rPr>
          <w:rFonts w:hint="eastAsia" w:ascii="宋体" w:hAnsi="宋体" w:cs="宋体"/>
          <w:szCs w:val="21"/>
          <w:u w:val="single"/>
        </w:rPr>
        <w:t xml:space="preserve">               </w:t>
      </w:r>
    </w:p>
    <w:p w14:paraId="73E15F4E">
      <w:pPr>
        <w:spacing w:line="360" w:lineRule="auto"/>
        <w:ind w:firstLine="3570" w:firstLineChars="1700"/>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6B42099B">
      <w:pPr>
        <w:spacing w:line="360" w:lineRule="auto"/>
        <w:jc w:val="center"/>
        <w:rPr>
          <w:rFonts w:hint="eastAsia" w:ascii="宋体" w:hAnsi="宋体" w:cs="宋体"/>
          <w:b/>
          <w:szCs w:val="21"/>
        </w:rPr>
      </w:pPr>
    </w:p>
    <w:p w14:paraId="0FEFA133">
      <w:pPr>
        <w:spacing w:line="360" w:lineRule="auto"/>
        <w:jc w:val="left"/>
        <w:rPr>
          <w:rFonts w:hint="eastAsia" w:ascii="宋体" w:hAnsi="宋体" w:cs="宋体"/>
          <w:szCs w:val="21"/>
        </w:rPr>
      </w:pPr>
      <w:r>
        <w:rPr>
          <w:rFonts w:hint="eastAsia" w:ascii="宋体" w:hAnsi="宋体" w:cs="宋体"/>
          <w:szCs w:val="21"/>
        </w:rPr>
        <w:t>注：自然人竞标的无需提供，联合体竞标的只需牵头人出具。</w:t>
      </w:r>
    </w:p>
    <w:p w14:paraId="1DA37525">
      <w:pPr>
        <w:adjustRightInd w:val="0"/>
        <w:snapToGrid w:val="0"/>
        <w:spacing w:line="300" w:lineRule="auto"/>
        <w:jc w:val="left"/>
        <w:rPr>
          <w:rFonts w:hint="eastAsia" w:ascii="宋体" w:hAnsi="宋体" w:cs="宋体"/>
          <w:b/>
          <w:szCs w:val="21"/>
        </w:rPr>
      </w:pPr>
    </w:p>
    <w:p w14:paraId="2B446B46">
      <w:pPr>
        <w:spacing w:line="520" w:lineRule="exact"/>
        <w:jc w:val="center"/>
        <w:rPr>
          <w:rFonts w:hint="eastAsia" w:ascii="宋体" w:hAnsi="宋体" w:cs="宋体"/>
          <w:b/>
          <w:bCs/>
          <w:sz w:val="32"/>
          <w:szCs w:val="32"/>
        </w:rPr>
      </w:pPr>
      <w:r>
        <w:rPr>
          <w:rFonts w:hint="eastAsia" w:ascii="宋体" w:hAnsi="宋体" w:cs="宋体"/>
          <w:sz w:val="44"/>
          <w:szCs w:val="44"/>
        </w:rPr>
        <w:br w:type="page"/>
      </w:r>
      <w:r>
        <w:rPr>
          <w:rFonts w:hint="eastAsia" w:ascii="宋体" w:hAnsi="宋体" w:cs="宋体"/>
          <w:b/>
          <w:bCs/>
          <w:sz w:val="32"/>
          <w:szCs w:val="32"/>
        </w:rPr>
        <w:t>授权委托书</w:t>
      </w:r>
    </w:p>
    <w:p w14:paraId="182BACE6">
      <w:pPr>
        <w:spacing w:line="520" w:lineRule="exact"/>
        <w:jc w:val="center"/>
        <w:rPr>
          <w:rFonts w:hint="eastAsia" w:ascii="宋体" w:hAnsi="宋体" w:cs="宋体"/>
          <w:b/>
          <w:bCs/>
          <w:sz w:val="32"/>
          <w:szCs w:val="32"/>
        </w:rPr>
      </w:pPr>
      <w:r>
        <w:rPr>
          <w:rFonts w:hint="eastAsia" w:ascii="宋体" w:hAnsi="宋体" w:cs="宋体"/>
          <w:b/>
          <w:bCs/>
          <w:sz w:val="32"/>
          <w:szCs w:val="32"/>
        </w:rPr>
        <w:t>（非联合体竞标格式）</w:t>
      </w:r>
    </w:p>
    <w:p w14:paraId="5C349749">
      <w:pPr>
        <w:spacing w:line="520" w:lineRule="exact"/>
        <w:jc w:val="center"/>
        <w:rPr>
          <w:rFonts w:hint="eastAsia" w:ascii="宋体" w:hAnsi="宋体" w:cs="宋体"/>
          <w:b/>
          <w:bCs/>
          <w:sz w:val="32"/>
          <w:szCs w:val="32"/>
        </w:rPr>
      </w:pPr>
      <w:r>
        <w:rPr>
          <w:rFonts w:hint="eastAsia" w:ascii="宋体" w:hAnsi="宋体" w:cs="宋体"/>
          <w:b/>
          <w:bCs/>
          <w:sz w:val="32"/>
          <w:szCs w:val="32"/>
        </w:rPr>
        <w:t>（如有委托时）</w:t>
      </w:r>
    </w:p>
    <w:p w14:paraId="3B8FA2F0">
      <w:pPr>
        <w:spacing w:line="360" w:lineRule="auto"/>
        <w:rPr>
          <w:rFonts w:hint="eastAsia" w:ascii="宋体" w:hAnsi="宋体" w:cs="宋体"/>
          <w:sz w:val="32"/>
          <w:szCs w:val="32"/>
        </w:rPr>
      </w:pPr>
    </w:p>
    <w:p w14:paraId="2A5688E9">
      <w:pPr>
        <w:spacing w:line="360" w:lineRule="auto"/>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（采购人名称）</w:t>
      </w:r>
      <w:r>
        <w:rPr>
          <w:rFonts w:hint="eastAsia" w:ascii="宋体" w:hAnsi="宋体" w:cs="宋体"/>
          <w:szCs w:val="21"/>
        </w:rPr>
        <w:t>：</w:t>
      </w:r>
    </w:p>
    <w:p w14:paraId="605203CE">
      <w:pPr>
        <w:spacing w:line="360" w:lineRule="auto"/>
        <w:ind w:firstLine="420" w:firstLineChars="200"/>
        <w:rPr>
          <w:rFonts w:hint="eastAsia" w:ascii="宋体" w:hAnsi="宋体" w:cs="宋体"/>
          <w:szCs w:val="21"/>
        </w:rPr>
      </w:pPr>
      <w:r>
        <w:rPr>
          <w:rFonts w:hint="eastAsia" w:ascii="宋体" w:hAnsi="宋体" w:cs="宋体"/>
          <w:szCs w:val="21"/>
        </w:rPr>
        <w:t>我</w:t>
      </w:r>
      <w:r>
        <w:rPr>
          <w:rFonts w:hint="eastAsia" w:ascii="宋体" w:hAnsi="宋体" w:cs="宋体"/>
          <w:szCs w:val="21"/>
          <w:u w:val="single"/>
        </w:rPr>
        <w:t xml:space="preserve">  （姓名）  </w:t>
      </w:r>
      <w:r>
        <w:rPr>
          <w:rFonts w:hint="eastAsia" w:ascii="宋体" w:hAnsi="宋体" w:cs="宋体"/>
          <w:szCs w:val="21"/>
        </w:rPr>
        <w:t>系</w:t>
      </w:r>
      <w:r>
        <w:rPr>
          <w:rFonts w:hint="eastAsia" w:ascii="宋体" w:hAnsi="宋体" w:cs="宋体"/>
          <w:szCs w:val="21"/>
          <w:u w:val="single"/>
        </w:rPr>
        <w:t xml:space="preserve">  （供应商名称）  </w:t>
      </w:r>
      <w:r>
        <w:rPr>
          <w:rFonts w:hint="eastAsia" w:ascii="宋体" w:hAnsi="宋体" w:cs="宋体"/>
          <w:szCs w:val="21"/>
        </w:rPr>
        <w:t>的（</w:t>
      </w:r>
      <w:r>
        <w:rPr>
          <w:rFonts w:hint="eastAsia" w:ascii="宋体" w:hAnsi="宋体" w:cs="宋体"/>
          <w:szCs w:val="21"/>
          <w:u w:val="single"/>
        </w:rPr>
        <w:t>☑法定代表人/□负责人/□自然人本人</w:t>
      </w:r>
      <w:r>
        <w:rPr>
          <w:rFonts w:hint="eastAsia" w:ascii="宋体" w:hAnsi="宋体" w:cs="宋体"/>
          <w:szCs w:val="21"/>
        </w:rPr>
        <w:t>），现授权</w:t>
      </w:r>
      <w:r>
        <w:rPr>
          <w:rFonts w:hint="eastAsia" w:ascii="宋体" w:hAnsi="宋体" w:cs="宋体"/>
          <w:szCs w:val="21"/>
          <w:u w:val="single"/>
        </w:rPr>
        <w:t xml:space="preserve"> （姓名） </w:t>
      </w:r>
      <w:r>
        <w:rPr>
          <w:rFonts w:hint="eastAsia" w:ascii="宋体" w:hAnsi="宋体" w:cs="宋体"/>
          <w:szCs w:val="21"/>
        </w:rPr>
        <w:t>以我方的名义参加</w:t>
      </w:r>
      <w:r>
        <w:rPr>
          <w:rFonts w:hint="eastAsia" w:ascii="宋体" w:hAnsi="宋体" w:cs="宋体"/>
          <w:szCs w:val="21"/>
          <w:u w:val="single"/>
        </w:rPr>
        <w:t xml:space="preserve">              </w:t>
      </w:r>
      <w:r>
        <w:rPr>
          <w:rFonts w:hint="eastAsia" w:ascii="宋体" w:hAnsi="宋体" w:cs="宋体"/>
          <w:szCs w:val="21"/>
        </w:rPr>
        <w:t>项目的竞标活动，并代表我方全权办理针对上述项目的所有采购程序和环节的具体事务和签署相关文件。</w:t>
      </w:r>
    </w:p>
    <w:p w14:paraId="7F7FAF7D">
      <w:pPr>
        <w:spacing w:line="360" w:lineRule="auto"/>
        <w:rPr>
          <w:rFonts w:hint="eastAsia" w:ascii="宋体" w:hAnsi="宋体" w:cs="宋体"/>
          <w:szCs w:val="21"/>
        </w:rPr>
      </w:pPr>
      <w:r>
        <w:rPr>
          <w:rFonts w:hint="eastAsia" w:ascii="宋体" w:hAnsi="宋体" w:cs="宋体"/>
          <w:szCs w:val="21"/>
        </w:rPr>
        <w:t xml:space="preserve">    我方对委托代理人的签字或者电子签名事项负全部责任。</w:t>
      </w:r>
    </w:p>
    <w:p w14:paraId="59E8C2C9">
      <w:pPr>
        <w:spacing w:line="360" w:lineRule="auto"/>
        <w:ind w:firstLine="420" w:firstLineChars="200"/>
        <w:rPr>
          <w:rFonts w:hint="eastAsia" w:ascii="宋体" w:hAnsi="宋体" w:cs="宋体"/>
          <w:szCs w:val="21"/>
        </w:rPr>
      </w:pPr>
      <w:r>
        <w:rPr>
          <w:rFonts w:hint="eastAsia" w:ascii="宋体" w:hAnsi="宋体" w:cs="宋体"/>
          <w:szCs w:val="21"/>
        </w:rPr>
        <w:t>本授权书自签署之日起生效，在撤销授权的书面通知以前，本授权书一直有效。委托代理人在授权书有效期内签署的所有文件不因授权的撤销而失效。</w:t>
      </w:r>
    </w:p>
    <w:p w14:paraId="3DFAFB89">
      <w:pPr>
        <w:spacing w:line="360" w:lineRule="auto"/>
        <w:ind w:firstLine="420" w:firstLineChars="200"/>
        <w:rPr>
          <w:rFonts w:hint="eastAsia" w:ascii="宋体" w:hAnsi="宋体" w:cs="宋体"/>
          <w:szCs w:val="21"/>
        </w:rPr>
      </w:pPr>
      <w:r>
        <w:rPr>
          <w:rFonts w:hint="eastAsia" w:ascii="宋体" w:hAnsi="宋体" w:cs="宋体"/>
          <w:szCs w:val="21"/>
        </w:rPr>
        <w:t>委托代理人无转委托权，特此委托。</w:t>
      </w:r>
    </w:p>
    <w:p w14:paraId="496582CF">
      <w:pPr>
        <w:spacing w:line="360" w:lineRule="auto"/>
        <w:ind w:firstLine="420" w:firstLineChars="200"/>
        <w:rPr>
          <w:rFonts w:hint="eastAsia" w:ascii="宋体" w:hAnsi="宋体" w:cs="宋体"/>
          <w:szCs w:val="21"/>
        </w:rPr>
      </w:pPr>
      <w:r>
        <w:rPr>
          <w:rFonts w:hint="eastAsia" w:ascii="宋体" w:hAnsi="宋体" w:cs="宋体"/>
          <w:szCs w:val="21"/>
        </w:rPr>
        <w:t>附：法定代表人身份证明书及委托代理人有效身份证正反面复印件</w:t>
      </w:r>
    </w:p>
    <w:p w14:paraId="4588F3D6">
      <w:pPr>
        <w:spacing w:line="360" w:lineRule="auto"/>
        <w:rPr>
          <w:rFonts w:hint="eastAsia" w:ascii="宋体" w:hAnsi="宋体" w:cs="宋体"/>
          <w:szCs w:val="21"/>
        </w:rPr>
      </w:pPr>
    </w:p>
    <w:p w14:paraId="1AACB328">
      <w:pPr>
        <w:spacing w:line="360" w:lineRule="auto"/>
        <w:rPr>
          <w:rFonts w:hint="eastAsia" w:ascii="宋体" w:hAnsi="宋体" w:cs="宋体"/>
          <w:szCs w:val="21"/>
        </w:rPr>
      </w:pPr>
      <w:r>
        <w:rPr>
          <w:rFonts w:hint="eastAsia" w:ascii="宋体" w:hAnsi="宋体" w:cs="宋体"/>
          <w:szCs w:val="21"/>
        </w:rPr>
        <w:t xml:space="preserve">委托代理人（签字或者电子签名）：     法定代表人（签字或者盖章或者电子签名）：                    </w:t>
      </w:r>
    </w:p>
    <w:p w14:paraId="6027A267">
      <w:pPr>
        <w:spacing w:line="360" w:lineRule="auto"/>
        <w:rPr>
          <w:rFonts w:hint="eastAsia" w:ascii="宋体" w:hAnsi="宋体" w:cs="宋体"/>
          <w:szCs w:val="21"/>
        </w:rPr>
      </w:pPr>
      <w:r>
        <w:rPr>
          <w:rFonts w:hint="eastAsia" w:ascii="宋体" w:hAnsi="宋体" w:cs="宋体"/>
          <w:szCs w:val="21"/>
        </w:rPr>
        <w:t xml:space="preserve">委托代理人身份证号码：                              </w:t>
      </w:r>
    </w:p>
    <w:p w14:paraId="4CE68679">
      <w:pPr>
        <w:spacing w:line="360" w:lineRule="auto"/>
        <w:rPr>
          <w:rFonts w:hint="eastAsia" w:ascii="宋体" w:hAnsi="宋体" w:cs="宋体"/>
          <w:szCs w:val="21"/>
        </w:rPr>
      </w:pPr>
      <w:r>
        <w:rPr>
          <w:rFonts w:hint="eastAsia" w:ascii="宋体" w:hAnsi="宋体" w:cs="宋体"/>
          <w:szCs w:val="21"/>
        </w:rPr>
        <w:t xml:space="preserve">                                </w:t>
      </w:r>
    </w:p>
    <w:p w14:paraId="664FAE82">
      <w:pPr>
        <w:spacing w:line="360" w:lineRule="auto"/>
        <w:rPr>
          <w:rFonts w:hint="eastAsia" w:ascii="宋体" w:hAnsi="宋体" w:cs="宋体"/>
          <w:szCs w:val="21"/>
        </w:rPr>
      </w:pPr>
      <w:r>
        <w:rPr>
          <w:rFonts w:hint="eastAsia" w:ascii="宋体" w:hAnsi="宋体" w:cs="宋体"/>
          <w:szCs w:val="21"/>
        </w:rPr>
        <w:t xml:space="preserve">                         供应商（电子签章）：                      </w:t>
      </w:r>
    </w:p>
    <w:p w14:paraId="778F5441">
      <w:pPr>
        <w:spacing w:line="360" w:lineRule="auto"/>
        <w:rPr>
          <w:rFonts w:hint="eastAsia" w:ascii="宋体" w:hAnsi="宋体" w:cs="宋体"/>
          <w:szCs w:val="21"/>
        </w:rPr>
      </w:pPr>
      <w:r>
        <w:rPr>
          <w:rFonts w:hint="eastAsia" w:ascii="宋体" w:hAnsi="宋体" w:cs="宋体"/>
          <w:szCs w:val="21"/>
        </w:rPr>
        <w:t xml:space="preserve">                                         年    月    日</w:t>
      </w:r>
    </w:p>
    <w:p w14:paraId="1195BF71">
      <w:pPr>
        <w:spacing w:line="360" w:lineRule="auto"/>
        <w:rPr>
          <w:rFonts w:hint="eastAsia" w:ascii="宋体" w:hAnsi="宋体" w:cs="宋体"/>
          <w:szCs w:val="21"/>
        </w:rPr>
      </w:pPr>
    </w:p>
    <w:p w14:paraId="14D1F753">
      <w:pPr>
        <w:spacing w:line="360" w:lineRule="auto"/>
        <w:rPr>
          <w:rFonts w:hint="eastAsia" w:ascii="宋体" w:hAnsi="宋体" w:cs="宋体"/>
          <w:szCs w:val="21"/>
        </w:rPr>
      </w:pPr>
      <w:r>
        <w:rPr>
          <w:rFonts w:hint="eastAsia" w:ascii="宋体" w:hAnsi="宋体" w:cs="宋体"/>
          <w:szCs w:val="21"/>
        </w:rPr>
        <w:t>注：1. 法定代表人必须在授权委托书上签字或者盖章或者电子签名，委托代理人必须在授权委托书上签字或者电子签名，</w:t>
      </w:r>
      <w:r>
        <w:rPr>
          <w:rFonts w:hint="eastAsia" w:ascii="宋体" w:hAnsi="宋体" w:cs="宋体"/>
          <w:b/>
          <w:szCs w:val="21"/>
        </w:rPr>
        <w:t>否则其响应文件按无效响应处理。</w:t>
      </w:r>
    </w:p>
    <w:p w14:paraId="68492AE3">
      <w:pPr>
        <w:spacing w:line="360" w:lineRule="auto"/>
        <w:ind w:firstLine="420" w:firstLineChars="200"/>
        <w:jc w:val="left"/>
        <w:rPr>
          <w:rFonts w:hint="eastAsia" w:ascii="宋体" w:hAnsi="宋体" w:cs="宋体"/>
          <w:szCs w:val="21"/>
        </w:rPr>
      </w:pPr>
      <w:r>
        <w:rPr>
          <w:rFonts w:hint="eastAsia" w:ascii="宋体" w:hAnsi="宋体" w:cs="宋体"/>
          <w:szCs w:val="21"/>
        </w:rPr>
        <w:t>2.法人、其他组织竞标时“我方”是指“我单位”，自然人竞标时“我方”是指“本人”。</w:t>
      </w:r>
    </w:p>
    <w:p w14:paraId="5B62C81D">
      <w:pPr>
        <w:spacing w:line="360" w:lineRule="auto"/>
        <w:ind w:firstLine="420" w:firstLineChars="200"/>
        <w:jc w:val="left"/>
        <w:rPr>
          <w:rFonts w:hint="eastAsia" w:ascii="宋体" w:hAnsi="宋体" w:cs="宋体"/>
          <w:szCs w:val="21"/>
        </w:rPr>
      </w:pPr>
    </w:p>
    <w:p w14:paraId="79261BA9">
      <w:pPr>
        <w:spacing w:line="520" w:lineRule="exact"/>
        <w:jc w:val="center"/>
        <w:rPr>
          <w:rFonts w:hint="eastAsia" w:ascii="宋体" w:hAnsi="宋体" w:cs="宋体"/>
          <w:b/>
          <w:bCs/>
          <w:sz w:val="32"/>
          <w:szCs w:val="32"/>
        </w:rPr>
      </w:pPr>
      <w:r>
        <w:rPr>
          <w:rFonts w:hint="eastAsia" w:ascii="宋体" w:hAnsi="宋体" w:cs="宋体"/>
          <w:szCs w:val="21"/>
        </w:rPr>
        <w:br w:type="page"/>
      </w:r>
      <w:r>
        <w:rPr>
          <w:rFonts w:hint="eastAsia" w:ascii="宋体" w:hAnsi="宋体" w:cs="宋体"/>
          <w:b/>
          <w:bCs/>
          <w:sz w:val="32"/>
          <w:szCs w:val="32"/>
        </w:rPr>
        <w:t>授权委托书</w:t>
      </w:r>
    </w:p>
    <w:p w14:paraId="683C5DB8">
      <w:pPr>
        <w:spacing w:line="520" w:lineRule="exact"/>
        <w:jc w:val="center"/>
        <w:rPr>
          <w:rFonts w:hint="eastAsia" w:ascii="宋体" w:hAnsi="宋体" w:cs="宋体"/>
          <w:b/>
          <w:bCs/>
          <w:sz w:val="32"/>
          <w:szCs w:val="32"/>
        </w:rPr>
      </w:pPr>
      <w:r>
        <w:rPr>
          <w:rFonts w:hint="eastAsia" w:ascii="宋体" w:hAnsi="宋体" w:cs="宋体"/>
          <w:b/>
          <w:bCs/>
          <w:sz w:val="32"/>
          <w:szCs w:val="32"/>
        </w:rPr>
        <w:t>（联合体竞标格式）</w:t>
      </w:r>
    </w:p>
    <w:p w14:paraId="58932199">
      <w:pPr>
        <w:spacing w:line="520" w:lineRule="exact"/>
        <w:jc w:val="center"/>
        <w:rPr>
          <w:rFonts w:hint="eastAsia" w:ascii="宋体" w:hAnsi="宋体" w:cs="宋体"/>
          <w:b/>
          <w:bCs/>
          <w:sz w:val="32"/>
          <w:szCs w:val="32"/>
        </w:rPr>
      </w:pPr>
      <w:r>
        <w:rPr>
          <w:rFonts w:hint="eastAsia" w:ascii="宋体" w:hAnsi="宋体" w:cs="宋体"/>
          <w:b/>
          <w:bCs/>
          <w:sz w:val="32"/>
          <w:szCs w:val="32"/>
        </w:rPr>
        <w:t>（如有委托时）</w:t>
      </w:r>
    </w:p>
    <w:p w14:paraId="637BAB1D">
      <w:pPr>
        <w:spacing w:line="360" w:lineRule="auto"/>
        <w:rPr>
          <w:rFonts w:hint="eastAsia" w:ascii="宋体" w:hAnsi="宋体" w:cs="宋体"/>
          <w:sz w:val="32"/>
          <w:szCs w:val="32"/>
        </w:rPr>
      </w:pPr>
    </w:p>
    <w:p w14:paraId="2DEB8A0F">
      <w:pPr>
        <w:spacing w:line="360" w:lineRule="auto"/>
        <w:ind w:firstLine="420" w:firstLineChars="200"/>
        <w:jc w:val="left"/>
        <w:rPr>
          <w:rFonts w:hint="eastAsia" w:ascii="宋体" w:hAnsi="宋体" w:cs="宋体"/>
          <w:szCs w:val="21"/>
        </w:rPr>
      </w:pPr>
      <w:r>
        <w:rPr>
          <w:rFonts w:hint="eastAsia" w:ascii="宋体" w:hAnsi="宋体" w:cs="宋体"/>
          <w:szCs w:val="21"/>
        </w:rPr>
        <w:t>本授权委托书声明：根据</w:t>
      </w:r>
      <w:r>
        <w:rPr>
          <w:rFonts w:hint="eastAsia" w:ascii="宋体" w:hAnsi="宋体" w:cs="宋体"/>
          <w:szCs w:val="21"/>
          <w:u w:val="single"/>
        </w:rPr>
        <w:t xml:space="preserve">                </w:t>
      </w:r>
      <w:r>
        <w:rPr>
          <w:rFonts w:hint="eastAsia" w:ascii="宋体" w:hAnsi="宋体" w:cs="宋体"/>
          <w:szCs w:val="21"/>
        </w:rPr>
        <w:t>（牵头人名称）与</w:t>
      </w:r>
      <w:r>
        <w:rPr>
          <w:rFonts w:hint="eastAsia" w:ascii="宋体" w:hAnsi="宋体" w:cs="宋体"/>
          <w:szCs w:val="21"/>
          <w:u w:val="single"/>
        </w:rPr>
        <w:t xml:space="preserve">              </w:t>
      </w:r>
      <w:r>
        <w:rPr>
          <w:rFonts w:hint="eastAsia" w:ascii="宋体" w:hAnsi="宋体" w:cs="宋体"/>
          <w:szCs w:val="21"/>
        </w:rPr>
        <w:t>（联合体其他成员名称）签订的《联合体竞标协议书》的内容，</w:t>
      </w:r>
      <w:r>
        <w:rPr>
          <w:rFonts w:hint="eastAsia" w:ascii="宋体" w:hAnsi="宋体" w:cs="宋体"/>
          <w:szCs w:val="21"/>
          <w:u w:val="single"/>
        </w:rPr>
        <w:t xml:space="preserve">                       </w:t>
      </w:r>
      <w:r>
        <w:rPr>
          <w:rFonts w:hint="eastAsia" w:ascii="宋体" w:hAnsi="宋体" w:cs="宋体"/>
          <w:szCs w:val="21"/>
        </w:rPr>
        <w:t>（牵头人名称）的法定代表人</w:t>
      </w:r>
      <w:r>
        <w:rPr>
          <w:rFonts w:hint="eastAsia" w:ascii="宋体" w:hAnsi="宋体" w:cs="宋体"/>
          <w:szCs w:val="21"/>
          <w:u w:val="single"/>
        </w:rPr>
        <w:t xml:space="preserve">      </w:t>
      </w:r>
      <w:r>
        <w:rPr>
          <w:rFonts w:hint="eastAsia" w:ascii="宋体" w:hAnsi="宋体" w:cs="宋体"/>
          <w:szCs w:val="21"/>
        </w:rPr>
        <w:t>（姓名）现授权</w:t>
      </w:r>
      <w:r>
        <w:rPr>
          <w:rFonts w:hint="eastAsia" w:ascii="宋体" w:hAnsi="宋体" w:cs="宋体"/>
          <w:szCs w:val="21"/>
          <w:u w:val="single"/>
        </w:rPr>
        <w:t xml:space="preserve">      </w:t>
      </w:r>
      <w:r>
        <w:rPr>
          <w:rFonts w:hint="eastAsia" w:ascii="宋体" w:hAnsi="宋体" w:cs="宋体"/>
          <w:szCs w:val="21"/>
        </w:rPr>
        <w:t>（姓名）为联合委托代理人，并代表我方全权办理针对上述项目的所有采购程序和环节的具体事务和签署相关文件。</w:t>
      </w:r>
    </w:p>
    <w:p w14:paraId="152816E1">
      <w:pPr>
        <w:spacing w:line="360" w:lineRule="auto"/>
        <w:ind w:firstLine="420" w:firstLineChars="200"/>
        <w:rPr>
          <w:rFonts w:hint="eastAsia" w:ascii="宋体" w:hAnsi="宋体" w:cs="宋体"/>
          <w:szCs w:val="21"/>
        </w:rPr>
      </w:pPr>
      <w:r>
        <w:rPr>
          <w:rFonts w:hint="eastAsia" w:ascii="宋体" w:hAnsi="宋体" w:cs="宋体"/>
          <w:szCs w:val="21"/>
        </w:rPr>
        <w:t>我方对委托代理人的签字或者电子签名事项负全部责任。</w:t>
      </w:r>
    </w:p>
    <w:p w14:paraId="5FB7072D">
      <w:pPr>
        <w:spacing w:line="360" w:lineRule="auto"/>
        <w:ind w:firstLine="420" w:firstLineChars="200"/>
        <w:rPr>
          <w:rFonts w:hint="eastAsia" w:ascii="宋体" w:hAnsi="宋体" w:cs="宋体"/>
          <w:szCs w:val="21"/>
        </w:rPr>
      </w:pPr>
      <w:r>
        <w:rPr>
          <w:rFonts w:hint="eastAsia" w:ascii="宋体" w:hAnsi="宋体" w:cs="宋体"/>
          <w:szCs w:val="21"/>
        </w:rPr>
        <w:t>本授权书自签署之日起生效，在撤销授权的书面通知以前，本授权书一直有效。委托代理人在授权书有效期内签署的所有文件不因授权的撤销而失效。</w:t>
      </w:r>
    </w:p>
    <w:p w14:paraId="584D4179">
      <w:pPr>
        <w:spacing w:line="360" w:lineRule="auto"/>
        <w:ind w:firstLine="420" w:firstLineChars="200"/>
        <w:rPr>
          <w:rFonts w:hint="eastAsia" w:ascii="宋体" w:hAnsi="宋体" w:cs="宋体"/>
          <w:szCs w:val="21"/>
        </w:rPr>
      </w:pPr>
      <w:r>
        <w:rPr>
          <w:rFonts w:hint="eastAsia" w:ascii="宋体" w:hAnsi="宋体" w:cs="宋体"/>
          <w:szCs w:val="21"/>
        </w:rPr>
        <w:t>委托代理人无转委托权，特此委托。</w:t>
      </w:r>
    </w:p>
    <w:p w14:paraId="56174857">
      <w:pPr>
        <w:spacing w:line="360" w:lineRule="auto"/>
        <w:rPr>
          <w:rFonts w:hint="eastAsia" w:ascii="宋体" w:hAnsi="宋体" w:cs="宋体"/>
          <w:szCs w:val="21"/>
        </w:rPr>
      </w:pPr>
      <w:r>
        <w:rPr>
          <w:rFonts w:hint="eastAsia" w:ascii="宋体" w:hAnsi="宋体" w:cs="宋体"/>
          <w:szCs w:val="21"/>
        </w:rPr>
        <w:t xml:space="preserve">    附：法定代表人身份证明书及委托代理人有效身份证正反面复印件</w:t>
      </w:r>
    </w:p>
    <w:p w14:paraId="29D36EFC">
      <w:pPr>
        <w:spacing w:line="360" w:lineRule="auto"/>
        <w:ind w:firstLine="420" w:firstLineChars="200"/>
        <w:rPr>
          <w:rFonts w:hint="eastAsia" w:ascii="宋体" w:hAnsi="宋体" w:cs="宋体"/>
          <w:szCs w:val="21"/>
        </w:rPr>
      </w:pPr>
      <w:r>
        <w:rPr>
          <w:rFonts w:hint="eastAsia" w:ascii="宋体" w:hAnsi="宋体" w:cs="宋体"/>
          <w:szCs w:val="21"/>
        </w:rPr>
        <w:t>牵头人法定代表人（签字或者盖章或者电子签名）：</w:t>
      </w:r>
    </w:p>
    <w:p w14:paraId="1D0579E3">
      <w:pPr>
        <w:spacing w:line="360" w:lineRule="auto"/>
        <w:ind w:firstLine="2730" w:firstLineChars="1300"/>
        <w:rPr>
          <w:rFonts w:hint="eastAsia" w:ascii="宋体" w:hAnsi="宋体" w:cs="宋体"/>
          <w:szCs w:val="21"/>
        </w:rPr>
      </w:pPr>
      <w:r>
        <w:rPr>
          <w:rFonts w:hint="eastAsia" w:ascii="宋体" w:hAnsi="宋体" w:cs="宋体"/>
          <w:szCs w:val="21"/>
        </w:rPr>
        <w:t>牵头人（电子签章）：</w:t>
      </w:r>
    </w:p>
    <w:p w14:paraId="0FA43C0D">
      <w:pPr>
        <w:spacing w:line="360" w:lineRule="auto"/>
        <w:ind w:firstLine="3360" w:firstLineChars="1600"/>
        <w:rPr>
          <w:rFonts w:hint="eastAsia" w:ascii="宋体" w:hAnsi="宋体" w:cs="宋体"/>
          <w:szCs w:val="21"/>
        </w:rPr>
      </w:pPr>
      <w:r>
        <w:rPr>
          <w:rFonts w:hint="eastAsia" w:ascii="宋体" w:hAnsi="宋体" w:cs="宋体"/>
          <w:szCs w:val="21"/>
        </w:rPr>
        <w:t>日期：    年   月   日</w:t>
      </w:r>
    </w:p>
    <w:p w14:paraId="3F04D19A">
      <w:pPr>
        <w:spacing w:line="360" w:lineRule="auto"/>
        <w:rPr>
          <w:rFonts w:hint="eastAsia" w:ascii="宋体" w:hAnsi="宋体" w:cs="宋体"/>
          <w:szCs w:val="21"/>
        </w:rPr>
      </w:pPr>
    </w:p>
    <w:p w14:paraId="394A4D79">
      <w:pPr>
        <w:spacing w:line="360" w:lineRule="auto"/>
        <w:ind w:firstLine="2730" w:firstLineChars="1300"/>
        <w:rPr>
          <w:rFonts w:hint="eastAsia" w:ascii="宋体" w:hAnsi="宋体" w:cs="宋体"/>
          <w:szCs w:val="21"/>
        </w:rPr>
      </w:pPr>
      <w:r>
        <w:rPr>
          <w:rFonts w:hint="eastAsia" w:ascii="宋体" w:hAnsi="宋体" w:cs="宋体"/>
          <w:szCs w:val="21"/>
        </w:rPr>
        <w:t>被授权人（签字或者电子签名）：</w:t>
      </w:r>
    </w:p>
    <w:p w14:paraId="01FC7D8A">
      <w:pPr>
        <w:spacing w:line="360" w:lineRule="auto"/>
        <w:ind w:firstLine="3360" w:firstLineChars="1600"/>
        <w:rPr>
          <w:rFonts w:hint="eastAsia" w:ascii="宋体" w:hAnsi="宋体" w:cs="宋体"/>
          <w:szCs w:val="21"/>
        </w:rPr>
      </w:pPr>
      <w:r>
        <w:rPr>
          <w:rFonts w:hint="eastAsia" w:ascii="宋体" w:hAnsi="宋体" w:cs="宋体"/>
          <w:szCs w:val="21"/>
        </w:rPr>
        <w:t>日期：    年   月   日</w:t>
      </w:r>
    </w:p>
    <w:p w14:paraId="58C81830">
      <w:pPr>
        <w:spacing w:line="360" w:lineRule="auto"/>
        <w:rPr>
          <w:rFonts w:hint="eastAsia" w:ascii="宋体" w:hAnsi="宋体" w:cs="宋体"/>
          <w:szCs w:val="21"/>
        </w:rPr>
      </w:pPr>
    </w:p>
    <w:p w14:paraId="57C4C99B">
      <w:pPr>
        <w:spacing w:line="360" w:lineRule="auto"/>
        <w:rPr>
          <w:rFonts w:hint="eastAsia" w:ascii="宋体" w:hAnsi="宋体" w:cs="宋体"/>
          <w:szCs w:val="21"/>
        </w:rPr>
      </w:pPr>
      <w:r>
        <w:rPr>
          <w:rFonts w:hint="eastAsia" w:ascii="宋体" w:hAnsi="宋体" w:cs="宋体"/>
          <w:szCs w:val="21"/>
        </w:rPr>
        <w:t>注：1. 法定代表人必须在授权委托书上签字或者盖章或者电子签名，委托代理人必须在授权委托书上签字或者电子签名，</w:t>
      </w:r>
      <w:r>
        <w:rPr>
          <w:rFonts w:hint="eastAsia" w:ascii="宋体" w:hAnsi="宋体" w:cs="宋体"/>
          <w:b/>
          <w:szCs w:val="21"/>
        </w:rPr>
        <w:t>否则其响应文件按无效响应处理。</w:t>
      </w:r>
    </w:p>
    <w:p w14:paraId="0BB4DAB7">
      <w:pPr>
        <w:spacing w:line="500" w:lineRule="exact"/>
        <w:jc w:val="left"/>
        <w:rPr>
          <w:rFonts w:hint="eastAsia" w:ascii="宋体" w:hAnsi="宋体" w:cs="宋体"/>
          <w:szCs w:val="21"/>
        </w:rPr>
      </w:pPr>
      <w:r>
        <w:rPr>
          <w:rFonts w:hint="eastAsia" w:ascii="宋体" w:hAnsi="宋体" w:cs="宋体"/>
          <w:szCs w:val="21"/>
        </w:rPr>
        <w:t>2.法人、其他组织竞标时“我方”是指“我单位”，自然人竞标时“我方”是指“本人”。</w:t>
      </w:r>
    </w:p>
    <w:p w14:paraId="408E0F1C">
      <w:pPr>
        <w:spacing w:line="500" w:lineRule="exact"/>
        <w:jc w:val="center"/>
        <w:rPr>
          <w:rFonts w:hint="eastAsia" w:ascii="宋体" w:hAnsi="宋体" w:cs="宋体"/>
          <w:bCs/>
          <w:sz w:val="32"/>
          <w:szCs w:val="32"/>
        </w:rPr>
      </w:pPr>
      <w:r>
        <w:rPr>
          <w:rFonts w:hint="eastAsia" w:ascii="宋体" w:hAnsi="宋体" w:cs="宋体"/>
          <w:sz w:val="32"/>
          <w:szCs w:val="32"/>
        </w:rPr>
        <w:br w:type="page"/>
      </w:r>
      <w:r>
        <w:rPr>
          <w:rFonts w:hint="eastAsia" w:ascii="宋体" w:hAnsi="宋体" w:cs="宋体"/>
          <w:b/>
          <w:sz w:val="32"/>
          <w:szCs w:val="32"/>
        </w:rPr>
        <w:t>商务要求偏离表格式</w:t>
      </w:r>
    </w:p>
    <w:p w14:paraId="1CF4DB1D">
      <w:pPr>
        <w:spacing w:line="500" w:lineRule="exact"/>
        <w:jc w:val="center"/>
        <w:rPr>
          <w:rFonts w:hint="eastAsia" w:ascii="宋体" w:hAnsi="宋体" w:cs="宋体"/>
          <w:b/>
          <w:i/>
          <w:sz w:val="32"/>
          <w:szCs w:val="32"/>
        </w:rPr>
      </w:pPr>
      <w:r>
        <w:rPr>
          <w:rFonts w:hint="eastAsia" w:ascii="宋体" w:hAnsi="宋体" w:cs="宋体"/>
          <w:bCs/>
          <w:i/>
          <w:sz w:val="32"/>
          <w:szCs w:val="32"/>
        </w:rPr>
        <w:t>（注：按采购需求具体条款修改）</w:t>
      </w:r>
    </w:p>
    <w:p w14:paraId="432D1CE7">
      <w:pPr>
        <w:snapToGrid w:val="0"/>
        <w:spacing w:before="50"/>
        <w:jc w:val="left"/>
        <w:rPr>
          <w:rFonts w:hint="eastAsia" w:ascii="宋体" w:hAnsi="宋体" w:cs="宋体"/>
          <w:sz w:val="24"/>
        </w:rPr>
      </w:pPr>
    </w:p>
    <w:p w14:paraId="5EA057D2">
      <w:pPr>
        <w:pStyle w:val="17"/>
        <w:spacing w:line="360" w:lineRule="auto"/>
        <w:rPr>
          <w:rFonts w:hint="eastAsia" w:hAnsi="宋体" w:cs="宋体"/>
          <w:sz w:val="21"/>
        </w:rPr>
      </w:pPr>
      <w:r>
        <w:rPr>
          <w:rFonts w:hint="eastAsia" w:hAnsi="宋体" w:cs="宋体"/>
          <w:sz w:val="21"/>
        </w:rPr>
        <w:t>所竞分标：</w:t>
      </w:r>
      <w:r>
        <w:rPr>
          <w:rFonts w:hint="eastAsia" w:hAnsi="宋体" w:cs="宋体"/>
          <w:sz w:val="21"/>
          <w:u w:val="single"/>
        </w:rPr>
        <w:t xml:space="preserve">              </w:t>
      </w:r>
    </w:p>
    <w:tbl>
      <w:tblPr>
        <w:tblStyle w:val="29"/>
        <w:tblpPr w:leftFromText="180" w:rightFromText="180" w:vertAnchor="text" w:horzAnchor="margin" w:tblpY="311"/>
        <w:tblOverlap w:val="never"/>
        <w:tblW w:w="931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9"/>
        <w:gridCol w:w="2669"/>
        <w:gridCol w:w="2634"/>
        <w:gridCol w:w="1830"/>
      </w:tblGrid>
      <w:tr w14:paraId="6AA8F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9" w:type="dxa"/>
            <w:tcBorders>
              <w:top w:val="single" w:color="auto" w:sz="4" w:space="0"/>
              <w:left w:val="single" w:color="auto" w:sz="4" w:space="0"/>
              <w:bottom w:val="single" w:color="auto" w:sz="4" w:space="0"/>
              <w:right w:val="single" w:color="auto" w:sz="4" w:space="0"/>
            </w:tcBorders>
            <w:vAlign w:val="center"/>
          </w:tcPr>
          <w:p w14:paraId="4203FD5E">
            <w:pPr>
              <w:snapToGrid w:val="0"/>
              <w:spacing w:before="120" w:beforeLines="50" w:line="360" w:lineRule="auto"/>
              <w:jc w:val="center"/>
              <w:rPr>
                <w:rFonts w:hint="eastAsia" w:ascii="宋体" w:hAnsi="宋体" w:cs="宋体"/>
                <w:szCs w:val="21"/>
              </w:rPr>
            </w:pPr>
            <w:r>
              <w:rPr>
                <w:rFonts w:hint="eastAsia" w:ascii="宋体" w:hAnsi="宋体" w:cs="宋体"/>
                <w:szCs w:val="21"/>
              </w:rPr>
              <w:t>项目</w:t>
            </w:r>
          </w:p>
        </w:tc>
        <w:tc>
          <w:tcPr>
            <w:tcW w:w="2669" w:type="dxa"/>
            <w:tcBorders>
              <w:top w:val="single" w:color="auto" w:sz="4" w:space="0"/>
              <w:left w:val="single" w:color="auto" w:sz="4" w:space="0"/>
              <w:bottom w:val="single" w:color="auto" w:sz="4" w:space="0"/>
              <w:right w:val="single" w:color="auto" w:sz="4" w:space="0"/>
            </w:tcBorders>
            <w:vAlign w:val="center"/>
          </w:tcPr>
          <w:p w14:paraId="5022D6C3">
            <w:pPr>
              <w:snapToGrid w:val="0"/>
              <w:spacing w:before="120" w:beforeLines="50" w:line="360" w:lineRule="auto"/>
              <w:jc w:val="center"/>
              <w:rPr>
                <w:rFonts w:hint="eastAsia" w:ascii="宋体" w:hAnsi="宋体" w:cs="宋体"/>
                <w:szCs w:val="21"/>
              </w:rPr>
            </w:pPr>
            <w:r>
              <w:rPr>
                <w:rFonts w:hint="eastAsia" w:ascii="宋体" w:hAnsi="宋体" w:cs="宋体"/>
                <w:szCs w:val="21"/>
              </w:rPr>
              <w:t>谈判文件商务要求</w:t>
            </w:r>
          </w:p>
        </w:tc>
        <w:tc>
          <w:tcPr>
            <w:tcW w:w="2634" w:type="dxa"/>
            <w:tcBorders>
              <w:top w:val="single" w:color="auto" w:sz="4" w:space="0"/>
              <w:left w:val="single" w:color="auto" w:sz="4" w:space="0"/>
              <w:bottom w:val="single" w:color="auto" w:sz="4" w:space="0"/>
              <w:right w:val="single" w:color="auto" w:sz="4" w:space="0"/>
            </w:tcBorders>
            <w:vAlign w:val="center"/>
          </w:tcPr>
          <w:p w14:paraId="4FAFEBF6">
            <w:pPr>
              <w:snapToGrid w:val="0"/>
              <w:spacing w:before="120" w:beforeLines="50" w:line="360" w:lineRule="auto"/>
              <w:jc w:val="center"/>
              <w:rPr>
                <w:rFonts w:hint="eastAsia" w:ascii="宋体" w:hAnsi="宋体" w:cs="宋体"/>
                <w:szCs w:val="21"/>
              </w:rPr>
            </w:pPr>
            <w:r>
              <w:rPr>
                <w:rFonts w:hint="eastAsia" w:ascii="宋体" w:hAnsi="宋体" w:cs="宋体"/>
                <w:szCs w:val="21"/>
              </w:rPr>
              <w:t>供应商的响应</w:t>
            </w:r>
          </w:p>
        </w:tc>
        <w:tc>
          <w:tcPr>
            <w:tcW w:w="1830" w:type="dxa"/>
            <w:tcBorders>
              <w:top w:val="single" w:color="auto" w:sz="4" w:space="0"/>
              <w:left w:val="single" w:color="auto" w:sz="4" w:space="0"/>
              <w:bottom w:val="single" w:color="auto" w:sz="4" w:space="0"/>
              <w:right w:val="single" w:color="auto" w:sz="4" w:space="0"/>
            </w:tcBorders>
            <w:vAlign w:val="center"/>
          </w:tcPr>
          <w:p w14:paraId="331FC4C8">
            <w:pPr>
              <w:snapToGrid w:val="0"/>
              <w:spacing w:before="120" w:beforeLines="50" w:line="360" w:lineRule="auto"/>
              <w:jc w:val="center"/>
              <w:rPr>
                <w:rFonts w:hint="eastAsia" w:ascii="宋体" w:hAnsi="宋体" w:cs="宋体"/>
                <w:szCs w:val="21"/>
              </w:rPr>
            </w:pPr>
            <w:r>
              <w:rPr>
                <w:rFonts w:hint="eastAsia" w:ascii="宋体" w:hAnsi="宋体" w:cs="宋体"/>
                <w:szCs w:val="21"/>
              </w:rPr>
              <w:t>偏离说明</w:t>
            </w:r>
          </w:p>
        </w:tc>
      </w:tr>
      <w:tr w14:paraId="6386B0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179" w:type="dxa"/>
            <w:tcBorders>
              <w:top w:val="single" w:color="auto" w:sz="4" w:space="0"/>
              <w:left w:val="single" w:color="auto" w:sz="4" w:space="0"/>
              <w:bottom w:val="single" w:color="auto" w:sz="4" w:space="0"/>
              <w:right w:val="single" w:color="auto" w:sz="4" w:space="0"/>
            </w:tcBorders>
            <w:vAlign w:val="center"/>
          </w:tcPr>
          <w:p w14:paraId="64A83176">
            <w:pPr>
              <w:jc w:val="center"/>
              <w:rPr>
                <w:rFonts w:hint="eastAsia" w:ascii="宋体" w:hAnsi="宋体" w:cs="宋体"/>
                <w:szCs w:val="21"/>
              </w:rPr>
            </w:pPr>
          </w:p>
        </w:tc>
        <w:tc>
          <w:tcPr>
            <w:tcW w:w="2669" w:type="dxa"/>
            <w:tcBorders>
              <w:top w:val="single" w:color="auto" w:sz="4" w:space="0"/>
              <w:left w:val="single" w:color="auto" w:sz="4" w:space="0"/>
              <w:bottom w:val="single" w:color="auto" w:sz="4" w:space="0"/>
              <w:right w:val="single" w:color="auto" w:sz="4" w:space="0"/>
            </w:tcBorders>
            <w:vAlign w:val="center"/>
          </w:tcPr>
          <w:p w14:paraId="0BE4044B">
            <w:pPr>
              <w:jc w:val="center"/>
              <w:rPr>
                <w:rFonts w:hint="eastAsia" w:ascii="宋体" w:hAnsi="宋体" w:cs="宋体"/>
                <w:szCs w:val="21"/>
              </w:rPr>
            </w:pPr>
          </w:p>
        </w:tc>
        <w:tc>
          <w:tcPr>
            <w:tcW w:w="2634" w:type="dxa"/>
            <w:tcBorders>
              <w:top w:val="single" w:color="auto" w:sz="4" w:space="0"/>
              <w:left w:val="single" w:color="auto" w:sz="4" w:space="0"/>
              <w:bottom w:val="single" w:color="auto" w:sz="4" w:space="0"/>
              <w:right w:val="single" w:color="auto" w:sz="4" w:space="0"/>
            </w:tcBorders>
            <w:vAlign w:val="center"/>
          </w:tcPr>
          <w:p w14:paraId="458432DA">
            <w:pPr>
              <w:snapToGrid w:val="0"/>
              <w:spacing w:before="120" w:beforeLines="50" w:line="360" w:lineRule="auto"/>
              <w:jc w:val="center"/>
              <w:rPr>
                <w:rFonts w:hint="eastAsia" w:ascii="宋体" w:hAnsi="宋体" w:cs="宋体"/>
                <w:szCs w:val="21"/>
              </w:rPr>
            </w:pPr>
          </w:p>
        </w:tc>
        <w:tc>
          <w:tcPr>
            <w:tcW w:w="1830" w:type="dxa"/>
            <w:tcBorders>
              <w:top w:val="single" w:color="auto" w:sz="4" w:space="0"/>
              <w:left w:val="single" w:color="auto" w:sz="4" w:space="0"/>
              <w:bottom w:val="single" w:color="auto" w:sz="4" w:space="0"/>
              <w:right w:val="single" w:color="auto" w:sz="4" w:space="0"/>
            </w:tcBorders>
            <w:vAlign w:val="center"/>
          </w:tcPr>
          <w:p w14:paraId="472A0863">
            <w:pPr>
              <w:snapToGrid w:val="0"/>
              <w:spacing w:before="120" w:beforeLines="50" w:line="360" w:lineRule="auto"/>
              <w:jc w:val="center"/>
              <w:rPr>
                <w:rFonts w:hint="eastAsia" w:ascii="宋体" w:hAnsi="宋体" w:cs="宋体"/>
                <w:szCs w:val="21"/>
              </w:rPr>
            </w:pPr>
          </w:p>
        </w:tc>
      </w:tr>
      <w:tr w14:paraId="32F4D6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9" w:type="dxa"/>
            <w:tcBorders>
              <w:top w:val="single" w:color="auto" w:sz="4" w:space="0"/>
              <w:left w:val="single" w:color="auto" w:sz="4" w:space="0"/>
              <w:bottom w:val="single" w:color="auto" w:sz="4" w:space="0"/>
              <w:right w:val="single" w:color="auto" w:sz="4" w:space="0"/>
            </w:tcBorders>
            <w:vAlign w:val="center"/>
          </w:tcPr>
          <w:p w14:paraId="694D4E5A">
            <w:pPr>
              <w:jc w:val="center"/>
              <w:rPr>
                <w:rFonts w:hint="eastAsia" w:ascii="宋体" w:hAnsi="宋体" w:cs="宋体"/>
                <w:szCs w:val="21"/>
              </w:rPr>
            </w:pPr>
          </w:p>
        </w:tc>
        <w:tc>
          <w:tcPr>
            <w:tcW w:w="2669" w:type="dxa"/>
            <w:tcBorders>
              <w:top w:val="single" w:color="auto" w:sz="4" w:space="0"/>
              <w:left w:val="single" w:color="auto" w:sz="4" w:space="0"/>
              <w:bottom w:val="single" w:color="auto" w:sz="4" w:space="0"/>
              <w:right w:val="single" w:color="auto" w:sz="4" w:space="0"/>
            </w:tcBorders>
            <w:vAlign w:val="center"/>
          </w:tcPr>
          <w:p w14:paraId="498CF0A8">
            <w:pPr>
              <w:jc w:val="center"/>
              <w:rPr>
                <w:rFonts w:hint="eastAsia" w:ascii="宋体" w:hAnsi="宋体" w:cs="宋体"/>
                <w:szCs w:val="21"/>
              </w:rPr>
            </w:pPr>
          </w:p>
        </w:tc>
        <w:tc>
          <w:tcPr>
            <w:tcW w:w="2634" w:type="dxa"/>
            <w:tcBorders>
              <w:top w:val="single" w:color="auto" w:sz="4" w:space="0"/>
              <w:left w:val="single" w:color="auto" w:sz="4" w:space="0"/>
              <w:bottom w:val="single" w:color="auto" w:sz="4" w:space="0"/>
              <w:right w:val="single" w:color="auto" w:sz="4" w:space="0"/>
            </w:tcBorders>
            <w:vAlign w:val="center"/>
          </w:tcPr>
          <w:p w14:paraId="563F7167">
            <w:pPr>
              <w:snapToGrid w:val="0"/>
              <w:spacing w:before="120" w:beforeLines="50" w:line="360" w:lineRule="auto"/>
              <w:ind w:left="43"/>
              <w:jc w:val="center"/>
              <w:rPr>
                <w:rFonts w:hint="eastAsia" w:ascii="宋体" w:hAnsi="宋体" w:cs="宋体"/>
                <w:szCs w:val="21"/>
              </w:rPr>
            </w:pPr>
          </w:p>
        </w:tc>
        <w:tc>
          <w:tcPr>
            <w:tcW w:w="1830" w:type="dxa"/>
            <w:tcBorders>
              <w:top w:val="single" w:color="auto" w:sz="4" w:space="0"/>
              <w:left w:val="single" w:color="auto" w:sz="4" w:space="0"/>
              <w:bottom w:val="single" w:color="auto" w:sz="4" w:space="0"/>
              <w:right w:val="single" w:color="auto" w:sz="4" w:space="0"/>
            </w:tcBorders>
            <w:vAlign w:val="center"/>
          </w:tcPr>
          <w:p w14:paraId="25152EAA">
            <w:pPr>
              <w:snapToGrid w:val="0"/>
              <w:spacing w:before="120" w:beforeLines="50" w:line="360" w:lineRule="auto"/>
              <w:ind w:left="43"/>
              <w:jc w:val="center"/>
              <w:rPr>
                <w:rFonts w:hint="eastAsia" w:ascii="宋体" w:hAnsi="宋体" w:cs="宋体"/>
                <w:szCs w:val="21"/>
              </w:rPr>
            </w:pPr>
          </w:p>
        </w:tc>
      </w:tr>
      <w:tr w14:paraId="5A84A0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9" w:type="dxa"/>
            <w:tcBorders>
              <w:top w:val="single" w:color="auto" w:sz="4" w:space="0"/>
              <w:left w:val="single" w:color="auto" w:sz="4" w:space="0"/>
              <w:bottom w:val="single" w:color="auto" w:sz="4" w:space="0"/>
              <w:right w:val="single" w:color="auto" w:sz="4" w:space="0"/>
            </w:tcBorders>
            <w:vAlign w:val="center"/>
          </w:tcPr>
          <w:p w14:paraId="0CD7AE12">
            <w:pPr>
              <w:snapToGrid w:val="0"/>
              <w:spacing w:before="120" w:beforeLines="50" w:line="360" w:lineRule="auto"/>
              <w:jc w:val="center"/>
              <w:rPr>
                <w:rFonts w:hint="eastAsia" w:ascii="宋体" w:hAnsi="宋体" w:cs="宋体"/>
                <w:szCs w:val="21"/>
              </w:rPr>
            </w:pPr>
            <w:r>
              <w:rPr>
                <w:rFonts w:hint="eastAsia" w:ascii="宋体" w:hAnsi="宋体" w:cs="宋体"/>
                <w:szCs w:val="21"/>
              </w:rPr>
              <w:t>…</w:t>
            </w:r>
          </w:p>
        </w:tc>
        <w:tc>
          <w:tcPr>
            <w:tcW w:w="2669" w:type="dxa"/>
            <w:tcBorders>
              <w:top w:val="single" w:color="auto" w:sz="4" w:space="0"/>
              <w:left w:val="single" w:color="auto" w:sz="4" w:space="0"/>
              <w:bottom w:val="single" w:color="auto" w:sz="4" w:space="0"/>
              <w:right w:val="single" w:color="auto" w:sz="4" w:space="0"/>
            </w:tcBorders>
            <w:vAlign w:val="center"/>
          </w:tcPr>
          <w:p w14:paraId="37DD80C1">
            <w:pPr>
              <w:snapToGrid w:val="0"/>
              <w:spacing w:before="120" w:beforeLines="50" w:line="360" w:lineRule="auto"/>
              <w:jc w:val="center"/>
              <w:rPr>
                <w:rFonts w:hint="eastAsia" w:ascii="宋体" w:hAnsi="宋体" w:cs="宋体"/>
                <w:szCs w:val="21"/>
              </w:rPr>
            </w:pPr>
          </w:p>
        </w:tc>
        <w:tc>
          <w:tcPr>
            <w:tcW w:w="2634" w:type="dxa"/>
            <w:tcBorders>
              <w:top w:val="single" w:color="auto" w:sz="4" w:space="0"/>
              <w:left w:val="single" w:color="auto" w:sz="4" w:space="0"/>
              <w:bottom w:val="single" w:color="auto" w:sz="4" w:space="0"/>
              <w:right w:val="single" w:color="auto" w:sz="4" w:space="0"/>
            </w:tcBorders>
            <w:vAlign w:val="center"/>
          </w:tcPr>
          <w:p w14:paraId="67879075">
            <w:pPr>
              <w:snapToGrid w:val="0"/>
              <w:spacing w:before="120" w:beforeLines="50" w:line="360" w:lineRule="auto"/>
              <w:jc w:val="center"/>
              <w:rPr>
                <w:rFonts w:hint="eastAsia" w:ascii="宋体" w:hAnsi="宋体" w:cs="宋体"/>
                <w:szCs w:val="21"/>
              </w:rPr>
            </w:pPr>
          </w:p>
        </w:tc>
        <w:tc>
          <w:tcPr>
            <w:tcW w:w="1830" w:type="dxa"/>
            <w:tcBorders>
              <w:top w:val="single" w:color="auto" w:sz="4" w:space="0"/>
              <w:left w:val="single" w:color="auto" w:sz="4" w:space="0"/>
              <w:bottom w:val="single" w:color="auto" w:sz="4" w:space="0"/>
              <w:right w:val="single" w:color="auto" w:sz="4" w:space="0"/>
            </w:tcBorders>
            <w:vAlign w:val="center"/>
          </w:tcPr>
          <w:p w14:paraId="207CA060">
            <w:pPr>
              <w:snapToGrid w:val="0"/>
              <w:spacing w:before="120" w:beforeLines="50" w:line="360" w:lineRule="auto"/>
              <w:jc w:val="center"/>
              <w:rPr>
                <w:rFonts w:hint="eastAsia" w:ascii="宋体" w:hAnsi="宋体" w:cs="宋体"/>
                <w:szCs w:val="21"/>
              </w:rPr>
            </w:pPr>
          </w:p>
        </w:tc>
      </w:tr>
    </w:tbl>
    <w:p w14:paraId="7CBD989E">
      <w:pPr>
        <w:pStyle w:val="10"/>
        <w:spacing w:after="0" w:line="360" w:lineRule="auto"/>
        <w:contextualSpacing/>
        <w:rPr>
          <w:rFonts w:hint="eastAsia" w:ascii="宋体" w:hAnsi="宋体" w:cs="宋体"/>
          <w:kern w:val="0"/>
          <w:sz w:val="21"/>
          <w:szCs w:val="21"/>
        </w:rPr>
      </w:pPr>
      <w:r>
        <w:rPr>
          <w:rFonts w:hint="eastAsia" w:ascii="宋体" w:hAnsi="宋体" w:cs="宋体"/>
          <w:kern w:val="0"/>
          <w:sz w:val="21"/>
          <w:szCs w:val="21"/>
        </w:rPr>
        <w:t>注：</w:t>
      </w:r>
    </w:p>
    <w:p w14:paraId="56DF515D">
      <w:pPr>
        <w:pStyle w:val="10"/>
        <w:spacing w:after="0" w:line="360" w:lineRule="auto"/>
        <w:contextualSpacing/>
        <w:rPr>
          <w:rFonts w:hint="eastAsia" w:ascii="宋体" w:hAnsi="宋体" w:cs="宋体"/>
          <w:kern w:val="0"/>
          <w:sz w:val="21"/>
          <w:szCs w:val="21"/>
        </w:rPr>
      </w:pPr>
      <w:r>
        <w:rPr>
          <w:rFonts w:hint="eastAsia" w:ascii="宋体" w:hAnsi="宋体" w:cs="宋体"/>
          <w:kern w:val="0"/>
          <w:sz w:val="21"/>
          <w:szCs w:val="21"/>
        </w:rPr>
        <w:t>1. 说明：应对照谈判文件“第三章 采购需求”中的商务要求逐条明确响应，并作出偏离说明。</w:t>
      </w:r>
    </w:p>
    <w:p w14:paraId="5B91F087">
      <w:pPr>
        <w:pStyle w:val="10"/>
        <w:spacing w:after="0" w:line="360" w:lineRule="auto"/>
        <w:contextualSpacing/>
        <w:rPr>
          <w:rFonts w:hint="eastAsia" w:ascii="宋体" w:hAnsi="宋体" w:cs="宋体"/>
          <w:kern w:val="0"/>
          <w:sz w:val="21"/>
          <w:szCs w:val="21"/>
        </w:rPr>
      </w:pPr>
      <w:r>
        <w:rPr>
          <w:rFonts w:hint="eastAsia" w:ascii="宋体" w:hAnsi="宋体" w:cs="宋体"/>
          <w:kern w:val="0"/>
          <w:sz w:val="21"/>
          <w:szCs w:val="21"/>
        </w:rPr>
        <w:t>2.供应商应根据自身的承诺，对照谈判文件要求在“偏离说明”中注明“正偏离”、“负偏离”或者“无偏离”。既不属于“正偏离”也不属于“负偏离”即为“无偏离”。</w:t>
      </w:r>
    </w:p>
    <w:p w14:paraId="3F4B4D70">
      <w:pPr>
        <w:spacing w:line="360" w:lineRule="auto"/>
        <w:jc w:val="left"/>
        <w:rPr>
          <w:rFonts w:hint="eastAsia" w:ascii="宋体" w:hAnsi="宋体" w:cs="宋体"/>
          <w:kern w:val="0"/>
          <w:szCs w:val="21"/>
        </w:rPr>
      </w:pPr>
      <w:r>
        <w:rPr>
          <w:rFonts w:hint="eastAsia" w:ascii="宋体" w:hAnsi="宋体" w:cs="宋体"/>
          <w:szCs w:val="21"/>
        </w:rPr>
        <w:t>3.</w:t>
      </w:r>
      <w:r>
        <w:rPr>
          <w:rFonts w:hint="eastAsia" w:ascii="宋体" w:hAnsi="宋体" w:cs="宋体"/>
          <w:kern w:val="0"/>
          <w:szCs w:val="21"/>
        </w:rPr>
        <w:t>不按照要求填写响应内容的或者仅填写“满足或者响应”的，均按无效竞标处理。</w:t>
      </w:r>
    </w:p>
    <w:p w14:paraId="0A268645">
      <w:pPr>
        <w:spacing w:line="360" w:lineRule="auto"/>
        <w:jc w:val="left"/>
        <w:rPr>
          <w:rFonts w:hint="eastAsia" w:ascii="宋体" w:hAnsi="宋体" w:cs="宋体"/>
          <w:szCs w:val="21"/>
          <w:u w:val="single"/>
        </w:rPr>
      </w:pPr>
    </w:p>
    <w:p w14:paraId="258E4A4B">
      <w:pPr>
        <w:spacing w:line="360" w:lineRule="auto"/>
        <w:ind w:right="-817" w:rightChars="-389"/>
        <w:contextualSpacing/>
        <w:rPr>
          <w:rFonts w:hint="eastAsia" w:ascii="宋体" w:hAnsi="宋体" w:cs="宋体"/>
          <w:szCs w:val="21"/>
        </w:rPr>
      </w:pPr>
    </w:p>
    <w:p w14:paraId="12636EC7">
      <w:pPr>
        <w:spacing w:line="360" w:lineRule="auto"/>
        <w:ind w:right="-817" w:rightChars="-389"/>
        <w:contextualSpacing/>
        <w:jc w:val="center"/>
        <w:rPr>
          <w:rFonts w:hint="eastAsia" w:ascii="宋体" w:hAnsi="宋体" w:cs="宋体"/>
          <w:szCs w:val="21"/>
        </w:rPr>
      </w:pPr>
      <w:r>
        <w:rPr>
          <w:rFonts w:hint="eastAsia" w:ascii="宋体" w:hAnsi="宋体" w:cs="宋体"/>
          <w:szCs w:val="21"/>
        </w:rPr>
        <w:t>法定代表人或者委托代理人（签字或者电子签名）：</w:t>
      </w:r>
    </w:p>
    <w:p w14:paraId="0CAD4D8C">
      <w:pPr>
        <w:spacing w:line="360" w:lineRule="auto"/>
        <w:ind w:right="-817" w:rightChars="-389" w:firstLine="2520" w:firstLineChars="1200"/>
        <w:contextualSpacing/>
        <w:rPr>
          <w:rFonts w:hint="eastAsia" w:ascii="宋体" w:hAnsi="宋体" w:cs="宋体"/>
          <w:szCs w:val="21"/>
        </w:rPr>
      </w:pPr>
      <w:r>
        <w:rPr>
          <w:rFonts w:hint="eastAsia" w:ascii="宋体" w:hAnsi="宋体" w:cs="宋体"/>
          <w:szCs w:val="21"/>
        </w:rPr>
        <w:t xml:space="preserve">供应商（电子签章）：      </w:t>
      </w:r>
    </w:p>
    <w:p w14:paraId="0763BFF0">
      <w:pPr>
        <w:spacing w:line="360" w:lineRule="auto"/>
        <w:ind w:right="-817" w:rightChars="-389" w:firstLine="2520" w:firstLineChars="1200"/>
        <w:contextualSpacing/>
        <w:rPr>
          <w:rFonts w:hint="eastAsia" w:ascii="宋体" w:hAnsi="宋体" w:cs="宋体"/>
          <w:szCs w:val="21"/>
        </w:rPr>
      </w:pPr>
      <w:r>
        <w:rPr>
          <w:rFonts w:hint="eastAsia" w:ascii="宋体" w:hAnsi="宋体" w:cs="宋体"/>
          <w:szCs w:val="21"/>
        </w:rPr>
        <w:t>日期：   年   月   日</w:t>
      </w:r>
    </w:p>
    <w:p w14:paraId="5FAF5235">
      <w:pPr>
        <w:adjustRightInd w:val="0"/>
        <w:snapToGrid w:val="0"/>
        <w:spacing w:line="520" w:lineRule="exact"/>
        <w:ind w:firstLine="7040" w:firstLineChars="1600"/>
        <w:jc w:val="center"/>
        <w:rPr>
          <w:rFonts w:hint="eastAsia" w:ascii="宋体" w:hAnsi="宋体" w:cs="宋体"/>
          <w:bCs/>
          <w:sz w:val="44"/>
          <w:szCs w:val="44"/>
        </w:rPr>
      </w:pPr>
    </w:p>
    <w:p w14:paraId="2B86A421">
      <w:pPr>
        <w:adjustRightInd w:val="0"/>
        <w:snapToGrid w:val="0"/>
        <w:spacing w:line="520" w:lineRule="exact"/>
        <w:jc w:val="center"/>
        <w:rPr>
          <w:rFonts w:hint="eastAsia" w:ascii="宋体" w:hAnsi="宋体" w:cs="宋体"/>
          <w:b/>
          <w:sz w:val="32"/>
          <w:szCs w:val="32"/>
        </w:rPr>
      </w:pPr>
      <w:r>
        <w:rPr>
          <w:rFonts w:hint="eastAsia" w:ascii="宋体" w:hAnsi="宋体" w:cs="宋体"/>
          <w:bCs/>
          <w:sz w:val="44"/>
          <w:szCs w:val="44"/>
        </w:rPr>
        <w:br w:type="page"/>
      </w:r>
      <w:r>
        <w:rPr>
          <w:rFonts w:hint="eastAsia" w:ascii="宋体" w:hAnsi="宋体" w:cs="宋体"/>
          <w:b/>
          <w:sz w:val="32"/>
          <w:szCs w:val="32"/>
        </w:rPr>
        <w:t>货物配置清单（适用于A分标）</w:t>
      </w:r>
    </w:p>
    <w:p w14:paraId="3F671051">
      <w:pPr>
        <w:spacing w:line="300" w:lineRule="auto"/>
        <w:rPr>
          <w:rFonts w:hint="eastAsia" w:ascii="宋体" w:hAnsi="宋体" w:cs="宋体"/>
          <w:szCs w:val="21"/>
        </w:rPr>
      </w:pPr>
    </w:p>
    <w:p w14:paraId="4D279E9F">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 xml:space="preserve"> </w:t>
      </w:r>
    </w:p>
    <w:p w14:paraId="13FA3A1E">
      <w:pPr>
        <w:spacing w:line="360" w:lineRule="auto"/>
        <w:rPr>
          <w:rFonts w:hint="eastAsia" w:ascii="宋体" w:hAnsi="宋体" w:cs="宋体"/>
          <w:szCs w:val="21"/>
        </w:rPr>
      </w:pPr>
      <w:r>
        <w:rPr>
          <w:rFonts w:hint="eastAsia" w:ascii="宋体" w:hAnsi="宋体" w:cs="宋体"/>
          <w:szCs w:val="21"/>
        </w:rPr>
        <w:t>项目名称：</w:t>
      </w:r>
      <w:r>
        <w:rPr>
          <w:rFonts w:hint="eastAsia" w:ascii="宋体" w:hAnsi="宋体" w:cs="宋体"/>
          <w:szCs w:val="21"/>
          <w:u w:val="single"/>
        </w:rPr>
        <w:t xml:space="preserve">                 </w:t>
      </w:r>
      <w:r>
        <w:rPr>
          <w:rFonts w:hint="eastAsia" w:ascii="宋体" w:hAnsi="宋体" w:cs="宋体"/>
          <w:szCs w:val="21"/>
        </w:rPr>
        <w:t xml:space="preserve"> </w:t>
      </w:r>
    </w:p>
    <w:p w14:paraId="310A1E9E">
      <w:pPr>
        <w:spacing w:line="360" w:lineRule="auto"/>
        <w:rPr>
          <w:rFonts w:hint="eastAsia" w:ascii="宋体" w:hAnsi="宋体" w:cs="宋体"/>
          <w:szCs w:val="21"/>
          <w:u w:val="single"/>
        </w:rPr>
      </w:pPr>
      <w:r>
        <w:rPr>
          <w:rFonts w:hint="eastAsia" w:ascii="宋体" w:hAnsi="宋体" w:cs="宋体"/>
          <w:szCs w:val="21"/>
        </w:rPr>
        <w:t>所竞分标：</w:t>
      </w:r>
      <w:r>
        <w:rPr>
          <w:rFonts w:hint="eastAsia" w:ascii="宋体" w:hAnsi="宋体" w:cs="宋体"/>
          <w:szCs w:val="21"/>
          <w:u w:val="single"/>
        </w:rPr>
        <w:t xml:space="preserve">                 </w:t>
      </w:r>
    </w:p>
    <w:tbl>
      <w:tblPr>
        <w:tblStyle w:val="29"/>
        <w:tblW w:w="91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4"/>
        <w:gridCol w:w="1270"/>
        <w:gridCol w:w="819"/>
        <w:gridCol w:w="912"/>
        <w:gridCol w:w="1821"/>
        <w:gridCol w:w="1270"/>
        <w:gridCol w:w="752"/>
        <w:gridCol w:w="1526"/>
      </w:tblGrid>
      <w:tr w14:paraId="33F2E9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588979AE">
            <w:pPr>
              <w:snapToGrid w:val="0"/>
              <w:spacing w:before="50" w:after="50"/>
              <w:jc w:val="center"/>
              <w:rPr>
                <w:rFonts w:hint="eastAsia" w:ascii="宋体" w:hAnsi="宋体" w:cs="宋体"/>
                <w:szCs w:val="21"/>
              </w:rPr>
            </w:pPr>
            <w:r>
              <w:rPr>
                <w:rFonts w:hint="eastAsia" w:ascii="宋体" w:hAnsi="宋体" w:cs="宋体"/>
                <w:szCs w:val="21"/>
              </w:rPr>
              <w:t>序号</w:t>
            </w:r>
          </w:p>
        </w:tc>
        <w:tc>
          <w:tcPr>
            <w:tcW w:w="1270" w:type="dxa"/>
            <w:tcBorders>
              <w:top w:val="single" w:color="auto" w:sz="4" w:space="0"/>
              <w:left w:val="single" w:color="auto" w:sz="4" w:space="0"/>
              <w:bottom w:val="single" w:color="auto" w:sz="4" w:space="0"/>
              <w:right w:val="single" w:color="auto" w:sz="4" w:space="0"/>
            </w:tcBorders>
            <w:vAlign w:val="center"/>
          </w:tcPr>
          <w:p w14:paraId="409DE70E">
            <w:pPr>
              <w:snapToGrid w:val="0"/>
              <w:spacing w:before="50" w:after="50"/>
              <w:jc w:val="center"/>
              <w:rPr>
                <w:rFonts w:hint="eastAsia" w:ascii="宋体" w:hAnsi="宋体" w:cs="宋体"/>
                <w:szCs w:val="21"/>
              </w:rPr>
            </w:pPr>
            <w:r>
              <w:rPr>
                <w:rFonts w:hint="eastAsia" w:ascii="宋体" w:hAnsi="宋体" w:cs="宋体"/>
                <w:szCs w:val="21"/>
              </w:rPr>
              <w:t>标的名称</w:t>
            </w:r>
          </w:p>
        </w:tc>
        <w:tc>
          <w:tcPr>
            <w:tcW w:w="819" w:type="dxa"/>
            <w:tcBorders>
              <w:top w:val="single" w:color="auto" w:sz="4" w:space="0"/>
              <w:left w:val="single" w:color="auto" w:sz="4" w:space="0"/>
              <w:bottom w:val="single" w:color="auto" w:sz="4" w:space="0"/>
              <w:right w:val="single" w:color="auto" w:sz="4" w:space="0"/>
            </w:tcBorders>
            <w:vAlign w:val="center"/>
          </w:tcPr>
          <w:p w14:paraId="2CF39853">
            <w:pPr>
              <w:snapToGrid w:val="0"/>
              <w:spacing w:before="50" w:after="50"/>
              <w:jc w:val="center"/>
              <w:rPr>
                <w:rFonts w:hint="eastAsia" w:ascii="宋体" w:hAnsi="宋体" w:cs="宋体"/>
                <w:szCs w:val="21"/>
              </w:rPr>
            </w:pPr>
            <w:r>
              <w:rPr>
                <w:rFonts w:hint="eastAsia" w:ascii="宋体" w:hAnsi="宋体" w:cs="宋体"/>
                <w:szCs w:val="21"/>
              </w:rPr>
              <w:t>数量及单位</w:t>
            </w:r>
          </w:p>
        </w:tc>
        <w:tc>
          <w:tcPr>
            <w:tcW w:w="912" w:type="dxa"/>
            <w:tcBorders>
              <w:top w:val="single" w:color="auto" w:sz="4" w:space="0"/>
              <w:left w:val="single" w:color="auto" w:sz="4" w:space="0"/>
              <w:bottom w:val="single" w:color="auto" w:sz="4" w:space="0"/>
              <w:right w:val="single" w:color="auto" w:sz="4" w:space="0"/>
            </w:tcBorders>
            <w:vAlign w:val="center"/>
          </w:tcPr>
          <w:p w14:paraId="1BA4A5BE">
            <w:pPr>
              <w:snapToGrid w:val="0"/>
              <w:spacing w:before="50" w:after="50"/>
              <w:jc w:val="center"/>
              <w:rPr>
                <w:rFonts w:hint="eastAsia" w:ascii="宋体" w:hAnsi="宋体" w:cs="宋体"/>
                <w:szCs w:val="21"/>
              </w:rPr>
            </w:pPr>
            <w:r>
              <w:rPr>
                <w:rFonts w:hint="eastAsia" w:ascii="宋体" w:hAnsi="宋体" w:cs="宋体"/>
                <w:szCs w:val="21"/>
              </w:rPr>
              <w:t>品牌</w:t>
            </w:r>
          </w:p>
        </w:tc>
        <w:tc>
          <w:tcPr>
            <w:tcW w:w="1821" w:type="dxa"/>
            <w:tcBorders>
              <w:top w:val="single" w:color="auto" w:sz="4" w:space="0"/>
              <w:left w:val="single" w:color="auto" w:sz="4" w:space="0"/>
              <w:bottom w:val="single" w:color="auto" w:sz="4" w:space="0"/>
              <w:right w:val="single" w:color="auto" w:sz="4" w:space="0"/>
            </w:tcBorders>
          </w:tcPr>
          <w:p w14:paraId="6E47F976">
            <w:pPr>
              <w:snapToGrid w:val="0"/>
              <w:spacing w:before="50" w:after="50"/>
              <w:jc w:val="center"/>
              <w:rPr>
                <w:rFonts w:hint="eastAsia" w:ascii="宋体" w:hAnsi="宋体" w:cs="宋体"/>
                <w:szCs w:val="21"/>
              </w:rPr>
            </w:pPr>
          </w:p>
          <w:p w14:paraId="43B715F7">
            <w:pPr>
              <w:snapToGrid w:val="0"/>
              <w:spacing w:before="50" w:after="50"/>
              <w:jc w:val="center"/>
              <w:rPr>
                <w:rFonts w:hint="eastAsia" w:ascii="宋体" w:hAnsi="宋体" w:cs="宋体"/>
                <w:szCs w:val="21"/>
              </w:rPr>
            </w:pPr>
            <w:r>
              <w:rPr>
                <w:rFonts w:hint="eastAsia" w:ascii="宋体" w:hAnsi="宋体" w:cs="宋体"/>
                <w:szCs w:val="21"/>
              </w:rPr>
              <w:t>规格型号</w:t>
            </w:r>
          </w:p>
        </w:tc>
        <w:tc>
          <w:tcPr>
            <w:tcW w:w="1270" w:type="dxa"/>
            <w:tcBorders>
              <w:top w:val="single" w:color="auto" w:sz="4" w:space="0"/>
              <w:left w:val="single" w:color="auto" w:sz="4" w:space="0"/>
              <w:bottom w:val="single" w:color="auto" w:sz="4" w:space="0"/>
              <w:right w:val="single" w:color="auto" w:sz="4" w:space="0"/>
            </w:tcBorders>
            <w:vAlign w:val="center"/>
          </w:tcPr>
          <w:p w14:paraId="77489878">
            <w:pPr>
              <w:snapToGrid w:val="0"/>
              <w:spacing w:before="50" w:after="50"/>
              <w:jc w:val="center"/>
              <w:rPr>
                <w:rFonts w:hint="eastAsia" w:ascii="宋体" w:hAnsi="宋体" w:cs="宋体"/>
                <w:szCs w:val="21"/>
              </w:rPr>
            </w:pPr>
            <w:r>
              <w:rPr>
                <w:rFonts w:hint="eastAsia" w:ascii="宋体" w:hAnsi="宋体" w:cs="宋体"/>
                <w:szCs w:val="21"/>
              </w:rPr>
              <w:t>制造商</w:t>
            </w:r>
          </w:p>
        </w:tc>
        <w:tc>
          <w:tcPr>
            <w:tcW w:w="752" w:type="dxa"/>
            <w:tcBorders>
              <w:top w:val="single" w:color="auto" w:sz="4" w:space="0"/>
              <w:left w:val="single" w:color="auto" w:sz="4" w:space="0"/>
              <w:bottom w:val="single" w:color="auto" w:sz="4" w:space="0"/>
              <w:right w:val="single" w:color="auto" w:sz="4" w:space="0"/>
            </w:tcBorders>
            <w:vAlign w:val="center"/>
          </w:tcPr>
          <w:p w14:paraId="34DAB63E">
            <w:pPr>
              <w:snapToGrid w:val="0"/>
              <w:spacing w:before="50" w:after="50"/>
              <w:jc w:val="center"/>
              <w:rPr>
                <w:rFonts w:hint="eastAsia" w:ascii="宋体" w:hAnsi="宋体" w:cs="宋体"/>
                <w:szCs w:val="21"/>
              </w:rPr>
            </w:pPr>
            <w:r>
              <w:rPr>
                <w:rFonts w:hint="eastAsia" w:ascii="宋体" w:hAnsi="宋体" w:cs="宋体"/>
                <w:szCs w:val="21"/>
              </w:rPr>
              <w:t>原产地</w:t>
            </w:r>
          </w:p>
        </w:tc>
        <w:tc>
          <w:tcPr>
            <w:tcW w:w="1526" w:type="dxa"/>
            <w:tcBorders>
              <w:top w:val="single" w:color="auto" w:sz="4" w:space="0"/>
              <w:left w:val="single" w:color="auto" w:sz="4" w:space="0"/>
              <w:bottom w:val="single" w:color="auto" w:sz="4" w:space="0"/>
              <w:right w:val="single" w:color="auto" w:sz="4" w:space="0"/>
            </w:tcBorders>
            <w:vAlign w:val="center"/>
          </w:tcPr>
          <w:p w14:paraId="0E336734">
            <w:pPr>
              <w:snapToGrid w:val="0"/>
              <w:spacing w:before="50" w:after="50"/>
              <w:jc w:val="center"/>
              <w:rPr>
                <w:rFonts w:hint="eastAsia" w:ascii="宋体" w:hAnsi="宋体" w:cs="宋体"/>
                <w:szCs w:val="21"/>
              </w:rPr>
            </w:pPr>
            <w:r>
              <w:rPr>
                <w:rFonts w:hint="eastAsia" w:ascii="宋体" w:hAnsi="宋体" w:cs="宋体"/>
                <w:szCs w:val="21"/>
              </w:rPr>
              <w:t>参数性能、指标及配置</w:t>
            </w:r>
          </w:p>
        </w:tc>
      </w:tr>
      <w:tr w14:paraId="5EA6A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515079D6">
            <w:pPr>
              <w:snapToGrid w:val="0"/>
              <w:spacing w:before="50" w:after="50"/>
              <w:jc w:val="center"/>
              <w:rPr>
                <w:rFonts w:hint="eastAsia" w:ascii="宋体" w:hAnsi="宋体" w:cs="宋体"/>
                <w:szCs w:val="21"/>
              </w:rPr>
            </w:pPr>
          </w:p>
        </w:tc>
        <w:tc>
          <w:tcPr>
            <w:tcW w:w="1270" w:type="dxa"/>
            <w:tcBorders>
              <w:top w:val="single" w:color="auto" w:sz="4" w:space="0"/>
              <w:left w:val="single" w:color="auto" w:sz="4" w:space="0"/>
              <w:bottom w:val="single" w:color="auto" w:sz="4" w:space="0"/>
              <w:right w:val="single" w:color="auto" w:sz="4" w:space="0"/>
            </w:tcBorders>
            <w:vAlign w:val="center"/>
          </w:tcPr>
          <w:p w14:paraId="58612882">
            <w:pPr>
              <w:snapToGrid w:val="0"/>
              <w:spacing w:before="50" w:after="50"/>
              <w:jc w:val="center"/>
              <w:rPr>
                <w:rFonts w:hint="eastAsia" w:ascii="宋体" w:hAnsi="宋体" w:cs="宋体"/>
                <w:szCs w:val="21"/>
              </w:rPr>
            </w:pPr>
          </w:p>
        </w:tc>
        <w:tc>
          <w:tcPr>
            <w:tcW w:w="819" w:type="dxa"/>
            <w:tcBorders>
              <w:top w:val="single" w:color="auto" w:sz="4" w:space="0"/>
              <w:left w:val="single" w:color="auto" w:sz="4" w:space="0"/>
              <w:bottom w:val="single" w:color="auto" w:sz="4" w:space="0"/>
              <w:right w:val="single" w:color="auto" w:sz="4" w:space="0"/>
            </w:tcBorders>
            <w:vAlign w:val="center"/>
          </w:tcPr>
          <w:p w14:paraId="6B6C81CD">
            <w:pPr>
              <w:snapToGrid w:val="0"/>
              <w:spacing w:before="50" w:after="50"/>
              <w:jc w:val="center"/>
              <w:rPr>
                <w:rFonts w:hint="eastAsia"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vAlign w:val="center"/>
          </w:tcPr>
          <w:p w14:paraId="0CA1404E">
            <w:pPr>
              <w:snapToGrid w:val="0"/>
              <w:spacing w:before="50" w:after="50"/>
              <w:jc w:val="center"/>
              <w:rPr>
                <w:rFonts w:hint="eastAsia" w:ascii="宋体" w:hAnsi="宋体" w:cs="宋体"/>
                <w:szCs w:val="21"/>
              </w:rPr>
            </w:pPr>
          </w:p>
        </w:tc>
        <w:tc>
          <w:tcPr>
            <w:tcW w:w="1821" w:type="dxa"/>
            <w:tcBorders>
              <w:top w:val="single" w:color="auto" w:sz="4" w:space="0"/>
              <w:left w:val="single" w:color="auto" w:sz="4" w:space="0"/>
              <w:bottom w:val="single" w:color="auto" w:sz="4" w:space="0"/>
              <w:right w:val="single" w:color="auto" w:sz="4" w:space="0"/>
            </w:tcBorders>
          </w:tcPr>
          <w:p w14:paraId="41A05631">
            <w:pPr>
              <w:snapToGrid w:val="0"/>
              <w:spacing w:before="50" w:after="50"/>
              <w:jc w:val="center"/>
              <w:rPr>
                <w:rFonts w:hint="eastAsia" w:ascii="宋体" w:hAnsi="宋体" w:cs="宋体"/>
                <w:szCs w:val="21"/>
              </w:rPr>
            </w:pPr>
          </w:p>
        </w:tc>
        <w:tc>
          <w:tcPr>
            <w:tcW w:w="1270" w:type="dxa"/>
            <w:tcBorders>
              <w:top w:val="single" w:color="auto" w:sz="4" w:space="0"/>
              <w:left w:val="single" w:color="auto" w:sz="4" w:space="0"/>
              <w:bottom w:val="single" w:color="auto" w:sz="4" w:space="0"/>
              <w:right w:val="single" w:color="auto" w:sz="4" w:space="0"/>
            </w:tcBorders>
            <w:vAlign w:val="center"/>
          </w:tcPr>
          <w:p w14:paraId="4184F21D">
            <w:pPr>
              <w:snapToGrid w:val="0"/>
              <w:spacing w:before="50" w:after="50"/>
              <w:jc w:val="center"/>
              <w:rPr>
                <w:rFonts w:hint="eastAsia" w:ascii="宋体" w:hAnsi="宋体" w:cs="宋体"/>
                <w:szCs w:val="21"/>
              </w:rPr>
            </w:pPr>
          </w:p>
        </w:tc>
        <w:tc>
          <w:tcPr>
            <w:tcW w:w="752" w:type="dxa"/>
            <w:tcBorders>
              <w:top w:val="single" w:color="auto" w:sz="4" w:space="0"/>
              <w:left w:val="single" w:color="auto" w:sz="4" w:space="0"/>
              <w:bottom w:val="single" w:color="auto" w:sz="4" w:space="0"/>
              <w:right w:val="single" w:color="auto" w:sz="4" w:space="0"/>
            </w:tcBorders>
            <w:vAlign w:val="center"/>
          </w:tcPr>
          <w:p w14:paraId="7C344E02">
            <w:pPr>
              <w:snapToGrid w:val="0"/>
              <w:spacing w:before="50" w:after="50"/>
              <w:jc w:val="center"/>
              <w:rPr>
                <w:rFonts w:hint="eastAsia" w:ascii="宋体" w:hAnsi="宋体" w:cs="宋体"/>
                <w:szCs w:val="21"/>
              </w:rPr>
            </w:pPr>
          </w:p>
        </w:tc>
        <w:tc>
          <w:tcPr>
            <w:tcW w:w="1526" w:type="dxa"/>
            <w:tcBorders>
              <w:top w:val="single" w:color="auto" w:sz="4" w:space="0"/>
              <w:left w:val="single" w:color="auto" w:sz="4" w:space="0"/>
              <w:bottom w:val="single" w:color="auto" w:sz="4" w:space="0"/>
              <w:right w:val="single" w:color="auto" w:sz="4" w:space="0"/>
            </w:tcBorders>
            <w:vAlign w:val="center"/>
          </w:tcPr>
          <w:p w14:paraId="70374858">
            <w:pPr>
              <w:snapToGrid w:val="0"/>
              <w:spacing w:before="50" w:after="50"/>
              <w:jc w:val="center"/>
              <w:rPr>
                <w:rFonts w:hint="eastAsia" w:ascii="宋体" w:hAnsi="宋体" w:cs="宋体"/>
                <w:szCs w:val="21"/>
              </w:rPr>
            </w:pPr>
          </w:p>
        </w:tc>
      </w:tr>
      <w:tr w14:paraId="108643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2A569054">
            <w:pPr>
              <w:snapToGrid w:val="0"/>
              <w:spacing w:before="50" w:after="50"/>
              <w:jc w:val="center"/>
              <w:rPr>
                <w:rFonts w:hint="eastAsia" w:ascii="宋体" w:hAnsi="宋体" w:cs="宋体"/>
                <w:szCs w:val="21"/>
              </w:rPr>
            </w:pPr>
          </w:p>
        </w:tc>
        <w:tc>
          <w:tcPr>
            <w:tcW w:w="1270" w:type="dxa"/>
            <w:tcBorders>
              <w:top w:val="single" w:color="auto" w:sz="4" w:space="0"/>
              <w:left w:val="single" w:color="auto" w:sz="4" w:space="0"/>
              <w:bottom w:val="single" w:color="auto" w:sz="4" w:space="0"/>
              <w:right w:val="single" w:color="auto" w:sz="4" w:space="0"/>
            </w:tcBorders>
            <w:vAlign w:val="center"/>
          </w:tcPr>
          <w:p w14:paraId="20D64BC0">
            <w:pPr>
              <w:snapToGrid w:val="0"/>
              <w:spacing w:before="50" w:after="50"/>
              <w:jc w:val="center"/>
              <w:rPr>
                <w:rFonts w:hint="eastAsia" w:ascii="宋体" w:hAnsi="宋体" w:cs="宋体"/>
                <w:szCs w:val="21"/>
              </w:rPr>
            </w:pPr>
          </w:p>
        </w:tc>
        <w:tc>
          <w:tcPr>
            <w:tcW w:w="819" w:type="dxa"/>
            <w:tcBorders>
              <w:top w:val="single" w:color="auto" w:sz="4" w:space="0"/>
              <w:left w:val="single" w:color="auto" w:sz="4" w:space="0"/>
              <w:bottom w:val="single" w:color="auto" w:sz="4" w:space="0"/>
              <w:right w:val="single" w:color="auto" w:sz="4" w:space="0"/>
            </w:tcBorders>
            <w:vAlign w:val="center"/>
          </w:tcPr>
          <w:p w14:paraId="382BD948">
            <w:pPr>
              <w:snapToGrid w:val="0"/>
              <w:spacing w:before="50" w:after="50"/>
              <w:jc w:val="center"/>
              <w:rPr>
                <w:rFonts w:hint="eastAsia"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vAlign w:val="center"/>
          </w:tcPr>
          <w:p w14:paraId="383E1C65">
            <w:pPr>
              <w:snapToGrid w:val="0"/>
              <w:spacing w:before="50" w:after="50"/>
              <w:jc w:val="center"/>
              <w:rPr>
                <w:rFonts w:hint="eastAsia" w:ascii="宋体" w:hAnsi="宋体" w:cs="宋体"/>
                <w:szCs w:val="21"/>
              </w:rPr>
            </w:pPr>
          </w:p>
        </w:tc>
        <w:tc>
          <w:tcPr>
            <w:tcW w:w="1821" w:type="dxa"/>
            <w:tcBorders>
              <w:top w:val="single" w:color="auto" w:sz="4" w:space="0"/>
              <w:left w:val="single" w:color="auto" w:sz="4" w:space="0"/>
              <w:bottom w:val="single" w:color="auto" w:sz="4" w:space="0"/>
              <w:right w:val="single" w:color="auto" w:sz="4" w:space="0"/>
            </w:tcBorders>
          </w:tcPr>
          <w:p w14:paraId="5E528314">
            <w:pPr>
              <w:snapToGrid w:val="0"/>
              <w:spacing w:before="50" w:after="50"/>
              <w:jc w:val="center"/>
              <w:rPr>
                <w:rFonts w:hint="eastAsia" w:ascii="宋体" w:hAnsi="宋体" w:cs="宋体"/>
                <w:szCs w:val="21"/>
              </w:rPr>
            </w:pPr>
          </w:p>
        </w:tc>
        <w:tc>
          <w:tcPr>
            <w:tcW w:w="1270" w:type="dxa"/>
            <w:tcBorders>
              <w:top w:val="single" w:color="auto" w:sz="4" w:space="0"/>
              <w:left w:val="single" w:color="auto" w:sz="4" w:space="0"/>
              <w:bottom w:val="single" w:color="auto" w:sz="4" w:space="0"/>
              <w:right w:val="single" w:color="auto" w:sz="4" w:space="0"/>
            </w:tcBorders>
            <w:vAlign w:val="center"/>
          </w:tcPr>
          <w:p w14:paraId="7C1CD527">
            <w:pPr>
              <w:snapToGrid w:val="0"/>
              <w:spacing w:before="50" w:after="50"/>
              <w:jc w:val="center"/>
              <w:rPr>
                <w:rFonts w:hint="eastAsia" w:ascii="宋体" w:hAnsi="宋体" w:cs="宋体"/>
                <w:szCs w:val="21"/>
              </w:rPr>
            </w:pPr>
          </w:p>
        </w:tc>
        <w:tc>
          <w:tcPr>
            <w:tcW w:w="752" w:type="dxa"/>
            <w:tcBorders>
              <w:top w:val="single" w:color="auto" w:sz="4" w:space="0"/>
              <w:left w:val="single" w:color="auto" w:sz="4" w:space="0"/>
              <w:bottom w:val="single" w:color="auto" w:sz="4" w:space="0"/>
              <w:right w:val="single" w:color="auto" w:sz="4" w:space="0"/>
            </w:tcBorders>
            <w:vAlign w:val="center"/>
          </w:tcPr>
          <w:p w14:paraId="3939865D">
            <w:pPr>
              <w:snapToGrid w:val="0"/>
              <w:spacing w:before="50" w:after="50"/>
              <w:jc w:val="center"/>
              <w:rPr>
                <w:rFonts w:hint="eastAsia" w:ascii="宋体" w:hAnsi="宋体" w:cs="宋体"/>
                <w:szCs w:val="21"/>
              </w:rPr>
            </w:pPr>
          </w:p>
        </w:tc>
        <w:tc>
          <w:tcPr>
            <w:tcW w:w="1526" w:type="dxa"/>
            <w:tcBorders>
              <w:top w:val="single" w:color="auto" w:sz="4" w:space="0"/>
              <w:left w:val="single" w:color="auto" w:sz="4" w:space="0"/>
              <w:bottom w:val="single" w:color="auto" w:sz="4" w:space="0"/>
              <w:right w:val="single" w:color="auto" w:sz="4" w:space="0"/>
            </w:tcBorders>
            <w:vAlign w:val="center"/>
          </w:tcPr>
          <w:p w14:paraId="70E6ACE1">
            <w:pPr>
              <w:snapToGrid w:val="0"/>
              <w:spacing w:before="50" w:after="50"/>
              <w:jc w:val="center"/>
              <w:rPr>
                <w:rFonts w:hint="eastAsia" w:ascii="宋体" w:hAnsi="宋体" w:cs="宋体"/>
                <w:szCs w:val="21"/>
              </w:rPr>
            </w:pPr>
          </w:p>
        </w:tc>
      </w:tr>
      <w:tr w14:paraId="393307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209C7D3A">
            <w:pPr>
              <w:snapToGrid w:val="0"/>
              <w:spacing w:before="50" w:after="50"/>
              <w:jc w:val="center"/>
              <w:rPr>
                <w:rFonts w:hint="eastAsia" w:ascii="宋体" w:hAnsi="宋体" w:cs="宋体"/>
                <w:szCs w:val="21"/>
              </w:rPr>
            </w:pPr>
          </w:p>
        </w:tc>
        <w:tc>
          <w:tcPr>
            <w:tcW w:w="1270" w:type="dxa"/>
            <w:tcBorders>
              <w:top w:val="single" w:color="auto" w:sz="4" w:space="0"/>
              <w:left w:val="single" w:color="auto" w:sz="4" w:space="0"/>
              <w:bottom w:val="single" w:color="auto" w:sz="4" w:space="0"/>
              <w:right w:val="single" w:color="auto" w:sz="4" w:space="0"/>
            </w:tcBorders>
            <w:vAlign w:val="center"/>
          </w:tcPr>
          <w:p w14:paraId="2079586C">
            <w:pPr>
              <w:snapToGrid w:val="0"/>
              <w:spacing w:before="50" w:after="50"/>
              <w:jc w:val="center"/>
              <w:rPr>
                <w:rFonts w:hint="eastAsia" w:ascii="宋体" w:hAnsi="宋体" w:cs="宋体"/>
                <w:szCs w:val="21"/>
              </w:rPr>
            </w:pPr>
          </w:p>
        </w:tc>
        <w:tc>
          <w:tcPr>
            <w:tcW w:w="819" w:type="dxa"/>
            <w:tcBorders>
              <w:top w:val="single" w:color="auto" w:sz="4" w:space="0"/>
              <w:left w:val="single" w:color="auto" w:sz="4" w:space="0"/>
              <w:bottom w:val="single" w:color="auto" w:sz="4" w:space="0"/>
              <w:right w:val="single" w:color="auto" w:sz="4" w:space="0"/>
            </w:tcBorders>
            <w:vAlign w:val="center"/>
          </w:tcPr>
          <w:p w14:paraId="7CBBD530">
            <w:pPr>
              <w:snapToGrid w:val="0"/>
              <w:spacing w:before="50" w:after="50"/>
              <w:jc w:val="center"/>
              <w:rPr>
                <w:rFonts w:hint="eastAsia"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vAlign w:val="center"/>
          </w:tcPr>
          <w:p w14:paraId="6C94584F">
            <w:pPr>
              <w:snapToGrid w:val="0"/>
              <w:spacing w:before="50" w:after="50"/>
              <w:jc w:val="center"/>
              <w:rPr>
                <w:rFonts w:hint="eastAsia" w:ascii="宋体" w:hAnsi="宋体" w:cs="宋体"/>
                <w:szCs w:val="21"/>
              </w:rPr>
            </w:pPr>
          </w:p>
        </w:tc>
        <w:tc>
          <w:tcPr>
            <w:tcW w:w="1821" w:type="dxa"/>
            <w:tcBorders>
              <w:top w:val="single" w:color="auto" w:sz="4" w:space="0"/>
              <w:left w:val="single" w:color="auto" w:sz="4" w:space="0"/>
              <w:bottom w:val="single" w:color="auto" w:sz="4" w:space="0"/>
              <w:right w:val="single" w:color="auto" w:sz="4" w:space="0"/>
            </w:tcBorders>
          </w:tcPr>
          <w:p w14:paraId="1C8D17EF">
            <w:pPr>
              <w:snapToGrid w:val="0"/>
              <w:spacing w:before="50" w:after="50"/>
              <w:jc w:val="center"/>
              <w:rPr>
                <w:rFonts w:hint="eastAsia" w:ascii="宋体" w:hAnsi="宋体" w:cs="宋体"/>
                <w:szCs w:val="21"/>
              </w:rPr>
            </w:pPr>
          </w:p>
        </w:tc>
        <w:tc>
          <w:tcPr>
            <w:tcW w:w="1270" w:type="dxa"/>
            <w:tcBorders>
              <w:top w:val="single" w:color="auto" w:sz="4" w:space="0"/>
              <w:left w:val="single" w:color="auto" w:sz="4" w:space="0"/>
              <w:bottom w:val="single" w:color="auto" w:sz="4" w:space="0"/>
              <w:right w:val="single" w:color="auto" w:sz="4" w:space="0"/>
            </w:tcBorders>
            <w:vAlign w:val="center"/>
          </w:tcPr>
          <w:p w14:paraId="5ACC2D77">
            <w:pPr>
              <w:snapToGrid w:val="0"/>
              <w:spacing w:before="50" w:after="50"/>
              <w:jc w:val="center"/>
              <w:rPr>
                <w:rFonts w:hint="eastAsia" w:ascii="宋体" w:hAnsi="宋体" w:cs="宋体"/>
                <w:szCs w:val="21"/>
              </w:rPr>
            </w:pPr>
          </w:p>
        </w:tc>
        <w:tc>
          <w:tcPr>
            <w:tcW w:w="752" w:type="dxa"/>
            <w:tcBorders>
              <w:top w:val="single" w:color="auto" w:sz="4" w:space="0"/>
              <w:left w:val="single" w:color="auto" w:sz="4" w:space="0"/>
              <w:bottom w:val="single" w:color="auto" w:sz="4" w:space="0"/>
              <w:right w:val="single" w:color="auto" w:sz="4" w:space="0"/>
            </w:tcBorders>
            <w:vAlign w:val="center"/>
          </w:tcPr>
          <w:p w14:paraId="67D7528D">
            <w:pPr>
              <w:snapToGrid w:val="0"/>
              <w:spacing w:before="50" w:after="50"/>
              <w:jc w:val="center"/>
              <w:rPr>
                <w:rFonts w:hint="eastAsia" w:ascii="宋体" w:hAnsi="宋体" w:cs="宋体"/>
                <w:szCs w:val="21"/>
              </w:rPr>
            </w:pPr>
          </w:p>
        </w:tc>
        <w:tc>
          <w:tcPr>
            <w:tcW w:w="1526" w:type="dxa"/>
            <w:tcBorders>
              <w:top w:val="single" w:color="auto" w:sz="4" w:space="0"/>
              <w:left w:val="single" w:color="auto" w:sz="4" w:space="0"/>
              <w:bottom w:val="single" w:color="auto" w:sz="4" w:space="0"/>
              <w:right w:val="single" w:color="auto" w:sz="4" w:space="0"/>
            </w:tcBorders>
            <w:vAlign w:val="center"/>
          </w:tcPr>
          <w:p w14:paraId="3ABB2061">
            <w:pPr>
              <w:snapToGrid w:val="0"/>
              <w:spacing w:before="50" w:after="50"/>
              <w:jc w:val="center"/>
              <w:rPr>
                <w:rFonts w:hint="eastAsia" w:ascii="宋体" w:hAnsi="宋体" w:cs="宋体"/>
                <w:szCs w:val="21"/>
              </w:rPr>
            </w:pPr>
          </w:p>
        </w:tc>
      </w:tr>
    </w:tbl>
    <w:p w14:paraId="5EFDC6BE">
      <w:pPr>
        <w:spacing w:line="360" w:lineRule="auto"/>
        <w:rPr>
          <w:rFonts w:hint="eastAsia" w:ascii="宋体" w:hAnsi="宋体" w:cs="宋体"/>
          <w:szCs w:val="21"/>
        </w:rPr>
      </w:pPr>
      <w:r>
        <w:rPr>
          <w:rFonts w:hint="eastAsia" w:ascii="宋体" w:hAnsi="宋体" w:cs="宋体"/>
          <w:szCs w:val="21"/>
        </w:rPr>
        <w:t>备注：</w:t>
      </w:r>
    </w:p>
    <w:p w14:paraId="2853A216">
      <w:pPr>
        <w:tabs>
          <w:tab w:val="left" w:pos="1065"/>
        </w:tabs>
        <w:adjustRightInd w:val="0"/>
        <w:spacing w:line="360" w:lineRule="auto"/>
        <w:rPr>
          <w:rFonts w:hint="eastAsia" w:ascii="宋体" w:hAnsi="宋体" w:cs="宋体"/>
          <w:szCs w:val="21"/>
        </w:rPr>
      </w:pPr>
      <w:r>
        <w:rPr>
          <w:rFonts w:hint="eastAsia" w:ascii="宋体" w:hAnsi="宋体" w:cs="宋体"/>
          <w:szCs w:val="21"/>
        </w:rPr>
        <w:t>以上货物配置清单中“标的名称、数量及单位、品牌、规格型号、制造商、原产地、参数性能、指标及配置”必须如实填写完整。</w:t>
      </w:r>
      <w:r>
        <w:rPr>
          <w:rFonts w:hint="eastAsia" w:ascii="宋体" w:hAnsi="宋体" w:cs="宋体"/>
          <w:b/>
          <w:bCs/>
          <w:szCs w:val="21"/>
        </w:rPr>
        <w:t>除“施工、辅材及集成服务”外，其他标的的品牌、型号、制造商等必须填写具体，不能简单填写国产、定制等，</w:t>
      </w:r>
      <w:r>
        <w:rPr>
          <w:rFonts w:hint="eastAsia" w:ascii="宋体" w:hAnsi="宋体" w:cs="宋体"/>
          <w:szCs w:val="21"/>
        </w:rPr>
        <w:t>品牌、规格型号没有则填无，填写有缺漏的，响应文件按无效处理。标的名称、数量及单位、品牌必须与“竞标报价表”一致，否则响应文件按无效处理。</w:t>
      </w:r>
      <w:r>
        <w:rPr>
          <w:rFonts w:hint="eastAsia" w:ascii="宋体" w:hAnsi="宋体" w:cs="宋体"/>
          <w:szCs w:val="21"/>
        </w:rPr>
        <w:tab/>
      </w:r>
    </w:p>
    <w:p w14:paraId="4BE6FE7F">
      <w:pPr>
        <w:adjustRightInd w:val="0"/>
        <w:spacing w:line="360" w:lineRule="auto"/>
        <w:jc w:val="left"/>
        <w:rPr>
          <w:rFonts w:hint="eastAsia" w:ascii="宋体" w:hAnsi="宋体" w:cs="宋体"/>
          <w:szCs w:val="21"/>
        </w:rPr>
      </w:pPr>
    </w:p>
    <w:p w14:paraId="6DA5C509">
      <w:pPr>
        <w:adjustRightInd w:val="0"/>
        <w:spacing w:line="360" w:lineRule="auto"/>
        <w:jc w:val="left"/>
        <w:rPr>
          <w:rFonts w:hint="eastAsia" w:ascii="宋体" w:hAnsi="宋体" w:cs="宋体"/>
          <w:szCs w:val="21"/>
        </w:rPr>
      </w:pPr>
    </w:p>
    <w:p w14:paraId="6515A3DE">
      <w:pPr>
        <w:adjustRightInd w:val="0"/>
        <w:spacing w:line="360" w:lineRule="auto"/>
        <w:jc w:val="left"/>
        <w:rPr>
          <w:rFonts w:hint="eastAsia" w:ascii="宋体" w:hAnsi="宋体" w:cs="宋体"/>
          <w:szCs w:val="21"/>
        </w:rPr>
      </w:pPr>
    </w:p>
    <w:p w14:paraId="640A0917">
      <w:pPr>
        <w:spacing w:line="360" w:lineRule="auto"/>
        <w:ind w:right="-817" w:rightChars="-389"/>
        <w:contextualSpacing/>
        <w:jc w:val="center"/>
        <w:rPr>
          <w:rFonts w:hint="eastAsia" w:ascii="宋体" w:hAnsi="宋体" w:cs="宋体"/>
          <w:szCs w:val="21"/>
        </w:rPr>
      </w:pPr>
      <w:r>
        <w:rPr>
          <w:rFonts w:hint="eastAsia" w:ascii="宋体" w:hAnsi="宋体" w:cs="宋体"/>
          <w:szCs w:val="21"/>
        </w:rPr>
        <w:t>法定代表人或者委托代理人（签字或者电子签名）：</w:t>
      </w:r>
    </w:p>
    <w:p w14:paraId="1A28E9A8">
      <w:pPr>
        <w:spacing w:line="360" w:lineRule="auto"/>
        <w:ind w:right="-817" w:rightChars="-389" w:firstLine="2520" w:firstLineChars="1200"/>
        <w:contextualSpacing/>
        <w:rPr>
          <w:rFonts w:hint="eastAsia" w:ascii="宋体" w:hAnsi="宋体" w:cs="宋体"/>
          <w:szCs w:val="21"/>
        </w:rPr>
      </w:pPr>
      <w:r>
        <w:rPr>
          <w:rFonts w:hint="eastAsia" w:ascii="宋体" w:hAnsi="宋体" w:cs="宋体"/>
          <w:szCs w:val="21"/>
        </w:rPr>
        <w:t xml:space="preserve">供应商（电子签章）：      </w:t>
      </w:r>
    </w:p>
    <w:p w14:paraId="55B6B745">
      <w:pPr>
        <w:spacing w:line="360" w:lineRule="auto"/>
        <w:ind w:right="-817" w:rightChars="-389" w:firstLine="2520" w:firstLineChars="1200"/>
        <w:contextualSpacing/>
        <w:rPr>
          <w:rFonts w:hint="eastAsia" w:ascii="宋体" w:hAnsi="宋体" w:cs="宋体"/>
          <w:b/>
          <w:szCs w:val="21"/>
        </w:rPr>
      </w:pPr>
      <w:r>
        <w:rPr>
          <w:rFonts w:hint="eastAsia" w:ascii="宋体" w:hAnsi="宋体" w:cs="宋体"/>
          <w:szCs w:val="21"/>
        </w:rPr>
        <w:t>日期：   年   月   日</w:t>
      </w:r>
    </w:p>
    <w:p w14:paraId="3538B988">
      <w:pPr>
        <w:adjustRightInd w:val="0"/>
        <w:snapToGrid w:val="0"/>
        <w:spacing w:line="300" w:lineRule="auto"/>
        <w:rPr>
          <w:rFonts w:hint="eastAsia" w:ascii="宋体" w:hAnsi="宋体" w:cs="宋体"/>
          <w:szCs w:val="21"/>
          <w:u w:val="single"/>
        </w:rPr>
      </w:pPr>
    </w:p>
    <w:p w14:paraId="3CF2F28D">
      <w:pPr>
        <w:adjustRightInd w:val="0"/>
        <w:snapToGrid w:val="0"/>
        <w:spacing w:line="300" w:lineRule="auto"/>
        <w:rPr>
          <w:rFonts w:hint="eastAsia" w:ascii="宋体" w:hAnsi="宋体" w:cs="宋体"/>
          <w:szCs w:val="21"/>
          <w:u w:val="single"/>
        </w:rPr>
      </w:pPr>
    </w:p>
    <w:p w14:paraId="6C739A52">
      <w:pPr>
        <w:adjustRightInd w:val="0"/>
        <w:snapToGrid w:val="0"/>
        <w:spacing w:line="300" w:lineRule="auto"/>
        <w:rPr>
          <w:rFonts w:hint="eastAsia" w:ascii="宋体" w:hAnsi="宋体" w:cs="宋体"/>
          <w:szCs w:val="21"/>
          <w:u w:val="single"/>
        </w:rPr>
      </w:pPr>
    </w:p>
    <w:p w14:paraId="468BA05A">
      <w:pPr>
        <w:adjustRightInd w:val="0"/>
        <w:snapToGrid w:val="0"/>
        <w:spacing w:line="300" w:lineRule="auto"/>
        <w:rPr>
          <w:rFonts w:hint="eastAsia" w:ascii="宋体" w:hAnsi="宋体" w:cs="宋体"/>
          <w:szCs w:val="21"/>
          <w:u w:val="single"/>
        </w:rPr>
      </w:pPr>
    </w:p>
    <w:p w14:paraId="532E9FB3">
      <w:pPr>
        <w:adjustRightInd w:val="0"/>
        <w:snapToGrid w:val="0"/>
        <w:spacing w:line="300" w:lineRule="auto"/>
        <w:rPr>
          <w:rFonts w:hint="eastAsia" w:ascii="宋体" w:hAnsi="宋体" w:cs="宋体"/>
          <w:szCs w:val="21"/>
          <w:u w:val="single"/>
        </w:rPr>
      </w:pPr>
    </w:p>
    <w:p w14:paraId="265CB593">
      <w:pPr>
        <w:adjustRightInd w:val="0"/>
        <w:snapToGrid w:val="0"/>
        <w:spacing w:line="300" w:lineRule="auto"/>
        <w:rPr>
          <w:rFonts w:hint="eastAsia" w:ascii="宋体" w:hAnsi="宋体" w:cs="宋体"/>
          <w:szCs w:val="21"/>
          <w:u w:val="single"/>
        </w:rPr>
      </w:pPr>
    </w:p>
    <w:p w14:paraId="5C76F4BA">
      <w:pPr>
        <w:adjustRightInd w:val="0"/>
        <w:snapToGrid w:val="0"/>
        <w:spacing w:line="300" w:lineRule="auto"/>
        <w:rPr>
          <w:rFonts w:hint="eastAsia" w:ascii="宋体" w:hAnsi="宋体" w:cs="宋体"/>
          <w:szCs w:val="21"/>
          <w:u w:val="single"/>
        </w:rPr>
      </w:pPr>
    </w:p>
    <w:p w14:paraId="0CD5DA0B">
      <w:pPr>
        <w:adjustRightInd w:val="0"/>
        <w:snapToGrid w:val="0"/>
        <w:spacing w:line="300" w:lineRule="auto"/>
        <w:rPr>
          <w:rFonts w:hint="eastAsia" w:ascii="宋体" w:hAnsi="宋体" w:cs="宋体"/>
          <w:szCs w:val="21"/>
          <w:u w:val="single"/>
        </w:rPr>
      </w:pPr>
    </w:p>
    <w:p w14:paraId="4FC01DD7">
      <w:pPr>
        <w:adjustRightInd w:val="0"/>
        <w:snapToGrid w:val="0"/>
        <w:spacing w:line="300" w:lineRule="auto"/>
        <w:jc w:val="center"/>
        <w:rPr>
          <w:rFonts w:hint="eastAsia" w:ascii="宋体" w:hAnsi="宋体" w:cs="宋体"/>
          <w:bCs/>
          <w:sz w:val="32"/>
          <w:szCs w:val="32"/>
        </w:rPr>
      </w:pPr>
      <w:r>
        <w:rPr>
          <w:rFonts w:hint="eastAsia" w:ascii="宋体" w:hAnsi="宋体" w:cs="宋体"/>
          <w:bCs/>
          <w:sz w:val="44"/>
          <w:szCs w:val="44"/>
        </w:rPr>
        <w:br w:type="page"/>
      </w:r>
      <w:r>
        <w:rPr>
          <w:rFonts w:hint="eastAsia" w:ascii="宋体" w:hAnsi="宋体" w:cs="宋体"/>
          <w:b/>
          <w:sz w:val="32"/>
          <w:szCs w:val="32"/>
        </w:rPr>
        <w:t>技术要求偏离表</w:t>
      </w:r>
    </w:p>
    <w:p w14:paraId="352F5E00">
      <w:pPr>
        <w:spacing w:line="520" w:lineRule="exact"/>
        <w:rPr>
          <w:rFonts w:hint="eastAsia" w:ascii="宋体" w:hAnsi="宋体" w:cs="宋体"/>
          <w:sz w:val="32"/>
          <w:szCs w:val="32"/>
        </w:rPr>
      </w:pPr>
    </w:p>
    <w:p w14:paraId="489B0F65">
      <w:pPr>
        <w:spacing w:line="360" w:lineRule="auto"/>
        <w:rPr>
          <w:rFonts w:hint="eastAsia" w:ascii="宋体" w:hAnsi="宋体" w:cs="宋体"/>
          <w:szCs w:val="21"/>
          <w:u w:val="single"/>
        </w:rPr>
      </w:pPr>
      <w:r>
        <w:rPr>
          <w:rFonts w:hint="eastAsia" w:ascii="宋体" w:hAnsi="宋体" w:cs="宋体"/>
          <w:szCs w:val="21"/>
        </w:rPr>
        <w:t>采购项目编号：</w:t>
      </w:r>
      <w:r>
        <w:rPr>
          <w:rFonts w:hint="eastAsia" w:ascii="宋体" w:hAnsi="宋体" w:cs="宋体"/>
          <w:szCs w:val="21"/>
          <w:u w:val="single"/>
        </w:rPr>
        <w:t xml:space="preserve">                 </w:t>
      </w:r>
    </w:p>
    <w:p w14:paraId="2590CD06">
      <w:pPr>
        <w:spacing w:line="360" w:lineRule="auto"/>
        <w:rPr>
          <w:rFonts w:hint="eastAsia" w:ascii="宋体" w:hAnsi="宋体" w:cs="宋体"/>
          <w:szCs w:val="21"/>
        </w:rPr>
      </w:pPr>
      <w:r>
        <w:rPr>
          <w:rFonts w:hint="eastAsia" w:ascii="宋体" w:hAnsi="宋体" w:cs="宋体"/>
          <w:szCs w:val="21"/>
        </w:rPr>
        <w:t>采购项目名称：</w:t>
      </w:r>
      <w:r>
        <w:rPr>
          <w:rFonts w:hint="eastAsia" w:ascii="宋体" w:hAnsi="宋体" w:cs="宋体"/>
          <w:szCs w:val="21"/>
          <w:u w:val="single"/>
        </w:rPr>
        <w:t xml:space="preserve">                 </w:t>
      </w:r>
    </w:p>
    <w:p w14:paraId="10A975C8">
      <w:pPr>
        <w:spacing w:line="360" w:lineRule="auto"/>
        <w:rPr>
          <w:rFonts w:hint="eastAsia" w:ascii="宋体" w:hAnsi="宋体" w:cs="宋体"/>
          <w:szCs w:val="21"/>
          <w:u w:val="single"/>
        </w:rPr>
      </w:pPr>
      <w:r>
        <w:rPr>
          <w:rFonts w:hint="eastAsia" w:ascii="宋体" w:hAnsi="宋体" w:cs="宋体"/>
          <w:szCs w:val="21"/>
        </w:rPr>
        <w:t>分标号：</w:t>
      </w:r>
      <w:r>
        <w:rPr>
          <w:rFonts w:hint="eastAsia" w:ascii="宋体" w:hAnsi="宋体" w:cs="宋体"/>
          <w:szCs w:val="21"/>
          <w:u w:val="single"/>
        </w:rPr>
        <w:t xml:space="preserve">                       </w:t>
      </w:r>
    </w:p>
    <w:tbl>
      <w:tblPr>
        <w:tblStyle w:val="29"/>
        <w:tblW w:w="912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8"/>
        <w:gridCol w:w="918"/>
        <w:gridCol w:w="3048"/>
        <w:gridCol w:w="2743"/>
        <w:gridCol w:w="1497"/>
      </w:tblGrid>
      <w:tr w14:paraId="3817E8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8" w:type="dxa"/>
            <w:tcBorders>
              <w:top w:val="single" w:color="auto" w:sz="4" w:space="0"/>
              <w:left w:val="single" w:color="auto" w:sz="4" w:space="0"/>
              <w:bottom w:val="single" w:color="auto" w:sz="6" w:space="0"/>
              <w:right w:val="single" w:color="auto" w:sz="6" w:space="0"/>
            </w:tcBorders>
            <w:vAlign w:val="center"/>
          </w:tcPr>
          <w:p w14:paraId="213F22E4">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序号</w:t>
            </w:r>
          </w:p>
        </w:tc>
        <w:tc>
          <w:tcPr>
            <w:tcW w:w="918" w:type="dxa"/>
            <w:tcBorders>
              <w:top w:val="single" w:color="auto" w:sz="4" w:space="0"/>
              <w:left w:val="single" w:color="auto" w:sz="6" w:space="0"/>
              <w:bottom w:val="single" w:color="auto" w:sz="6" w:space="0"/>
              <w:right w:val="single" w:color="auto" w:sz="4" w:space="0"/>
            </w:tcBorders>
            <w:vAlign w:val="center"/>
          </w:tcPr>
          <w:p w14:paraId="588E564D">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名称</w:t>
            </w:r>
          </w:p>
        </w:tc>
        <w:tc>
          <w:tcPr>
            <w:tcW w:w="3048" w:type="dxa"/>
            <w:tcBorders>
              <w:top w:val="single" w:color="auto" w:sz="4" w:space="0"/>
              <w:left w:val="single" w:color="auto" w:sz="4" w:space="0"/>
              <w:bottom w:val="single" w:color="auto" w:sz="6" w:space="0"/>
              <w:right w:val="single" w:color="auto" w:sz="6" w:space="0"/>
            </w:tcBorders>
            <w:vAlign w:val="center"/>
          </w:tcPr>
          <w:p w14:paraId="3E33272F">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谈判文件要求</w:t>
            </w:r>
          </w:p>
        </w:tc>
        <w:tc>
          <w:tcPr>
            <w:tcW w:w="2743" w:type="dxa"/>
            <w:tcBorders>
              <w:top w:val="single" w:color="auto" w:sz="4" w:space="0"/>
              <w:left w:val="single" w:color="auto" w:sz="6" w:space="0"/>
              <w:bottom w:val="single" w:color="auto" w:sz="6" w:space="0"/>
              <w:right w:val="single" w:color="auto" w:sz="6" w:space="0"/>
            </w:tcBorders>
            <w:vAlign w:val="center"/>
          </w:tcPr>
          <w:p w14:paraId="7E853BC0">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竞标响应</w:t>
            </w:r>
          </w:p>
        </w:tc>
        <w:tc>
          <w:tcPr>
            <w:tcW w:w="1497" w:type="dxa"/>
            <w:tcBorders>
              <w:top w:val="single" w:color="auto" w:sz="4" w:space="0"/>
              <w:left w:val="single" w:color="auto" w:sz="6" w:space="0"/>
              <w:bottom w:val="single" w:color="auto" w:sz="6" w:space="0"/>
              <w:right w:val="single" w:color="auto" w:sz="4" w:space="0"/>
            </w:tcBorders>
            <w:vAlign w:val="center"/>
          </w:tcPr>
          <w:p w14:paraId="66923B5F">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偏离说明</w:t>
            </w:r>
          </w:p>
        </w:tc>
      </w:tr>
      <w:tr w14:paraId="60539B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8" w:type="dxa"/>
            <w:tcBorders>
              <w:top w:val="single" w:color="auto" w:sz="6" w:space="0"/>
              <w:left w:val="single" w:color="auto" w:sz="4" w:space="0"/>
              <w:bottom w:val="single" w:color="auto" w:sz="6" w:space="0"/>
              <w:right w:val="single" w:color="auto" w:sz="6" w:space="0"/>
            </w:tcBorders>
            <w:vAlign w:val="center"/>
          </w:tcPr>
          <w:p w14:paraId="50059CA2">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918" w:type="dxa"/>
            <w:tcBorders>
              <w:top w:val="single" w:color="auto" w:sz="6" w:space="0"/>
              <w:left w:val="single" w:color="auto" w:sz="6" w:space="0"/>
              <w:bottom w:val="single" w:color="auto" w:sz="6" w:space="0"/>
              <w:right w:val="single" w:color="auto" w:sz="4" w:space="0"/>
            </w:tcBorders>
            <w:vAlign w:val="center"/>
          </w:tcPr>
          <w:p w14:paraId="4B8B9947">
            <w:pPr>
              <w:pStyle w:val="13"/>
              <w:spacing w:line="360" w:lineRule="auto"/>
              <w:ind w:firstLine="0" w:firstLineChars="0"/>
              <w:jc w:val="center"/>
              <w:rPr>
                <w:rFonts w:hint="eastAsia" w:ascii="宋体" w:hAnsi="宋体" w:eastAsia="宋体" w:cs="宋体"/>
                <w:kern w:val="2"/>
                <w:sz w:val="21"/>
                <w:szCs w:val="21"/>
              </w:rPr>
            </w:pPr>
          </w:p>
        </w:tc>
        <w:tc>
          <w:tcPr>
            <w:tcW w:w="3048" w:type="dxa"/>
            <w:tcBorders>
              <w:top w:val="single" w:color="auto" w:sz="6" w:space="0"/>
              <w:left w:val="single" w:color="auto" w:sz="4" w:space="0"/>
              <w:bottom w:val="single" w:color="auto" w:sz="6" w:space="0"/>
              <w:right w:val="single" w:color="auto" w:sz="6" w:space="0"/>
            </w:tcBorders>
            <w:vAlign w:val="center"/>
          </w:tcPr>
          <w:p w14:paraId="11AA3414">
            <w:pPr>
              <w:pStyle w:val="13"/>
              <w:spacing w:line="360" w:lineRule="auto"/>
              <w:ind w:firstLine="0" w:firstLineChars="0"/>
              <w:jc w:val="center"/>
              <w:rPr>
                <w:rFonts w:hint="eastAsia" w:ascii="宋体" w:hAnsi="宋体" w:eastAsia="宋体" w:cs="宋体"/>
                <w:kern w:val="2"/>
                <w:sz w:val="21"/>
                <w:szCs w:val="21"/>
              </w:rPr>
            </w:pPr>
          </w:p>
        </w:tc>
        <w:tc>
          <w:tcPr>
            <w:tcW w:w="2743" w:type="dxa"/>
            <w:tcBorders>
              <w:top w:val="single" w:color="auto" w:sz="6" w:space="0"/>
              <w:left w:val="single" w:color="auto" w:sz="6" w:space="0"/>
              <w:bottom w:val="single" w:color="auto" w:sz="6" w:space="0"/>
              <w:right w:val="single" w:color="auto" w:sz="6" w:space="0"/>
            </w:tcBorders>
            <w:vAlign w:val="center"/>
          </w:tcPr>
          <w:p w14:paraId="565303F3">
            <w:pPr>
              <w:pStyle w:val="13"/>
              <w:spacing w:line="360" w:lineRule="auto"/>
              <w:ind w:firstLine="0" w:firstLineChars="0"/>
              <w:jc w:val="center"/>
              <w:rPr>
                <w:rFonts w:hint="eastAsia" w:ascii="宋体" w:hAnsi="宋体" w:eastAsia="宋体" w:cs="宋体"/>
                <w:kern w:val="2"/>
                <w:sz w:val="21"/>
                <w:szCs w:val="21"/>
              </w:rPr>
            </w:pPr>
          </w:p>
        </w:tc>
        <w:tc>
          <w:tcPr>
            <w:tcW w:w="1497" w:type="dxa"/>
            <w:tcBorders>
              <w:top w:val="single" w:color="auto" w:sz="6" w:space="0"/>
              <w:left w:val="single" w:color="auto" w:sz="6" w:space="0"/>
              <w:bottom w:val="single" w:color="auto" w:sz="6" w:space="0"/>
              <w:right w:val="single" w:color="auto" w:sz="4" w:space="0"/>
            </w:tcBorders>
            <w:vAlign w:val="center"/>
          </w:tcPr>
          <w:p w14:paraId="6540BD5F">
            <w:pPr>
              <w:pStyle w:val="13"/>
              <w:spacing w:line="360" w:lineRule="auto"/>
              <w:ind w:firstLine="0" w:firstLineChars="0"/>
              <w:jc w:val="center"/>
              <w:rPr>
                <w:rFonts w:hint="eastAsia" w:ascii="宋体" w:hAnsi="宋体" w:eastAsia="宋体" w:cs="宋体"/>
                <w:kern w:val="2"/>
                <w:sz w:val="21"/>
                <w:szCs w:val="21"/>
              </w:rPr>
            </w:pPr>
          </w:p>
        </w:tc>
      </w:tr>
      <w:tr w14:paraId="1EBC71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8" w:type="dxa"/>
            <w:tcBorders>
              <w:top w:val="single" w:color="auto" w:sz="6" w:space="0"/>
              <w:left w:val="single" w:color="auto" w:sz="4" w:space="0"/>
              <w:bottom w:val="single" w:color="auto" w:sz="6" w:space="0"/>
              <w:right w:val="single" w:color="auto" w:sz="6" w:space="0"/>
            </w:tcBorders>
            <w:vAlign w:val="center"/>
          </w:tcPr>
          <w:p w14:paraId="2C30584C">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918" w:type="dxa"/>
            <w:tcBorders>
              <w:top w:val="single" w:color="auto" w:sz="6" w:space="0"/>
              <w:left w:val="single" w:color="auto" w:sz="6" w:space="0"/>
              <w:bottom w:val="single" w:color="auto" w:sz="6" w:space="0"/>
              <w:right w:val="single" w:color="auto" w:sz="4" w:space="0"/>
            </w:tcBorders>
            <w:vAlign w:val="center"/>
          </w:tcPr>
          <w:p w14:paraId="4A5B734D">
            <w:pPr>
              <w:pStyle w:val="13"/>
              <w:spacing w:line="360" w:lineRule="auto"/>
              <w:ind w:firstLine="0" w:firstLineChars="0"/>
              <w:jc w:val="center"/>
              <w:rPr>
                <w:rFonts w:hint="eastAsia" w:ascii="宋体" w:hAnsi="宋体" w:eastAsia="宋体" w:cs="宋体"/>
                <w:kern w:val="2"/>
                <w:sz w:val="21"/>
                <w:szCs w:val="21"/>
              </w:rPr>
            </w:pPr>
          </w:p>
        </w:tc>
        <w:tc>
          <w:tcPr>
            <w:tcW w:w="3048" w:type="dxa"/>
            <w:tcBorders>
              <w:top w:val="single" w:color="auto" w:sz="6" w:space="0"/>
              <w:left w:val="single" w:color="auto" w:sz="4" w:space="0"/>
              <w:bottom w:val="single" w:color="auto" w:sz="6" w:space="0"/>
              <w:right w:val="single" w:color="auto" w:sz="6" w:space="0"/>
            </w:tcBorders>
            <w:vAlign w:val="center"/>
          </w:tcPr>
          <w:p w14:paraId="50BFC480">
            <w:pPr>
              <w:pStyle w:val="13"/>
              <w:spacing w:line="360" w:lineRule="auto"/>
              <w:ind w:firstLine="0" w:firstLineChars="0"/>
              <w:jc w:val="center"/>
              <w:rPr>
                <w:rFonts w:hint="eastAsia" w:ascii="宋体" w:hAnsi="宋体" w:eastAsia="宋体" w:cs="宋体"/>
                <w:kern w:val="2"/>
                <w:sz w:val="21"/>
                <w:szCs w:val="21"/>
              </w:rPr>
            </w:pPr>
          </w:p>
        </w:tc>
        <w:tc>
          <w:tcPr>
            <w:tcW w:w="2743" w:type="dxa"/>
            <w:tcBorders>
              <w:top w:val="single" w:color="auto" w:sz="6" w:space="0"/>
              <w:left w:val="single" w:color="auto" w:sz="6" w:space="0"/>
              <w:bottom w:val="single" w:color="auto" w:sz="6" w:space="0"/>
              <w:right w:val="single" w:color="auto" w:sz="6" w:space="0"/>
            </w:tcBorders>
            <w:vAlign w:val="center"/>
          </w:tcPr>
          <w:p w14:paraId="5EA285E0">
            <w:pPr>
              <w:pStyle w:val="13"/>
              <w:spacing w:line="360" w:lineRule="auto"/>
              <w:ind w:firstLine="0" w:firstLineChars="0"/>
              <w:jc w:val="center"/>
              <w:rPr>
                <w:rFonts w:hint="eastAsia" w:ascii="宋体" w:hAnsi="宋体" w:eastAsia="宋体" w:cs="宋体"/>
                <w:kern w:val="2"/>
                <w:sz w:val="21"/>
                <w:szCs w:val="21"/>
              </w:rPr>
            </w:pPr>
          </w:p>
        </w:tc>
        <w:tc>
          <w:tcPr>
            <w:tcW w:w="1497" w:type="dxa"/>
            <w:tcBorders>
              <w:top w:val="single" w:color="auto" w:sz="6" w:space="0"/>
              <w:left w:val="single" w:color="auto" w:sz="6" w:space="0"/>
              <w:bottom w:val="single" w:color="auto" w:sz="6" w:space="0"/>
              <w:right w:val="single" w:color="auto" w:sz="4" w:space="0"/>
            </w:tcBorders>
            <w:vAlign w:val="center"/>
          </w:tcPr>
          <w:p w14:paraId="6521FE59">
            <w:pPr>
              <w:pStyle w:val="13"/>
              <w:spacing w:line="360" w:lineRule="auto"/>
              <w:ind w:firstLine="0" w:firstLineChars="0"/>
              <w:jc w:val="center"/>
              <w:rPr>
                <w:rFonts w:hint="eastAsia" w:ascii="宋体" w:hAnsi="宋体" w:eastAsia="宋体" w:cs="宋体"/>
                <w:kern w:val="2"/>
                <w:sz w:val="21"/>
                <w:szCs w:val="21"/>
              </w:rPr>
            </w:pPr>
          </w:p>
        </w:tc>
      </w:tr>
      <w:tr w14:paraId="7D4695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8" w:type="dxa"/>
            <w:tcBorders>
              <w:top w:val="single" w:color="auto" w:sz="6" w:space="0"/>
              <w:left w:val="single" w:color="auto" w:sz="4" w:space="0"/>
              <w:bottom w:val="single" w:color="auto" w:sz="6" w:space="0"/>
              <w:right w:val="single" w:color="auto" w:sz="6" w:space="0"/>
            </w:tcBorders>
            <w:vAlign w:val="center"/>
          </w:tcPr>
          <w:p w14:paraId="5912A0AA">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918" w:type="dxa"/>
            <w:tcBorders>
              <w:top w:val="single" w:color="auto" w:sz="6" w:space="0"/>
              <w:left w:val="single" w:color="auto" w:sz="6" w:space="0"/>
              <w:bottom w:val="single" w:color="auto" w:sz="6" w:space="0"/>
              <w:right w:val="single" w:color="auto" w:sz="4" w:space="0"/>
            </w:tcBorders>
            <w:vAlign w:val="center"/>
          </w:tcPr>
          <w:p w14:paraId="49EDC9EE">
            <w:pPr>
              <w:pStyle w:val="13"/>
              <w:spacing w:line="360" w:lineRule="auto"/>
              <w:ind w:firstLine="0" w:firstLineChars="0"/>
              <w:jc w:val="center"/>
              <w:rPr>
                <w:rFonts w:hint="eastAsia" w:ascii="宋体" w:hAnsi="宋体" w:eastAsia="宋体" w:cs="宋体"/>
                <w:kern w:val="2"/>
                <w:sz w:val="21"/>
                <w:szCs w:val="21"/>
              </w:rPr>
            </w:pPr>
          </w:p>
        </w:tc>
        <w:tc>
          <w:tcPr>
            <w:tcW w:w="3048" w:type="dxa"/>
            <w:tcBorders>
              <w:top w:val="single" w:color="auto" w:sz="6" w:space="0"/>
              <w:left w:val="single" w:color="auto" w:sz="4" w:space="0"/>
              <w:bottom w:val="single" w:color="auto" w:sz="6" w:space="0"/>
              <w:right w:val="single" w:color="auto" w:sz="6" w:space="0"/>
            </w:tcBorders>
            <w:vAlign w:val="center"/>
          </w:tcPr>
          <w:p w14:paraId="2DB20BB0">
            <w:pPr>
              <w:pStyle w:val="13"/>
              <w:spacing w:line="360" w:lineRule="auto"/>
              <w:ind w:firstLine="0" w:firstLineChars="0"/>
              <w:jc w:val="center"/>
              <w:rPr>
                <w:rFonts w:hint="eastAsia" w:ascii="宋体" w:hAnsi="宋体" w:eastAsia="宋体" w:cs="宋体"/>
                <w:kern w:val="2"/>
                <w:sz w:val="21"/>
                <w:szCs w:val="21"/>
              </w:rPr>
            </w:pPr>
          </w:p>
        </w:tc>
        <w:tc>
          <w:tcPr>
            <w:tcW w:w="2743" w:type="dxa"/>
            <w:tcBorders>
              <w:top w:val="single" w:color="auto" w:sz="6" w:space="0"/>
              <w:left w:val="single" w:color="auto" w:sz="6" w:space="0"/>
              <w:bottom w:val="single" w:color="auto" w:sz="6" w:space="0"/>
              <w:right w:val="single" w:color="auto" w:sz="6" w:space="0"/>
            </w:tcBorders>
            <w:vAlign w:val="center"/>
          </w:tcPr>
          <w:p w14:paraId="07AE18DC">
            <w:pPr>
              <w:pStyle w:val="13"/>
              <w:spacing w:line="360" w:lineRule="auto"/>
              <w:ind w:firstLine="0" w:firstLineChars="0"/>
              <w:jc w:val="center"/>
              <w:rPr>
                <w:rFonts w:hint="eastAsia" w:ascii="宋体" w:hAnsi="宋体" w:eastAsia="宋体" w:cs="宋体"/>
                <w:kern w:val="2"/>
                <w:sz w:val="21"/>
                <w:szCs w:val="21"/>
              </w:rPr>
            </w:pPr>
          </w:p>
        </w:tc>
        <w:tc>
          <w:tcPr>
            <w:tcW w:w="1497" w:type="dxa"/>
            <w:tcBorders>
              <w:top w:val="single" w:color="auto" w:sz="6" w:space="0"/>
              <w:left w:val="single" w:color="auto" w:sz="6" w:space="0"/>
              <w:bottom w:val="single" w:color="auto" w:sz="6" w:space="0"/>
              <w:right w:val="single" w:color="auto" w:sz="4" w:space="0"/>
            </w:tcBorders>
            <w:vAlign w:val="center"/>
          </w:tcPr>
          <w:p w14:paraId="142BE7E6">
            <w:pPr>
              <w:pStyle w:val="13"/>
              <w:spacing w:line="360" w:lineRule="auto"/>
              <w:ind w:firstLine="0" w:firstLineChars="0"/>
              <w:jc w:val="center"/>
              <w:rPr>
                <w:rFonts w:hint="eastAsia" w:ascii="宋体" w:hAnsi="宋体" w:eastAsia="宋体" w:cs="宋体"/>
                <w:kern w:val="2"/>
                <w:sz w:val="21"/>
                <w:szCs w:val="21"/>
              </w:rPr>
            </w:pPr>
          </w:p>
        </w:tc>
      </w:tr>
      <w:tr w14:paraId="44E217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8" w:type="dxa"/>
            <w:tcBorders>
              <w:top w:val="single" w:color="auto" w:sz="6" w:space="0"/>
              <w:left w:val="single" w:color="auto" w:sz="4" w:space="0"/>
              <w:bottom w:val="single" w:color="auto" w:sz="6" w:space="0"/>
              <w:right w:val="single" w:color="auto" w:sz="6" w:space="0"/>
            </w:tcBorders>
            <w:vAlign w:val="center"/>
          </w:tcPr>
          <w:p w14:paraId="4CE2FA45">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4</w:t>
            </w:r>
          </w:p>
        </w:tc>
        <w:tc>
          <w:tcPr>
            <w:tcW w:w="918" w:type="dxa"/>
            <w:tcBorders>
              <w:top w:val="single" w:color="auto" w:sz="6" w:space="0"/>
              <w:left w:val="single" w:color="auto" w:sz="6" w:space="0"/>
              <w:bottom w:val="single" w:color="auto" w:sz="6" w:space="0"/>
              <w:right w:val="single" w:color="auto" w:sz="4" w:space="0"/>
            </w:tcBorders>
            <w:vAlign w:val="center"/>
          </w:tcPr>
          <w:p w14:paraId="34D47CE1">
            <w:pPr>
              <w:pStyle w:val="13"/>
              <w:spacing w:line="360" w:lineRule="auto"/>
              <w:ind w:firstLine="0" w:firstLineChars="0"/>
              <w:jc w:val="center"/>
              <w:rPr>
                <w:rFonts w:hint="eastAsia" w:ascii="宋体" w:hAnsi="宋体" w:eastAsia="宋体" w:cs="宋体"/>
                <w:kern w:val="2"/>
                <w:sz w:val="21"/>
                <w:szCs w:val="21"/>
              </w:rPr>
            </w:pPr>
          </w:p>
        </w:tc>
        <w:tc>
          <w:tcPr>
            <w:tcW w:w="3048" w:type="dxa"/>
            <w:tcBorders>
              <w:top w:val="single" w:color="auto" w:sz="6" w:space="0"/>
              <w:left w:val="single" w:color="auto" w:sz="4" w:space="0"/>
              <w:bottom w:val="single" w:color="auto" w:sz="6" w:space="0"/>
              <w:right w:val="single" w:color="auto" w:sz="6" w:space="0"/>
            </w:tcBorders>
            <w:vAlign w:val="center"/>
          </w:tcPr>
          <w:p w14:paraId="5757679E">
            <w:pPr>
              <w:pStyle w:val="13"/>
              <w:spacing w:line="360" w:lineRule="auto"/>
              <w:ind w:firstLine="0" w:firstLineChars="0"/>
              <w:jc w:val="center"/>
              <w:rPr>
                <w:rFonts w:hint="eastAsia" w:ascii="宋体" w:hAnsi="宋体" w:eastAsia="宋体" w:cs="宋体"/>
                <w:kern w:val="2"/>
                <w:sz w:val="21"/>
                <w:szCs w:val="21"/>
              </w:rPr>
            </w:pPr>
          </w:p>
        </w:tc>
        <w:tc>
          <w:tcPr>
            <w:tcW w:w="2743" w:type="dxa"/>
            <w:tcBorders>
              <w:top w:val="single" w:color="auto" w:sz="6" w:space="0"/>
              <w:left w:val="single" w:color="auto" w:sz="6" w:space="0"/>
              <w:bottom w:val="single" w:color="auto" w:sz="6" w:space="0"/>
              <w:right w:val="single" w:color="auto" w:sz="6" w:space="0"/>
            </w:tcBorders>
            <w:vAlign w:val="center"/>
          </w:tcPr>
          <w:p w14:paraId="121215DE">
            <w:pPr>
              <w:pStyle w:val="13"/>
              <w:spacing w:line="360" w:lineRule="auto"/>
              <w:ind w:firstLine="0" w:firstLineChars="0"/>
              <w:jc w:val="center"/>
              <w:rPr>
                <w:rFonts w:hint="eastAsia" w:ascii="宋体" w:hAnsi="宋体" w:eastAsia="宋体" w:cs="宋体"/>
                <w:kern w:val="2"/>
                <w:sz w:val="21"/>
                <w:szCs w:val="21"/>
              </w:rPr>
            </w:pPr>
          </w:p>
        </w:tc>
        <w:tc>
          <w:tcPr>
            <w:tcW w:w="1497" w:type="dxa"/>
            <w:tcBorders>
              <w:top w:val="single" w:color="auto" w:sz="6" w:space="0"/>
              <w:left w:val="single" w:color="auto" w:sz="6" w:space="0"/>
              <w:bottom w:val="single" w:color="auto" w:sz="6" w:space="0"/>
              <w:right w:val="single" w:color="auto" w:sz="4" w:space="0"/>
            </w:tcBorders>
            <w:vAlign w:val="center"/>
          </w:tcPr>
          <w:p w14:paraId="3094E7FA">
            <w:pPr>
              <w:pStyle w:val="13"/>
              <w:spacing w:line="360" w:lineRule="auto"/>
              <w:ind w:firstLine="0" w:firstLineChars="0"/>
              <w:jc w:val="center"/>
              <w:rPr>
                <w:rFonts w:hint="eastAsia" w:ascii="宋体" w:hAnsi="宋体" w:eastAsia="宋体" w:cs="宋体"/>
                <w:kern w:val="2"/>
                <w:sz w:val="21"/>
                <w:szCs w:val="21"/>
              </w:rPr>
            </w:pPr>
          </w:p>
        </w:tc>
      </w:tr>
      <w:tr w14:paraId="6A5AF4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8" w:type="dxa"/>
            <w:tcBorders>
              <w:top w:val="single" w:color="auto" w:sz="6" w:space="0"/>
              <w:left w:val="single" w:color="auto" w:sz="4" w:space="0"/>
              <w:bottom w:val="single" w:color="auto" w:sz="6" w:space="0"/>
              <w:right w:val="single" w:color="auto" w:sz="6" w:space="0"/>
            </w:tcBorders>
            <w:vAlign w:val="center"/>
          </w:tcPr>
          <w:p w14:paraId="60FC42E4">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5</w:t>
            </w:r>
          </w:p>
        </w:tc>
        <w:tc>
          <w:tcPr>
            <w:tcW w:w="918" w:type="dxa"/>
            <w:tcBorders>
              <w:top w:val="single" w:color="auto" w:sz="6" w:space="0"/>
              <w:left w:val="single" w:color="auto" w:sz="6" w:space="0"/>
              <w:bottom w:val="single" w:color="auto" w:sz="6" w:space="0"/>
              <w:right w:val="single" w:color="auto" w:sz="4" w:space="0"/>
            </w:tcBorders>
            <w:vAlign w:val="center"/>
          </w:tcPr>
          <w:p w14:paraId="0949A00E">
            <w:pPr>
              <w:pStyle w:val="13"/>
              <w:spacing w:line="360" w:lineRule="auto"/>
              <w:ind w:firstLine="0" w:firstLineChars="0"/>
              <w:jc w:val="center"/>
              <w:rPr>
                <w:rFonts w:hint="eastAsia" w:ascii="宋体" w:hAnsi="宋体" w:eastAsia="宋体" w:cs="宋体"/>
                <w:kern w:val="2"/>
                <w:sz w:val="21"/>
                <w:szCs w:val="21"/>
              </w:rPr>
            </w:pPr>
          </w:p>
        </w:tc>
        <w:tc>
          <w:tcPr>
            <w:tcW w:w="3048" w:type="dxa"/>
            <w:tcBorders>
              <w:top w:val="single" w:color="auto" w:sz="6" w:space="0"/>
              <w:left w:val="single" w:color="auto" w:sz="4" w:space="0"/>
              <w:bottom w:val="single" w:color="auto" w:sz="6" w:space="0"/>
              <w:right w:val="single" w:color="auto" w:sz="6" w:space="0"/>
            </w:tcBorders>
            <w:vAlign w:val="center"/>
          </w:tcPr>
          <w:p w14:paraId="44FAB3D2">
            <w:pPr>
              <w:pStyle w:val="13"/>
              <w:spacing w:line="360" w:lineRule="auto"/>
              <w:ind w:firstLine="0" w:firstLineChars="0"/>
              <w:jc w:val="center"/>
              <w:rPr>
                <w:rFonts w:hint="eastAsia" w:ascii="宋体" w:hAnsi="宋体" w:eastAsia="宋体" w:cs="宋体"/>
                <w:kern w:val="2"/>
                <w:sz w:val="21"/>
                <w:szCs w:val="21"/>
              </w:rPr>
            </w:pPr>
          </w:p>
        </w:tc>
        <w:tc>
          <w:tcPr>
            <w:tcW w:w="2743" w:type="dxa"/>
            <w:tcBorders>
              <w:top w:val="single" w:color="auto" w:sz="6" w:space="0"/>
              <w:left w:val="single" w:color="auto" w:sz="6" w:space="0"/>
              <w:bottom w:val="single" w:color="auto" w:sz="6" w:space="0"/>
              <w:right w:val="single" w:color="auto" w:sz="6" w:space="0"/>
            </w:tcBorders>
            <w:vAlign w:val="center"/>
          </w:tcPr>
          <w:p w14:paraId="07E6F2A3">
            <w:pPr>
              <w:pStyle w:val="13"/>
              <w:spacing w:line="360" w:lineRule="auto"/>
              <w:ind w:firstLine="0" w:firstLineChars="0"/>
              <w:jc w:val="center"/>
              <w:rPr>
                <w:rFonts w:hint="eastAsia" w:ascii="宋体" w:hAnsi="宋体" w:eastAsia="宋体" w:cs="宋体"/>
                <w:kern w:val="2"/>
                <w:sz w:val="21"/>
                <w:szCs w:val="21"/>
              </w:rPr>
            </w:pPr>
          </w:p>
        </w:tc>
        <w:tc>
          <w:tcPr>
            <w:tcW w:w="1497" w:type="dxa"/>
            <w:tcBorders>
              <w:top w:val="single" w:color="auto" w:sz="6" w:space="0"/>
              <w:left w:val="single" w:color="auto" w:sz="6" w:space="0"/>
              <w:bottom w:val="single" w:color="auto" w:sz="6" w:space="0"/>
              <w:right w:val="single" w:color="auto" w:sz="4" w:space="0"/>
            </w:tcBorders>
            <w:vAlign w:val="center"/>
          </w:tcPr>
          <w:p w14:paraId="0FED7328">
            <w:pPr>
              <w:pStyle w:val="13"/>
              <w:spacing w:line="360" w:lineRule="auto"/>
              <w:ind w:firstLine="0" w:firstLineChars="0"/>
              <w:jc w:val="center"/>
              <w:rPr>
                <w:rFonts w:hint="eastAsia" w:ascii="宋体" w:hAnsi="宋体" w:eastAsia="宋体" w:cs="宋体"/>
                <w:kern w:val="2"/>
                <w:sz w:val="21"/>
                <w:szCs w:val="21"/>
              </w:rPr>
            </w:pPr>
          </w:p>
        </w:tc>
      </w:tr>
      <w:tr w14:paraId="4277A6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18" w:type="dxa"/>
            <w:tcBorders>
              <w:top w:val="single" w:color="auto" w:sz="6" w:space="0"/>
              <w:left w:val="single" w:color="auto" w:sz="4" w:space="0"/>
              <w:bottom w:val="single" w:color="auto" w:sz="4" w:space="0"/>
              <w:right w:val="single" w:color="auto" w:sz="6" w:space="0"/>
            </w:tcBorders>
            <w:vAlign w:val="center"/>
          </w:tcPr>
          <w:p w14:paraId="388AB4EE">
            <w:pPr>
              <w:pStyle w:val="13"/>
              <w:spacing w:line="360" w:lineRule="auto"/>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w:t>
            </w:r>
          </w:p>
        </w:tc>
        <w:tc>
          <w:tcPr>
            <w:tcW w:w="918" w:type="dxa"/>
            <w:tcBorders>
              <w:top w:val="single" w:color="auto" w:sz="6" w:space="0"/>
              <w:left w:val="single" w:color="auto" w:sz="6" w:space="0"/>
              <w:bottom w:val="single" w:color="auto" w:sz="4" w:space="0"/>
              <w:right w:val="single" w:color="auto" w:sz="4" w:space="0"/>
            </w:tcBorders>
            <w:vAlign w:val="center"/>
          </w:tcPr>
          <w:p w14:paraId="7DD21D95">
            <w:pPr>
              <w:pStyle w:val="13"/>
              <w:spacing w:line="360" w:lineRule="auto"/>
              <w:ind w:firstLine="0" w:firstLineChars="0"/>
              <w:jc w:val="center"/>
              <w:rPr>
                <w:rFonts w:hint="eastAsia" w:ascii="宋体" w:hAnsi="宋体" w:eastAsia="宋体" w:cs="宋体"/>
                <w:kern w:val="2"/>
                <w:sz w:val="21"/>
                <w:szCs w:val="21"/>
              </w:rPr>
            </w:pPr>
          </w:p>
        </w:tc>
        <w:tc>
          <w:tcPr>
            <w:tcW w:w="3048" w:type="dxa"/>
            <w:tcBorders>
              <w:top w:val="single" w:color="auto" w:sz="6" w:space="0"/>
              <w:left w:val="single" w:color="auto" w:sz="4" w:space="0"/>
              <w:bottom w:val="single" w:color="auto" w:sz="4" w:space="0"/>
              <w:right w:val="single" w:color="auto" w:sz="6" w:space="0"/>
            </w:tcBorders>
            <w:vAlign w:val="center"/>
          </w:tcPr>
          <w:p w14:paraId="2A60C0BB">
            <w:pPr>
              <w:pStyle w:val="13"/>
              <w:spacing w:line="360" w:lineRule="auto"/>
              <w:ind w:firstLine="0" w:firstLineChars="0"/>
              <w:jc w:val="center"/>
              <w:rPr>
                <w:rFonts w:hint="eastAsia" w:ascii="宋体" w:hAnsi="宋体" w:eastAsia="宋体" w:cs="宋体"/>
                <w:kern w:val="2"/>
                <w:sz w:val="21"/>
                <w:szCs w:val="21"/>
              </w:rPr>
            </w:pPr>
          </w:p>
        </w:tc>
        <w:tc>
          <w:tcPr>
            <w:tcW w:w="2743" w:type="dxa"/>
            <w:tcBorders>
              <w:top w:val="single" w:color="auto" w:sz="6" w:space="0"/>
              <w:left w:val="single" w:color="auto" w:sz="6" w:space="0"/>
              <w:bottom w:val="single" w:color="auto" w:sz="4" w:space="0"/>
              <w:right w:val="single" w:color="auto" w:sz="6" w:space="0"/>
            </w:tcBorders>
            <w:vAlign w:val="center"/>
          </w:tcPr>
          <w:p w14:paraId="2171123C">
            <w:pPr>
              <w:pStyle w:val="13"/>
              <w:spacing w:line="360" w:lineRule="auto"/>
              <w:ind w:firstLine="0" w:firstLineChars="0"/>
              <w:jc w:val="center"/>
              <w:rPr>
                <w:rFonts w:hint="eastAsia" w:ascii="宋体" w:hAnsi="宋体" w:eastAsia="宋体" w:cs="宋体"/>
                <w:kern w:val="2"/>
                <w:sz w:val="21"/>
                <w:szCs w:val="21"/>
              </w:rPr>
            </w:pPr>
          </w:p>
        </w:tc>
        <w:tc>
          <w:tcPr>
            <w:tcW w:w="1497" w:type="dxa"/>
            <w:tcBorders>
              <w:top w:val="single" w:color="auto" w:sz="6" w:space="0"/>
              <w:left w:val="single" w:color="auto" w:sz="6" w:space="0"/>
              <w:bottom w:val="single" w:color="auto" w:sz="4" w:space="0"/>
              <w:right w:val="single" w:color="auto" w:sz="4" w:space="0"/>
            </w:tcBorders>
            <w:vAlign w:val="center"/>
          </w:tcPr>
          <w:p w14:paraId="4BFF2FF0">
            <w:pPr>
              <w:pStyle w:val="13"/>
              <w:spacing w:line="360" w:lineRule="auto"/>
              <w:ind w:firstLine="0" w:firstLineChars="0"/>
              <w:jc w:val="center"/>
              <w:rPr>
                <w:rFonts w:hint="eastAsia" w:ascii="宋体" w:hAnsi="宋体" w:eastAsia="宋体" w:cs="宋体"/>
                <w:kern w:val="2"/>
                <w:sz w:val="21"/>
                <w:szCs w:val="21"/>
              </w:rPr>
            </w:pPr>
          </w:p>
        </w:tc>
      </w:tr>
    </w:tbl>
    <w:p w14:paraId="4D92DC47">
      <w:pPr>
        <w:pStyle w:val="13"/>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注：</w:t>
      </w:r>
    </w:p>
    <w:p w14:paraId="647C063F">
      <w:pPr>
        <w:pStyle w:val="13"/>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1. 说明：应对照谈判文件“第三章 采购需求”中的技术要求逐条实质性响应，并作出偏离说明。</w:t>
      </w:r>
    </w:p>
    <w:p w14:paraId="4FC74D7E">
      <w:pPr>
        <w:pStyle w:val="13"/>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2.供应商应根据竞标设备的性能指标，对照谈判文件要求，在“偏离说明”中注明“正偏离”、“负偏离”或者“无偏离”。既不属于“正偏离”也不属于“负偏离”即为“无偏离”。</w:t>
      </w:r>
    </w:p>
    <w:p w14:paraId="27A93589">
      <w:pPr>
        <w:pStyle w:val="13"/>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3.供应商认为其竞标响应有正偏离的，请在技术要求偏离表中列明，且在响应文件中提供竞标产品的彩页或国家认可有资质的第三方检测机构出具的检测报告复印件或产品生产厂家出具的技术参数说明证明作为佐证，以上佐证材料均需加盖生产厂家或代理商（附生产厂家授权资料）公章。</w:t>
      </w:r>
    </w:p>
    <w:p w14:paraId="5F18F948">
      <w:pPr>
        <w:pStyle w:val="13"/>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4. 如技术要求偏离表中的竞标响应与佐证材料不一致的，以佐证材料为准。</w:t>
      </w:r>
    </w:p>
    <w:p w14:paraId="65253649">
      <w:pPr>
        <w:spacing w:line="360" w:lineRule="auto"/>
        <w:jc w:val="left"/>
        <w:rPr>
          <w:rFonts w:hint="eastAsia" w:ascii="宋体" w:hAnsi="宋体" w:cs="宋体"/>
          <w:kern w:val="0"/>
          <w:szCs w:val="21"/>
        </w:rPr>
      </w:pPr>
      <w:r>
        <w:rPr>
          <w:rFonts w:hint="eastAsia" w:ascii="宋体" w:hAnsi="宋体" w:cs="宋体"/>
          <w:szCs w:val="21"/>
        </w:rPr>
        <w:t>5.</w:t>
      </w:r>
      <w:r>
        <w:rPr>
          <w:rFonts w:hint="eastAsia" w:ascii="宋体" w:hAnsi="宋体" w:cs="宋体"/>
          <w:kern w:val="0"/>
          <w:szCs w:val="21"/>
        </w:rPr>
        <w:t>不按照要求填写响应内容的或者仅填写“满足或者响应”的，均按无效竞标处理。</w:t>
      </w:r>
    </w:p>
    <w:p w14:paraId="4F4E41DA">
      <w:pPr>
        <w:pStyle w:val="13"/>
        <w:spacing w:line="360" w:lineRule="auto"/>
        <w:ind w:firstLine="0" w:firstLineChars="0"/>
        <w:rPr>
          <w:rFonts w:hint="eastAsia" w:ascii="宋体" w:hAnsi="宋体" w:eastAsia="宋体" w:cs="宋体"/>
          <w:sz w:val="21"/>
          <w:szCs w:val="21"/>
        </w:rPr>
      </w:pPr>
    </w:p>
    <w:p w14:paraId="66D15FEA">
      <w:pPr>
        <w:spacing w:line="360" w:lineRule="auto"/>
        <w:ind w:right="-817" w:rightChars="-389"/>
        <w:contextualSpacing/>
        <w:rPr>
          <w:rFonts w:hint="eastAsia" w:ascii="宋体" w:hAnsi="宋体" w:cs="宋体"/>
          <w:szCs w:val="21"/>
        </w:rPr>
      </w:pPr>
    </w:p>
    <w:p w14:paraId="20EACA8D">
      <w:pPr>
        <w:spacing w:line="360" w:lineRule="auto"/>
        <w:ind w:right="-817" w:rightChars="-389"/>
        <w:contextualSpacing/>
        <w:jc w:val="center"/>
        <w:rPr>
          <w:rFonts w:hint="eastAsia" w:ascii="宋体" w:hAnsi="宋体" w:cs="宋体"/>
          <w:szCs w:val="21"/>
        </w:rPr>
      </w:pPr>
      <w:r>
        <w:rPr>
          <w:rFonts w:hint="eastAsia" w:ascii="宋体" w:hAnsi="宋体" w:cs="宋体"/>
          <w:szCs w:val="21"/>
        </w:rPr>
        <w:t>法定代表人或者委托代理人（签字或者电子签名）：</w:t>
      </w:r>
    </w:p>
    <w:p w14:paraId="44591083">
      <w:pPr>
        <w:spacing w:line="360" w:lineRule="auto"/>
        <w:ind w:right="-817" w:rightChars="-389" w:firstLine="2520" w:firstLineChars="1200"/>
        <w:contextualSpacing/>
        <w:rPr>
          <w:rFonts w:hint="eastAsia" w:ascii="宋体" w:hAnsi="宋体" w:cs="宋体"/>
          <w:szCs w:val="21"/>
        </w:rPr>
      </w:pPr>
      <w:r>
        <w:rPr>
          <w:rFonts w:hint="eastAsia" w:ascii="宋体" w:hAnsi="宋体" w:cs="宋体"/>
          <w:szCs w:val="21"/>
        </w:rPr>
        <w:t xml:space="preserve">供应商（电子签章）：      </w:t>
      </w:r>
    </w:p>
    <w:p w14:paraId="313DE0AA">
      <w:pPr>
        <w:spacing w:line="360" w:lineRule="auto"/>
        <w:ind w:right="-817" w:rightChars="-389" w:firstLine="2520" w:firstLineChars="1200"/>
        <w:contextualSpacing/>
        <w:rPr>
          <w:rFonts w:hint="eastAsia" w:ascii="宋体" w:hAnsi="宋体" w:cs="宋体"/>
          <w:szCs w:val="21"/>
        </w:rPr>
      </w:pPr>
      <w:r>
        <w:rPr>
          <w:rFonts w:hint="eastAsia" w:ascii="宋体" w:hAnsi="宋体" w:cs="宋体"/>
          <w:szCs w:val="21"/>
        </w:rPr>
        <w:t>日期：   年   月   日</w:t>
      </w:r>
    </w:p>
    <w:p w14:paraId="6CD35268">
      <w:pPr>
        <w:spacing w:line="300" w:lineRule="auto"/>
        <w:rPr>
          <w:rFonts w:hint="eastAsia" w:ascii="宋体" w:hAnsi="宋体" w:cs="宋体"/>
          <w:b/>
          <w:bCs/>
          <w:sz w:val="24"/>
        </w:rPr>
        <w:sectPr>
          <w:footerReference r:id="rId10" w:type="first"/>
          <w:pgSz w:w="11910" w:h="16840"/>
          <w:pgMar w:top="1340" w:right="1500" w:bottom="1338" w:left="1502" w:header="720" w:footer="720" w:gutter="0"/>
          <w:cols w:space="720" w:num="1"/>
        </w:sectPr>
      </w:pPr>
    </w:p>
    <w:p w14:paraId="665789E1">
      <w:pPr>
        <w:widowControl/>
        <w:spacing w:before="260" w:after="260" w:line="415" w:lineRule="auto"/>
        <w:jc w:val="center"/>
        <w:rPr>
          <w:rFonts w:hint="eastAsia" w:ascii="宋体" w:hAnsi="宋体" w:cs="宋体"/>
          <w:kern w:val="56"/>
          <w:sz w:val="32"/>
          <w:szCs w:val="32"/>
        </w:rPr>
      </w:pPr>
      <w:r>
        <w:rPr>
          <w:rFonts w:hint="eastAsia" w:ascii="宋体" w:hAnsi="宋体" w:cs="宋体"/>
          <w:b/>
          <w:sz w:val="32"/>
          <w:szCs w:val="32"/>
        </w:rPr>
        <w:t>农民工工资保证金承诺书（适用于B分标）</w:t>
      </w:r>
    </w:p>
    <w:p w14:paraId="59976307">
      <w:pPr>
        <w:spacing w:line="400" w:lineRule="exact"/>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（采购人名称）</w:t>
      </w:r>
    </w:p>
    <w:p w14:paraId="2D827F30">
      <w:pPr>
        <w:spacing w:line="360" w:lineRule="auto"/>
        <w:rPr>
          <w:rFonts w:hint="eastAsia" w:ascii="宋体" w:hAnsi="宋体" w:cs="宋体"/>
          <w:szCs w:val="21"/>
        </w:rPr>
      </w:pPr>
      <w:r>
        <w:rPr>
          <w:rFonts w:hint="eastAsia" w:ascii="仿宋" w:hAnsi="仿宋" w:eastAsia="仿宋" w:cs="仿宋"/>
          <w:szCs w:val="21"/>
        </w:rPr>
        <w:t xml:space="preserve">    </w:t>
      </w:r>
      <w:r>
        <w:rPr>
          <w:rFonts w:hint="eastAsia" w:ascii="宋体" w:hAnsi="宋体" w:cs="宋体"/>
          <w:szCs w:val="21"/>
        </w:rPr>
        <w:t>根据</w:t>
      </w:r>
      <w:r>
        <w:rPr>
          <w:rFonts w:hint="eastAsia" w:ascii="宋体" w:hAnsi="宋体" w:cs="宋体"/>
        </w:rPr>
        <w:t>《广西壮族自治区人力资源和社会保障厅等8部门关于印发广西壮族自治区工程建设领域农民工工资专用账户管理暂行办法实施细则的通知》（桂人社规〔2022〕5号）有关规定执行</w:t>
      </w:r>
      <w:r>
        <w:rPr>
          <w:rFonts w:hint="eastAsia" w:ascii="宋体" w:hAnsi="宋体" w:cs="宋体"/>
          <w:szCs w:val="21"/>
        </w:rPr>
        <w:t>，我方在此向 采购人承诺：</w:t>
      </w:r>
    </w:p>
    <w:p w14:paraId="70C40803">
      <w:pPr>
        <w:spacing w:line="360" w:lineRule="auto"/>
        <w:ind w:firstLine="420" w:firstLineChars="200"/>
        <w:rPr>
          <w:rFonts w:hint="eastAsia" w:ascii="宋体" w:hAnsi="宋体" w:cs="宋体"/>
          <w:szCs w:val="21"/>
        </w:rPr>
      </w:pPr>
      <w:r>
        <w:rPr>
          <w:rFonts w:hint="eastAsia" w:ascii="宋体" w:hAnsi="宋体" w:cs="宋体"/>
          <w:szCs w:val="21"/>
        </w:rPr>
        <w:t>1.我方在以前所承建工程中均按时足额支付工资，在截止谈判之日止不存在拖欠或克扣农民工工资的行为。</w:t>
      </w:r>
    </w:p>
    <w:p w14:paraId="7CF3687B">
      <w:pPr>
        <w:spacing w:line="360" w:lineRule="auto"/>
        <w:ind w:firstLine="420" w:firstLineChars="200"/>
        <w:rPr>
          <w:rFonts w:hint="eastAsia" w:ascii="宋体" w:hAnsi="宋体" w:cs="宋体"/>
          <w:szCs w:val="21"/>
        </w:rPr>
      </w:pPr>
      <w:r>
        <w:rPr>
          <w:rFonts w:hint="eastAsia" w:ascii="宋体" w:hAnsi="宋体" w:cs="宋体"/>
          <w:szCs w:val="21"/>
        </w:rPr>
        <w:t>2.我方参与的</w:t>
      </w:r>
      <w:r>
        <w:rPr>
          <w:rFonts w:hint="eastAsia" w:ascii="宋体" w:hAnsi="宋体" w:cs="宋体"/>
          <w:szCs w:val="21"/>
        </w:rPr>
        <w:tab/>
      </w:r>
      <w:r>
        <w:rPr>
          <w:rFonts w:hint="eastAsia" w:ascii="宋体" w:hAnsi="宋体" w:cs="宋体"/>
          <w:szCs w:val="21"/>
          <w:u w:val="single"/>
        </w:rPr>
        <w:t>（工程名称）</w:t>
      </w:r>
      <w:r>
        <w:rPr>
          <w:rFonts w:hint="eastAsia" w:ascii="宋体" w:hAnsi="宋体" w:cs="宋体"/>
          <w:szCs w:val="21"/>
          <w:u w:val="single"/>
        </w:rPr>
        <w:tab/>
      </w:r>
      <w:r>
        <w:rPr>
          <w:rFonts w:hint="eastAsia" w:ascii="宋体" w:hAnsi="宋体" w:cs="宋体"/>
          <w:szCs w:val="21"/>
        </w:rPr>
        <w:t>项目，一旦中标，我方保证</w:t>
      </w:r>
      <w:r>
        <w:rPr>
          <w:rFonts w:hint="eastAsia" w:ascii="宋体" w:hAnsi="宋体" w:cs="宋体"/>
        </w:rPr>
        <w:t>《广西壮族自治区人力资源和社会保障厅等8部门关于印发广西壮族自治区工程建设领域农民工工资专用账户管理暂行办法实施细则的通知》（桂人社规〔2022〕5号）</w:t>
      </w:r>
      <w:r>
        <w:rPr>
          <w:rFonts w:hint="eastAsia" w:ascii="宋体" w:hAnsi="宋体" w:cs="宋体"/>
          <w:szCs w:val="21"/>
        </w:rPr>
        <w:t>文件规定农民工工资能够及时、足额支付到农民工本人的银行账户。</w:t>
      </w:r>
    </w:p>
    <w:p w14:paraId="011EF681">
      <w:pPr>
        <w:spacing w:line="360" w:lineRule="auto"/>
        <w:ind w:firstLine="420" w:firstLineChars="200"/>
        <w:rPr>
          <w:rFonts w:hint="eastAsia" w:ascii="宋体" w:hAnsi="宋体" w:cs="宋体"/>
          <w:szCs w:val="21"/>
        </w:rPr>
      </w:pPr>
      <w:r>
        <w:rPr>
          <w:rFonts w:hint="eastAsia" w:ascii="宋体" w:hAnsi="宋体" w:cs="宋体"/>
          <w:szCs w:val="21"/>
        </w:rPr>
        <w:t>3.如我方不按规定执行，发包人有权取消我方承包资格。</w:t>
      </w:r>
    </w:p>
    <w:p w14:paraId="6B78C5E9">
      <w:pPr>
        <w:spacing w:line="360" w:lineRule="auto"/>
        <w:ind w:firstLine="3255" w:firstLineChars="1550"/>
        <w:rPr>
          <w:rFonts w:hint="eastAsia" w:ascii="宋体" w:hAnsi="宋体" w:cs="宋体"/>
          <w:szCs w:val="21"/>
        </w:rPr>
      </w:pPr>
    </w:p>
    <w:p w14:paraId="7A2D9655">
      <w:pPr>
        <w:spacing w:line="360" w:lineRule="auto"/>
        <w:ind w:firstLine="3255" w:firstLineChars="1550"/>
        <w:rPr>
          <w:rFonts w:hint="eastAsia" w:ascii="宋体" w:hAnsi="宋体" w:cs="宋体"/>
          <w:szCs w:val="21"/>
        </w:rPr>
      </w:pPr>
    </w:p>
    <w:p w14:paraId="244E2942">
      <w:pPr>
        <w:spacing w:line="360" w:lineRule="auto"/>
        <w:ind w:firstLine="3255" w:firstLineChars="1550"/>
        <w:rPr>
          <w:rFonts w:hint="eastAsia" w:ascii="宋体" w:hAnsi="宋体" w:cs="宋体"/>
          <w:szCs w:val="21"/>
        </w:rPr>
      </w:pPr>
    </w:p>
    <w:p w14:paraId="61D6CEA0">
      <w:pPr>
        <w:spacing w:line="360" w:lineRule="auto"/>
        <w:ind w:firstLine="2520" w:firstLineChars="1200"/>
        <w:rPr>
          <w:rFonts w:hint="eastAsia" w:ascii="宋体" w:hAnsi="宋体" w:cs="宋体"/>
          <w:szCs w:val="21"/>
          <w:u w:val="single"/>
        </w:rPr>
      </w:pPr>
      <w:r>
        <w:rPr>
          <w:rFonts w:hint="eastAsia" w:ascii="宋体" w:hAnsi="宋体" w:cs="宋体"/>
          <w:szCs w:val="21"/>
        </w:rPr>
        <w:t>供应商：（盖公章）</w:t>
      </w:r>
      <w:r>
        <w:rPr>
          <w:rFonts w:hint="eastAsia" w:ascii="宋体" w:hAnsi="宋体" w:cs="宋体"/>
          <w:szCs w:val="21"/>
          <w:u w:val="single"/>
        </w:rPr>
        <w:t xml:space="preserve">                        </w:t>
      </w:r>
    </w:p>
    <w:p w14:paraId="1685E542">
      <w:pPr>
        <w:spacing w:line="360" w:lineRule="auto"/>
        <w:ind w:firstLine="2520" w:firstLineChars="1200"/>
        <w:rPr>
          <w:rFonts w:hint="eastAsia" w:ascii="宋体" w:hAnsi="宋体" w:cs="宋体"/>
          <w:szCs w:val="21"/>
          <w:u w:val="single"/>
        </w:rPr>
      </w:pPr>
      <w:r>
        <w:rPr>
          <w:rFonts w:hint="eastAsia" w:ascii="宋体" w:hAnsi="宋体" w:cs="宋体"/>
          <w:szCs w:val="21"/>
        </w:rPr>
        <w:t>法定代表人（负责人）：（签字或者电子签名）</w:t>
      </w:r>
      <w:r>
        <w:rPr>
          <w:rFonts w:hint="eastAsia" w:ascii="宋体" w:hAnsi="宋体" w:cs="宋体"/>
          <w:szCs w:val="21"/>
          <w:u w:val="single"/>
        </w:rPr>
        <w:t xml:space="preserve">                </w:t>
      </w:r>
    </w:p>
    <w:p w14:paraId="2E2F139E">
      <w:pPr>
        <w:spacing w:line="360" w:lineRule="auto"/>
        <w:ind w:firstLine="2520" w:firstLineChars="1200"/>
        <w:rPr>
          <w:rFonts w:hint="eastAsia" w:ascii="宋体" w:hAnsi="宋体" w:cs="宋体"/>
          <w:b/>
          <w:sz w:val="32"/>
          <w:szCs w:val="3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36FDFEC">
      <w:pPr>
        <w:adjustRightInd w:val="0"/>
        <w:snapToGrid w:val="0"/>
        <w:spacing w:line="520" w:lineRule="exact"/>
        <w:ind w:firstLine="7040" w:firstLineChars="1600"/>
        <w:jc w:val="center"/>
        <w:rPr>
          <w:rFonts w:hint="eastAsia" w:ascii="宋体" w:hAnsi="宋体" w:cs="宋体"/>
          <w:bCs/>
          <w:sz w:val="44"/>
          <w:szCs w:val="44"/>
        </w:rPr>
      </w:pPr>
    </w:p>
    <w:p w14:paraId="3D7705BE">
      <w:pPr>
        <w:adjustRightInd w:val="0"/>
        <w:snapToGrid w:val="0"/>
        <w:spacing w:line="520" w:lineRule="exact"/>
        <w:ind w:firstLine="7040" w:firstLineChars="1600"/>
        <w:jc w:val="center"/>
        <w:rPr>
          <w:rFonts w:hint="eastAsia" w:ascii="宋体" w:hAnsi="宋体" w:cs="宋体"/>
          <w:bCs/>
          <w:sz w:val="44"/>
          <w:szCs w:val="44"/>
        </w:rPr>
      </w:pPr>
    </w:p>
    <w:p w14:paraId="4DDE4A26">
      <w:pPr>
        <w:adjustRightInd w:val="0"/>
        <w:snapToGrid w:val="0"/>
        <w:spacing w:line="520" w:lineRule="exact"/>
        <w:ind w:firstLine="7040" w:firstLineChars="1600"/>
        <w:jc w:val="center"/>
        <w:rPr>
          <w:rFonts w:hint="eastAsia" w:ascii="宋体" w:hAnsi="宋体" w:cs="宋体"/>
          <w:bCs/>
          <w:sz w:val="44"/>
          <w:szCs w:val="44"/>
        </w:rPr>
      </w:pPr>
    </w:p>
    <w:p w14:paraId="572AA7EC">
      <w:pPr>
        <w:adjustRightInd w:val="0"/>
        <w:snapToGrid w:val="0"/>
        <w:spacing w:line="520" w:lineRule="exact"/>
        <w:ind w:firstLine="7040" w:firstLineChars="1600"/>
        <w:jc w:val="center"/>
        <w:rPr>
          <w:rFonts w:hint="eastAsia" w:ascii="宋体" w:hAnsi="宋体" w:cs="宋体"/>
          <w:bCs/>
          <w:sz w:val="44"/>
          <w:szCs w:val="44"/>
        </w:rPr>
      </w:pPr>
    </w:p>
    <w:p w14:paraId="4EB4241C">
      <w:pPr>
        <w:adjustRightInd w:val="0"/>
        <w:snapToGrid w:val="0"/>
        <w:spacing w:line="520" w:lineRule="exact"/>
        <w:rPr>
          <w:rFonts w:hint="eastAsia" w:ascii="宋体" w:hAnsi="宋体" w:cs="宋体"/>
          <w:szCs w:val="21"/>
          <w:u w:val="single"/>
        </w:rPr>
      </w:pPr>
    </w:p>
    <w:p w14:paraId="6DF2AAFF">
      <w:pPr>
        <w:pStyle w:val="5"/>
        <w:jc w:val="center"/>
        <w:rPr>
          <w:rFonts w:hint="eastAsia" w:ascii="宋体" w:hAnsi="宋体" w:eastAsia="宋体"/>
          <w:bCs w:val="0"/>
          <w:sz w:val="32"/>
        </w:rPr>
      </w:pPr>
      <w:r>
        <w:rPr>
          <w:rFonts w:hint="eastAsia" w:ascii="宋体" w:hAnsi="宋体"/>
          <w:bCs w:val="0"/>
          <w:sz w:val="44"/>
          <w:szCs w:val="44"/>
        </w:rPr>
        <w:br w:type="page"/>
      </w:r>
      <w:bookmarkStart w:id="89" w:name="_Toc28474"/>
      <w:bookmarkStart w:id="90" w:name="_Toc107326206"/>
      <w:bookmarkStart w:id="91" w:name="_Toc24575"/>
      <w:bookmarkStart w:id="92" w:name="_Toc19267"/>
      <w:bookmarkStart w:id="93" w:name="_Toc24030"/>
      <w:bookmarkStart w:id="94" w:name="_Toc31872"/>
      <w:bookmarkStart w:id="95" w:name="_Toc28346"/>
      <w:bookmarkStart w:id="96" w:name="_Toc8040"/>
      <w:r>
        <w:rPr>
          <w:rFonts w:hint="eastAsia" w:ascii="宋体" w:hAnsi="宋体" w:eastAsia="宋体"/>
          <w:bCs w:val="0"/>
          <w:sz w:val="32"/>
        </w:rPr>
        <w:t>项目管理机构配备情况表</w:t>
      </w:r>
      <w:bookmarkEnd w:id="89"/>
      <w:bookmarkEnd w:id="90"/>
      <w:bookmarkEnd w:id="91"/>
      <w:bookmarkEnd w:id="92"/>
      <w:bookmarkEnd w:id="93"/>
      <w:bookmarkEnd w:id="94"/>
      <w:bookmarkEnd w:id="95"/>
      <w:r>
        <w:rPr>
          <w:rFonts w:hint="eastAsia" w:ascii="宋体" w:hAnsi="宋体" w:eastAsia="宋体"/>
          <w:bCs w:val="0"/>
          <w:sz w:val="32"/>
        </w:rPr>
        <w:t>（适用于B分标）</w:t>
      </w:r>
      <w:bookmarkEnd w:id="96"/>
    </w:p>
    <w:p w14:paraId="2C4D8642">
      <w:pPr>
        <w:rPr>
          <w:rFonts w:hint="eastAsia" w:ascii="宋体" w:hAnsi="宋体" w:cs="宋体"/>
          <w:b/>
          <w:sz w:val="32"/>
          <w:szCs w:val="32"/>
        </w:rPr>
      </w:pPr>
    </w:p>
    <w:p w14:paraId="13195A0D">
      <w:pPr>
        <w:rPr>
          <w:rFonts w:hint="eastAsia" w:ascii="宋体" w:hAnsi="宋体" w:cs="宋体"/>
          <w:b/>
          <w:sz w:val="32"/>
          <w:szCs w:val="32"/>
        </w:rPr>
      </w:pPr>
    </w:p>
    <w:p w14:paraId="1C5ED0BA">
      <w:pPr>
        <w:rPr>
          <w:rFonts w:hint="eastAsia" w:ascii="宋体" w:hAnsi="宋体" w:cs="宋体"/>
          <w:b/>
          <w:sz w:val="32"/>
          <w:szCs w:val="32"/>
        </w:rPr>
      </w:pPr>
    </w:p>
    <w:tbl>
      <w:tblPr>
        <w:tblStyle w:val="29"/>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1169"/>
        <w:gridCol w:w="1488"/>
        <w:gridCol w:w="1488"/>
        <w:gridCol w:w="1488"/>
        <w:gridCol w:w="1532"/>
      </w:tblGrid>
      <w:tr w14:paraId="5F68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1101" w:type="dxa"/>
            <w:vMerge w:val="restart"/>
            <w:vAlign w:val="center"/>
          </w:tcPr>
          <w:p w14:paraId="21133646">
            <w:pPr>
              <w:spacing w:after="50" w:line="400" w:lineRule="exact"/>
              <w:jc w:val="center"/>
              <w:rPr>
                <w:rFonts w:hint="eastAsia" w:ascii="宋体" w:hAnsi="宋体" w:cs="宋体"/>
              </w:rPr>
            </w:pPr>
            <w:r>
              <w:rPr>
                <w:rFonts w:hint="eastAsia" w:ascii="宋体" w:hAnsi="宋体" w:cs="宋体"/>
                <w:sz w:val="24"/>
              </w:rPr>
              <w:t xml:space="preserve">  </w:t>
            </w:r>
            <w:r>
              <w:rPr>
                <w:rFonts w:hint="eastAsia" w:ascii="宋体" w:hAnsi="宋体" w:cs="宋体"/>
              </w:rPr>
              <w:t>职务</w:t>
            </w:r>
          </w:p>
        </w:tc>
        <w:tc>
          <w:tcPr>
            <w:tcW w:w="1134" w:type="dxa"/>
            <w:vMerge w:val="restart"/>
            <w:vAlign w:val="center"/>
          </w:tcPr>
          <w:p w14:paraId="653B5650">
            <w:pPr>
              <w:spacing w:after="50" w:line="400" w:lineRule="exact"/>
              <w:jc w:val="center"/>
              <w:rPr>
                <w:rFonts w:hint="eastAsia" w:ascii="宋体" w:hAnsi="宋体" w:cs="宋体"/>
              </w:rPr>
            </w:pPr>
            <w:r>
              <w:rPr>
                <w:rFonts w:hint="eastAsia" w:ascii="宋体" w:hAnsi="宋体" w:cs="宋体"/>
              </w:rPr>
              <w:t>姓名</w:t>
            </w:r>
          </w:p>
        </w:tc>
        <w:tc>
          <w:tcPr>
            <w:tcW w:w="1169" w:type="dxa"/>
            <w:vMerge w:val="restart"/>
            <w:vAlign w:val="center"/>
          </w:tcPr>
          <w:p w14:paraId="1AD3452F">
            <w:pPr>
              <w:spacing w:after="50" w:line="400" w:lineRule="exact"/>
              <w:jc w:val="center"/>
              <w:rPr>
                <w:rFonts w:hint="eastAsia" w:ascii="宋体" w:hAnsi="宋体" w:cs="宋体"/>
              </w:rPr>
            </w:pPr>
            <w:r>
              <w:rPr>
                <w:rFonts w:hint="eastAsia" w:ascii="宋体" w:hAnsi="宋体" w:cs="宋体"/>
              </w:rPr>
              <w:t>职称</w:t>
            </w:r>
          </w:p>
        </w:tc>
        <w:tc>
          <w:tcPr>
            <w:tcW w:w="5996" w:type="dxa"/>
            <w:gridSpan w:val="4"/>
            <w:vAlign w:val="center"/>
          </w:tcPr>
          <w:p w14:paraId="4B49682B">
            <w:pPr>
              <w:spacing w:after="50" w:line="400" w:lineRule="exact"/>
              <w:jc w:val="center"/>
              <w:rPr>
                <w:rFonts w:hint="eastAsia" w:ascii="宋体" w:hAnsi="宋体" w:cs="宋体"/>
              </w:rPr>
            </w:pPr>
            <w:r>
              <w:rPr>
                <w:rFonts w:hint="eastAsia" w:ascii="宋体" w:hAnsi="宋体" w:cs="宋体"/>
              </w:rPr>
              <w:t>执业或职业资格证明</w:t>
            </w:r>
          </w:p>
        </w:tc>
      </w:tr>
      <w:tr w14:paraId="6C48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1101" w:type="dxa"/>
            <w:vMerge w:val="continue"/>
            <w:vAlign w:val="center"/>
          </w:tcPr>
          <w:p w14:paraId="39326123">
            <w:pPr>
              <w:spacing w:after="50" w:line="400" w:lineRule="exact"/>
              <w:jc w:val="center"/>
              <w:rPr>
                <w:rFonts w:hint="eastAsia" w:ascii="宋体" w:hAnsi="宋体" w:cs="宋体"/>
              </w:rPr>
            </w:pPr>
          </w:p>
        </w:tc>
        <w:tc>
          <w:tcPr>
            <w:tcW w:w="1134" w:type="dxa"/>
            <w:vMerge w:val="continue"/>
            <w:vAlign w:val="center"/>
          </w:tcPr>
          <w:p w14:paraId="349E78F9">
            <w:pPr>
              <w:spacing w:after="50" w:line="400" w:lineRule="exact"/>
              <w:jc w:val="center"/>
              <w:rPr>
                <w:rFonts w:hint="eastAsia" w:ascii="宋体" w:hAnsi="宋体" w:cs="宋体"/>
              </w:rPr>
            </w:pPr>
          </w:p>
        </w:tc>
        <w:tc>
          <w:tcPr>
            <w:tcW w:w="1169" w:type="dxa"/>
            <w:vMerge w:val="continue"/>
            <w:vAlign w:val="center"/>
          </w:tcPr>
          <w:p w14:paraId="28FC5D4D">
            <w:pPr>
              <w:spacing w:after="50" w:line="400" w:lineRule="exact"/>
              <w:jc w:val="center"/>
              <w:rPr>
                <w:rFonts w:hint="eastAsia" w:ascii="宋体" w:hAnsi="宋体" w:cs="宋体"/>
              </w:rPr>
            </w:pPr>
          </w:p>
        </w:tc>
        <w:tc>
          <w:tcPr>
            <w:tcW w:w="1488" w:type="dxa"/>
            <w:vAlign w:val="center"/>
          </w:tcPr>
          <w:p w14:paraId="309D9969">
            <w:pPr>
              <w:spacing w:after="50" w:line="400" w:lineRule="exact"/>
              <w:jc w:val="center"/>
              <w:rPr>
                <w:rFonts w:hint="eastAsia" w:ascii="宋体" w:hAnsi="宋体" w:cs="宋体"/>
              </w:rPr>
            </w:pPr>
            <w:r>
              <w:rPr>
                <w:rFonts w:hint="eastAsia" w:ascii="宋体" w:hAnsi="宋体" w:cs="宋体"/>
              </w:rPr>
              <w:t>证书名称</w:t>
            </w:r>
          </w:p>
        </w:tc>
        <w:tc>
          <w:tcPr>
            <w:tcW w:w="1488" w:type="dxa"/>
            <w:vAlign w:val="center"/>
          </w:tcPr>
          <w:p w14:paraId="7EB7AB04">
            <w:pPr>
              <w:spacing w:after="50" w:line="400" w:lineRule="exact"/>
              <w:jc w:val="center"/>
              <w:rPr>
                <w:rFonts w:hint="eastAsia" w:ascii="宋体" w:hAnsi="宋体" w:cs="宋体"/>
              </w:rPr>
            </w:pPr>
            <w:r>
              <w:rPr>
                <w:rFonts w:hint="eastAsia" w:ascii="宋体" w:hAnsi="宋体" w:cs="宋体"/>
              </w:rPr>
              <w:t>级别</w:t>
            </w:r>
          </w:p>
        </w:tc>
        <w:tc>
          <w:tcPr>
            <w:tcW w:w="1488" w:type="dxa"/>
            <w:vAlign w:val="center"/>
          </w:tcPr>
          <w:p w14:paraId="50511D9F">
            <w:pPr>
              <w:spacing w:after="50" w:line="400" w:lineRule="exact"/>
              <w:jc w:val="center"/>
              <w:rPr>
                <w:rFonts w:hint="eastAsia" w:ascii="宋体" w:hAnsi="宋体" w:cs="宋体"/>
              </w:rPr>
            </w:pPr>
            <w:r>
              <w:rPr>
                <w:rFonts w:hint="eastAsia" w:ascii="宋体" w:hAnsi="宋体" w:cs="宋体"/>
              </w:rPr>
              <w:t>证号</w:t>
            </w:r>
          </w:p>
        </w:tc>
        <w:tc>
          <w:tcPr>
            <w:tcW w:w="1532" w:type="dxa"/>
            <w:vAlign w:val="center"/>
          </w:tcPr>
          <w:p w14:paraId="13499FC3">
            <w:pPr>
              <w:spacing w:after="50" w:line="400" w:lineRule="exact"/>
              <w:jc w:val="center"/>
              <w:rPr>
                <w:rFonts w:hint="eastAsia" w:ascii="宋体" w:hAnsi="宋体" w:cs="宋体"/>
              </w:rPr>
            </w:pPr>
            <w:r>
              <w:rPr>
                <w:rFonts w:hint="eastAsia" w:ascii="宋体" w:hAnsi="宋体" w:cs="宋体"/>
              </w:rPr>
              <w:t>专业</w:t>
            </w:r>
          </w:p>
        </w:tc>
      </w:tr>
      <w:tr w14:paraId="7DA7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101" w:type="dxa"/>
          </w:tcPr>
          <w:p w14:paraId="7154EA5D">
            <w:pPr>
              <w:spacing w:after="50" w:line="400" w:lineRule="exact"/>
              <w:rPr>
                <w:rFonts w:hint="eastAsia" w:ascii="宋体" w:hAnsi="宋体" w:cs="宋体"/>
              </w:rPr>
            </w:pPr>
          </w:p>
        </w:tc>
        <w:tc>
          <w:tcPr>
            <w:tcW w:w="1134" w:type="dxa"/>
          </w:tcPr>
          <w:p w14:paraId="5D3A1035">
            <w:pPr>
              <w:spacing w:after="50" w:line="400" w:lineRule="exact"/>
              <w:rPr>
                <w:rFonts w:hint="eastAsia" w:ascii="宋体" w:hAnsi="宋体" w:cs="宋体"/>
              </w:rPr>
            </w:pPr>
          </w:p>
        </w:tc>
        <w:tc>
          <w:tcPr>
            <w:tcW w:w="1169" w:type="dxa"/>
          </w:tcPr>
          <w:p w14:paraId="37DC28C7">
            <w:pPr>
              <w:spacing w:after="50" w:line="400" w:lineRule="exact"/>
              <w:rPr>
                <w:rFonts w:hint="eastAsia" w:ascii="宋体" w:hAnsi="宋体" w:cs="宋体"/>
              </w:rPr>
            </w:pPr>
          </w:p>
        </w:tc>
        <w:tc>
          <w:tcPr>
            <w:tcW w:w="1488" w:type="dxa"/>
          </w:tcPr>
          <w:p w14:paraId="69575285">
            <w:pPr>
              <w:spacing w:after="50" w:line="400" w:lineRule="exact"/>
              <w:rPr>
                <w:rFonts w:hint="eastAsia" w:ascii="宋体" w:hAnsi="宋体" w:cs="宋体"/>
              </w:rPr>
            </w:pPr>
          </w:p>
        </w:tc>
        <w:tc>
          <w:tcPr>
            <w:tcW w:w="1488" w:type="dxa"/>
          </w:tcPr>
          <w:p w14:paraId="003B9596">
            <w:pPr>
              <w:spacing w:after="50" w:line="400" w:lineRule="exact"/>
              <w:rPr>
                <w:rFonts w:hint="eastAsia" w:ascii="宋体" w:hAnsi="宋体" w:cs="宋体"/>
              </w:rPr>
            </w:pPr>
          </w:p>
        </w:tc>
        <w:tc>
          <w:tcPr>
            <w:tcW w:w="1488" w:type="dxa"/>
          </w:tcPr>
          <w:p w14:paraId="42468B86">
            <w:pPr>
              <w:spacing w:after="50" w:line="400" w:lineRule="exact"/>
              <w:rPr>
                <w:rFonts w:hint="eastAsia" w:ascii="宋体" w:hAnsi="宋体" w:cs="宋体"/>
              </w:rPr>
            </w:pPr>
          </w:p>
        </w:tc>
        <w:tc>
          <w:tcPr>
            <w:tcW w:w="1532" w:type="dxa"/>
          </w:tcPr>
          <w:p w14:paraId="2925D8E8">
            <w:pPr>
              <w:spacing w:after="50" w:line="400" w:lineRule="exact"/>
              <w:rPr>
                <w:rFonts w:hint="eastAsia" w:ascii="宋体" w:hAnsi="宋体" w:cs="宋体"/>
              </w:rPr>
            </w:pPr>
          </w:p>
        </w:tc>
      </w:tr>
      <w:tr w14:paraId="7D89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101" w:type="dxa"/>
          </w:tcPr>
          <w:p w14:paraId="40458FC6">
            <w:pPr>
              <w:spacing w:after="50" w:line="400" w:lineRule="exact"/>
              <w:rPr>
                <w:rFonts w:hint="eastAsia" w:ascii="宋体" w:hAnsi="宋体" w:cs="宋体"/>
              </w:rPr>
            </w:pPr>
          </w:p>
        </w:tc>
        <w:tc>
          <w:tcPr>
            <w:tcW w:w="1134" w:type="dxa"/>
          </w:tcPr>
          <w:p w14:paraId="50800788">
            <w:pPr>
              <w:spacing w:after="50" w:line="400" w:lineRule="exact"/>
              <w:rPr>
                <w:rFonts w:hint="eastAsia" w:ascii="宋体" w:hAnsi="宋体" w:cs="宋体"/>
              </w:rPr>
            </w:pPr>
          </w:p>
        </w:tc>
        <w:tc>
          <w:tcPr>
            <w:tcW w:w="1169" w:type="dxa"/>
          </w:tcPr>
          <w:p w14:paraId="788D8A77">
            <w:pPr>
              <w:spacing w:after="50" w:line="400" w:lineRule="exact"/>
              <w:rPr>
                <w:rFonts w:hint="eastAsia" w:ascii="宋体" w:hAnsi="宋体" w:cs="宋体"/>
              </w:rPr>
            </w:pPr>
          </w:p>
        </w:tc>
        <w:tc>
          <w:tcPr>
            <w:tcW w:w="1488" w:type="dxa"/>
          </w:tcPr>
          <w:p w14:paraId="4A78E314">
            <w:pPr>
              <w:spacing w:after="50" w:line="400" w:lineRule="exact"/>
              <w:rPr>
                <w:rFonts w:hint="eastAsia" w:ascii="宋体" w:hAnsi="宋体" w:cs="宋体"/>
              </w:rPr>
            </w:pPr>
          </w:p>
        </w:tc>
        <w:tc>
          <w:tcPr>
            <w:tcW w:w="1488" w:type="dxa"/>
          </w:tcPr>
          <w:p w14:paraId="7E963267">
            <w:pPr>
              <w:spacing w:after="50" w:line="400" w:lineRule="exact"/>
              <w:rPr>
                <w:rFonts w:hint="eastAsia" w:ascii="宋体" w:hAnsi="宋体" w:cs="宋体"/>
              </w:rPr>
            </w:pPr>
          </w:p>
        </w:tc>
        <w:tc>
          <w:tcPr>
            <w:tcW w:w="1488" w:type="dxa"/>
          </w:tcPr>
          <w:p w14:paraId="1C375B0A">
            <w:pPr>
              <w:spacing w:after="50" w:line="400" w:lineRule="exact"/>
              <w:rPr>
                <w:rFonts w:hint="eastAsia" w:ascii="宋体" w:hAnsi="宋体" w:cs="宋体"/>
              </w:rPr>
            </w:pPr>
          </w:p>
        </w:tc>
        <w:tc>
          <w:tcPr>
            <w:tcW w:w="1532" w:type="dxa"/>
          </w:tcPr>
          <w:p w14:paraId="736A3259">
            <w:pPr>
              <w:spacing w:after="50" w:line="400" w:lineRule="exact"/>
              <w:rPr>
                <w:rFonts w:hint="eastAsia" w:ascii="宋体" w:hAnsi="宋体" w:cs="宋体"/>
              </w:rPr>
            </w:pPr>
          </w:p>
        </w:tc>
      </w:tr>
      <w:tr w14:paraId="6FF6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101" w:type="dxa"/>
            <w:vAlign w:val="center"/>
          </w:tcPr>
          <w:p w14:paraId="2653F9EA">
            <w:pPr>
              <w:spacing w:after="50" w:line="400" w:lineRule="exact"/>
              <w:rPr>
                <w:rFonts w:hint="eastAsia" w:ascii="宋体" w:hAnsi="宋体" w:cs="宋体"/>
              </w:rPr>
            </w:pPr>
          </w:p>
        </w:tc>
        <w:tc>
          <w:tcPr>
            <w:tcW w:w="1134" w:type="dxa"/>
          </w:tcPr>
          <w:p w14:paraId="3BC80F21">
            <w:pPr>
              <w:spacing w:after="50" w:line="400" w:lineRule="exact"/>
              <w:rPr>
                <w:rFonts w:hint="eastAsia" w:ascii="宋体" w:hAnsi="宋体" w:cs="宋体"/>
              </w:rPr>
            </w:pPr>
          </w:p>
        </w:tc>
        <w:tc>
          <w:tcPr>
            <w:tcW w:w="1169" w:type="dxa"/>
          </w:tcPr>
          <w:p w14:paraId="77012322">
            <w:pPr>
              <w:spacing w:after="50" w:line="400" w:lineRule="exact"/>
              <w:rPr>
                <w:rFonts w:hint="eastAsia" w:ascii="宋体" w:hAnsi="宋体" w:cs="宋体"/>
              </w:rPr>
            </w:pPr>
          </w:p>
        </w:tc>
        <w:tc>
          <w:tcPr>
            <w:tcW w:w="1488" w:type="dxa"/>
          </w:tcPr>
          <w:p w14:paraId="1E5863BF">
            <w:pPr>
              <w:spacing w:after="50" w:line="400" w:lineRule="exact"/>
              <w:rPr>
                <w:rFonts w:hint="eastAsia" w:ascii="宋体" w:hAnsi="宋体" w:cs="宋体"/>
              </w:rPr>
            </w:pPr>
          </w:p>
        </w:tc>
        <w:tc>
          <w:tcPr>
            <w:tcW w:w="1488" w:type="dxa"/>
          </w:tcPr>
          <w:p w14:paraId="134DC1F1">
            <w:pPr>
              <w:spacing w:after="50" w:line="400" w:lineRule="exact"/>
              <w:rPr>
                <w:rFonts w:hint="eastAsia" w:ascii="宋体" w:hAnsi="宋体" w:cs="宋体"/>
              </w:rPr>
            </w:pPr>
          </w:p>
        </w:tc>
        <w:tc>
          <w:tcPr>
            <w:tcW w:w="1488" w:type="dxa"/>
          </w:tcPr>
          <w:p w14:paraId="5BBE59FD">
            <w:pPr>
              <w:spacing w:after="50" w:line="400" w:lineRule="exact"/>
              <w:rPr>
                <w:rFonts w:hint="eastAsia" w:ascii="宋体" w:hAnsi="宋体" w:cs="宋体"/>
              </w:rPr>
            </w:pPr>
          </w:p>
        </w:tc>
        <w:tc>
          <w:tcPr>
            <w:tcW w:w="1532" w:type="dxa"/>
          </w:tcPr>
          <w:p w14:paraId="61E5143A">
            <w:pPr>
              <w:spacing w:after="50" w:line="400" w:lineRule="exact"/>
              <w:rPr>
                <w:rFonts w:hint="eastAsia" w:ascii="宋体" w:hAnsi="宋体" w:cs="宋体"/>
              </w:rPr>
            </w:pPr>
          </w:p>
        </w:tc>
      </w:tr>
      <w:tr w14:paraId="195E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101" w:type="dxa"/>
            <w:vAlign w:val="center"/>
          </w:tcPr>
          <w:p w14:paraId="248A0690">
            <w:pPr>
              <w:spacing w:after="50" w:line="400" w:lineRule="exact"/>
              <w:rPr>
                <w:rFonts w:hint="eastAsia" w:ascii="宋体" w:hAnsi="宋体" w:cs="宋体"/>
              </w:rPr>
            </w:pPr>
          </w:p>
        </w:tc>
        <w:tc>
          <w:tcPr>
            <w:tcW w:w="1134" w:type="dxa"/>
          </w:tcPr>
          <w:p w14:paraId="348FEF4A">
            <w:pPr>
              <w:spacing w:after="50" w:line="400" w:lineRule="exact"/>
              <w:rPr>
                <w:rFonts w:hint="eastAsia" w:ascii="宋体" w:hAnsi="宋体" w:cs="宋体"/>
              </w:rPr>
            </w:pPr>
          </w:p>
        </w:tc>
        <w:tc>
          <w:tcPr>
            <w:tcW w:w="1169" w:type="dxa"/>
          </w:tcPr>
          <w:p w14:paraId="5AA5128C">
            <w:pPr>
              <w:spacing w:after="50" w:line="400" w:lineRule="exact"/>
              <w:rPr>
                <w:rFonts w:hint="eastAsia" w:ascii="宋体" w:hAnsi="宋体" w:cs="宋体"/>
              </w:rPr>
            </w:pPr>
          </w:p>
        </w:tc>
        <w:tc>
          <w:tcPr>
            <w:tcW w:w="1488" w:type="dxa"/>
          </w:tcPr>
          <w:p w14:paraId="697A8BF4">
            <w:pPr>
              <w:spacing w:after="50" w:line="400" w:lineRule="exact"/>
              <w:rPr>
                <w:rFonts w:hint="eastAsia" w:ascii="宋体" w:hAnsi="宋体" w:cs="宋体"/>
              </w:rPr>
            </w:pPr>
          </w:p>
        </w:tc>
        <w:tc>
          <w:tcPr>
            <w:tcW w:w="1488" w:type="dxa"/>
          </w:tcPr>
          <w:p w14:paraId="282BCD4D">
            <w:pPr>
              <w:spacing w:after="50" w:line="400" w:lineRule="exact"/>
              <w:rPr>
                <w:rFonts w:hint="eastAsia" w:ascii="宋体" w:hAnsi="宋体" w:cs="宋体"/>
              </w:rPr>
            </w:pPr>
          </w:p>
        </w:tc>
        <w:tc>
          <w:tcPr>
            <w:tcW w:w="1488" w:type="dxa"/>
          </w:tcPr>
          <w:p w14:paraId="1EA9717B">
            <w:pPr>
              <w:spacing w:after="50" w:line="400" w:lineRule="exact"/>
              <w:rPr>
                <w:rFonts w:hint="eastAsia" w:ascii="宋体" w:hAnsi="宋体" w:cs="宋体"/>
              </w:rPr>
            </w:pPr>
          </w:p>
        </w:tc>
        <w:tc>
          <w:tcPr>
            <w:tcW w:w="1532" w:type="dxa"/>
          </w:tcPr>
          <w:p w14:paraId="343AA984">
            <w:pPr>
              <w:spacing w:after="50" w:line="400" w:lineRule="exact"/>
              <w:rPr>
                <w:rFonts w:hint="eastAsia" w:ascii="宋体" w:hAnsi="宋体" w:cs="宋体"/>
              </w:rPr>
            </w:pPr>
          </w:p>
        </w:tc>
      </w:tr>
      <w:tr w14:paraId="7942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1101" w:type="dxa"/>
            <w:vAlign w:val="center"/>
          </w:tcPr>
          <w:p w14:paraId="596138BF">
            <w:pPr>
              <w:spacing w:after="50" w:line="400" w:lineRule="exact"/>
              <w:rPr>
                <w:rFonts w:hint="eastAsia" w:ascii="宋体" w:hAnsi="宋体" w:cs="宋体"/>
              </w:rPr>
            </w:pPr>
          </w:p>
        </w:tc>
        <w:tc>
          <w:tcPr>
            <w:tcW w:w="1134" w:type="dxa"/>
          </w:tcPr>
          <w:p w14:paraId="33EB79A3">
            <w:pPr>
              <w:spacing w:after="50" w:line="400" w:lineRule="exact"/>
              <w:rPr>
                <w:rFonts w:hint="eastAsia" w:ascii="宋体" w:hAnsi="宋体" w:cs="宋体"/>
              </w:rPr>
            </w:pPr>
          </w:p>
        </w:tc>
        <w:tc>
          <w:tcPr>
            <w:tcW w:w="1169" w:type="dxa"/>
          </w:tcPr>
          <w:p w14:paraId="091147AE">
            <w:pPr>
              <w:spacing w:after="50" w:line="400" w:lineRule="exact"/>
              <w:rPr>
                <w:rFonts w:hint="eastAsia" w:ascii="宋体" w:hAnsi="宋体" w:cs="宋体"/>
              </w:rPr>
            </w:pPr>
          </w:p>
        </w:tc>
        <w:tc>
          <w:tcPr>
            <w:tcW w:w="1488" w:type="dxa"/>
          </w:tcPr>
          <w:p w14:paraId="48BD65E0">
            <w:pPr>
              <w:spacing w:after="50" w:line="400" w:lineRule="exact"/>
              <w:rPr>
                <w:rFonts w:hint="eastAsia" w:ascii="宋体" w:hAnsi="宋体" w:cs="宋体"/>
              </w:rPr>
            </w:pPr>
          </w:p>
        </w:tc>
        <w:tc>
          <w:tcPr>
            <w:tcW w:w="1488" w:type="dxa"/>
          </w:tcPr>
          <w:p w14:paraId="263375D6">
            <w:pPr>
              <w:spacing w:after="50" w:line="400" w:lineRule="exact"/>
              <w:rPr>
                <w:rFonts w:hint="eastAsia" w:ascii="宋体" w:hAnsi="宋体" w:cs="宋体"/>
              </w:rPr>
            </w:pPr>
          </w:p>
        </w:tc>
        <w:tc>
          <w:tcPr>
            <w:tcW w:w="1488" w:type="dxa"/>
          </w:tcPr>
          <w:p w14:paraId="26186822">
            <w:pPr>
              <w:spacing w:after="50" w:line="400" w:lineRule="exact"/>
              <w:rPr>
                <w:rFonts w:hint="eastAsia" w:ascii="宋体" w:hAnsi="宋体" w:cs="宋体"/>
              </w:rPr>
            </w:pPr>
          </w:p>
        </w:tc>
        <w:tc>
          <w:tcPr>
            <w:tcW w:w="1532" w:type="dxa"/>
          </w:tcPr>
          <w:p w14:paraId="2324DDD5">
            <w:pPr>
              <w:spacing w:after="50" w:line="400" w:lineRule="exact"/>
              <w:rPr>
                <w:rFonts w:hint="eastAsia" w:ascii="宋体" w:hAnsi="宋体" w:cs="宋体"/>
              </w:rPr>
            </w:pPr>
          </w:p>
        </w:tc>
      </w:tr>
      <w:tr w14:paraId="071F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1101" w:type="dxa"/>
            <w:vAlign w:val="center"/>
          </w:tcPr>
          <w:p w14:paraId="7BE11C6F">
            <w:pPr>
              <w:spacing w:after="50" w:line="400" w:lineRule="exact"/>
              <w:rPr>
                <w:rFonts w:hint="eastAsia" w:ascii="宋体" w:hAnsi="宋体" w:cs="宋体"/>
              </w:rPr>
            </w:pPr>
          </w:p>
        </w:tc>
        <w:tc>
          <w:tcPr>
            <w:tcW w:w="1134" w:type="dxa"/>
          </w:tcPr>
          <w:p w14:paraId="1D2290AB">
            <w:pPr>
              <w:spacing w:after="50" w:line="400" w:lineRule="exact"/>
              <w:rPr>
                <w:rFonts w:hint="eastAsia" w:ascii="宋体" w:hAnsi="宋体" w:cs="宋体"/>
              </w:rPr>
            </w:pPr>
          </w:p>
        </w:tc>
        <w:tc>
          <w:tcPr>
            <w:tcW w:w="1169" w:type="dxa"/>
          </w:tcPr>
          <w:p w14:paraId="77BE82A4">
            <w:pPr>
              <w:spacing w:after="50" w:line="400" w:lineRule="exact"/>
              <w:rPr>
                <w:rFonts w:hint="eastAsia" w:ascii="宋体" w:hAnsi="宋体" w:cs="宋体"/>
              </w:rPr>
            </w:pPr>
          </w:p>
        </w:tc>
        <w:tc>
          <w:tcPr>
            <w:tcW w:w="1488" w:type="dxa"/>
          </w:tcPr>
          <w:p w14:paraId="616D9A33">
            <w:pPr>
              <w:spacing w:after="50" w:line="400" w:lineRule="exact"/>
              <w:rPr>
                <w:rFonts w:hint="eastAsia" w:ascii="宋体" w:hAnsi="宋体" w:cs="宋体"/>
              </w:rPr>
            </w:pPr>
          </w:p>
        </w:tc>
        <w:tc>
          <w:tcPr>
            <w:tcW w:w="1488" w:type="dxa"/>
          </w:tcPr>
          <w:p w14:paraId="3689F34A">
            <w:pPr>
              <w:spacing w:after="50" w:line="400" w:lineRule="exact"/>
              <w:rPr>
                <w:rFonts w:hint="eastAsia" w:ascii="宋体" w:hAnsi="宋体" w:cs="宋体"/>
              </w:rPr>
            </w:pPr>
          </w:p>
        </w:tc>
        <w:tc>
          <w:tcPr>
            <w:tcW w:w="1488" w:type="dxa"/>
          </w:tcPr>
          <w:p w14:paraId="6977FD8F">
            <w:pPr>
              <w:spacing w:after="50" w:line="400" w:lineRule="exact"/>
              <w:rPr>
                <w:rFonts w:hint="eastAsia" w:ascii="宋体" w:hAnsi="宋体" w:cs="宋体"/>
              </w:rPr>
            </w:pPr>
          </w:p>
        </w:tc>
        <w:tc>
          <w:tcPr>
            <w:tcW w:w="1532" w:type="dxa"/>
          </w:tcPr>
          <w:p w14:paraId="6932B471">
            <w:pPr>
              <w:spacing w:after="50" w:line="400" w:lineRule="exact"/>
              <w:rPr>
                <w:rFonts w:hint="eastAsia" w:ascii="宋体" w:hAnsi="宋体" w:cs="宋体"/>
              </w:rPr>
            </w:pPr>
          </w:p>
        </w:tc>
      </w:tr>
      <w:tr w14:paraId="2B23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1101" w:type="dxa"/>
          </w:tcPr>
          <w:p w14:paraId="66F7078A">
            <w:pPr>
              <w:spacing w:after="50" w:line="400" w:lineRule="exact"/>
              <w:rPr>
                <w:rFonts w:hint="eastAsia" w:ascii="宋体" w:hAnsi="宋体" w:cs="宋体"/>
              </w:rPr>
            </w:pPr>
          </w:p>
        </w:tc>
        <w:tc>
          <w:tcPr>
            <w:tcW w:w="1134" w:type="dxa"/>
          </w:tcPr>
          <w:p w14:paraId="46D779F6">
            <w:pPr>
              <w:spacing w:after="50" w:line="400" w:lineRule="exact"/>
              <w:rPr>
                <w:rFonts w:hint="eastAsia" w:ascii="宋体" w:hAnsi="宋体" w:cs="宋体"/>
              </w:rPr>
            </w:pPr>
          </w:p>
        </w:tc>
        <w:tc>
          <w:tcPr>
            <w:tcW w:w="1169" w:type="dxa"/>
          </w:tcPr>
          <w:p w14:paraId="00AD7A97">
            <w:pPr>
              <w:spacing w:after="50" w:line="400" w:lineRule="exact"/>
              <w:rPr>
                <w:rFonts w:hint="eastAsia" w:ascii="宋体" w:hAnsi="宋体" w:cs="宋体"/>
              </w:rPr>
            </w:pPr>
          </w:p>
        </w:tc>
        <w:tc>
          <w:tcPr>
            <w:tcW w:w="1488" w:type="dxa"/>
          </w:tcPr>
          <w:p w14:paraId="7054D4D7">
            <w:pPr>
              <w:spacing w:after="50" w:line="400" w:lineRule="exact"/>
              <w:rPr>
                <w:rFonts w:hint="eastAsia" w:ascii="宋体" w:hAnsi="宋体" w:cs="宋体"/>
              </w:rPr>
            </w:pPr>
          </w:p>
        </w:tc>
        <w:tc>
          <w:tcPr>
            <w:tcW w:w="1488" w:type="dxa"/>
          </w:tcPr>
          <w:p w14:paraId="70936F26">
            <w:pPr>
              <w:spacing w:after="50" w:line="400" w:lineRule="exact"/>
              <w:rPr>
                <w:rFonts w:hint="eastAsia" w:ascii="宋体" w:hAnsi="宋体" w:cs="宋体"/>
              </w:rPr>
            </w:pPr>
          </w:p>
        </w:tc>
        <w:tc>
          <w:tcPr>
            <w:tcW w:w="1488" w:type="dxa"/>
          </w:tcPr>
          <w:p w14:paraId="4A9EBC15">
            <w:pPr>
              <w:spacing w:after="50" w:line="400" w:lineRule="exact"/>
              <w:rPr>
                <w:rFonts w:hint="eastAsia" w:ascii="宋体" w:hAnsi="宋体" w:cs="宋体"/>
              </w:rPr>
            </w:pPr>
          </w:p>
        </w:tc>
        <w:tc>
          <w:tcPr>
            <w:tcW w:w="1532" w:type="dxa"/>
          </w:tcPr>
          <w:p w14:paraId="2F822794">
            <w:pPr>
              <w:spacing w:after="50" w:line="400" w:lineRule="exact"/>
              <w:rPr>
                <w:rFonts w:hint="eastAsia" w:ascii="宋体" w:hAnsi="宋体" w:cs="宋体"/>
              </w:rPr>
            </w:pPr>
          </w:p>
        </w:tc>
      </w:tr>
      <w:tr w14:paraId="775D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1101" w:type="dxa"/>
          </w:tcPr>
          <w:p w14:paraId="5E1CD544">
            <w:pPr>
              <w:spacing w:after="50" w:line="400" w:lineRule="exact"/>
              <w:rPr>
                <w:rFonts w:hint="eastAsia" w:ascii="宋体" w:hAnsi="宋体" w:cs="宋体"/>
              </w:rPr>
            </w:pPr>
          </w:p>
        </w:tc>
        <w:tc>
          <w:tcPr>
            <w:tcW w:w="1134" w:type="dxa"/>
          </w:tcPr>
          <w:p w14:paraId="587E4380">
            <w:pPr>
              <w:spacing w:after="50" w:line="400" w:lineRule="exact"/>
              <w:rPr>
                <w:rFonts w:hint="eastAsia" w:ascii="宋体" w:hAnsi="宋体" w:cs="宋体"/>
              </w:rPr>
            </w:pPr>
          </w:p>
        </w:tc>
        <w:tc>
          <w:tcPr>
            <w:tcW w:w="1169" w:type="dxa"/>
          </w:tcPr>
          <w:p w14:paraId="3B378F68">
            <w:pPr>
              <w:spacing w:after="50" w:line="400" w:lineRule="exact"/>
              <w:rPr>
                <w:rFonts w:hint="eastAsia" w:ascii="宋体" w:hAnsi="宋体" w:cs="宋体"/>
              </w:rPr>
            </w:pPr>
          </w:p>
        </w:tc>
        <w:tc>
          <w:tcPr>
            <w:tcW w:w="1488" w:type="dxa"/>
          </w:tcPr>
          <w:p w14:paraId="153BFCFB">
            <w:pPr>
              <w:spacing w:after="50" w:line="400" w:lineRule="exact"/>
              <w:rPr>
                <w:rFonts w:hint="eastAsia" w:ascii="宋体" w:hAnsi="宋体" w:cs="宋体"/>
              </w:rPr>
            </w:pPr>
          </w:p>
        </w:tc>
        <w:tc>
          <w:tcPr>
            <w:tcW w:w="1488" w:type="dxa"/>
          </w:tcPr>
          <w:p w14:paraId="0F3C1624">
            <w:pPr>
              <w:spacing w:after="50" w:line="400" w:lineRule="exact"/>
              <w:rPr>
                <w:rFonts w:hint="eastAsia" w:ascii="宋体" w:hAnsi="宋体" w:cs="宋体"/>
              </w:rPr>
            </w:pPr>
          </w:p>
        </w:tc>
        <w:tc>
          <w:tcPr>
            <w:tcW w:w="1488" w:type="dxa"/>
          </w:tcPr>
          <w:p w14:paraId="0699B6E8">
            <w:pPr>
              <w:spacing w:after="50" w:line="400" w:lineRule="exact"/>
              <w:rPr>
                <w:rFonts w:hint="eastAsia" w:ascii="宋体" w:hAnsi="宋体" w:cs="宋体"/>
              </w:rPr>
            </w:pPr>
          </w:p>
        </w:tc>
        <w:tc>
          <w:tcPr>
            <w:tcW w:w="1532" w:type="dxa"/>
          </w:tcPr>
          <w:p w14:paraId="7FEB8910">
            <w:pPr>
              <w:spacing w:after="50" w:line="400" w:lineRule="exact"/>
              <w:rPr>
                <w:rFonts w:hint="eastAsia" w:ascii="宋体" w:hAnsi="宋体" w:cs="宋体"/>
              </w:rPr>
            </w:pPr>
          </w:p>
        </w:tc>
      </w:tr>
      <w:tr w14:paraId="2F09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7" w:hRule="atLeast"/>
          <w:jc w:val="center"/>
        </w:trPr>
        <w:tc>
          <w:tcPr>
            <w:tcW w:w="9400" w:type="dxa"/>
            <w:gridSpan w:val="7"/>
          </w:tcPr>
          <w:p w14:paraId="60A0C85D">
            <w:pPr>
              <w:spacing w:after="50" w:line="400" w:lineRule="exact"/>
              <w:ind w:firstLine="420" w:firstLineChars="200"/>
              <w:rPr>
                <w:rFonts w:hint="eastAsia" w:ascii="宋体" w:hAnsi="宋体" w:cs="宋体"/>
              </w:rPr>
            </w:pPr>
            <w:r>
              <w:rPr>
                <w:rFonts w:hint="eastAsia" w:ascii="宋体" w:hAnsi="宋体" w:cs="宋体"/>
              </w:rPr>
              <w:t>一旦我单位成交，将实行项目经理负责制，我方保证并配备上述项目管理机构。上述填报内容真实，若不真实，愿按有关规定接受处理。</w:t>
            </w:r>
          </w:p>
        </w:tc>
      </w:tr>
    </w:tbl>
    <w:p w14:paraId="0217B6A8">
      <w:pPr>
        <w:spacing w:line="360" w:lineRule="auto"/>
        <w:jc w:val="center"/>
        <w:rPr>
          <w:rFonts w:hint="eastAsia" w:ascii="宋体" w:hAnsi="宋体" w:cs="宋体"/>
          <w:b/>
          <w:sz w:val="32"/>
          <w:szCs w:val="32"/>
        </w:rPr>
      </w:pPr>
      <w:bookmarkStart w:id="97" w:name="_Toc107326209"/>
      <w:bookmarkStart w:id="98" w:name="_Toc2510"/>
      <w:bookmarkStart w:id="99" w:name="_Toc32247"/>
      <w:bookmarkStart w:id="100" w:name="_Toc18487"/>
      <w:bookmarkStart w:id="101" w:name="_Toc30140"/>
      <w:bookmarkStart w:id="102" w:name="_Toc14717"/>
      <w:r>
        <w:rPr>
          <w:rFonts w:hint="eastAsia" w:ascii="宋体" w:hAnsi="宋体" w:cs="宋体"/>
          <w:b/>
          <w:sz w:val="32"/>
          <w:szCs w:val="32"/>
        </w:rPr>
        <w:br w:type="page"/>
      </w:r>
      <w:r>
        <w:rPr>
          <w:rFonts w:hint="eastAsia" w:ascii="宋体" w:hAnsi="宋体" w:cs="宋体"/>
          <w:b/>
          <w:sz w:val="32"/>
          <w:szCs w:val="32"/>
        </w:rPr>
        <w:t>拟委任的项目经理资历表（适用于B分标）</w:t>
      </w:r>
    </w:p>
    <w:p w14:paraId="3B1CAC7A">
      <w:pPr>
        <w:spacing w:line="360" w:lineRule="auto"/>
        <w:jc w:val="center"/>
        <w:rPr>
          <w:rFonts w:hint="eastAsia" w:ascii="宋体" w:hAnsi="宋体" w:cs="宋体"/>
          <w:b/>
          <w:sz w:val="32"/>
          <w:szCs w:val="32"/>
        </w:rPr>
      </w:pPr>
    </w:p>
    <w:tbl>
      <w:tblPr>
        <w:tblStyle w:val="29"/>
        <w:tblW w:w="94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5"/>
        <w:gridCol w:w="1644"/>
        <w:gridCol w:w="1515"/>
        <w:gridCol w:w="867"/>
        <w:gridCol w:w="612"/>
        <w:gridCol w:w="780"/>
        <w:gridCol w:w="1388"/>
        <w:gridCol w:w="7"/>
        <w:gridCol w:w="1262"/>
      </w:tblGrid>
      <w:tr w14:paraId="6A61E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1355" w:type="dxa"/>
            <w:tcBorders>
              <w:top w:val="single" w:color="auto" w:sz="12" w:space="0"/>
              <w:left w:val="single" w:color="auto" w:sz="12" w:space="0"/>
              <w:bottom w:val="single" w:color="auto" w:sz="6" w:space="0"/>
              <w:right w:val="single" w:color="auto" w:sz="6" w:space="0"/>
            </w:tcBorders>
            <w:vAlign w:val="center"/>
          </w:tcPr>
          <w:p w14:paraId="0400121F">
            <w:pPr>
              <w:tabs>
                <w:tab w:val="left" w:pos="680"/>
              </w:tabs>
              <w:autoSpaceDE w:val="0"/>
              <w:autoSpaceDN w:val="0"/>
              <w:adjustRightInd w:val="0"/>
              <w:spacing w:before="73"/>
              <w:jc w:val="center"/>
              <w:rPr>
                <w:rFonts w:hint="eastAsia" w:ascii="宋体" w:hAnsi="宋体" w:cs="宋体"/>
                <w:kern w:val="0"/>
                <w:szCs w:val="21"/>
              </w:rPr>
            </w:pPr>
            <w:r>
              <w:rPr>
                <w:rFonts w:hint="eastAsia" w:ascii="宋体" w:hAnsi="宋体" w:cs="宋体"/>
                <w:kern w:val="0"/>
                <w:szCs w:val="21"/>
              </w:rPr>
              <w:t>姓</w:t>
            </w:r>
            <w:r>
              <w:rPr>
                <w:rFonts w:hint="eastAsia" w:ascii="宋体" w:hAnsi="宋体" w:cs="宋体"/>
                <w:kern w:val="0"/>
                <w:szCs w:val="21"/>
              </w:rPr>
              <w:tab/>
            </w:r>
            <w:r>
              <w:rPr>
                <w:rFonts w:hint="eastAsia" w:ascii="宋体" w:hAnsi="宋体" w:cs="宋体"/>
                <w:kern w:val="0"/>
                <w:szCs w:val="21"/>
              </w:rPr>
              <w:t>名</w:t>
            </w:r>
          </w:p>
        </w:tc>
        <w:tc>
          <w:tcPr>
            <w:tcW w:w="1644" w:type="dxa"/>
            <w:tcBorders>
              <w:top w:val="single" w:color="auto" w:sz="12" w:space="0"/>
              <w:left w:val="single" w:color="auto" w:sz="6" w:space="0"/>
              <w:bottom w:val="single" w:color="auto" w:sz="6" w:space="0"/>
              <w:right w:val="single" w:color="auto" w:sz="6" w:space="0"/>
            </w:tcBorders>
            <w:vAlign w:val="center"/>
          </w:tcPr>
          <w:p w14:paraId="00AAE6A5">
            <w:pPr>
              <w:autoSpaceDE w:val="0"/>
              <w:autoSpaceDN w:val="0"/>
              <w:adjustRightInd w:val="0"/>
              <w:jc w:val="center"/>
              <w:rPr>
                <w:rFonts w:hint="eastAsia" w:ascii="宋体" w:hAnsi="宋体" w:cs="宋体"/>
                <w:kern w:val="0"/>
                <w:szCs w:val="21"/>
              </w:rPr>
            </w:pPr>
          </w:p>
        </w:tc>
        <w:tc>
          <w:tcPr>
            <w:tcW w:w="1515" w:type="dxa"/>
            <w:tcBorders>
              <w:top w:val="single" w:color="auto" w:sz="12" w:space="0"/>
              <w:left w:val="single" w:color="auto" w:sz="6" w:space="0"/>
              <w:bottom w:val="single" w:color="auto" w:sz="6" w:space="0"/>
              <w:right w:val="single" w:color="auto" w:sz="6" w:space="0"/>
            </w:tcBorders>
            <w:vAlign w:val="center"/>
          </w:tcPr>
          <w:p w14:paraId="59D0DEBB">
            <w:pPr>
              <w:autoSpaceDE w:val="0"/>
              <w:autoSpaceDN w:val="0"/>
              <w:adjustRightInd w:val="0"/>
              <w:spacing w:before="73"/>
              <w:jc w:val="center"/>
              <w:rPr>
                <w:rFonts w:hint="eastAsia" w:ascii="宋体" w:hAnsi="宋体" w:cs="宋体"/>
                <w:kern w:val="0"/>
                <w:szCs w:val="21"/>
              </w:rPr>
            </w:pPr>
            <w:r>
              <w:rPr>
                <w:rFonts w:hint="eastAsia" w:ascii="宋体" w:hAnsi="宋体" w:cs="宋体"/>
                <w:kern w:val="0"/>
                <w:szCs w:val="21"/>
              </w:rPr>
              <w:t>年龄</w:t>
            </w:r>
          </w:p>
        </w:tc>
        <w:tc>
          <w:tcPr>
            <w:tcW w:w="1479" w:type="dxa"/>
            <w:gridSpan w:val="2"/>
            <w:tcBorders>
              <w:top w:val="single" w:color="auto" w:sz="12" w:space="0"/>
              <w:left w:val="single" w:color="auto" w:sz="6" w:space="0"/>
              <w:bottom w:val="single" w:color="auto" w:sz="6" w:space="0"/>
              <w:right w:val="single" w:color="auto" w:sz="6" w:space="0"/>
            </w:tcBorders>
            <w:vAlign w:val="center"/>
          </w:tcPr>
          <w:p w14:paraId="08BE21C1">
            <w:pPr>
              <w:autoSpaceDE w:val="0"/>
              <w:autoSpaceDN w:val="0"/>
              <w:adjustRightInd w:val="0"/>
              <w:jc w:val="center"/>
              <w:rPr>
                <w:rFonts w:hint="eastAsia" w:ascii="宋体" w:hAnsi="宋体" w:cs="宋体"/>
                <w:kern w:val="0"/>
                <w:szCs w:val="21"/>
              </w:rPr>
            </w:pPr>
          </w:p>
        </w:tc>
        <w:tc>
          <w:tcPr>
            <w:tcW w:w="2168" w:type="dxa"/>
            <w:gridSpan w:val="2"/>
            <w:tcBorders>
              <w:top w:val="single" w:color="auto" w:sz="12" w:space="0"/>
              <w:left w:val="single" w:color="auto" w:sz="6" w:space="0"/>
              <w:bottom w:val="single" w:color="auto" w:sz="6" w:space="0"/>
              <w:right w:val="single" w:color="auto" w:sz="6" w:space="0"/>
            </w:tcBorders>
            <w:vAlign w:val="center"/>
          </w:tcPr>
          <w:p w14:paraId="1F701766">
            <w:pPr>
              <w:autoSpaceDE w:val="0"/>
              <w:autoSpaceDN w:val="0"/>
              <w:adjustRightInd w:val="0"/>
              <w:spacing w:before="73"/>
              <w:jc w:val="center"/>
              <w:rPr>
                <w:rFonts w:hint="eastAsia" w:ascii="宋体" w:hAnsi="宋体" w:cs="宋体"/>
                <w:kern w:val="0"/>
                <w:szCs w:val="21"/>
              </w:rPr>
            </w:pPr>
            <w:r>
              <w:rPr>
                <w:rFonts w:hint="eastAsia" w:ascii="宋体" w:hAnsi="宋体" w:cs="宋体"/>
                <w:kern w:val="0"/>
                <w:szCs w:val="21"/>
              </w:rPr>
              <w:t>专  业</w:t>
            </w:r>
          </w:p>
        </w:tc>
        <w:tc>
          <w:tcPr>
            <w:tcW w:w="1269" w:type="dxa"/>
            <w:gridSpan w:val="2"/>
            <w:tcBorders>
              <w:top w:val="single" w:color="auto" w:sz="12" w:space="0"/>
              <w:left w:val="single" w:color="auto" w:sz="6" w:space="0"/>
              <w:bottom w:val="single" w:color="auto" w:sz="6" w:space="0"/>
              <w:right w:val="single" w:color="auto" w:sz="12" w:space="0"/>
            </w:tcBorders>
            <w:vAlign w:val="center"/>
          </w:tcPr>
          <w:p w14:paraId="7131913C">
            <w:pPr>
              <w:jc w:val="center"/>
              <w:rPr>
                <w:rFonts w:hint="eastAsia" w:ascii="宋体" w:hAnsi="宋体" w:cs="宋体"/>
                <w:szCs w:val="21"/>
              </w:rPr>
            </w:pPr>
          </w:p>
        </w:tc>
      </w:tr>
      <w:tr w14:paraId="677DD1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1355" w:type="dxa"/>
            <w:tcBorders>
              <w:top w:val="single" w:color="auto" w:sz="6" w:space="0"/>
              <w:left w:val="single" w:color="auto" w:sz="12" w:space="0"/>
              <w:bottom w:val="single" w:color="auto" w:sz="6" w:space="0"/>
              <w:right w:val="single" w:color="auto" w:sz="6" w:space="0"/>
            </w:tcBorders>
            <w:vAlign w:val="center"/>
          </w:tcPr>
          <w:p w14:paraId="40E59BF0">
            <w:pPr>
              <w:tabs>
                <w:tab w:val="left" w:pos="680"/>
              </w:tabs>
              <w:autoSpaceDE w:val="0"/>
              <w:autoSpaceDN w:val="0"/>
              <w:adjustRightInd w:val="0"/>
              <w:spacing w:before="73"/>
              <w:jc w:val="center"/>
              <w:rPr>
                <w:rFonts w:hint="eastAsia" w:ascii="宋体" w:hAnsi="宋体" w:cs="宋体"/>
                <w:kern w:val="0"/>
                <w:szCs w:val="21"/>
              </w:rPr>
            </w:pPr>
            <w:r>
              <w:rPr>
                <w:rFonts w:hint="eastAsia" w:ascii="宋体" w:hAnsi="宋体" w:cs="宋体"/>
                <w:kern w:val="0"/>
                <w:szCs w:val="21"/>
              </w:rPr>
              <w:t>技术职称</w:t>
            </w:r>
          </w:p>
        </w:tc>
        <w:tc>
          <w:tcPr>
            <w:tcW w:w="1644" w:type="dxa"/>
            <w:tcBorders>
              <w:top w:val="single" w:color="auto" w:sz="6" w:space="0"/>
              <w:left w:val="single" w:color="auto" w:sz="6" w:space="0"/>
              <w:bottom w:val="single" w:color="auto" w:sz="6" w:space="0"/>
              <w:right w:val="single" w:color="auto" w:sz="6" w:space="0"/>
            </w:tcBorders>
            <w:vAlign w:val="center"/>
          </w:tcPr>
          <w:p w14:paraId="3F4F9959">
            <w:pPr>
              <w:autoSpaceDE w:val="0"/>
              <w:autoSpaceDN w:val="0"/>
              <w:adjustRightInd w:val="0"/>
              <w:jc w:val="center"/>
              <w:rPr>
                <w:rFonts w:hint="eastAsia" w:ascii="宋体" w:hAnsi="宋体" w:cs="宋体"/>
                <w:kern w:val="0"/>
                <w:szCs w:val="21"/>
              </w:rPr>
            </w:pPr>
          </w:p>
        </w:tc>
        <w:tc>
          <w:tcPr>
            <w:tcW w:w="1515" w:type="dxa"/>
            <w:tcBorders>
              <w:top w:val="single" w:color="auto" w:sz="6" w:space="0"/>
              <w:left w:val="single" w:color="auto" w:sz="6" w:space="0"/>
              <w:bottom w:val="single" w:color="auto" w:sz="6" w:space="0"/>
              <w:right w:val="single" w:color="auto" w:sz="6" w:space="0"/>
            </w:tcBorders>
            <w:vAlign w:val="center"/>
          </w:tcPr>
          <w:p w14:paraId="553CC9BF">
            <w:pPr>
              <w:autoSpaceDE w:val="0"/>
              <w:autoSpaceDN w:val="0"/>
              <w:adjustRightInd w:val="0"/>
              <w:spacing w:before="73"/>
              <w:jc w:val="center"/>
              <w:rPr>
                <w:rFonts w:hint="eastAsia" w:ascii="宋体" w:hAnsi="宋体" w:cs="宋体"/>
                <w:kern w:val="0"/>
                <w:szCs w:val="21"/>
              </w:rPr>
            </w:pPr>
            <w:r>
              <w:rPr>
                <w:rFonts w:hint="eastAsia" w:ascii="宋体" w:hAnsi="宋体" w:cs="宋体"/>
                <w:kern w:val="0"/>
                <w:szCs w:val="21"/>
              </w:rPr>
              <w:t>学  历</w:t>
            </w:r>
          </w:p>
        </w:tc>
        <w:tc>
          <w:tcPr>
            <w:tcW w:w="1479" w:type="dxa"/>
            <w:gridSpan w:val="2"/>
            <w:tcBorders>
              <w:top w:val="single" w:color="auto" w:sz="6" w:space="0"/>
              <w:left w:val="single" w:color="auto" w:sz="6" w:space="0"/>
              <w:bottom w:val="single" w:color="auto" w:sz="6" w:space="0"/>
              <w:right w:val="single" w:color="auto" w:sz="6" w:space="0"/>
            </w:tcBorders>
            <w:vAlign w:val="center"/>
          </w:tcPr>
          <w:p w14:paraId="03212091">
            <w:pPr>
              <w:autoSpaceDE w:val="0"/>
              <w:autoSpaceDN w:val="0"/>
              <w:adjustRightInd w:val="0"/>
              <w:jc w:val="center"/>
              <w:rPr>
                <w:rFonts w:hint="eastAsia" w:ascii="宋体" w:hAnsi="宋体" w:cs="宋体"/>
                <w:kern w:val="0"/>
                <w:szCs w:val="21"/>
              </w:rPr>
            </w:pPr>
          </w:p>
        </w:tc>
        <w:tc>
          <w:tcPr>
            <w:tcW w:w="2168" w:type="dxa"/>
            <w:gridSpan w:val="2"/>
            <w:tcBorders>
              <w:top w:val="single" w:color="auto" w:sz="6" w:space="0"/>
              <w:left w:val="single" w:color="auto" w:sz="6" w:space="0"/>
              <w:bottom w:val="single" w:color="auto" w:sz="6" w:space="0"/>
              <w:right w:val="single" w:color="auto" w:sz="6" w:space="0"/>
            </w:tcBorders>
            <w:vAlign w:val="center"/>
          </w:tcPr>
          <w:p w14:paraId="47E3BC08">
            <w:pPr>
              <w:autoSpaceDE w:val="0"/>
              <w:autoSpaceDN w:val="0"/>
              <w:adjustRightInd w:val="0"/>
              <w:spacing w:before="73"/>
              <w:jc w:val="center"/>
              <w:rPr>
                <w:rFonts w:hint="eastAsia" w:ascii="宋体" w:hAnsi="宋体" w:cs="宋体"/>
                <w:kern w:val="0"/>
                <w:szCs w:val="21"/>
              </w:rPr>
            </w:pPr>
            <w:r>
              <w:rPr>
                <w:rFonts w:hint="eastAsia" w:ascii="宋体" w:hAnsi="宋体" w:cs="宋体"/>
                <w:kern w:val="0"/>
                <w:szCs w:val="21"/>
              </w:rPr>
              <w:t>拟在本标段</w:t>
            </w:r>
          </w:p>
          <w:p w14:paraId="0E99D7D7">
            <w:pPr>
              <w:autoSpaceDE w:val="0"/>
              <w:autoSpaceDN w:val="0"/>
              <w:adjustRightInd w:val="0"/>
              <w:spacing w:before="73"/>
              <w:jc w:val="center"/>
              <w:rPr>
                <w:rFonts w:hint="eastAsia" w:ascii="宋体" w:hAnsi="宋体" w:cs="宋体"/>
                <w:kern w:val="0"/>
                <w:szCs w:val="21"/>
              </w:rPr>
            </w:pPr>
            <w:r>
              <w:rPr>
                <w:rFonts w:hint="eastAsia" w:ascii="宋体" w:hAnsi="宋体" w:cs="宋体"/>
                <w:kern w:val="0"/>
                <w:szCs w:val="21"/>
              </w:rPr>
              <w:t>工程任职</w:t>
            </w:r>
          </w:p>
        </w:tc>
        <w:tc>
          <w:tcPr>
            <w:tcW w:w="1269" w:type="dxa"/>
            <w:gridSpan w:val="2"/>
            <w:tcBorders>
              <w:top w:val="single" w:color="auto" w:sz="6" w:space="0"/>
              <w:left w:val="single" w:color="auto" w:sz="6" w:space="0"/>
              <w:bottom w:val="single" w:color="auto" w:sz="6" w:space="0"/>
              <w:right w:val="single" w:color="auto" w:sz="12" w:space="0"/>
            </w:tcBorders>
            <w:vAlign w:val="center"/>
          </w:tcPr>
          <w:p w14:paraId="622DCD7A">
            <w:pPr>
              <w:jc w:val="center"/>
              <w:rPr>
                <w:rFonts w:hint="eastAsia" w:ascii="宋体" w:hAnsi="宋体" w:cs="宋体"/>
                <w:szCs w:val="21"/>
              </w:rPr>
            </w:pPr>
          </w:p>
        </w:tc>
      </w:tr>
      <w:tr w14:paraId="66A9C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55" w:type="dxa"/>
            <w:tcBorders>
              <w:top w:val="single" w:color="auto" w:sz="6" w:space="0"/>
              <w:left w:val="single" w:color="auto" w:sz="12" w:space="0"/>
              <w:bottom w:val="single" w:color="auto" w:sz="6" w:space="0"/>
              <w:right w:val="single" w:color="auto" w:sz="6" w:space="0"/>
            </w:tcBorders>
            <w:vAlign w:val="center"/>
          </w:tcPr>
          <w:p w14:paraId="6117A597">
            <w:pPr>
              <w:autoSpaceDE w:val="0"/>
              <w:autoSpaceDN w:val="0"/>
              <w:adjustRightInd w:val="0"/>
              <w:spacing w:before="73"/>
              <w:jc w:val="center"/>
              <w:rPr>
                <w:rFonts w:hint="eastAsia" w:ascii="宋体" w:hAnsi="宋体" w:cs="宋体"/>
                <w:kern w:val="0"/>
                <w:szCs w:val="21"/>
              </w:rPr>
            </w:pPr>
            <w:r>
              <w:rPr>
                <w:rFonts w:hint="eastAsia" w:ascii="宋体" w:hAnsi="宋体" w:cs="宋体"/>
                <w:kern w:val="0"/>
                <w:szCs w:val="21"/>
              </w:rPr>
              <w:t>工作年限</w:t>
            </w:r>
          </w:p>
        </w:tc>
        <w:tc>
          <w:tcPr>
            <w:tcW w:w="4638" w:type="dxa"/>
            <w:gridSpan w:val="4"/>
            <w:tcBorders>
              <w:top w:val="single" w:color="auto" w:sz="6" w:space="0"/>
              <w:left w:val="single" w:color="auto" w:sz="6" w:space="0"/>
              <w:bottom w:val="single" w:color="auto" w:sz="6" w:space="0"/>
              <w:right w:val="single" w:color="auto" w:sz="4" w:space="0"/>
            </w:tcBorders>
            <w:vAlign w:val="center"/>
          </w:tcPr>
          <w:p w14:paraId="67437249">
            <w:pPr>
              <w:tabs>
                <w:tab w:val="left" w:pos="2820"/>
                <w:tab w:val="left" w:pos="4080"/>
              </w:tabs>
              <w:autoSpaceDE w:val="0"/>
              <w:autoSpaceDN w:val="0"/>
              <w:adjustRightInd w:val="0"/>
              <w:spacing w:before="73"/>
              <w:ind w:left="-1291" w:leftChars="-615" w:firstLine="1260" w:firstLineChars="600"/>
              <w:rPr>
                <w:rFonts w:hint="eastAsia" w:ascii="宋体" w:hAnsi="宋体" w:cs="宋体"/>
                <w:kern w:val="0"/>
                <w:szCs w:val="21"/>
                <w:u w:val="single"/>
              </w:rPr>
            </w:pPr>
          </w:p>
        </w:tc>
        <w:tc>
          <w:tcPr>
            <w:tcW w:w="2175" w:type="dxa"/>
            <w:gridSpan w:val="3"/>
            <w:tcBorders>
              <w:top w:val="single" w:color="auto" w:sz="6" w:space="0"/>
              <w:left w:val="single" w:color="auto" w:sz="4" w:space="0"/>
              <w:bottom w:val="single" w:color="auto" w:sz="6" w:space="0"/>
              <w:right w:val="single" w:color="auto" w:sz="4" w:space="0"/>
            </w:tcBorders>
            <w:vAlign w:val="center"/>
          </w:tcPr>
          <w:p w14:paraId="10DBD9D0">
            <w:pPr>
              <w:tabs>
                <w:tab w:val="left" w:pos="2820"/>
                <w:tab w:val="left" w:pos="4080"/>
              </w:tabs>
              <w:autoSpaceDE w:val="0"/>
              <w:autoSpaceDN w:val="0"/>
              <w:adjustRightInd w:val="0"/>
              <w:spacing w:before="73"/>
              <w:ind w:left="-1291" w:leftChars="-615" w:firstLine="1260" w:firstLineChars="600"/>
              <w:jc w:val="center"/>
              <w:rPr>
                <w:rFonts w:hint="eastAsia" w:ascii="宋体" w:hAnsi="宋体" w:cs="宋体"/>
                <w:kern w:val="0"/>
                <w:szCs w:val="21"/>
              </w:rPr>
            </w:pPr>
            <w:r>
              <w:rPr>
                <w:rFonts w:hint="eastAsia" w:ascii="宋体" w:hAnsi="宋体" w:cs="宋体"/>
                <w:kern w:val="0"/>
                <w:szCs w:val="21"/>
              </w:rPr>
              <w:t>类似施工经验年限</w:t>
            </w:r>
          </w:p>
        </w:tc>
        <w:tc>
          <w:tcPr>
            <w:tcW w:w="1262" w:type="dxa"/>
            <w:tcBorders>
              <w:top w:val="single" w:color="auto" w:sz="6" w:space="0"/>
              <w:left w:val="single" w:color="auto" w:sz="4" w:space="0"/>
              <w:bottom w:val="single" w:color="auto" w:sz="6" w:space="0"/>
              <w:right w:val="single" w:color="auto" w:sz="12" w:space="0"/>
            </w:tcBorders>
            <w:vAlign w:val="center"/>
          </w:tcPr>
          <w:p w14:paraId="029F99E1">
            <w:pPr>
              <w:tabs>
                <w:tab w:val="left" w:pos="2820"/>
                <w:tab w:val="left" w:pos="4080"/>
              </w:tabs>
              <w:autoSpaceDE w:val="0"/>
              <w:autoSpaceDN w:val="0"/>
              <w:adjustRightInd w:val="0"/>
              <w:spacing w:before="73"/>
              <w:ind w:left="-1291" w:leftChars="-615" w:firstLine="1260" w:firstLineChars="600"/>
              <w:rPr>
                <w:rFonts w:hint="eastAsia" w:ascii="宋体" w:hAnsi="宋体" w:cs="宋体"/>
                <w:kern w:val="0"/>
                <w:szCs w:val="21"/>
                <w:u w:val="single"/>
              </w:rPr>
            </w:pPr>
          </w:p>
        </w:tc>
      </w:tr>
      <w:tr w14:paraId="253F1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55" w:type="dxa"/>
            <w:tcBorders>
              <w:top w:val="single" w:color="auto" w:sz="6" w:space="0"/>
              <w:left w:val="single" w:color="auto" w:sz="12" w:space="0"/>
              <w:bottom w:val="single" w:color="auto" w:sz="6" w:space="0"/>
              <w:right w:val="single" w:color="auto" w:sz="6" w:space="0"/>
            </w:tcBorders>
            <w:vAlign w:val="center"/>
          </w:tcPr>
          <w:p w14:paraId="6641191D">
            <w:pPr>
              <w:autoSpaceDE w:val="0"/>
              <w:autoSpaceDN w:val="0"/>
              <w:adjustRightInd w:val="0"/>
              <w:spacing w:before="73"/>
              <w:jc w:val="center"/>
              <w:rPr>
                <w:rFonts w:hint="eastAsia" w:ascii="宋体" w:hAnsi="宋体" w:cs="宋体"/>
                <w:kern w:val="0"/>
                <w:szCs w:val="21"/>
              </w:rPr>
            </w:pPr>
            <w:r>
              <w:rPr>
                <w:rFonts w:hint="eastAsia" w:ascii="宋体" w:hAnsi="宋体" w:cs="宋体"/>
                <w:kern w:val="0"/>
                <w:szCs w:val="21"/>
              </w:rPr>
              <w:t>毕业学校</w:t>
            </w:r>
          </w:p>
        </w:tc>
        <w:tc>
          <w:tcPr>
            <w:tcW w:w="8075" w:type="dxa"/>
            <w:gridSpan w:val="8"/>
            <w:tcBorders>
              <w:top w:val="single" w:color="auto" w:sz="6" w:space="0"/>
              <w:left w:val="single" w:color="auto" w:sz="6" w:space="0"/>
              <w:bottom w:val="single" w:color="auto" w:sz="6" w:space="0"/>
              <w:right w:val="single" w:color="auto" w:sz="12" w:space="0"/>
            </w:tcBorders>
            <w:vAlign w:val="center"/>
          </w:tcPr>
          <w:p w14:paraId="4521F282">
            <w:pPr>
              <w:tabs>
                <w:tab w:val="left" w:pos="2820"/>
                <w:tab w:val="left" w:pos="4080"/>
              </w:tabs>
              <w:autoSpaceDE w:val="0"/>
              <w:autoSpaceDN w:val="0"/>
              <w:adjustRightInd w:val="0"/>
              <w:spacing w:before="73"/>
              <w:ind w:left="-1291" w:leftChars="-615" w:firstLine="1260" w:firstLineChars="600"/>
              <w:rPr>
                <w:rFonts w:hint="eastAsia" w:ascii="宋体" w:hAnsi="宋体" w:cs="宋体"/>
                <w:kern w:val="0"/>
                <w:szCs w:val="21"/>
              </w:rPr>
            </w:pPr>
            <w:r>
              <w:rPr>
                <w:rFonts w:hint="eastAsia" w:ascii="宋体" w:hAnsi="宋体" w:cs="宋体"/>
                <w:kern w:val="0"/>
                <w:szCs w:val="21"/>
              </w:rPr>
              <w:t>年月毕业于学校专业，学制年</w:t>
            </w:r>
          </w:p>
        </w:tc>
      </w:tr>
      <w:tr w14:paraId="23708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430" w:type="dxa"/>
            <w:gridSpan w:val="9"/>
            <w:tcBorders>
              <w:top w:val="single" w:color="auto" w:sz="6" w:space="0"/>
              <w:left w:val="single" w:color="auto" w:sz="12" w:space="0"/>
              <w:bottom w:val="single" w:color="auto" w:sz="6" w:space="0"/>
              <w:right w:val="single" w:color="auto" w:sz="12" w:space="0"/>
            </w:tcBorders>
            <w:vAlign w:val="center"/>
          </w:tcPr>
          <w:p w14:paraId="0EA01224">
            <w:pPr>
              <w:jc w:val="center"/>
              <w:rPr>
                <w:rFonts w:hint="eastAsia" w:ascii="宋体" w:hAnsi="宋体" w:cs="宋体"/>
                <w:szCs w:val="21"/>
              </w:rPr>
            </w:pPr>
            <w:r>
              <w:rPr>
                <w:rFonts w:hint="eastAsia" w:ascii="宋体" w:hAnsi="宋体" w:cs="宋体"/>
                <w:kern w:val="0"/>
                <w:szCs w:val="21"/>
              </w:rPr>
              <w:t>经     历</w:t>
            </w:r>
          </w:p>
        </w:tc>
      </w:tr>
      <w:tr w14:paraId="33D3D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55" w:type="dxa"/>
            <w:tcBorders>
              <w:top w:val="single" w:color="auto" w:sz="6" w:space="0"/>
              <w:left w:val="single" w:color="auto" w:sz="12" w:space="0"/>
              <w:bottom w:val="single" w:color="auto" w:sz="6" w:space="0"/>
              <w:right w:val="single" w:color="auto" w:sz="6" w:space="0"/>
            </w:tcBorders>
            <w:vAlign w:val="center"/>
          </w:tcPr>
          <w:p w14:paraId="0F3E94DC">
            <w:pPr>
              <w:jc w:val="center"/>
              <w:rPr>
                <w:rFonts w:hint="eastAsia" w:ascii="宋体" w:hAnsi="宋体" w:cs="宋体"/>
                <w:szCs w:val="21"/>
              </w:rPr>
            </w:pPr>
            <w:r>
              <w:rPr>
                <w:rFonts w:hint="eastAsia" w:ascii="宋体" w:hAnsi="宋体" w:cs="宋体"/>
                <w:szCs w:val="21"/>
              </w:rPr>
              <w:t>时   间</w:t>
            </w:r>
          </w:p>
        </w:tc>
        <w:tc>
          <w:tcPr>
            <w:tcW w:w="4026" w:type="dxa"/>
            <w:gridSpan w:val="3"/>
            <w:tcBorders>
              <w:top w:val="single" w:color="auto" w:sz="6" w:space="0"/>
              <w:left w:val="single" w:color="auto" w:sz="6" w:space="0"/>
              <w:bottom w:val="single" w:color="auto" w:sz="6" w:space="0"/>
              <w:right w:val="single" w:color="auto" w:sz="6" w:space="0"/>
            </w:tcBorders>
            <w:vAlign w:val="center"/>
          </w:tcPr>
          <w:p w14:paraId="597D4317">
            <w:pPr>
              <w:jc w:val="center"/>
              <w:rPr>
                <w:rFonts w:hint="eastAsia" w:ascii="宋体" w:hAnsi="宋体" w:cs="宋体"/>
                <w:szCs w:val="21"/>
              </w:rPr>
            </w:pPr>
            <w:r>
              <w:rPr>
                <w:rFonts w:hint="eastAsia" w:ascii="宋体" w:hAnsi="宋体" w:cs="宋体"/>
                <w:kern w:val="0"/>
                <w:szCs w:val="21"/>
              </w:rPr>
              <w:t>参加过的类似工程项目名称</w:t>
            </w:r>
          </w:p>
        </w:tc>
        <w:tc>
          <w:tcPr>
            <w:tcW w:w="1392" w:type="dxa"/>
            <w:gridSpan w:val="2"/>
            <w:tcBorders>
              <w:top w:val="single" w:color="auto" w:sz="6" w:space="0"/>
              <w:left w:val="single" w:color="auto" w:sz="6" w:space="0"/>
              <w:bottom w:val="single" w:color="auto" w:sz="6" w:space="0"/>
              <w:right w:val="single" w:color="auto" w:sz="6" w:space="0"/>
            </w:tcBorders>
            <w:vAlign w:val="center"/>
          </w:tcPr>
          <w:p w14:paraId="5BA38887">
            <w:pPr>
              <w:jc w:val="center"/>
              <w:rPr>
                <w:rFonts w:hint="eastAsia" w:ascii="宋体" w:hAnsi="宋体" w:cs="宋体"/>
                <w:szCs w:val="21"/>
              </w:rPr>
            </w:pPr>
            <w:r>
              <w:rPr>
                <w:rFonts w:hint="eastAsia" w:ascii="宋体" w:hAnsi="宋体" w:cs="宋体"/>
                <w:kern w:val="0"/>
                <w:szCs w:val="21"/>
              </w:rPr>
              <w:t>担任职务</w:t>
            </w:r>
          </w:p>
        </w:tc>
        <w:tc>
          <w:tcPr>
            <w:tcW w:w="2657" w:type="dxa"/>
            <w:gridSpan w:val="3"/>
            <w:tcBorders>
              <w:top w:val="single" w:color="auto" w:sz="6" w:space="0"/>
              <w:left w:val="single" w:color="auto" w:sz="6" w:space="0"/>
              <w:bottom w:val="single" w:color="auto" w:sz="6" w:space="0"/>
              <w:right w:val="single" w:color="auto" w:sz="12" w:space="0"/>
            </w:tcBorders>
            <w:vAlign w:val="center"/>
          </w:tcPr>
          <w:p w14:paraId="5BF89979">
            <w:pPr>
              <w:jc w:val="center"/>
              <w:rPr>
                <w:rFonts w:hint="eastAsia" w:ascii="宋体" w:hAnsi="宋体" w:cs="宋体"/>
                <w:kern w:val="0"/>
                <w:szCs w:val="21"/>
              </w:rPr>
            </w:pPr>
            <w:r>
              <w:rPr>
                <w:rFonts w:hint="eastAsia" w:ascii="宋体" w:hAnsi="宋体" w:cs="宋体"/>
                <w:kern w:val="0"/>
                <w:szCs w:val="21"/>
              </w:rPr>
              <w:t>发包人及</w:t>
            </w:r>
          </w:p>
          <w:p w14:paraId="751FDE9B">
            <w:pPr>
              <w:jc w:val="center"/>
              <w:rPr>
                <w:rFonts w:hint="eastAsia" w:ascii="宋体" w:hAnsi="宋体" w:cs="宋体"/>
                <w:szCs w:val="21"/>
              </w:rPr>
            </w:pPr>
            <w:r>
              <w:rPr>
                <w:rFonts w:hint="eastAsia" w:ascii="宋体" w:hAnsi="宋体" w:cs="宋体"/>
                <w:kern w:val="0"/>
                <w:szCs w:val="21"/>
              </w:rPr>
              <w:t>联系电话</w:t>
            </w:r>
          </w:p>
        </w:tc>
      </w:tr>
      <w:tr w14:paraId="35445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355" w:type="dxa"/>
            <w:tcBorders>
              <w:top w:val="single" w:color="auto" w:sz="6" w:space="0"/>
              <w:left w:val="single" w:color="auto" w:sz="12" w:space="0"/>
              <w:bottom w:val="single" w:color="auto" w:sz="6" w:space="0"/>
              <w:right w:val="single" w:color="auto" w:sz="6" w:space="0"/>
            </w:tcBorders>
            <w:vAlign w:val="center"/>
          </w:tcPr>
          <w:p w14:paraId="58D59CA2">
            <w:pPr>
              <w:jc w:val="center"/>
              <w:rPr>
                <w:rFonts w:hint="eastAsia" w:ascii="宋体" w:hAnsi="宋体" w:cs="宋体"/>
                <w:szCs w:val="21"/>
              </w:rPr>
            </w:pPr>
          </w:p>
        </w:tc>
        <w:tc>
          <w:tcPr>
            <w:tcW w:w="4026" w:type="dxa"/>
            <w:gridSpan w:val="3"/>
            <w:tcBorders>
              <w:top w:val="single" w:color="auto" w:sz="6" w:space="0"/>
              <w:left w:val="single" w:color="auto" w:sz="6" w:space="0"/>
              <w:bottom w:val="single" w:color="auto" w:sz="6" w:space="0"/>
              <w:right w:val="single" w:color="auto" w:sz="6" w:space="0"/>
            </w:tcBorders>
            <w:vAlign w:val="center"/>
          </w:tcPr>
          <w:p w14:paraId="28578D24">
            <w:pPr>
              <w:jc w:val="center"/>
              <w:rPr>
                <w:rFonts w:hint="eastAsia" w:ascii="宋体" w:hAnsi="宋体" w:cs="宋体"/>
                <w:szCs w:val="21"/>
              </w:rPr>
            </w:pPr>
          </w:p>
        </w:tc>
        <w:tc>
          <w:tcPr>
            <w:tcW w:w="1392" w:type="dxa"/>
            <w:gridSpan w:val="2"/>
            <w:tcBorders>
              <w:top w:val="single" w:color="auto" w:sz="6" w:space="0"/>
              <w:left w:val="single" w:color="auto" w:sz="6" w:space="0"/>
              <w:bottom w:val="single" w:color="auto" w:sz="6" w:space="0"/>
              <w:right w:val="single" w:color="auto" w:sz="6" w:space="0"/>
            </w:tcBorders>
            <w:vAlign w:val="center"/>
          </w:tcPr>
          <w:p w14:paraId="3ABC97D9">
            <w:pPr>
              <w:jc w:val="center"/>
              <w:rPr>
                <w:rFonts w:hint="eastAsia" w:ascii="宋体" w:hAnsi="宋体" w:cs="宋体"/>
                <w:szCs w:val="21"/>
              </w:rPr>
            </w:pPr>
          </w:p>
        </w:tc>
        <w:tc>
          <w:tcPr>
            <w:tcW w:w="2657" w:type="dxa"/>
            <w:gridSpan w:val="3"/>
            <w:tcBorders>
              <w:top w:val="single" w:color="auto" w:sz="6" w:space="0"/>
              <w:left w:val="single" w:color="auto" w:sz="6" w:space="0"/>
              <w:bottom w:val="single" w:color="auto" w:sz="6" w:space="0"/>
              <w:right w:val="single" w:color="auto" w:sz="12" w:space="0"/>
            </w:tcBorders>
            <w:vAlign w:val="center"/>
          </w:tcPr>
          <w:p w14:paraId="4F62A914">
            <w:pPr>
              <w:jc w:val="center"/>
              <w:rPr>
                <w:rFonts w:hint="eastAsia" w:ascii="宋体" w:hAnsi="宋体" w:cs="宋体"/>
                <w:szCs w:val="21"/>
              </w:rPr>
            </w:pPr>
          </w:p>
        </w:tc>
      </w:tr>
      <w:tr w14:paraId="3CD23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355" w:type="dxa"/>
            <w:tcBorders>
              <w:top w:val="single" w:color="auto" w:sz="6" w:space="0"/>
              <w:left w:val="single" w:color="auto" w:sz="12" w:space="0"/>
              <w:bottom w:val="single" w:color="auto" w:sz="6" w:space="0"/>
              <w:right w:val="single" w:color="auto" w:sz="6" w:space="0"/>
            </w:tcBorders>
            <w:vAlign w:val="center"/>
          </w:tcPr>
          <w:p w14:paraId="3F47AD37">
            <w:pPr>
              <w:jc w:val="center"/>
              <w:rPr>
                <w:rFonts w:hint="eastAsia" w:ascii="宋体" w:hAnsi="宋体" w:cs="宋体"/>
                <w:szCs w:val="21"/>
              </w:rPr>
            </w:pPr>
          </w:p>
        </w:tc>
        <w:tc>
          <w:tcPr>
            <w:tcW w:w="4026" w:type="dxa"/>
            <w:gridSpan w:val="3"/>
            <w:tcBorders>
              <w:top w:val="single" w:color="auto" w:sz="6" w:space="0"/>
              <w:left w:val="single" w:color="auto" w:sz="6" w:space="0"/>
              <w:bottom w:val="single" w:color="auto" w:sz="6" w:space="0"/>
              <w:right w:val="single" w:color="auto" w:sz="6" w:space="0"/>
            </w:tcBorders>
            <w:vAlign w:val="center"/>
          </w:tcPr>
          <w:p w14:paraId="37F36F21">
            <w:pPr>
              <w:jc w:val="center"/>
              <w:rPr>
                <w:rFonts w:hint="eastAsia" w:ascii="宋体" w:hAnsi="宋体" w:cs="宋体"/>
                <w:szCs w:val="21"/>
              </w:rPr>
            </w:pPr>
          </w:p>
        </w:tc>
        <w:tc>
          <w:tcPr>
            <w:tcW w:w="1392" w:type="dxa"/>
            <w:gridSpan w:val="2"/>
            <w:tcBorders>
              <w:top w:val="single" w:color="auto" w:sz="6" w:space="0"/>
              <w:left w:val="single" w:color="auto" w:sz="6" w:space="0"/>
              <w:bottom w:val="single" w:color="auto" w:sz="6" w:space="0"/>
              <w:right w:val="single" w:color="auto" w:sz="6" w:space="0"/>
            </w:tcBorders>
            <w:vAlign w:val="center"/>
          </w:tcPr>
          <w:p w14:paraId="21D414CD">
            <w:pPr>
              <w:jc w:val="center"/>
              <w:rPr>
                <w:rFonts w:hint="eastAsia" w:ascii="宋体" w:hAnsi="宋体" w:cs="宋体"/>
                <w:szCs w:val="21"/>
              </w:rPr>
            </w:pPr>
          </w:p>
        </w:tc>
        <w:tc>
          <w:tcPr>
            <w:tcW w:w="2657" w:type="dxa"/>
            <w:gridSpan w:val="3"/>
            <w:tcBorders>
              <w:top w:val="single" w:color="auto" w:sz="6" w:space="0"/>
              <w:left w:val="single" w:color="auto" w:sz="6" w:space="0"/>
              <w:bottom w:val="single" w:color="auto" w:sz="6" w:space="0"/>
              <w:right w:val="single" w:color="auto" w:sz="12" w:space="0"/>
            </w:tcBorders>
            <w:vAlign w:val="center"/>
          </w:tcPr>
          <w:p w14:paraId="47EDC032">
            <w:pPr>
              <w:jc w:val="center"/>
              <w:rPr>
                <w:rFonts w:hint="eastAsia" w:ascii="宋体" w:hAnsi="宋体" w:cs="宋体"/>
                <w:szCs w:val="21"/>
              </w:rPr>
            </w:pPr>
          </w:p>
        </w:tc>
      </w:tr>
      <w:tr w14:paraId="352231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355" w:type="dxa"/>
            <w:tcBorders>
              <w:top w:val="single" w:color="auto" w:sz="6" w:space="0"/>
              <w:left w:val="single" w:color="auto" w:sz="12" w:space="0"/>
              <w:bottom w:val="single" w:color="auto" w:sz="6" w:space="0"/>
              <w:right w:val="single" w:color="auto" w:sz="6" w:space="0"/>
            </w:tcBorders>
            <w:vAlign w:val="center"/>
          </w:tcPr>
          <w:p w14:paraId="1FFC152F">
            <w:pPr>
              <w:jc w:val="center"/>
              <w:rPr>
                <w:rFonts w:hint="eastAsia" w:ascii="宋体" w:hAnsi="宋体" w:cs="宋体"/>
                <w:szCs w:val="21"/>
              </w:rPr>
            </w:pPr>
          </w:p>
        </w:tc>
        <w:tc>
          <w:tcPr>
            <w:tcW w:w="4026" w:type="dxa"/>
            <w:gridSpan w:val="3"/>
            <w:tcBorders>
              <w:top w:val="single" w:color="auto" w:sz="6" w:space="0"/>
              <w:left w:val="single" w:color="auto" w:sz="6" w:space="0"/>
              <w:bottom w:val="single" w:color="auto" w:sz="6" w:space="0"/>
              <w:right w:val="single" w:color="auto" w:sz="6" w:space="0"/>
            </w:tcBorders>
            <w:vAlign w:val="center"/>
          </w:tcPr>
          <w:p w14:paraId="02728495">
            <w:pPr>
              <w:jc w:val="center"/>
              <w:rPr>
                <w:rFonts w:hint="eastAsia" w:ascii="宋体" w:hAnsi="宋体" w:cs="宋体"/>
                <w:szCs w:val="21"/>
              </w:rPr>
            </w:pPr>
          </w:p>
        </w:tc>
        <w:tc>
          <w:tcPr>
            <w:tcW w:w="1392" w:type="dxa"/>
            <w:gridSpan w:val="2"/>
            <w:tcBorders>
              <w:top w:val="single" w:color="auto" w:sz="6" w:space="0"/>
              <w:left w:val="single" w:color="auto" w:sz="6" w:space="0"/>
              <w:bottom w:val="single" w:color="auto" w:sz="6" w:space="0"/>
              <w:right w:val="single" w:color="auto" w:sz="6" w:space="0"/>
            </w:tcBorders>
            <w:vAlign w:val="center"/>
          </w:tcPr>
          <w:p w14:paraId="338E4AD3">
            <w:pPr>
              <w:jc w:val="center"/>
              <w:rPr>
                <w:rFonts w:hint="eastAsia" w:ascii="宋体" w:hAnsi="宋体" w:cs="宋体"/>
                <w:szCs w:val="21"/>
              </w:rPr>
            </w:pPr>
          </w:p>
        </w:tc>
        <w:tc>
          <w:tcPr>
            <w:tcW w:w="2657" w:type="dxa"/>
            <w:gridSpan w:val="3"/>
            <w:tcBorders>
              <w:top w:val="single" w:color="auto" w:sz="6" w:space="0"/>
              <w:left w:val="single" w:color="auto" w:sz="6" w:space="0"/>
              <w:bottom w:val="single" w:color="auto" w:sz="6" w:space="0"/>
              <w:right w:val="single" w:color="auto" w:sz="12" w:space="0"/>
            </w:tcBorders>
            <w:vAlign w:val="center"/>
          </w:tcPr>
          <w:p w14:paraId="035894E8">
            <w:pPr>
              <w:jc w:val="center"/>
              <w:rPr>
                <w:rFonts w:hint="eastAsia" w:ascii="宋体" w:hAnsi="宋体" w:cs="宋体"/>
                <w:szCs w:val="21"/>
              </w:rPr>
            </w:pPr>
          </w:p>
        </w:tc>
      </w:tr>
      <w:tr w14:paraId="166EC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355" w:type="dxa"/>
            <w:tcBorders>
              <w:top w:val="single" w:color="auto" w:sz="6" w:space="0"/>
              <w:left w:val="single" w:color="auto" w:sz="12" w:space="0"/>
              <w:bottom w:val="single" w:color="auto" w:sz="6" w:space="0"/>
              <w:right w:val="single" w:color="auto" w:sz="4" w:space="0"/>
            </w:tcBorders>
            <w:vAlign w:val="center"/>
          </w:tcPr>
          <w:p w14:paraId="206BD1BE">
            <w:pPr>
              <w:jc w:val="center"/>
              <w:rPr>
                <w:rFonts w:hint="eastAsia" w:ascii="宋体" w:hAnsi="宋体" w:cs="宋体"/>
                <w:szCs w:val="21"/>
              </w:rPr>
            </w:pPr>
            <w:r>
              <w:rPr>
                <w:rFonts w:hint="eastAsia" w:ascii="宋体" w:hAnsi="宋体" w:cs="宋体"/>
                <w:szCs w:val="21"/>
              </w:rPr>
              <w:t>获奖情况</w:t>
            </w:r>
          </w:p>
        </w:tc>
        <w:tc>
          <w:tcPr>
            <w:tcW w:w="8075" w:type="dxa"/>
            <w:gridSpan w:val="8"/>
            <w:tcBorders>
              <w:top w:val="single" w:color="auto" w:sz="6" w:space="0"/>
              <w:left w:val="single" w:color="auto" w:sz="4" w:space="0"/>
              <w:bottom w:val="single" w:color="auto" w:sz="6" w:space="0"/>
              <w:right w:val="single" w:color="auto" w:sz="12" w:space="0"/>
            </w:tcBorders>
            <w:vAlign w:val="center"/>
          </w:tcPr>
          <w:p w14:paraId="702F53A0">
            <w:pPr>
              <w:jc w:val="center"/>
              <w:rPr>
                <w:rFonts w:hint="eastAsia" w:ascii="宋体" w:hAnsi="宋体" w:cs="宋体"/>
                <w:szCs w:val="21"/>
              </w:rPr>
            </w:pPr>
          </w:p>
        </w:tc>
      </w:tr>
      <w:tr w14:paraId="2A604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55" w:type="dxa"/>
            <w:tcBorders>
              <w:top w:val="single" w:color="auto" w:sz="6" w:space="0"/>
              <w:left w:val="single" w:color="auto" w:sz="12" w:space="0"/>
              <w:bottom w:val="single" w:color="auto" w:sz="6" w:space="0"/>
              <w:right w:val="single" w:color="auto" w:sz="6" w:space="0"/>
            </w:tcBorders>
            <w:vAlign w:val="center"/>
          </w:tcPr>
          <w:p w14:paraId="30B45989">
            <w:pPr>
              <w:jc w:val="center"/>
              <w:rPr>
                <w:rFonts w:hint="eastAsia" w:ascii="宋体" w:hAnsi="宋体" w:cs="宋体"/>
                <w:szCs w:val="21"/>
              </w:rPr>
            </w:pPr>
            <w:r>
              <w:rPr>
                <w:rFonts w:hint="eastAsia" w:ascii="宋体" w:hAnsi="宋体" w:cs="宋体"/>
                <w:szCs w:val="21"/>
              </w:rPr>
              <w:t>说明在岗情况</w:t>
            </w:r>
          </w:p>
        </w:tc>
        <w:tc>
          <w:tcPr>
            <w:tcW w:w="8075" w:type="dxa"/>
            <w:gridSpan w:val="8"/>
            <w:tcBorders>
              <w:top w:val="single" w:color="auto" w:sz="6" w:space="0"/>
              <w:left w:val="single" w:color="auto" w:sz="6" w:space="0"/>
              <w:bottom w:val="single" w:color="auto" w:sz="6" w:space="0"/>
              <w:right w:val="single" w:color="auto" w:sz="12" w:space="0"/>
            </w:tcBorders>
            <w:vAlign w:val="center"/>
          </w:tcPr>
          <w:p w14:paraId="2E50D872">
            <w:pPr>
              <w:tabs>
                <w:tab w:val="left" w:pos="5780"/>
              </w:tabs>
              <w:autoSpaceDE w:val="0"/>
              <w:autoSpaceDN w:val="0"/>
              <w:spacing w:before="90"/>
              <w:rPr>
                <w:rFonts w:hint="eastAsia" w:ascii="宋体" w:hAnsi="宋体" w:cs="宋体"/>
                <w:kern w:val="0"/>
                <w:szCs w:val="22"/>
                <w:lang w:val="zh-CN" w:bidi="zh-CN"/>
              </w:rPr>
            </w:pPr>
            <w:r>
              <w:rPr>
                <w:rFonts w:hint="eastAsia" w:ascii="宋体" w:hAnsi="宋体" w:cs="宋体"/>
                <w:kern w:val="0"/>
                <w:szCs w:val="22"/>
                <w:lang w:val="zh-CN" w:bidi="zh-CN"/>
              </w:rPr>
              <w:t>□目</w:t>
            </w:r>
            <w:r>
              <w:rPr>
                <w:rFonts w:hint="eastAsia" w:ascii="宋体" w:hAnsi="宋体" w:cs="宋体"/>
                <w:spacing w:val="-3"/>
                <w:kern w:val="0"/>
                <w:szCs w:val="22"/>
                <w:lang w:val="zh-CN" w:bidi="zh-CN"/>
              </w:rPr>
              <w:t>前</w:t>
            </w:r>
            <w:r>
              <w:rPr>
                <w:rFonts w:hint="eastAsia" w:ascii="宋体" w:hAnsi="宋体" w:cs="宋体"/>
                <w:kern w:val="0"/>
                <w:szCs w:val="22"/>
                <w:lang w:val="zh-CN" w:bidi="zh-CN"/>
              </w:rPr>
              <w:t>未</w:t>
            </w:r>
            <w:r>
              <w:rPr>
                <w:rFonts w:hint="eastAsia" w:ascii="宋体" w:hAnsi="宋体" w:cs="宋体"/>
                <w:spacing w:val="-3"/>
                <w:kern w:val="0"/>
                <w:szCs w:val="22"/>
                <w:lang w:val="zh-CN" w:bidi="zh-CN"/>
              </w:rPr>
              <w:t>在</w:t>
            </w:r>
            <w:r>
              <w:rPr>
                <w:rFonts w:hint="eastAsia" w:ascii="宋体" w:hAnsi="宋体" w:cs="宋体"/>
                <w:kern w:val="0"/>
                <w:szCs w:val="22"/>
                <w:lang w:val="zh-CN" w:bidi="zh-CN"/>
              </w:rPr>
              <w:t>其</w:t>
            </w:r>
            <w:r>
              <w:rPr>
                <w:rFonts w:hint="eastAsia" w:ascii="宋体" w:hAnsi="宋体" w:cs="宋体"/>
                <w:spacing w:val="-3"/>
                <w:kern w:val="0"/>
                <w:szCs w:val="22"/>
                <w:lang w:val="zh-CN" w:bidi="zh-CN"/>
              </w:rPr>
              <w:t>他</w:t>
            </w:r>
            <w:r>
              <w:rPr>
                <w:rFonts w:hint="eastAsia" w:ascii="宋体" w:hAnsi="宋体" w:cs="宋体"/>
                <w:kern w:val="0"/>
                <w:szCs w:val="22"/>
                <w:lang w:val="zh-CN" w:bidi="zh-CN"/>
              </w:rPr>
              <w:t>项</w:t>
            </w:r>
            <w:r>
              <w:rPr>
                <w:rFonts w:hint="eastAsia" w:ascii="宋体" w:hAnsi="宋体" w:cs="宋体"/>
                <w:spacing w:val="-3"/>
                <w:kern w:val="0"/>
                <w:szCs w:val="22"/>
                <w:lang w:val="zh-CN" w:bidi="zh-CN"/>
              </w:rPr>
              <w:t>目</w:t>
            </w:r>
            <w:r>
              <w:rPr>
                <w:rFonts w:hint="eastAsia" w:ascii="宋体" w:hAnsi="宋体" w:cs="宋体"/>
                <w:kern w:val="0"/>
                <w:szCs w:val="22"/>
                <w:lang w:val="zh-CN" w:bidi="zh-CN"/>
              </w:rPr>
              <w:t>上</w:t>
            </w:r>
            <w:r>
              <w:rPr>
                <w:rFonts w:hint="eastAsia" w:ascii="宋体" w:hAnsi="宋体" w:cs="宋体"/>
                <w:spacing w:val="-3"/>
                <w:kern w:val="0"/>
                <w:szCs w:val="22"/>
                <w:lang w:val="zh-CN" w:bidi="zh-CN"/>
              </w:rPr>
              <w:t>任</w:t>
            </w:r>
            <w:r>
              <w:rPr>
                <w:rFonts w:hint="eastAsia" w:ascii="宋体" w:hAnsi="宋体" w:cs="宋体"/>
                <w:kern w:val="0"/>
                <w:szCs w:val="22"/>
                <w:lang w:val="zh-CN" w:bidi="zh-CN"/>
              </w:rPr>
              <w:t>职，</w:t>
            </w:r>
            <w:r>
              <w:rPr>
                <w:rFonts w:hint="eastAsia" w:ascii="宋体" w:hAnsi="宋体" w:cs="宋体"/>
                <w:spacing w:val="-3"/>
                <w:kern w:val="0"/>
                <w:szCs w:val="22"/>
                <w:lang w:val="zh-CN" w:bidi="zh-CN"/>
              </w:rPr>
              <w:t>现</w:t>
            </w:r>
            <w:r>
              <w:rPr>
                <w:rFonts w:hint="eastAsia" w:ascii="宋体" w:hAnsi="宋体" w:cs="宋体"/>
                <w:kern w:val="0"/>
                <w:szCs w:val="22"/>
                <w:lang w:val="zh-CN" w:bidi="zh-CN"/>
              </w:rPr>
              <w:t>从</w:t>
            </w:r>
            <w:r>
              <w:rPr>
                <w:rFonts w:hint="eastAsia" w:ascii="宋体" w:hAnsi="宋体" w:cs="宋体"/>
                <w:spacing w:val="-3"/>
                <w:kern w:val="0"/>
                <w:szCs w:val="22"/>
                <w:lang w:val="zh-CN" w:bidi="zh-CN"/>
              </w:rPr>
              <w:t>事</w:t>
            </w:r>
            <w:r>
              <w:rPr>
                <w:rFonts w:hint="eastAsia" w:ascii="宋体" w:hAnsi="宋体" w:cs="宋体"/>
                <w:kern w:val="0"/>
                <w:szCs w:val="22"/>
                <w:lang w:val="zh-CN" w:bidi="zh-CN"/>
              </w:rPr>
              <w:t>工</w:t>
            </w:r>
            <w:r>
              <w:rPr>
                <w:rFonts w:hint="eastAsia" w:ascii="宋体" w:hAnsi="宋体" w:cs="宋体"/>
                <w:spacing w:val="-3"/>
                <w:kern w:val="0"/>
                <w:szCs w:val="22"/>
                <w:lang w:val="zh-CN" w:bidi="zh-CN"/>
              </w:rPr>
              <w:t>作</w:t>
            </w:r>
            <w:r>
              <w:rPr>
                <w:rFonts w:hint="eastAsia" w:ascii="宋体" w:hAnsi="宋体" w:cs="宋体"/>
                <w:kern w:val="0"/>
                <w:szCs w:val="22"/>
                <w:lang w:val="zh-CN" w:bidi="zh-CN"/>
              </w:rPr>
              <w:t>为</w:t>
            </w:r>
            <w:r>
              <w:rPr>
                <w:rFonts w:hint="eastAsia" w:ascii="宋体" w:hAnsi="宋体" w:cs="宋体"/>
                <w:spacing w:val="-3"/>
                <w:kern w:val="0"/>
                <w:szCs w:val="22"/>
                <w:lang w:val="zh-CN" w:bidi="zh-CN"/>
              </w:rPr>
              <w:t>：</w:t>
            </w:r>
            <w:r>
              <w:rPr>
                <w:rFonts w:hint="eastAsia" w:ascii="宋体" w:hAnsi="宋体" w:cs="宋体"/>
                <w:spacing w:val="-3"/>
                <w:kern w:val="0"/>
                <w:szCs w:val="22"/>
                <w:u w:val="single"/>
                <w:lang w:val="zh-CN" w:bidi="zh-CN"/>
              </w:rPr>
              <w:tab/>
            </w:r>
            <w:r>
              <w:rPr>
                <w:rFonts w:hint="eastAsia" w:ascii="宋体" w:hAnsi="宋体" w:cs="宋体"/>
                <w:kern w:val="0"/>
                <w:szCs w:val="22"/>
                <w:lang w:val="zh-CN" w:bidi="zh-CN"/>
              </w:rPr>
              <w:t>。</w:t>
            </w:r>
          </w:p>
          <w:p w14:paraId="63D56BB5">
            <w:pPr>
              <w:rPr>
                <w:rFonts w:hint="eastAsia" w:ascii="宋体" w:hAnsi="宋体" w:cs="宋体"/>
                <w:szCs w:val="21"/>
              </w:rPr>
            </w:pPr>
            <w:r>
              <w:rPr>
                <w:rFonts w:hint="eastAsia" w:ascii="宋体" w:hAnsi="宋体" w:cs="宋体"/>
                <w:spacing w:val="5"/>
                <w:kern w:val="0"/>
                <w:szCs w:val="22"/>
                <w:lang w:val="zh-CN" w:bidi="zh-CN"/>
              </w:rPr>
              <w:t>□目前虽在其他项</w:t>
            </w:r>
            <w:r>
              <w:rPr>
                <w:rFonts w:hint="eastAsia" w:ascii="宋体" w:hAnsi="宋体" w:cs="宋体"/>
                <w:spacing w:val="2"/>
                <w:kern w:val="0"/>
                <w:szCs w:val="22"/>
                <w:lang w:val="zh-CN" w:bidi="zh-CN"/>
              </w:rPr>
              <w:t>目</w:t>
            </w:r>
            <w:r>
              <w:rPr>
                <w:rFonts w:hint="eastAsia" w:ascii="宋体" w:hAnsi="宋体" w:cs="宋体"/>
                <w:spacing w:val="5"/>
                <w:kern w:val="0"/>
                <w:szCs w:val="22"/>
                <w:lang w:val="zh-CN" w:bidi="zh-CN"/>
              </w:rPr>
              <w:t>上</w:t>
            </w:r>
            <w:r>
              <w:rPr>
                <w:rFonts w:hint="eastAsia" w:ascii="宋体" w:hAnsi="宋体" w:cs="宋体"/>
                <w:spacing w:val="2"/>
                <w:kern w:val="0"/>
                <w:szCs w:val="22"/>
                <w:lang w:val="zh-CN" w:bidi="zh-CN"/>
              </w:rPr>
              <w:t>任</w:t>
            </w:r>
            <w:r>
              <w:rPr>
                <w:rFonts w:hint="eastAsia" w:ascii="宋体" w:hAnsi="宋体" w:cs="宋体"/>
                <w:spacing w:val="5"/>
                <w:kern w:val="0"/>
                <w:szCs w:val="22"/>
                <w:lang w:val="zh-CN" w:bidi="zh-CN"/>
              </w:rPr>
              <w:t>职，但本项目中标</w:t>
            </w:r>
            <w:r>
              <w:rPr>
                <w:rFonts w:hint="eastAsia" w:ascii="宋体" w:hAnsi="宋体" w:cs="宋体"/>
                <w:spacing w:val="2"/>
                <w:kern w:val="0"/>
                <w:szCs w:val="22"/>
                <w:lang w:val="zh-CN" w:bidi="zh-CN"/>
              </w:rPr>
              <w:t>后</w:t>
            </w:r>
            <w:r>
              <w:rPr>
                <w:rFonts w:hint="eastAsia" w:ascii="宋体" w:hAnsi="宋体" w:cs="宋体"/>
                <w:spacing w:val="5"/>
                <w:kern w:val="0"/>
                <w:szCs w:val="22"/>
                <w:lang w:val="zh-CN" w:bidi="zh-CN"/>
              </w:rPr>
              <w:t>能</w:t>
            </w:r>
            <w:r>
              <w:rPr>
                <w:rFonts w:hint="eastAsia" w:ascii="宋体" w:hAnsi="宋体" w:cs="宋体"/>
                <w:spacing w:val="2"/>
                <w:kern w:val="0"/>
                <w:szCs w:val="22"/>
                <w:lang w:val="zh-CN" w:bidi="zh-CN"/>
              </w:rPr>
              <w:t>够</w:t>
            </w:r>
            <w:r>
              <w:rPr>
                <w:rFonts w:hint="eastAsia" w:ascii="宋体" w:hAnsi="宋体" w:cs="宋体"/>
                <w:spacing w:val="5"/>
                <w:kern w:val="0"/>
                <w:szCs w:val="22"/>
                <w:lang w:val="zh-CN" w:bidi="zh-CN"/>
              </w:rPr>
              <w:t>从该</w:t>
            </w:r>
            <w:r>
              <w:rPr>
                <w:rFonts w:hint="eastAsia" w:ascii="宋体" w:hAnsi="宋体" w:cs="宋体"/>
                <w:spacing w:val="10"/>
                <w:kern w:val="0"/>
                <w:szCs w:val="22"/>
                <w:lang w:val="zh-CN" w:bidi="zh-CN"/>
              </w:rPr>
              <w:t>项</w:t>
            </w:r>
            <w:r>
              <w:rPr>
                <w:rFonts w:hint="eastAsia" w:ascii="宋体" w:hAnsi="宋体" w:cs="宋体"/>
                <w:spacing w:val="5"/>
                <w:kern w:val="0"/>
                <w:szCs w:val="22"/>
                <w:lang w:val="zh-CN" w:bidi="zh-CN"/>
              </w:rPr>
              <w:t>目撤</w:t>
            </w:r>
            <w:r>
              <w:rPr>
                <w:rFonts w:hint="eastAsia" w:ascii="宋体" w:hAnsi="宋体" w:cs="宋体"/>
                <w:kern w:val="0"/>
                <w:szCs w:val="22"/>
                <w:lang w:val="zh-CN" w:bidi="zh-CN"/>
              </w:rPr>
              <w:t>离</w:t>
            </w:r>
            <w:r>
              <w:rPr>
                <w:rFonts w:hint="eastAsia" w:ascii="宋体" w:hAnsi="宋体" w:cs="宋体"/>
                <w:spacing w:val="-82"/>
                <w:kern w:val="0"/>
                <w:szCs w:val="22"/>
                <w:lang w:val="zh-CN" w:bidi="zh-CN"/>
              </w:rPr>
              <w:t>，</w:t>
            </w:r>
            <w:r>
              <w:rPr>
                <w:rFonts w:hint="eastAsia" w:ascii="宋体" w:hAnsi="宋体" w:cs="宋体"/>
                <w:kern w:val="0"/>
                <w:szCs w:val="22"/>
                <w:lang w:val="zh-CN" w:bidi="zh-CN"/>
              </w:rPr>
              <w:t>目前</w:t>
            </w:r>
            <w:r>
              <w:rPr>
                <w:rFonts w:hint="eastAsia" w:ascii="宋体" w:hAnsi="宋体" w:cs="宋体"/>
                <w:spacing w:val="-3"/>
                <w:kern w:val="0"/>
                <w:szCs w:val="22"/>
                <w:lang w:val="zh-CN" w:bidi="zh-CN"/>
              </w:rPr>
              <w:t>任</w:t>
            </w:r>
            <w:r>
              <w:rPr>
                <w:rFonts w:hint="eastAsia" w:ascii="宋体" w:hAnsi="宋体" w:cs="宋体"/>
                <w:kern w:val="0"/>
                <w:szCs w:val="22"/>
                <w:lang w:val="zh-CN" w:bidi="zh-CN"/>
              </w:rPr>
              <w:t>职</w:t>
            </w:r>
            <w:r>
              <w:rPr>
                <w:rFonts w:hint="eastAsia" w:ascii="宋体" w:hAnsi="宋体" w:cs="宋体"/>
                <w:spacing w:val="-3"/>
                <w:kern w:val="0"/>
                <w:szCs w:val="22"/>
                <w:lang w:val="zh-CN" w:bidi="zh-CN"/>
              </w:rPr>
              <w:t>项</w:t>
            </w:r>
            <w:r>
              <w:rPr>
                <w:rFonts w:hint="eastAsia" w:ascii="宋体" w:hAnsi="宋体" w:cs="宋体"/>
                <w:kern w:val="0"/>
                <w:szCs w:val="22"/>
                <w:lang w:val="zh-CN" w:bidi="zh-CN"/>
              </w:rPr>
              <w:t>目：</w:t>
            </w:r>
            <w:r>
              <w:rPr>
                <w:rFonts w:hint="eastAsia" w:ascii="宋体" w:hAnsi="宋体" w:cs="宋体"/>
                <w:kern w:val="0"/>
                <w:szCs w:val="22"/>
                <w:u w:val="single"/>
                <w:lang w:val="zh-CN" w:bidi="zh-CN"/>
              </w:rPr>
              <w:tab/>
            </w:r>
            <w:r>
              <w:rPr>
                <w:rFonts w:hint="eastAsia" w:ascii="宋体" w:hAnsi="宋体" w:cs="宋体"/>
                <w:kern w:val="0"/>
                <w:szCs w:val="22"/>
                <w:u w:val="single"/>
                <w:lang w:val="zh-CN" w:bidi="zh-CN"/>
              </w:rPr>
              <w:t xml:space="preserve">      </w:t>
            </w:r>
            <w:r>
              <w:rPr>
                <w:rFonts w:hint="eastAsia" w:ascii="宋体" w:hAnsi="宋体" w:cs="宋体"/>
                <w:kern w:val="0"/>
                <w:szCs w:val="22"/>
                <w:lang w:val="zh-CN" w:bidi="zh-CN"/>
              </w:rPr>
              <w:t>，担</w:t>
            </w:r>
            <w:r>
              <w:rPr>
                <w:rFonts w:hint="eastAsia" w:ascii="宋体" w:hAnsi="宋体" w:cs="宋体"/>
                <w:spacing w:val="-3"/>
                <w:kern w:val="0"/>
                <w:szCs w:val="22"/>
                <w:lang w:val="zh-CN" w:bidi="zh-CN"/>
              </w:rPr>
              <w:t>任</w:t>
            </w:r>
            <w:r>
              <w:rPr>
                <w:rFonts w:hint="eastAsia" w:ascii="宋体" w:hAnsi="宋体" w:cs="宋体"/>
                <w:kern w:val="0"/>
                <w:szCs w:val="22"/>
                <w:lang w:val="zh-CN" w:bidi="zh-CN"/>
              </w:rPr>
              <w:t>职</w:t>
            </w:r>
            <w:r>
              <w:rPr>
                <w:rFonts w:hint="eastAsia" w:ascii="宋体" w:hAnsi="宋体" w:cs="宋体"/>
                <w:spacing w:val="-3"/>
                <w:kern w:val="0"/>
                <w:szCs w:val="22"/>
                <w:lang w:val="zh-CN" w:bidi="zh-CN"/>
              </w:rPr>
              <w:t>位</w:t>
            </w:r>
            <w:r>
              <w:rPr>
                <w:rFonts w:hint="eastAsia" w:ascii="宋体" w:hAnsi="宋体" w:cs="宋体"/>
                <w:kern w:val="0"/>
                <w:szCs w:val="22"/>
                <w:lang w:val="zh-CN" w:bidi="zh-CN"/>
              </w:rPr>
              <w:t>：</w:t>
            </w:r>
            <w:r>
              <w:rPr>
                <w:rFonts w:hint="eastAsia" w:ascii="宋体" w:hAnsi="宋体" w:cs="宋体"/>
                <w:kern w:val="0"/>
                <w:szCs w:val="22"/>
                <w:u w:val="single"/>
                <w:lang w:val="zh-CN" w:bidi="zh-CN"/>
              </w:rPr>
              <w:t xml:space="preserve">           </w:t>
            </w:r>
            <w:r>
              <w:rPr>
                <w:rFonts w:hint="eastAsia" w:ascii="宋体" w:hAnsi="宋体" w:cs="宋体"/>
                <w:kern w:val="0"/>
                <w:szCs w:val="22"/>
                <w:lang w:val="zh-CN" w:bidi="zh-CN"/>
              </w:rPr>
              <w:t>。</w:t>
            </w:r>
          </w:p>
        </w:tc>
      </w:tr>
      <w:tr w14:paraId="749AA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1355" w:type="dxa"/>
            <w:tcBorders>
              <w:top w:val="single" w:color="auto" w:sz="6" w:space="0"/>
              <w:left w:val="single" w:color="auto" w:sz="12" w:space="0"/>
              <w:bottom w:val="single" w:color="auto" w:sz="12" w:space="0"/>
              <w:right w:val="single" w:color="auto" w:sz="6" w:space="0"/>
            </w:tcBorders>
            <w:vAlign w:val="center"/>
          </w:tcPr>
          <w:p w14:paraId="7048F94C">
            <w:pPr>
              <w:jc w:val="center"/>
              <w:rPr>
                <w:rFonts w:hint="eastAsia" w:ascii="宋体" w:hAnsi="宋体" w:cs="宋体"/>
                <w:szCs w:val="21"/>
              </w:rPr>
            </w:pPr>
            <w:r>
              <w:rPr>
                <w:rFonts w:hint="eastAsia" w:ascii="宋体" w:hAnsi="宋体" w:cs="宋体"/>
                <w:szCs w:val="21"/>
              </w:rPr>
              <w:t>备注</w:t>
            </w:r>
          </w:p>
        </w:tc>
        <w:tc>
          <w:tcPr>
            <w:tcW w:w="8075" w:type="dxa"/>
            <w:gridSpan w:val="8"/>
            <w:tcBorders>
              <w:top w:val="single" w:color="auto" w:sz="6" w:space="0"/>
              <w:left w:val="single" w:color="auto" w:sz="6" w:space="0"/>
              <w:bottom w:val="single" w:color="auto" w:sz="12" w:space="0"/>
              <w:right w:val="single" w:color="auto" w:sz="12" w:space="0"/>
            </w:tcBorders>
            <w:vAlign w:val="center"/>
          </w:tcPr>
          <w:p w14:paraId="32DA8A0D">
            <w:pPr>
              <w:jc w:val="center"/>
              <w:rPr>
                <w:rFonts w:hint="eastAsia" w:ascii="宋体" w:hAnsi="宋体" w:cs="宋体"/>
                <w:szCs w:val="21"/>
              </w:rPr>
            </w:pPr>
          </w:p>
        </w:tc>
      </w:tr>
      <w:bookmarkEnd w:id="97"/>
      <w:bookmarkEnd w:id="98"/>
      <w:bookmarkEnd w:id="99"/>
      <w:bookmarkEnd w:id="100"/>
      <w:bookmarkEnd w:id="101"/>
      <w:bookmarkEnd w:id="102"/>
    </w:tbl>
    <w:p w14:paraId="59AF71AC">
      <w:pPr>
        <w:spacing w:line="360" w:lineRule="auto"/>
        <w:jc w:val="center"/>
        <w:rPr>
          <w:rFonts w:hint="eastAsia" w:ascii="宋体" w:hAnsi="宋体" w:cs="宋体"/>
          <w:b/>
          <w:bCs/>
          <w:kern w:val="0"/>
          <w:sz w:val="28"/>
          <w:lang w:val="zh-CN" w:bidi="zh-CN"/>
        </w:rPr>
      </w:pPr>
      <w:r>
        <w:rPr>
          <w:rFonts w:hint="eastAsia" w:ascii="宋体" w:hAnsi="宋体" w:cs="宋体"/>
          <w:kern w:val="0"/>
          <w:sz w:val="28"/>
          <w:lang w:val="zh-CN" w:bidi="zh-CN"/>
        </w:rPr>
        <w:br w:type="page"/>
      </w:r>
      <w:r>
        <w:rPr>
          <w:rFonts w:hint="eastAsia" w:ascii="宋体" w:hAnsi="宋体" w:cs="宋体"/>
          <w:b/>
          <w:bCs/>
          <w:kern w:val="0"/>
          <w:sz w:val="28"/>
          <w:lang w:val="zh-CN" w:bidi="zh-CN"/>
        </w:rPr>
        <w:t>施工组织设计</w:t>
      </w:r>
      <w:r>
        <w:rPr>
          <w:rFonts w:hint="eastAsia" w:ascii="宋体" w:hAnsi="宋体" w:cs="宋体"/>
          <w:b/>
          <w:bCs/>
          <w:sz w:val="32"/>
          <w:szCs w:val="32"/>
        </w:rPr>
        <w:t>（适用于B分标）</w:t>
      </w:r>
    </w:p>
    <w:p w14:paraId="4DB4D9C3">
      <w:pPr>
        <w:autoSpaceDE w:val="0"/>
        <w:autoSpaceDN w:val="0"/>
        <w:jc w:val="left"/>
        <w:rPr>
          <w:rFonts w:hint="eastAsia" w:ascii="宋体" w:hAnsi="宋体" w:cs="宋体"/>
          <w:kern w:val="0"/>
          <w:sz w:val="20"/>
          <w:lang w:val="zh-CN" w:bidi="zh-CN"/>
        </w:rPr>
      </w:pPr>
    </w:p>
    <w:p w14:paraId="169D25BA">
      <w:pPr>
        <w:autoSpaceDE w:val="0"/>
        <w:autoSpaceDN w:val="0"/>
        <w:spacing w:line="360" w:lineRule="auto"/>
        <w:jc w:val="center"/>
        <w:rPr>
          <w:rFonts w:hint="eastAsia" w:ascii="宋体" w:hAnsi="宋体" w:cs="宋体"/>
          <w:kern w:val="0"/>
          <w:szCs w:val="21"/>
          <w:lang w:val="zh-CN" w:bidi="zh-CN"/>
        </w:rPr>
      </w:pPr>
      <w:r>
        <w:rPr>
          <w:rFonts w:hint="eastAsia" w:ascii="宋体" w:hAnsi="宋体" w:cs="宋体"/>
          <w:kern w:val="0"/>
          <w:szCs w:val="21"/>
          <w:lang w:val="zh-CN" w:bidi="zh-CN"/>
        </w:rPr>
        <w:t>（</w:t>
      </w:r>
      <w:r>
        <w:rPr>
          <w:rFonts w:hint="eastAsia" w:ascii="宋体" w:hAnsi="宋体" w:cs="宋体"/>
          <w:kern w:val="0"/>
          <w:szCs w:val="21"/>
          <w:lang w:bidi="zh-CN"/>
        </w:rPr>
        <w:t>根据采购需求、工程量清单及图纸自行编制</w:t>
      </w:r>
      <w:r>
        <w:rPr>
          <w:rFonts w:hint="eastAsia" w:ascii="宋体" w:hAnsi="宋体" w:cs="宋体"/>
          <w:kern w:val="0"/>
          <w:szCs w:val="21"/>
          <w:lang w:val="zh-CN" w:bidi="zh-CN"/>
        </w:rPr>
        <w:t>）</w:t>
      </w:r>
    </w:p>
    <w:p w14:paraId="7F93F918">
      <w:pPr>
        <w:spacing w:line="560" w:lineRule="exact"/>
        <w:rPr>
          <w:rFonts w:hint="eastAsia" w:ascii="宋体" w:hAnsi="宋体" w:cs="宋体"/>
          <w:sz w:val="24"/>
        </w:rPr>
      </w:pPr>
    </w:p>
    <w:p w14:paraId="1CDE12A2">
      <w:pPr>
        <w:spacing w:line="560" w:lineRule="exact"/>
        <w:rPr>
          <w:rFonts w:hint="eastAsia" w:ascii="宋体" w:hAnsi="宋体" w:cs="宋体"/>
          <w:sz w:val="24"/>
        </w:rPr>
      </w:pPr>
    </w:p>
    <w:p w14:paraId="6A5315FD">
      <w:pPr>
        <w:spacing w:line="300" w:lineRule="auto"/>
        <w:rPr>
          <w:rFonts w:hint="eastAsia" w:ascii="宋体" w:hAnsi="宋体" w:cs="宋体"/>
          <w:szCs w:val="21"/>
        </w:rPr>
      </w:pPr>
      <w:r>
        <w:rPr>
          <w:rFonts w:hint="eastAsia" w:ascii="宋体" w:hAnsi="宋体" w:cs="宋体"/>
          <w:b/>
          <w:bCs/>
          <w:sz w:val="24"/>
        </w:rPr>
        <w:br w:type="page"/>
      </w:r>
      <w:r>
        <w:rPr>
          <w:rFonts w:hint="eastAsia" w:ascii="宋体" w:hAnsi="宋体" w:cs="宋体"/>
          <w:b/>
          <w:bCs/>
          <w:sz w:val="24"/>
        </w:rPr>
        <w:t>其他文书、文件格式</w:t>
      </w:r>
    </w:p>
    <w:p w14:paraId="78CDAD44">
      <w:pPr>
        <w:adjustRightInd w:val="0"/>
        <w:snapToGrid w:val="0"/>
        <w:spacing w:line="300" w:lineRule="auto"/>
        <w:jc w:val="center"/>
        <w:rPr>
          <w:rFonts w:hint="eastAsia" w:ascii="宋体" w:hAnsi="宋体" w:cs="宋体"/>
          <w:b/>
          <w:sz w:val="32"/>
          <w:szCs w:val="32"/>
        </w:rPr>
      </w:pPr>
      <w:bookmarkStart w:id="103" w:name="_Toc71366061"/>
      <w:bookmarkStart w:id="104" w:name="_Toc71365383"/>
      <w:r>
        <w:rPr>
          <w:rFonts w:hint="eastAsia" w:ascii="宋体" w:hAnsi="宋体" w:cs="宋体"/>
          <w:b/>
          <w:sz w:val="32"/>
          <w:szCs w:val="32"/>
        </w:rPr>
        <w:t>中小企业声明函（货物）</w:t>
      </w:r>
      <w:bookmarkEnd w:id="103"/>
      <w:bookmarkEnd w:id="104"/>
    </w:p>
    <w:p w14:paraId="4D90B23D">
      <w:pPr>
        <w:rPr>
          <w:rFonts w:hint="eastAsia" w:ascii="宋体" w:hAnsi="宋体" w:cs="宋体"/>
          <w:szCs w:val="21"/>
        </w:rPr>
      </w:pPr>
    </w:p>
    <w:p w14:paraId="5412F63C">
      <w:pPr>
        <w:pStyle w:val="11"/>
        <w:spacing w:after="0" w:line="360" w:lineRule="auto"/>
        <w:ind w:left="-426" w:right="142" w:firstLine="640"/>
        <w:contextualSpacing/>
        <w:rPr>
          <w:rFonts w:hint="eastAsia" w:ascii="宋体" w:hAnsi="宋体" w:cs="宋体"/>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03B5EA91">
      <w:pPr>
        <w:tabs>
          <w:tab w:val="left" w:pos="1384"/>
          <w:tab w:val="left" w:pos="4562"/>
          <w:tab w:val="left" w:pos="6803"/>
        </w:tabs>
        <w:spacing w:line="360" w:lineRule="auto"/>
        <w:ind w:left="-426" w:right="-58" w:firstLine="655"/>
        <w:contextualSpacing/>
        <w:rPr>
          <w:rFonts w:hint="eastAsia" w:ascii="宋体" w:hAnsi="宋体" w:cs="宋体"/>
          <w:sz w:val="24"/>
        </w:rPr>
      </w:pPr>
      <w:r>
        <w:rPr>
          <w:rFonts w:hint="eastAsia" w:ascii="宋体" w:hAnsi="宋体" w:cs="宋体"/>
          <w:sz w:val="24"/>
        </w:rPr>
        <w:t>1.</w:t>
      </w:r>
      <w:r>
        <w:rPr>
          <w:rFonts w:hint="eastAsia" w:ascii="宋体" w:hAnsi="宋体" w:cs="宋体"/>
          <w:sz w:val="24"/>
          <w:u w:val="single"/>
        </w:rPr>
        <w:t>（标的名称）</w:t>
      </w:r>
      <w:r>
        <w:rPr>
          <w:rFonts w:hint="eastAsia" w:ascii="宋体" w:hAnsi="宋体" w:cs="宋体"/>
          <w:sz w:val="24"/>
        </w:rPr>
        <w:t>，属于</w:t>
      </w:r>
      <w:r>
        <w:rPr>
          <w:rFonts w:hint="eastAsia" w:ascii="宋体" w:hAnsi="宋体" w:cs="宋体"/>
          <w:sz w:val="24"/>
          <w:u w:val="single"/>
        </w:rPr>
        <w:t>（采购文件中明确的所属行业）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w:t>
      </w:r>
    </w:p>
    <w:p w14:paraId="5397BEEC">
      <w:pPr>
        <w:tabs>
          <w:tab w:val="left" w:pos="1065"/>
          <w:tab w:val="left" w:pos="6477"/>
        </w:tabs>
        <w:spacing w:line="360" w:lineRule="auto"/>
        <w:ind w:left="-426" w:right="-58" w:firstLine="655"/>
        <w:contextualSpacing/>
        <w:rPr>
          <w:rFonts w:hint="eastAsia" w:ascii="宋体" w:hAnsi="宋体" w:cs="宋体"/>
          <w:sz w:val="24"/>
        </w:rPr>
      </w:pPr>
      <w:r>
        <w:rPr>
          <w:rFonts w:hint="eastAsia" w:ascii="宋体" w:hAnsi="宋体" w:cs="宋体"/>
          <w:sz w:val="24"/>
        </w:rPr>
        <w:t>2.</w:t>
      </w:r>
      <w:r>
        <w:rPr>
          <w:rFonts w:hint="eastAsia" w:ascii="宋体" w:hAnsi="宋体" w:cs="宋体"/>
          <w:sz w:val="24"/>
          <w:u w:val="single"/>
        </w:rPr>
        <w:t>（标的名称）</w:t>
      </w:r>
      <w:r>
        <w:rPr>
          <w:rFonts w:hint="eastAsia" w:ascii="宋体" w:hAnsi="宋体" w:cs="宋体"/>
          <w:sz w:val="24"/>
        </w:rPr>
        <w:t>，属于</w:t>
      </w:r>
      <w:r>
        <w:rPr>
          <w:rFonts w:hint="eastAsia" w:ascii="宋体" w:hAnsi="宋体" w:cs="宋体"/>
          <w:sz w:val="24"/>
          <w:u w:val="single"/>
        </w:rPr>
        <w:t>（采购文件中明确的所属行业）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w:t>
      </w:r>
    </w:p>
    <w:p w14:paraId="32E2613A">
      <w:pPr>
        <w:pStyle w:val="11"/>
        <w:spacing w:after="0" w:line="360" w:lineRule="auto"/>
        <w:ind w:left="142" w:right="142"/>
        <w:contextualSpacing/>
        <w:rPr>
          <w:rFonts w:hint="eastAsia" w:ascii="宋体" w:hAnsi="宋体" w:cs="宋体"/>
          <w:sz w:val="24"/>
        </w:rPr>
      </w:pPr>
      <w:r>
        <w:rPr>
          <w:rFonts w:hint="eastAsia" w:ascii="宋体" w:hAnsi="宋体" w:cs="宋体"/>
          <w:sz w:val="24"/>
        </w:rPr>
        <w:t xml:space="preserve">…… </w:t>
      </w:r>
    </w:p>
    <w:p w14:paraId="28C2D893">
      <w:pPr>
        <w:pStyle w:val="11"/>
        <w:spacing w:after="0" w:line="360" w:lineRule="auto"/>
        <w:ind w:left="-405" w:leftChars="-193" w:right="142" w:firstLine="453" w:firstLineChars="189"/>
        <w:contextualSpacing/>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132A5489">
      <w:pPr>
        <w:pStyle w:val="11"/>
        <w:spacing w:after="0" w:line="360" w:lineRule="auto"/>
        <w:ind w:left="-426" w:right="142" w:firstLine="567"/>
        <w:contextualSpacing/>
        <w:rPr>
          <w:rFonts w:hint="eastAsia" w:ascii="宋体" w:hAnsi="宋体" w:cs="宋体"/>
          <w:sz w:val="24"/>
        </w:rPr>
      </w:pPr>
      <w:r>
        <w:rPr>
          <w:rFonts w:hint="eastAsia" w:ascii="宋体" w:hAnsi="宋体" w:cs="宋体"/>
          <w:sz w:val="24"/>
        </w:rPr>
        <w:t>本企业对上述声明内容的真实性负责。如有虚假，将依法承担相应责任。</w:t>
      </w:r>
    </w:p>
    <w:p w14:paraId="36141D92">
      <w:pPr>
        <w:pStyle w:val="11"/>
        <w:spacing w:after="0" w:line="360" w:lineRule="auto"/>
        <w:ind w:left="3960" w:right="1808"/>
        <w:contextualSpacing/>
        <w:rPr>
          <w:rFonts w:hint="eastAsia" w:ascii="宋体" w:hAnsi="宋体" w:cs="宋体"/>
          <w:sz w:val="24"/>
        </w:rPr>
      </w:pPr>
    </w:p>
    <w:p w14:paraId="6D3C1763">
      <w:pPr>
        <w:pStyle w:val="11"/>
        <w:spacing w:after="0" w:line="360" w:lineRule="auto"/>
        <w:ind w:left="3960" w:right="1808"/>
        <w:contextualSpacing/>
        <w:rPr>
          <w:rFonts w:hint="eastAsia" w:ascii="宋体" w:hAnsi="宋体" w:cs="宋体"/>
          <w:sz w:val="24"/>
        </w:rPr>
      </w:pPr>
      <w:r>
        <w:rPr>
          <w:rFonts w:hint="eastAsia" w:ascii="宋体" w:hAnsi="宋体" w:cs="宋体"/>
          <w:sz w:val="24"/>
        </w:rPr>
        <w:t>企业名称（</w:t>
      </w:r>
      <w:r>
        <w:rPr>
          <w:rFonts w:hint="eastAsia" w:ascii="宋体" w:hAnsi="宋体"/>
          <w:sz w:val="24"/>
        </w:rPr>
        <w:t>盖章</w:t>
      </w:r>
      <w:r>
        <w:rPr>
          <w:rFonts w:hint="eastAsia" w:ascii="宋体" w:hAnsi="宋体" w:cs="宋体"/>
          <w:sz w:val="24"/>
        </w:rPr>
        <w:t xml:space="preserve">）： </w:t>
      </w:r>
    </w:p>
    <w:p w14:paraId="041D0590">
      <w:pPr>
        <w:pStyle w:val="11"/>
        <w:spacing w:after="0" w:line="360" w:lineRule="auto"/>
        <w:ind w:left="3960" w:right="1808"/>
        <w:contextualSpacing/>
        <w:rPr>
          <w:rFonts w:hint="eastAsia" w:ascii="宋体" w:hAnsi="宋体" w:cs="宋体"/>
          <w:sz w:val="24"/>
        </w:rPr>
      </w:pPr>
      <w:r>
        <w:rPr>
          <w:rFonts w:hint="eastAsia" w:ascii="宋体" w:hAnsi="宋体" w:cs="宋体"/>
          <w:sz w:val="24"/>
        </w:rPr>
        <w:t>日 期：</w:t>
      </w:r>
    </w:p>
    <w:p w14:paraId="6E9B0AE2">
      <w:pPr>
        <w:pStyle w:val="11"/>
        <w:spacing w:after="0" w:line="360" w:lineRule="auto"/>
        <w:ind w:left="3960" w:right="1808"/>
        <w:contextualSpacing/>
        <w:rPr>
          <w:rFonts w:hint="eastAsia" w:ascii="宋体" w:hAnsi="宋体" w:cs="宋体"/>
          <w:sz w:val="24"/>
        </w:rPr>
      </w:pPr>
    </w:p>
    <w:p w14:paraId="6608DB0E">
      <w:pPr>
        <w:spacing w:line="360" w:lineRule="auto"/>
        <w:jc w:val="left"/>
        <w:rPr>
          <w:rFonts w:hint="eastAsia" w:ascii="宋体" w:hAnsi="宋体" w:cs="宋体"/>
          <w:sz w:val="24"/>
        </w:rPr>
      </w:pPr>
      <w:r>
        <w:rPr>
          <w:rFonts w:hint="eastAsia" w:ascii="宋体" w:hAnsi="宋体" w:cs="宋体"/>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3F4EC47C">
      <w:pPr>
        <w:spacing w:line="360" w:lineRule="auto"/>
        <w:jc w:val="center"/>
        <w:rPr>
          <w:rFonts w:hint="eastAsia" w:ascii="宋体" w:hAnsi="宋体" w:cs="宋体"/>
          <w:sz w:val="24"/>
        </w:rPr>
        <w:sectPr>
          <w:pgSz w:w="11910" w:h="16840"/>
          <w:pgMar w:top="1340" w:right="1500" w:bottom="1338" w:left="1502" w:header="720" w:footer="720" w:gutter="0"/>
          <w:cols w:space="720" w:num="1"/>
        </w:sectPr>
      </w:pPr>
    </w:p>
    <w:p w14:paraId="14AE9B17">
      <w:pPr>
        <w:jc w:val="center"/>
        <w:rPr>
          <w:rFonts w:hint="eastAsia" w:ascii="宋体" w:hAnsi="宋体" w:cs="宋体"/>
          <w:b/>
          <w:bCs/>
          <w:sz w:val="32"/>
          <w:szCs w:val="32"/>
        </w:rPr>
      </w:pPr>
      <w:bookmarkStart w:id="105" w:name="_Toc71365926"/>
      <w:r>
        <w:rPr>
          <w:rFonts w:hint="eastAsia" w:ascii="宋体" w:hAnsi="宋体" w:cs="宋体"/>
          <w:b/>
          <w:bCs/>
          <w:sz w:val="32"/>
          <w:szCs w:val="32"/>
        </w:rPr>
        <w:t>中小企业声明函（工程）</w:t>
      </w:r>
      <w:bookmarkEnd w:id="105"/>
    </w:p>
    <w:p w14:paraId="3609D6D0">
      <w:pPr>
        <w:spacing w:before="2" w:line="500" w:lineRule="exact"/>
        <w:ind w:firstLine="708" w:firstLineChars="294"/>
        <w:rPr>
          <w:rFonts w:hint="eastAsia" w:ascii="宋体" w:hAnsi="宋体" w:cs="宋体"/>
          <w:b/>
          <w:bCs/>
          <w:sz w:val="24"/>
        </w:rPr>
      </w:pPr>
    </w:p>
    <w:p w14:paraId="3D4020D9">
      <w:pPr>
        <w:pStyle w:val="11"/>
        <w:spacing w:after="0" w:line="360" w:lineRule="auto"/>
        <w:ind w:firstLine="705" w:firstLineChars="294"/>
        <w:rPr>
          <w:rFonts w:hint="eastAsia" w:ascii="宋体" w:hAnsi="宋体"/>
          <w:sz w:val="24"/>
        </w:rPr>
      </w:pPr>
      <w:r>
        <w:rPr>
          <w:rFonts w:ascii="宋体" w:hAnsi="宋体"/>
          <w:sz w:val="24"/>
        </w:rPr>
        <w:t>本公司（联合体）郑重声明，根据《政府采购促进中小企业发展管理办法》（财库﹝2020﹞46号）的规定，本公司（联合体）参加</w:t>
      </w:r>
      <w:r>
        <w:rPr>
          <w:rFonts w:ascii="宋体" w:hAnsi="宋体"/>
          <w:sz w:val="24"/>
          <w:u w:val="single"/>
        </w:rPr>
        <w:t>（单位名称）</w:t>
      </w:r>
      <w:r>
        <w:rPr>
          <w:rFonts w:ascii="宋体" w:hAnsi="宋体"/>
          <w:sz w:val="24"/>
        </w:rPr>
        <w:t>的</w:t>
      </w:r>
      <w:r>
        <w:rPr>
          <w:rFonts w:ascii="宋体" w:hAnsi="宋体"/>
          <w:sz w:val="24"/>
          <w:u w:val="single"/>
        </w:rPr>
        <w:t>（项目名称）</w:t>
      </w:r>
      <w:r>
        <w:rPr>
          <w:rFonts w:ascii="宋体" w:hAnsi="宋体"/>
          <w:sz w:val="24"/>
        </w:rPr>
        <w:t>采购活动，</w:t>
      </w:r>
      <w:r>
        <w:rPr>
          <w:rFonts w:hint="eastAsia" w:ascii="宋体" w:hAnsi="宋体"/>
          <w:sz w:val="24"/>
        </w:rPr>
        <w:t>工程的施工单位全部为符合政策要求的中小企业。相关企业（含联合体中的中小企业、签订分包意向协议的中小企业）的具体情况如下：</w:t>
      </w:r>
    </w:p>
    <w:p w14:paraId="600DB1AE">
      <w:pPr>
        <w:tabs>
          <w:tab w:val="left" w:pos="1384"/>
          <w:tab w:val="left" w:pos="4562"/>
          <w:tab w:val="left" w:pos="6803"/>
        </w:tabs>
        <w:spacing w:line="360" w:lineRule="auto"/>
        <w:ind w:firstLine="772" w:firstLineChars="322"/>
        <w:rPr>
          <w:rFonts w:hint="eastAsia" w:ascii="宋体" w:hAnsi="宋体"/>
          <w:sz w:val="24"/>
        </w:rPr>
      </w:pPr>
      <w:r>
        <w:rPr>
          <w:rFonts w:ascii="宋体" w:hAnsi="宋体"/>
          <w:sz w:val="24"/>
        </w:rPr>
        <w:t>1.</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w:t>
      </w:r>
      <w:r>
        <w:rPr>
          <w:rFonts w:ascii="宋体" w:hAnsi="宋体"/>
          <w:sz w:val="24"/>
          <w:u w:val="single"/>
        </w:rPr>
        <w:t>业）</w:t>
      </w:r>
      <w:r>
        <w:rPr>
          <w:rFonts w:ascii="宋体" w:hAnsi="宋体"/>
          <w:sz w:val="24"/>
        </w:rPr>
        <w:t>；</w:t>
      </w:r>
      <w:r>
        <w:rPr>
          <w:rFonts w:hint="eastAsia" w:ascii="宋体" w:hAnsi="宋体"/>
          <w:sz w:val="24"/>
        </w:rPr>
        <w:t>承建企业为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14:paraId="00B55B65">
      <w:pPr>
        <w:tabs>
          <w:tab w:val="left" w:pos="1065"/>
          <w:tab w:val="left" w:pos="4262"/>
          <w:tab w:val="left" w:pos="6477"/>
        </w:tabs>
        <w:spacing w:line="360" w:lineRule="auto"/>
        <w:ind w:firstLine="772" w:firstLineChars="322"/>
        <w:rPr>
          <w:rFonts w:hint="eastAsia" w:ascii="宋体" w:hAnsi="宋体"/>
          <w:sz w:val="24"/>
          <w:u w:val="single"/>
        </w:rPr>
      </w:pPr>
      <w:r>
        <w:rPr>
          <w:rFonts w:ascii="宋体" w:hAnsi="宋体"/>
          <w:sz w:val="24"/>
        </w:rPr>
        <w:t>2.</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行业</w:t>
      </w:r>
      <w:r>
        <w:rPr>
          <w:rFonts w:ascii="宋体" w:hAnsi="宋体"/>
          <w:sz w:val="24"/>
          <w:u w:val="single"/>
        </w:rPr>
        <w:t>）</w:t>
      </w:r>
      <w:r>
        <w:rPr>
          <w:rFonts w:ascii="宋体" w:hAnsi="宋体"/>
          <w:sz w:val="24"/>
        </w:rPr>
        <w:t>；</w:t>
      </w:r>
      <w:r>
        <w:rPr>
          <w:rFonts w:hint="eastAsia" w:ascii="宋体" w:hAnsi="宋体"/>
          <w:sz w:val="24"/>
        </w:rPr>
        <w:t>承建企业为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14:paraId="244D6DBE">
      <w:pPr>
        <w:pStyle w:val="11"/>
        <w:spacing w:after="0" w:line="360" w:lineRule="auto"/>
        <w:ind w:firstLine="705" w:firstLineChars="294"/>
        <w:rPr>
          <w:rFonts w:hint="eastAsia" w:ascii="宋体" w:hAnsi="宋体"/>
          <w:sz w:val="24"/>
        </w:rPr>
      </w:pPr>
      <w:r>
        <w:rPr>
          <w:rFonts w:ascii="宋体" w:hAnsi="宋体"/>
          <w:sz w:val="24"/>
        </w:rPr>
        <w:t xml:space="preserve">…… </w:t>
      </w:r>
    </w:p>
    <w:p w14:paraId="2DA5D3FC">
      <w:pPr>
        <w:pStyle w:val="11"/>
        <w:spacing w:after="0" w:line="360" w:lineRule="auto"/>
        <w:ind w:firstLine="705" w:firstLineChars="294"/>
        <w:rPr>
          <w:rFonts w:hint="eastAsia" w:ascii="宋体" w:hAnsi="宋体"/>
          <w:sz w:val="24"/>
        </w:rPr>
      </w:pPr>
      <w:r>
        <w:rPr>
          <w:rFonts w:ascii="宋体" w:hAnsi="宋体"/>
          <w:sz w:val="24"/>
        </w:rPr>
        <w:t>以上企业，不属于大企业的分支机构，不存在控股股东为大企业的情形，也不存在与大企业的负责人为同一人的情形。</w:t>
      </w:r>
    </w:p>
    <w:p w14:paraId="1DC1E4ED">
      <w:pPr>
        <w:pStyle w:val="11"/>
        <w:spacing w:after="0" w:line="360" w:lineRule="auto"/>
        <w:ind w:firstLine="705" w:firstLineChars="294"/>
        <w:rPr>
          <w:rFonts w:hint="eastAsia" w:ascii="宋体" w:hAnsi="宋体"/>
          <w:sz w:val="24"/>
        </w:rPr>
      </w:pPr>
      <w:r>
        <w:rPr>
          <w:rFonts w:ascii="宋体" w:hAnsi="宋体"/>
          <w:sz w:val="24"/>
        </w:rPr>
        <w:t>本企业对上述声明内容的真实性负责。如有虚假，将依法承担相应责任。</w:t>
      </w:r>
    </w:p>
    <w:p w14:paraId="7843776D">
      <w:pPr>
        <w:pStyle w:val="11"/>
        <w:spacing w:after="0" w:line="360" w:lineRule="auto"/>
        <w:ind w:firstLine="5625" w:firstLineChars="2344"/>
        <w:rPr>
          <w:rFonts w:hint="eastAsia" w:ascii="宋体" w:hAnsi="宋体"/>
          <w:sz w:val="24"/>
        </w:rPr>
      </w:pPr>
    </w:p>
    <w:p w14:paraId="1830786E">
      <w:pPr>
        <w:pStyle w:val="11"/>
        <w:spacing w:after="0" w:line="360" w:lineRule="auto"/>
        <w:ind w:firstLine="5625" w:firstLineChars="2344"/>
        <w:rPr>
          <w:rFonts w:hint="eastAsia" w:ascii="宋体" w:hAnsi="宋体"/>
          <w:sz w:val="24"/>
        </w:rPr>
      </w:pPr>
      <w:r>
        <w:rPr>
          <w:rFonts w:ascii="宋体" w:hAnsi="宋体"/>
          <w:sz w:val="24"/>
        </w:rPr>
        <w:t>企业名称（</w:t>
      </w:r>
      <w:r>
        <w:rPr>
          <w:rFonts w:hint="eastAsia" w:ascii="宋体" w:hAnsi="宋体"/>
          <w:sz w:val="24"/>
        </w:rPr>
        <w:t>盖章</w:t>
      </w:r>
      <w:r>
        <w:rPr>
          <w:rFonts w:ascii="宋体" w:hAnsi="宋体"/>
          <w:sz w:val="24"/>
        </w:rPr>
        <w:t xml:space="preserve">）： </w:t>
      </w:r>
    </w:p>
    <w:p w14:paraId="4BFDB59E">
      <w:pPr>
        <w:pStyle w:val="11"/>
        <w:spacing w:after="0" w:line="360" w:lineRule="auto"/>
        <w:ind w:firstLine="5625" w:firstLineChars="2344"/>
        <w:rPr>
          <w:rFonts w:hint="eastAsia" w:ascii="宋体" w:hAnsi="宋体"/>
          <w:sz w:val="24"/>
        </w:rPr>
      </w:pPr>
      <w:r>
        <w:rPr>
          <w:rFonts w:ascii="宋体" w:hAnsi="宋体"/>
          <w:sz w:val="24"/>
        </w:rPr>
        <w:t>日 期：</w:t>
      </w:r>
    </w:p>
    <w:p w14:paraId="36B5A0D8">
      <w:pPr>
        <w:spacing w:line="360" w:lineRule="auto"/>
        <w:jc w:val="left"/>
        <w:rPr>
          <w:rFonts w:hint="eastAsia" w:ascii="宋体" w:hAnsi="宋体" w:cs="仿宋_GB2312"/>
          <w:sz w:val="24"/>
        </w:rPr>
      </w:pPr>
    </w:p>
    <w:p w14:paraId="5AB43D7A">
      <w:pPr>
        <w:spacing w:line="360" w:lineRule="auto"/>
        <w:jc w:val="left"/>
        <w:rPr>
          <w:rFonts w:hint="eastAsia"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4E2A07F">
      <w:pPr>
        <w:spacing w:line="360" w:lineRule="auto"/>
        <w:jc w:val="center"/>
        <w:rPr>
          <w:rFonts w:hint="eastAsia" w:ascii="宋体" w:hAnsi="宋体" w:cs="宋体"/>
          <w:sz w:val="32"/>
          <w:szCs w:val="32"/>
        </w:rPr>
      </w:pPr>
      <w:r>
        <w:rPr>
          <w:rFonts w:hint="eastAsia" w:ascii="宋体" w:hAnsi="宋体" w:cs="宋体"/>
          <w:szCs w:val="21"/>
        </w:rPr>
        <w:br w:type="page"/>
      </w:r>
      <w:r>
        <w:rPr>
          <w:rFonts w:hint="eastAsia" w:ascii="宋体" w:hAnsi="宋体" w:cs="宋体"/>
          <w:b/>
          <w:bCs/>
          <w:sz w:val="32"/>
          <w:szCs w:val="32"/>
        </w:rPr>
        <w:t>残疾人福利性单位声明函</w:t>
      </w:r>
    </w:p>
    <w:p w14:paraId="60EA687F">
      <w:pPr>
        <w:spacing w:line="360" w:lineRule="auto"/>
        <w:rPr>
          <w:rFonts w:hint="eastAsia" w:ascii="宋体" w:hAnsi="宋体" w:cs="宋体"/>
          <w:sz w:val="24"/>
        </w:rPr>
      </w:pPr>
    </w:p>
    <w:p w14:paraId="0E20BBB0">
      <w:pPr>
        <w:spacing w:line="360"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14:paraId="44C00715">
      <w:pPr>
        <w:spacing w:line="360"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137D2D5E">
      <w:pPr>
        <w:spacing w:line="360" w:lineRule="auto"/>
        <w:rPr>
          <w:rFonts w:hint="eastAsia" w:ascii="宋体" w:hAnsi="宋体" w:cs="宋体"/>
          <w:sz w:val="24"/>
        </w:rPr>
      </w:pPr>
    </w:p>
    <w:p w14:paraId="4F29F192">
      <w:pPr>
        <w:spacing w:line="360" w:lineRule="auto"/>
        <w:rPr>
          <w:rFonts w:hint="eastAsia" w:ascii="宋体" w:hAnsi="宋体" w:cs="宋体"/>
          <w:sz w:val="24"/>
        </w:rPr>
      </w:pPr>
    </w:p>
    <w:p w14:paraId="6F0C9E9F">
      <w:pPr>
        <w:spacing w:line="360" w:lineRule="auto"/>
        <w:rPr>
          <w:rFonts w:hint="eastAsia" w:ascii="宋体" w:hAnsi="宋体" w:cs="宋体"/>
          <w:sz w:val="24"/>
        </w:rPr>
      </w:pPr>
    </w:p>
    <w:p w14:paraId="0B2E9D2B">
      <w:pPr>
        <w:spacing w:line="360" w:lineRule="auto"/>
        <w:ind w:firstLine="2400" w:firstLineChars="1000"/>
        <w:rPr>
          <w:rFonts w:hint="eastAsia" w:ascii="宋体" w:hAnsi="宋体" w:cs="宋体"/>
          <w:sz w:val="24"/>
        </w:rPr>
      </w:pPr>
      <w:r>
        <w:rPr>
          <w:rFonts w:hint="eastAsia" w:ascii="宋体" w:hAnsi="宋体" w:cs="宋体"/>
          <w:sz w:val="24"/>
        </w:rPr>
        <w:t>单位名称（盖章）：</w:t>
      </w:r>
    </w:p>
    <w:p w14:paraId="3AC3490F">
      <w:pPr>
        <w:spacing w:line="360" w:lineRule="auto"/>
        <w:ind w:firstLine="3600" w:firstLineChars="1500"/>
        <w:rPr>
          <w:rFonts w:hint="eastAsia" w:ascii="宋体" w:hAnsi="宋体" w:cs="宋体"/>
          <w:sz w:val="24"/>
        </w:rPr>
      </w:pPr>
      <w:r>
        <w:rPr>
          <w:rFonts w:hint="eastAsia" w:ascii="宋体" w:hAnsi="宋体" w:cs="宋体"/>
          <w:sz w:val="24"/>
        </w:rPr>
        <w:t>日  期：</w:t>
      </w:r>
    </w:p>
    <w:p w14:paraId="05575329">
      <w:pPr>
        <w:spacing w:line="360" w:lineRule="auto"/>
        <w:rPr>
          <w:rFonts w:hint="eastAsia" w:ascii="宋体" w:hAnsi="宋体" w:cs="宋体"/>
          <w:sz w:val="24"/>
        </w:rPr>
      </w:pPr>
    </w:p>
    <w:p w14:paraId="52473D9F">
      <w:pPr>
        <w:spacing w:line="360" w:lineRule="auto"/>
        <w:rPr>
          <w:rFonts w:hint="eastAsia" w:ascii="宋体" w:hAnsi="宋体" w:cs="宋体"/>
          <w:sz w:val="24"/>
        </w:rPr>
      </w:pPr>
    </w:p>
    <w:p w14:paraId="1F7B2540">
      <w:pPr>
        <w:spacing w:line="360" w:lineRule="auto"/>
        <w:rPr>
          <w:rFonts w:hint="eastAsia" w:ascii="宋体" w:hAnsi="宋体" w:cs="宋体"/>
          <w:sz w:val="24"/>
        </w:rPr>
      </w:pPr>
    </w:p>
    <w:p w14:paraId="1FBCF696">
      <w:pPr>
        <w:spacing w:line="360" w:lineRule="auto"/>
        <w:rPr>
          <w:rFonts w:hint="eastAsia"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w:t>
      </w:r>
    </w:p>
    <w:p w14:paraId="1E6E09C5">
      <w:pPr>
        <w:pStyle w:val="17"/>
        <w:spacing w:line="360" w:lineRule="auto"/>
        <w:ind w:left="25" w:leftChars="12" w:firstLine="294" w:firstLineChars="147"/>
        <w:contextualSpacing/>
        <w:rPr>
          <w:rFonts w:hint="eastAsia" w:hAnsi="宋体" w:cs="宋体"/>
          <w:b/>
          <w:sz w:val="21"/>
        </w:rPr>
      </w:pPr>
      <w:r>
        <w:rPr>
          <w:rFonts w:hint="eastAsia" w:hAnsi="宋体" w:cs="宋体"/>
        </w:rPr>
        <w:br w:type="page"/>
      </w:r>
    </w:p>
    <w:p w14:paraId="1F2DFDC5">
      <w:pPr>
        <w:pStyle w:val="3"/>
        <w:jc w:val="center"/>
        <w:rPr>
          <w:rFonts w:hint="eastAsia" w:ascii="宋体" w:hAnsi="宋体" w:cs="宋体"/>
          <w:b w:val="0"/>
          <w:bCs w:val="0"/>
        </w:rPr>
      </w:pPr>
      <w:bookmarkStart w:id="106" w:name="_Toc3096"/>
    </w:p>
    <w:p w14:paraId="1313456C">
      <w:pPr>
        <w:rPr>
          <w:rFonts w:hint="eastAsia" w:ascii="宋体" w:hAnsi="宋体" w:cs="宋体"/>
        </w:rPr>
      </w:pPr>
    </w:p>
    <w:p w14:paraId="3229791B">
      <w:pPr>
        <w:rPr>
          <w:rFonts w:hint="eastAsia" w:ascii="宋体" w:hAnsi="宋体" w:cs="宋体"/>
        </w:rPr>
      </w:pPr>
    </w:p>
    <w:p w14:paraId="2FB20DF5">
      <w:pPr>
        <w:rPr>
          <w:rFonts w:hint="eastAsia" w:ascii="宋体" w:hAnsi="宋体" w:cs="宋体"/>
        </w:rPr>
      </w:pPr>
    </w:p>
    <w:p w14:paraId="3161A373">
      <w:pPr>
        <w:rPr>
          <w:rFonts w:hint="eastAsia" w:ascii="宋体" w:hAnsi="宋体" w:cs="宋体"/>
        </w:rPr>
      </w:pPr>
    </w:p>
    <w:p w14:paraId="3E07DA1A">
      <w:pPr>
        <w:rPr>
          <w:rFonts w:hint="eastAsia" w:ascii="宋体" w:hAnsi="宋体" w:cs="宋体"/>
        </w:rPr>
      </w:pPr>
    </w:p>
    <w:p w14:paraId="74CD9B04">
      <w:pPr>
        <w:rPr>
          <w:rFonts w:hint="eastAsia" w:ascii="宋体" w:hAnsi="宋体" w:cs="宋体"/>
        </w:rPr>
      </w:pPr>
    </w:p>
    <w:p w14:paraId="2E056809">
      <w:pPr>
        <w:rPr>
          <w:rFonts w:hint="eastAsia" w:ascii="宋体" w:hAnsi="宋体" w:cs="宋体"/>
        </w:rPr>
      </w:pPr>
    </w:p>
    <w:p w14:paraId="221A5C56">
      <w:pPr>
        <w:rPr>
          <w:rFonts w:hint="eastAsia" w:ascii="宋体" w:hAnsi="宋体" w:cs="宋体"/>
        </w:rPr>
      </w:pPr>
    </w:p>
    <w:p w14:paraId="0B79DC65">
      <w:pPr>
        <w:spacing w:line="360" w:lineRule="auto"/>
        <w:rPr>
          <w:rFonts w:hint="eastAsia" w:ascii="宋体" w:hAnsi="宋体" w:cs="宋体"/>
          <w:sz w:val="28"/>
          <w:szCs w:val="28"/>
        </w:rPr>
      </w:pPr>
    </w:p>
    <w:p w14:paraId="4B018F0C">
      <w:pPr>
        <w:spacing w:line="360" w:lineRule="auto"/>
        <w:jc w:val="center"/>
        <w:rPr>
          <w:sz w:val="32"/>
          <w:szCs w:val="32"/>
        </w:rPr>
      </w:pPr>
      <w:bookmarkStart w:id="107" w:name="_Toc12222"/>
      <w:r>
        <w:rPr>
          <w:rFonts w:hint="eastAsia"/>
          <w:b/>
          <w:bCs/>
          <w:sz w:val="32"/>
          <w:szCs w:val="32"/>
        </w:rPr>
        <w:t>工程量清单及图纸</w:t>
      </w:r>
      <w:bookmarkEnd w:id="107"/>
    </w:p>
    <w:p w14:paraId="2E2539FD">
      <w:pPr>
        <w:spacing w:line="360" w:lineRule="auto"/>
        <w:jc w:val="center"/>
        <w:rPr>
          <w:b/>
          <w:bCs/>
          <w:sz w:val="32"/>
          <w:szCs w:val="32"/>
        </w:rPr>
      </w:pPr>
      <w:r>
        <w:rPr>
          <w:rFonts w:hint="eastAsia"/>
          <w:b/>
          <w:bCs/>
          <w:sz w:val="32"/>
          <w:szCs w:val="32"/>
        </w:rPr>
        <w:t>供应商可在“广西政府采购云平台”自行下载</w:t>
      </w:r>
    </w:p>
    <w:p w14:paraId="233C9652">
      <w:pPr>
        <w:pStyle w:val="3"/>
        <w:jc w:val="center"/>
        <w:rPr>
          <w:rFonts w:hint="eastAsia" w:ascii="宋体" w:hAnsi="宋体" w:cs="宋体"/>
          <w:b w:val="0"/>
          <w:bCs w:val="0"/>
        </w:rPr>
      </w:pPr>
    </w:p>
    <w:p w14:paraId="01E5AF2F">
      <w:pPr>
        <w:pStyle w:val="3"/>
        <w:jc w:val="center"/>
        <w:rPr>
          <w:rFonts w:hint="eastAsia" w:ascii="宋体" w:hAnsi="宋体" w:cs="宋体"/>
          <w:b w:val="0"/>
          <w:bCs w:val="0"/>
        </w:rPr>
        <w:sectPr>
          <w:pgSz w:w="11910" w:h="16840"/>
          <w:pgMar w:top="1340" w:right="1500" w:bottom="1338" w:left="1502" w:header="720" w:footer="720" w:gutter="0"/>
          <w:cols w:space="720" w:num="1"/>
        </w:sectPr>
      </w:pPr>
    </w:p>
    <w:p w14:paraId="1D5CABA8"/>
    <w:p w14:paraId="5F09D087">
      <w:pPr>
        <w:pStyle w:val="3"/>
        <w:jc w:val="center"/>
        <w:rPr>
          <w:rFonts w:hint="eastAsia" w:ascii="宋体" w:hAnsi="宋体" w:cs="宋体"/>
          <w:b w:val="0"/>
          <w:bCs w:val="0"/>
        </w:rPr>
      </w:pPr>
    </w:p>
    <w:p w14:paraId="1A5BA7C9">
      <w:pPr>
        <w:rPr>
          <w:rFonts w:hint="eastAsia" w:ascii="宋体" w:hAnsi="宋体" w:cs="宋体"/>
        </w:rPr>
      </w:pPr>
    </w:p>
    <w:p w14:paraId="3CBBF053">
      <w:pPr>
        <w:rPr>
          <w:rFonts w:hint="eastAsia" w:ascii="宋体" w:hAnsi="宋体" w:cs="宋体"/>
        </w:rPr>
      </w:pPr>
    </w:p>
    <w:p w14:paraId="011E110A">
      <w:pPr>
        <w:rPr>
          <w:rFonts w:hint="eastAsia" w:ascii="宋体" w:hAnsi="宋体" w:cs="宋体"/>
        </w:rPr>
      </w:pPr>
    </w:p>
    <w:p w14:paraId="2341C404">
      <w:pPr>
        <w:rPr>
          <w:rFonts w:hint="eastAsia" w:ascii="宋体" w:hAnsi="宋体" w:cs="宋体"/>
        </w:rPr>
      </w:pPr>
    </w:p>
    <w:p w14:paraId="3B45D9D0">
      <w:pPr>
        <w:rPr>
          <w:rFonts w:hint="eastAsia" w:ascii="宋体" w:hAnsi="宋体" w:cs="宋体"/>
        </w:rPr>
      </w:pPr>
    </w:p>
    <w:p w14:paraId="67BF0642">
      <w:pPr>
        <w:rPr>
          <w:rFonts w:hint="eastAsia" w:ascii="宋体" w:hAnsi="宋体" w:cs="宋体"/>
        </w:rPr>
      </w:pPr>
    </w:p>
    <w:p w14:paraId="3AD6A0C0">
      <w:pPr>
        <w:rPr>
          <w:rFonts w:hint="eastAsia" w:ascii="宋体" w:hAnsi="宋体" w:cs="宋体"/>
        </w:rPr>
      </w:pPr>
    </w:p>
    <w:p w14:paraId="147B49A4">
      <w:pPr>
        <w:rPr>
          <w:rFonts w:hint="eastAsia" w:ascii="宋体" w:hAnsi="宋体" w:cs="宋体"/>
        </w:rPr>
      </w:pPr>
    </w:p>
    <w:p w14:paraId="1CB94D47">
      <w:pPr>
        <w:rPr>
          <w:rFonts w:hint="eastAsia" w:ascii="宋体" w:hAnsi="宋体" w:cs="宋体"/>
        </w:rPr>
      </w:pPr>
    </w:p>
    <w:p w14:paraId="29EE337D">
      <w:pPr>
        <w:pStyle w:val="3"/>
        <w:jc w:val="center"/>
        <w:rPr>
          <w:rFonts w:hint="eastAsia" w:ascii="宋体" w:hAnsi="宋体" w:cs="宋体"/>
        </w:rPr>
        <w:sectPr>
          <w:pgSz w:w="11910" w:h="16840"/>
          <w:pgMar w:top="1340" w:right="1500" w:bottom="1338" w:left="1502" w:header="720" w:footer="720" w:gutter="0"/>
          <w:cols w:space="720" w:num="1"/>
        </w:sectPr>
      </w:pPr>
      <w:bookmarkStart w:id="108" w:name="_Toc10392"/>
      <w:r>
        <w:rPr>
          <w:rFonts w:hint="eastAsia" w:ascii="宋体" w:hAnsi="宋体" w:cs="宋体"/>
        </w:rPr>
        <w:t>第六章 合同文本</w:t>
      </w:r>
      <w:bookmarkEnd w:id="106"/>
      <w:bookmarkEnd w:id="108"/>
    </w:p>
    <w:p w14:paraId="21837031">
      <w:pPr>
        <w:pStyle w:val="17"/>
        <w:spacing w:line="840" w:lineRule="exact"/>
        <w:ind w:firstLine="420"/>
        <w:jc w:val="center"/>
        <w:rPr>
          <w:rFonts w:hint="eastAsia" w:ascii="黑体" w:hAnsi="宋体" w:eastAsia="黑体"/>
          <w:b/>
          <w:bCs/>
          <w:sz w:val="72"/>
        </w:rPr>
      </w:pPr>
    </w:p>
    <w:p w14:paraId="39453A1A">
      <w:pPr>
        <w:pStyle w:val="17"/>
        <w:spacing w:line="840" w:lineRule="exact"/>
        <w:ind w:firstLine="420"/>
        <w:jc w:val="center"/>
        <w:rPr>
          <w:rFonts w:hint="eastAsia" w:ascii="黑体" w:hAnsi="宋体" w:eastAsia="黑体"/>
          <w:b/>
          <w:bCs/>
          <w:sz w:val="72"/>
        </w:rPr>
      </w:pPr>
    </w:p>
    <w:p w14:paraId="1D57A144">
      <w:pPr>
        <w:pStyle w:val="17"/>
        <w:spacing w:line="840" w:lineRule="exact"/>
        <w:ind w:firstLine="420"/>
        <w:jc w:val="center"/>
        <w:rPr>
          <w:rFonts w:hint="eastAsia" w:ascii="黑体" w:hAnsi="宋体" w:eastAsia="黑体"/>
          <w:b/>
          <w:bCs/>
          <w:sz w:val="72"/>
        </w:rPr>
      </w:pPr>
    </w:p>
    <w:p w14:paraId="4EE2A01C">
      <w:pPr>
        <w:pStyle w:val="17"/>
        <w:spacing w:line="840" w:lineRule="exact"/>
        <w:ind w:firstLine="420"/>
        <w:jc w:val="center"/>
        <w:rPr>
          <w:rFonts w:hint="eastAsia" w:ascii="黑体" w:hAnsi="宋体" w:eastAsia="黑体"/>
          <w:b/>
          <w:bCs/>
          <w:sz w:val="72"/>
        </w:rPr>
      </w:pPr>
      <w:r>
        <w:rPr>
          <w:rFonts w:ascii="黑体" w:hAnsi="宋体" w:eastAsia="黑体"/>
          <w:b/>
          <w:bCs/>
          <w:sz w:val="72"/>
        </w:rPr>
        <w:t>采购合同书</w:t>
      </w:r>
    </w:p>
    <w:p w14:paraId="29EB3E57"/>
    <w:p w14:paraId="45DE5407"/>
    <w:p w14:paraId="71824E52"/>
    <w:p w14:paraId="54405634"/>
    <w:p w14:paraId="313CAA58">
      <w:pPr>
        <w:snapToGrid w:val="0"/>
        <w:spacing w:line="480" w:lineRule="auto"/>
        <w:ind w:left="2877" w:leftChars="513" w:hanging="1800" w:hangingChars="500"/>
        <w:rPr>
          <w:rFonts w:hint="eastAsia" w:ascii="宋体" w:hAnsi="宋体" w:cs="宋体"/>
          <w:bCs/>
          <w:sz w:val="36"/>
          <w:szCs w:val="36"/>
        </w:rPr>
      </w:pPr>
    </w:p>
    <w:p w14:paraId="4807F4F7">
      <w:pPr>
        <w:snapToGrid w:val="0"/>
        <w:spacing w:line="480" w:lineRule="auto"/>
        <w:ind w:left="2884" w:leftChars="513" w:hanging="1807" w:hangingChars="500"/>
        <w:rPr>
          <w:rFonts w:hint="eastAsia" w:ascii="宋体" w:hAnsi="宋体" w:cs="宋体"/>
          <w:b/>
          <w:sz w:val="36"/>
          <w:szCs w:val="36"/>
        </w:rPr>
      </w:pPr>
      <w:r>
        <w:rPr>
          <w:rFonts w:hint="eastAsia" w:ascii="宋体" w:hAnsi="宋体" w:cs="宋体"/>
          <w:b/>
          <w:sz w:val="36"/>
          <w:szCs w:val="36"/>
        </w:rPr>
        <w:t>合同名称：康复楼多功能康养用房设备购置项目</w:t>
      </w:r>
    </w:p>
    <w:p w14:paraId="6E6FFF34">
      <w:pPr>
        <w:snapToGrid w:val="0"/>
        <w:spacing w:line="480" w:lineRule="auto"/>
        <w:ind w:left="2873" w:leftChars="1368"/>
        <w:rPr>
          <w:rFonts w:hint="eastAsia" w:ascii="宋体" w:hAnsi="宋体" w:cs="宋体"/>
          <w:b/>
          <w:sz w:val="36"/>
          <w:szCs w:val="36"/>
        </w:rPr>
      </w:pPr>
      <w:r>
        <w:rPr>
          <w:rFonts w:hint="eastAsia" w:ascii="宋体" w:hAnsi="宋体" w:cs="宋体"/>
          <w:b/>
          <w:sz w:val="36"/>
          <w:szCs w:val="36"/>
        </w:rPr>
        <w:t>（设备部分）</w:t>
      </w:r>
    </w:p>
    <w:p w14:paraId="3CAB0334">
      <w:pPr>
        <w:snapToGrid w:val="0"/>
        <w:spacing w:line="480" w:lineRule="auto"/>
        <w:ind w:firstLine="1084" w:firstLineChars="300"/>
        <w:rPr>
          <w:rFonts w:hint="eastAsia" w:ascii="宋体" w:hAnsi="宋体" w:eastAsia="宋体" w:cs="宋体"/>
          <w:b/>
          <w:sz w:val="36"/>
          <w:szCs w:val="36"/>
          <w:lang w:eastAsia="zh-CN"/>
        </w:rPr>
      </w:pPr>
      <w:r>
        <w:rPr>
          <w:rFonts w:hint="eastAsia" w:ascii="宋体" w:hAnsi="宋体" w:cs="宋体"/>
          <w:b/>
          <w:sz w:val="36"/>
          <w:szCs w:val="36"/>
        </w:rPr>
        <w:t>合同编号：</w:t>
      </w:r>
      <w:r>
        <w:rPr>
          <w:rFonts w:hint="eastAsia" w:ascii="宋体" w:hAnsi="宋体" w:cs="宋体"/>
          <w:b/>
          <w:sz w:val="36"/>
          <w:szCs w:val="36"/>
          <w:lang w:eastAsia="zh-CN"/>
        </w:rPr>
        <w:t>GXZC2025-J1-003307-ZHZB</w:t>
      </w:r>
    </w:p>
    <w:p w14:paraId="756C1FAD">
      <w:pPr>
        <w:snapToGrid w:val="0"/>
        <w:spacing w:line="480" w:lineRule="auto"/>
        <w:ind w:firstLine="1084" w:firstLineChars="300"/>
        <w:rPr>
          <w:rFonts w:hint="eastAsia" w:ascii="宋体" w:hAnsi="宋体" w:cs="宋体"/>
          <w:b/>
          <w:sz w:val="36"/>
          <w:szCs w:val="36"/>
        </w:rPr>
      </w:pPr>
      <w:r>
        <w:rPr>
          <w:rFonts w:hint="eastAsia" w:ascii="宋体" w:hAnsi="宋体" w:cs="宋体"/>
          <w:b/>
          <w:sz w:val="36"/>
          <w:szCs w:val="36"/>
        </w:rPr>
        <w:t>分标号：A分标</w:t>
      </w:r>
    </w:p>
    <w:p w14:paraId="1E826382">
      <w:pPr>
        <w:pStyle w:val="78"/>
        <w:spacing w:line="480" w:lineRule="auto"/>
        <w:ind w:firstLine="643"/>
        <w:rPr>
          <w:rFonts w:hint="eastAsia" w:ascii="宋体" w:hAnsi="宋体" w:cs="宋体"/>
          <w:b/>
          <w:sz w:val="32"/>
          <w:szCs w:val="32"/>
          <w:u w:val="single"/>
        </w:rPr>
      </w:pPr>
    </w:p>
    <w:p w14:paraId="2F6868A8">
      <w:pPr>
        <w:rPr>
          <w:b/>
        </w:rPr>
      </w:pPr>
    </w:p>
    <w:p w14:paraId="137E568A">
      <w:pPr>
        <w:snapToGrid w:val="0"/>
        <w:spacing w:line="480" w:lineRule="auto"/>
        <w:ind w:firstLine="964" w:firstLineChars="300"/>
        <w:jc w:val="left"/>
        <w:rPr>
          <w:rFonts w:hint="eastAsia" w:ascii="宋体" w:hAnsi="宋体" w:cs="宋体"/>
          <w:b/>
          <w:sz w:val="32"/>
          <w:szCs w:val="32"/>
          <w:u w:val="single"/>
        </w:rPr>
      </w:pPr>
      <w:r>
        <w:rPr>
          <w:rFonts w:hint="eastAsia" w:ascii="宋体" w:hAnsi="宋体" w:cs="宋体"/>
          <w:b/>
          <w:sz w:val="32"/>
          <w:szCs w:val="32"/>
        </w:rPr>
        <w:t>采购人（甲方）：</w:t>
      </w:r>
      <w:r>
        <w:rPr>
          <w:rFonts w:hint="eastAsia" w:ascii="宋体" w:hAnsi="宋体" w:cs="宋体"/>
          <w:b/>
          <w:sz w:val="32"/>
          <w:szCs w:val="32"/>
          <w:u w:val="single"/>
        </w:rPr>
        <w:t xml:space="preserve">                       </w:t>
      </w:r>
    </w:p>
    <w:p w14:paraId="6BB9A841">
      <w:pPr>
        <w:snapToGrid w:val="0"/>
        <w:spacing w:line="480" w:lineRule="auto"/>
        <w:ind w:firstLine="964" w:firstLineChars="300"/>
        <w:rPr>
          <w:rFonts w:hint="eastAsia" w:ascii="宋体" w:hAnsi="宋体" w:cs="宋体"/>
          <w:b/>
          <w:sz w:val="32"/>
          <w:szCs w:val="32"/>
          <w:u w:val="single"/>
        </w:rPr>
      </w:pPr>
      <w:r>
        <w:rPr>
          <w:rFonts w:hint="eastAsia" w:ascii="宋体" w:hAnsi="宋体" w:cs="宋体"/>
          <w:b/>
          <w:sz w:val="32"/>
          <w:szCs w:val="32"/>
        </w:rPr>
        <w:t>供应商（乙方）：</w:t>
      </w:r>
      <w:r>
        <w:rPr>
          <w:rFonts w:hint="eastAsia" w:ascii="宋体" w:hAnsi="宋体" w:cs="宋体"/>
          <w:b/>
          <w:sz w:val="32"/>
          <w:szCs w:val="32"/>
          <w:u w:val="single"/>
        </w:rPr>
        <w:t xml:space="preserve">                       </w:t>
      </w:r>
      <w:r>
        <w:rPr>
          <w:rFonts w:hint="eastAsia" w:ascii="宋体" w:hAnsi="宋体" w:cs="宋体"/>
          <w:b/>
          <w:sz w:val="32"/>
          <w:szCs w:val="32"/>
        </w:rPr>
        <w:t xml:space="preserve">    </w:t>
      </w:r>
    </w:p>
    <w:p w14:paraId="158AF32E">
      <w:pPr>
        <w:snapToGrid w:val="0"/>
        <w:spacing w:line="480" w:lineRule="auto"/>
        <w:jc w:val="center"/>
        <w:rPr>
          <w:rFonts w:hint="eastAsia" w:ascii="宋体" w:hAnsi="宋体" w:cs="宋体"/>
          <w:b/>
          <w:sz w:val="32"/>
          <w:szCs w:val="32"/>
        </w:rPr>
      </w:pPr>
    </w:p>
    <w:p w14:paraId="1E7DBF87">
      <w:pPr>
        <w:snapToGrid w:val="0"/>
        <w:spacing w:line="480" w:lineRule="auto"/>
        <w:ind w:firstLine="964" w:firstLineChars="300"/>
        <w:jc w:val="left"/>
        <w:rPr>
          <w:rFonts w:hint="eastAsia" w:ascii="宋体" w:hAnsi="宋体" w:cs="宋体"/>
          <w:b/>
          <w:sz w:val="32"/>
          <w:szCs w:val="32"/>
          <w:u w:val="single"/>
        </w:rPr>
      </w:pPr>
      <w:r>
        <w:rPr>
          <w:rFonts w:hint="eastAsia" w:ascii="宋体" w:hAnsi="宋体" w:cs="宋体"/>
          <w:b/>
          <w:sz w:val="32"/>
          <w:szCs w:val="32"/>
        </w:rPr>
        <w:t>签订合同地点：</w:t>
      </w:r>
      <w:r>
        <w:rPr>
          <w:rFonts w:hint="eastAsia" w:ascii="宋体" w:hAnsi="宋体" w:cs="宋体"/>
          <w:b/>
          <w:sz w:val="32"/>
          <w:szCs w:val="32"/>
          <w:u w:val="single"/>
        </w:rPr>
        <w:t xml:space="preserve">                         </w:t>
      </w:r>
    </w:p>
    <w:p w14:paraId="0C91A3A4">
      <w:pPr>
        <w:snapToGrid w:val="0"/>
        <w:spacing w:line="480" w:lineRule="auto"/>
        <w:ind w:firstLine="964" w:firstLineChars="300"/>
        <w:jc w:val="left"/>
        <w:rPr>
          <w:rFonts w:hint="eastAsia" w:ascii="宋体" w:hAnsi="宋体" w:cs="宋体"/>
          <w:b/>
          <w:sz w:val="32"/>
          <w:szCs w:val="32"/>
        </w:rPr>
      </w:pPr>
      <w:r>
        <w:rPr>
          <w:rFonts w:hint="eastAsia" w:ascii="宋体" w:hAnsi="宋体" w:cs="宋体"/>
          <w:b/>
          <w:sz w:val="32"/>
          <w:szCs w:val="32"/>
        </w:rPr>
        <w:t>签订合同时间：</w:t>
      </w:r>
      <w:r>
        <w:rPr>
          <w:rFonts w:hint="eastAsia" w:ascii="宋体" w:hAnsi="宋体" w:cs="宋体"/>
          <w:b/>
          <w:color w:val="000000"/>
          <w:sz w:val="32"/>
          <w:szCs w:val="32"/>
          <w:u w:val="single"/>
        </w:rPr>
        <w:t xml:space="preserve">                          </w:t>
      </w:r>
    </w:p>
    <w:p w14:paraId="162D2C33">
      <w:pPr>
        <w:tabs>
          <w:tab w:val="left" w:pos="5068"/>
        </w:tabs>
        <w:jc w:val="left"/>
        <w:sectPr>
          <w:footerReference r:id="rId11" w:type="default"/>
          <w:pgSz w:w="11911" w:h="16843"/>
          <w:pgMar w:top="1134" w:right="1434" w:bottom="1134" w:left="1434" w:header="0" w:footer="1191" w:gutter="0"/>
          <w:cols w:space="720" w:num="1"/>
        </w:sectPr>
      </w:pPr>
    </w:p>
    <w:p w14:paraId="4C1782A1">
      <w:pPr>
        <w:snapToGrid w:val="0"/>
        <w:spacing w:line="400" w:lineRule="exact"/>
        <w:jc w:val="center"/>
        <w:rPr>
          <w:rFonts w:hint="eastAsia" w:ascii="宋体" w:hAnsi="宋体"/>
          <w:b/>
          <w:bCs/>
          <w:sz w:val="32"/>
          <w:szCs w:val="32"/>
        </w:rPr>
      </w:pPr>
      <w:r>
        <w:rPr>
          <w:rFonts w:hint="eastAsia" w:ascii="宋体" w:hAnsi="宋体"/>
          <w:b/>
          <w:bCs/>
          <w:sz w:val="32"/>
          <w:szCs w:val="32"/>
        </w:rPr>
        <w:t>《广西壮族自治区政府采购合同》</w:t>
      </w:r>
      <w:r>
        <w:rPr>
          <w:rFonts w:hint="eastAsia" w:ascii="宋体" w:hAnsi="宋体"/>
          <w:b/>
          <w:sz w:val="32"/>
          <w:szCs w:val="32"/>
        </w:rPr>
        <w:t>文本</w:t>
      </w:r>
    </w:p>
    <w:p w14:paraId="7D2BF081">
      <w:pPr>
        <w:snapToGrid w:val="0"/>
        <w:spacing w:line="400" w:lineRule="exact"/>
        <w:jc w:val="center"/>
        <w:rPr>
          <w:rFonts w:hint="eastAsia" w:ascii="宋体" w:hAnsi="宋体"/>
          <w:b/>
          <w:bCs/>
          <w:sz w:val="32"/>
          <w:szCs w:val="32"/>
        </w:rPr>
      </w:pPr>
    </w:p>
    <w:p w14:paraId="27D4FEB2">
      <w:pPr>
        <w:snapToGrid w:val="0"/>
        <w:spacing w:line="400" w:lineRule="exact"/>
        <w:ind w:right="480"/>
        <w:rPr>
          <w:rFonts w:hint="eastAsia" w:ascii="宋体" w:hAnsi="宋体"/>
          <w:bCs/>
          <w:szCs w:val="21"/>
          <w:u w:val="single"/>
        </w:rPr>
      </w:pPr>
      <w:r>
        <w:rPr>
          <w:rFonts w:hint="eastAsia" w:ascii="宋体" w:hAnsi="宋体"/>
          <w:bCs/>
          <w:szCs w:val="21"/>
        </w:rPr>
        <w:t>合同编号：</w:t>
      </w:r>
    </w:p>
    <w:p w14:paraId="6EBE64B3">
      <w:pPr>
        <w:snapToGrid w:val="0"/>
        <w:spacing w:line="360" w:lineRule="exact"/>
        <w:rPr>
          <w:rFonts w:hint="eastAsia" w:ascii="宋体" w:hAnsi="宋体"/>
          <w:szCs w:val="21"/>
        </w:rPr>
      </w:pPr>
    </w:p>
    <w:p w14:paraId="6C759E7F">
      <w:pPr>
        <w:snapToGrid w:val="0"/>
        <w:spacing w:line="480" w:lineRule="exact"/>
        <w:rPr>
          <w:rFonts w:hint="eastAsia" w:ascii="宋体" w:hAnsi="宋体"/>
          <w:szCs w:val="21"/>
          <w:u w:val="single"/>
        </w:rPr>
      </w:pPr>
      <w:r>
        <w:rPr>
          <w:rFonts w:hint="eastAsia" w:ascii="宋体" w:hAnsi="宋体"/>
          <w:szCs w:val="21"/>
        </w:rPr>
        <w:t>采购人（甲方）</w:t>
      </w:r>
      <w:r>
        <w:rPr>
          <w:rFonts w:hint="eastAsia" w:ascii="宋体" w:hAnsi="宋体"/>
          <w:szCs w:val="21"/>
          <w:u w:val="single"/>
        </w:rPr>
        <w:t xml:space="preserve">                            </w:t>
      </w:r>
      <w:r>
        <w:rPr>
          <w:rFonts w:hint="eastAsia" w:ascii="宋体" w:hAnsi="宋体"/>
          <w:szCs w:val="21"/>
        </w:rPr>
        <w:t xml:space="preserve">    </w:t>
      </w:r>
      <w:r>
        <w:rPr>
          <w:rFonts w:hint="eastAsia" w:ascii="宋体" w:hAnsi="宋体"/>
          <w:spacing w:val="-20"/>
          <w:szCs w:val="21"/>
        </w:rPr>
        <w:t>采 购 计 划 号</w:t>
      </w:r>
      <w:r>
        <w:rPr>
          <w:rFonts w:hint="eastAsia" w:ascii="宋体" w:hAnsi="宋体"/>
          <w:szCs w:val="21"/>
          <w:u w:val="single"/>
        </w:rPr>
        <w:t xml:space="preserve">                           </w:t>
      </w:r>
    </w:p>
    <w:p w14:paraId="4DF2A345">
      <w:pPr>
        <w:snapToGrid w:val="0"/>
        <w:spacing w:line="480" w:lineRule="exact"/>
        <w:rPr>
          <w:rFonts w:hint="eastAsia" w:ascii="宋体" w:hAnsi="宋体"/>
          <w:szCs w:val="21"/>
          <w:u w:val="single"/>
        </w:rPr>
      </w:pPr>
      <w:r>
        <w:rPr>
          <w:rFonts w:hint="eastAsia" w:ascii="宋体" w:hAnsi="宋体"/>
          <w:szCs w:val="21"/>
        </w:rPr>
        <w:t>供 应 商（乙方）</w:t>
      </w:r>
      <w:r>
        <w:rPr>
          <w:rFonts w:hint="eastAsia" w:ascii="宋体" w:hAnsi="宋体"/>
          <w:szCs w:val="21"/>
          <w:u w:val="single"/>
        </w:rPr>
        <w:t xml:space="preserve">                          </w:t>
      </w:r>
      <w:r>
        <w:rPr>
          <w:rFonts w:hint="eastAsia" w:ascii="宋体" w:hAnsi="宋体"/>
          <w:szCs w:val="21"/>
        </w:rPr>
        <w:t xml:space="preserve">    </w:t>
      </w:r>
      <w:r>
        <w:rPr>
          <w:rFonts w:hint="eastAsia" w:ascii="宋体" w:hAnsi="宋体"/>
          <w:spacing w:val="-20"/>
          <w:szCs w:val="21"/>
        </w:rPr>
        <w:t>招  标  编  号</w:t>
      </w:r>
      <w:r>
        <w:rPr>
          <w:rFonts w:hint="eastAsia" w:ascii="宋体" w:hAnsi="宋体"/>
          <w:szCs w:val="21"/>
          <w:u w:val="single"/>
        </w:rPr>
        <w:t xml:space="preserve">                            </w:t>
      </w:r>
    </w:p>
    <w:p w14:paraId="45ED97CC">
      <w:pPr>
        <w:snapToGrid w:val="0"/>
        <w:spacing w:line="480" w:lineRule="exact"/>
        <w:rPr>
          <w:rFonts w:hint="eastAsia" w:ascii="宋体" w:hAnsi="宋体"/>
          <w:szCs w:val="21"/>
          <w:u w:val="single"/>
        </w:rPr>
      </w:pPr>
      <w:r>
        <w:rPr>
          <w:rFonts w:hint="eastAsia" w:ascii="宋体" w:hAnsi="宋体"/>
          <w:szCs w:val="21"/>
        </w:rPr>
        <w:t xml:space="preserve">签  订  地  点  </w:t>
      </w:r>
      <w:r>
        <w:rPr>
          <w:rFonts w:hint="eastAsia" w:ascii="宋体" w:hAnsi="宋体"/>
          <w:szCs w:val="21"/>
          <w:u w:val="single"/>
        </w:rPr>
        <w:t xml:space="preserve">                          </w:t>
      </w:r>
      <w:r>
        <w:rPr>
          <w:rFonts w:hint="eastAsia" w:ascii="宋体" w:hAnsi="宋体"/>
          <w:szCs w:val="21"/>
        </w:rPr>
        <w:t xml:space="preserve">    签 订 时 间</w:t>
      </w:r>
      <w:r>
        <w:rPr>
          <w:rFonts w:hint="eastAsia" w:ascii="宋体" w:hAnsi="宋体"/>
          <w:szCs w:val="21"/>
          <w:u w:val="single"/>
        </w:rPr>
        <w:t xml:space="preserve">                           </w:t>
      </w:r>
    </w:p>
    <w:p w14:paraId="4FFCC59C">
      <w:pPr>
        <w:spacing w:line="480" w:lineRule="exact"/>
        <w:rPr>
          <w:rFonts w:hint="eastAsia" w:ascii="宋体" w:hAnsi="宋体" w:cs="宋体"/>
          <w:szCs w:val="21"/>
        </w:rPr>
      </w:pPr>
      <w:r>
        <w:rPr>
          <w:rFonts w:hint="eastAsia" w:ascii="宋体" w:hAnsi="宋体" w:cs="宋体"/>
          <w:szCs w:val="21"/>
        </w:rPr>
        <w:t>本合同为中小企业预留合同：</w:t>
      </w:r>
      <w:r>
        <w:rPr>
          <w:rFonts w:hint="eastAsia" w:ascii="宋体" w:hAnsi="宋体" w:cs="宋体"/>
          <w:szCs w:val="21"/>
          <w:u w:val="single"/>
        </w:rPr>
        <w:t>（是/否）</w:t>
      </w:r>
      <w:r>
        <w:rPr>
          <w:rFonts w:hint="eastAsia" w:ascii="宋体" w:hAnsi="宋体" w:cs="宋体"/>
          <w:szCs w:val="21"/>
        </w:rPr>
        <w:t>。</w:t>
      </w:r>
    </w:p>
    <w:p w14:paraId="02B4028A">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根据《中华人民共和国政府采购法》《中华人民共和国民法典》等法律、法规规定，按照招投标文件（采购文件）规定条款和中标（成交）供应商承诺、响应文件，甲乙双方签订本合同。</w:t>
      </w:r>
    </w:p>
    <w:p w14:paraId="43FBE9A9">
      <w:pPr>
        <w:snapToGrid w:val="0"/>
        <w:spacing w:line="480" w:lineRule="exact"/>
        <w:ind w:firstLine="422"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第一条　合同标的</w:t>
      </w:r>
    </w:p>
    <w:p w14:paraId="619CEE24">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1、供货一览表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183"/>
        <w:gridCol w:w="708"/>
        <w:gridCol w:w="1418"/>
        <w:gridCol w:w="1417"/>
        <w:gridCol w:w="851"/>
        <w:gridCol w:w="762"/>
        <w:gridCol w:w="1072"/>
        <w:gridCol w:w="953"/>
      </w:tblGrid>
      <w:tr w14:paraId="68EA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trPr>
        <w:tc>
          <w:tcPr>
            <w:tcW w:w="485" w:type="dxa"/>
            <w:tcBorders>
              <w:top w:val="single" w:color="auto" w:sz="4" w:space="0"/>
              <w:left w:val="single" w:color="auto" w:sz="4" w:space="0"/>
              <w:bottom w:val="single" w:color="auto" w:sz="4" w:space="0"/>
              <w:right w:val="single" w:color="auto" w:sz="4" w:space="0"/>
            </w:tcBorders>
            <w:vAlign w:val="center"/>
          </w:tcPr>
          <w:p w14:paraId="624647EB">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1183" w:type="dxa"/>
            <w:tcBorders>
              <w:top w:val="single" w:color="auto" w:sz="4" w:space="0"/>
              <w:left w:val="single" w:color="auto" w:sz="4" w:space="0"/>
              <w:bottom w:val="single" w:color="auto" w:sz="4" w:space="0"/>
              <w:right w:val="single" w:color="auto" w:sz="4" w:space="0"/>
            </w:tcBorders>
            <w:vAlign w:val="center"/>
          </w:tcPr>
          <w:p w14:paraId="6173A741">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标的名称</w:t>
            </w:r>
          </w:p>
        </w:tc>
        <w:tc>
          <w:tcPr>
            <w:tcW w:w="708" w:type="dxa"/>
            <w:tcBorders>
              <w:top w:val="single" w:color="auto" w:sz="4" w:space="0"/>
              <w:left w:val="single" w:color="auto" w:sz="4" w:space="0"/>
              <w:bottom w:val="single" w:color="auto" w:sz="4" w:space="0"/>
              <w:right w:val="single" w:color="auto" w:sz="4" w:space="0"/>
            </w:tcBorders>
            <w:vAlign w:val="center"/>
          </w:tcPr>
          <w:p w14:paraId="406DA8E3">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商标</w:t>
            </w:r>
          </w:p>
          <w:p w14:paraId="15613BD0">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品牌</w:t>
            </w:r>
          </w:p>
        </w:tc>
        <w:tc>
          <w:tcPr>
            <w:tcW w:w="1418" w:type="dxa"/>
            <w:tcBorders>
              <w:top w:val="single" w:color="auto" w:sz="4" w:space="0"/>
              <w:left w:val="single" w:color="auto" w:sz="4" w:space="0"/>
              <w:bottom w:val="single" w:color="auto" w:sz="4" w:space="0"/>
              <w:right w:val="single" w:color="auto" w:sz="4" w:space="0"/>
            </w:tcBorders>
            <w:vAlign w:val="center"/>
          </w:tcPr>
          <w:p w14:paraId="69D63708">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14:paraId="703799FF">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生产厂家</w:t>
            </w:r>
          </w:p>
        </w:tc>
        <w:tc>
          <w:tcPr>
            <w:tcW w:w="851" w:type="dxa"/>
            <w:tcBorders>
              <w:top w:val="single" w:color="auto" w:sz="4" w:space="0"/>
              <w:left w:val="single" w:color="auto" w:sz="4" w:space="0"/>
              <w:bottom w:val="single" w:color="auto" w:sz="4" w:space="0"/>
              <w:right w:val="single" w:color="auto" w:sz="4" w:space="0"/>
            </w:tcBorders>
            <w:vAlign w:val="center"/>
          </w:tcPr>
          <w:p w14:paraId="6991C155">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数量</w:t>
            </w:r>
          </w:p>
        </w:tc>
        <w:tc>
          <w:tcPr>
            <w:tcW w:w="762" w:type="dxa"/>
            <w:tcBorders>
              <w:top w:val="single" w:color="auto" w:sz="4" w:space="0"/>
              <w:left w:val="single" w:color="auto" w:sz="4" w:space="0"/>
              <w:bottom w:val="single" w:color="auto" w:sz="4" w:space="0"/>
              <w:right w:val="single" w:color="auto" w:sz="4" w:space="0"/>
            </w:tcBorders>
            <w:vAlign w:val="center"/>
          </w:tcPr>
          <w:p w14:paraId="1E471435">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单位</w:t>
            </w:r>
          </w:p>
        </w:tc>
        <w:tc>
          <w:tcPr>
            <w:tcW w:w="1072" w:type="dxa"/>
            <w:tcBorders>
              <w:top w:val="single" w:color="auto" w:sz="4" w:space="0"/>
              <w:left w:val="single" w:color="auto" w:sz="4" w:space="0"/>
              <w:bottom w:val="single" w:color="auto" w:sz="4" w:space="0"/>
              <w:right w:val="single" w:color="auto" w:sz="4" w:space="0"/>
            </w:tcBorders>
            <w:vAlign w:val="center"/>
          </w:tcPr>
          <w:p w14:paraId="3635850B">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单价</w:t>
            </w:r>
          </w:p>
          <w:p w14:paraId="3AF3E7EE">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（元）</w:t>
            </w:r>
          </w:p>
        </w:tc>
        <w:tc>
          <w:tcPr>
            <w:tcW w:w="953" w:type="dxa"/>
            <w:tcBorders>
              <w:top w:val="single" w:color="auto" w:sz="4" w:space="0"/>
              <w:left w:val="single" w:color="auto" w:sz="4" w:space="0"/>
              <w:bottom w:val="single" w:color="auto" w:sz="4" w:space="0"/>
              <w:right w:val="single" w:color="auto" w:sz="4" w:space="0"/>
            </w:tcBorders>
            <w:vAlign w:val="center"/>
          </w:tcPr>
          <w:p w14:paraId="63CAAA48">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金额</w:t>
            </w:r>
          </w:p>
          <w:p w14:paraId="6FD7A031">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（元）</w:t>
            </w:r>
          </w:p>
        </w:tc>
      </w:tr>
      <w:tr w14:paraId="5E6B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485" w:type="dxa"/>
            <w:tcBorders>
              <w:top w:val="single" w:color="auto" w:sz="4" w:space="0"/>
              <w:left w:val="single" w:color="auto" w:sz="4" w:space="0"/>
              <w:bottom w:val="single" w:color="auto" w:sz="4" w:space="0"/>
              <w:right w:val="single" w:color="auto" w:sz="4" w:space="0"/>
            </w:tcBorders>
            <w:vAlign w:val="center"/>
          </w:tcPr>
          <w:p w14:paraId="02EDF7E3">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183" w:type="dxa"/>
            <w:tcBorders>
              <w:top w:val="single" w:color="auto" w:sz="4" w:space="0"/>
              <w:left w:val="single" w:color="auto" w:sz="4" w:space="0"/>
              <w:bottom w:val="single" w:color="auto" w:sz="4" w:space="0"/>
              <w:right w:val="single" w:color="auto" w:sz="4" w:space="0"/>
            </w:tcBorders>
            <w:vAlign w:val="center"/>
          </w:tcPr>
          <w:p w14:paraId="0D669402">
            <w:pPr>
              <w:spacing w:line="480" w:lineRule="exact"/>
              <w:jc w:val="center"/>
              <w:rPr>
                <w:rFonts w:hint="eastAsia" w:ascii="宋体" w:hAnsi="宋体" w:cs="宋体"/>
                <w:color w:val="000000" w:themeColor="text1"/>
                <w:szCs w:val="21"/>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vAlign w:val="center"/>
          </w:tcPr>
          <w:p w14:paraId="5A7F004F">
            <w:pPr>
              <w:spacing w:line="480" w:lineRule="exact"/>
              <w:jc w:val="center"/>
              <w:rPr>
                <w:rFonts w:hint="eastAsia" w:ascii="宋体" w:hAnsi="宋体" w:cs="宋体"/>
                <w:color w:val="000000" w:themeColor="text1"/>
                <w:szCs w:val="21"/>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0BD8FBF6">
            <w:pPr>
              <w:spacing w:line="480" w:lineRule="exact"/>
              <w:jc w:val="center"/>
              <w:rPr>
                <w:rFonts w:hint="eastAsia" w:ascii="宋体" w:hAnsi="宋体" w:cs="宋体"/>
                <w:color w:val="000000" w:themeColor="text1"/>
                <w:szCs w:val="21"/>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vAlign w:val="center"/>
          </w:tcPr>
          <w:p w14:paraId="28183C1D">
            <w:pPr>
              <w:spacing w:line="480" w:lineRule="exact"/>
              <w:jc w:val="center"/>
              <w:rPr>
                <w:rFonts w:hint="eastAsia" w:ascii="宋体" w:hAnsi="宋体" w:cs="宋体"/>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14:paraId="61A1B12A">
            <w:pPr>
              <w:spacing w:line="480" w:lineRule="exact"/>
              <w:jc w:val="center"/>
              <w:rPr>
                <w:rFonts w:hint="eastAsia" w:ascii="宋体" w:hAnsi="宋体" w:cs="宋体"/>
                <w:color w:val="000000" w:themeColor="text1"/>
                <w:szCs w:val="21"/>
                <w14:textFill>
                  <w14:solidFill>
                    <w14:schemeClr w14:val="tx1"/>
                  </w14:solidFill>
                </w14:textFill>
              </w:rPr>
            </w:pPr>
          </w:p>
        </w:tc>
        <w:tc>
          <w:tcPr>
            <w:tcW w:w="762" w:type="dxa"/>
            <w:tcBorders>
              <w:top w:val="single" w:color="auto" w:sz="4" w:space="0"/>
              <w:left w:val="single" w:color="auto" w:sz="4" w:space="0"/>
              <w:bottom w:val="single" w:color="auto" w:sz="4" w:space="0"/>
              <w:right w:val="single" w:color="auto" w:sz="4" w:space="0"/>
            </w:tcBorders>
            <w:vAlign w:val="center"/>
          </w:tcPr>
          <w:p w14:paraId="0C3E4B22">
            <w:pPr>
              <w:spacing w:line="480" w:lineRule="exact"/>
              <w:jc w:val="center"/>
              <w:rPr>
                <w:rFonts w:hint="eastAsia" w:ascii="宋体" w:hAnsi="宋体" w:cs="宋体"/>
                <w:color w:val="000000" w:themeColor="text1"/>
                <w:szCs w:val="21"/>
                <w14:textFill>
                  <w14:solidFill>
                    <w14:schemeClr w14:val="tx1"/>
                  </w14:solidFill>
                </w14:textFill>
              </w:rPr>
            </w:pPr>
          </w:p>
        </w:tc>
        <w:tc>
          <w:tcPr>
            <w:tcW w:w="1072" w:type="dxa"/>
            <w:tcBorders>
              <w:top w:val="single" w:color="auto" w:sz="4" w:space="0"/>
              <w:left w:val="single" w:color="auto" w:sz="4" w:space="0"/>
              <w:bottom w:val="single" w:color="auto" w:sz="4" w:space="0"/>
              <w:right w:val="single" w:color="auto" w:sz="4" w:space="0"/>
            </w:tcBorders>
            <w:vAlign w:val="center"/>
          </w:tcPr>
          <w:p w14:paraId="75C3D54C">
            <w:pPr>
              <w:spacing w:line="480" w:lineRule="exact"/>
              <w:jc w:val="center"/>
              <w:rPr>
                <w:rFonts w:hint="eastAsia" w:ascii="宋体" w:hAnsi="宋体" w:cs="宋体"/>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5C79D017">
            <w:pPr>
              <w:spacing w:line="480" w:lineRule="exact"/>
              <w:jc w:val="center"/>
              <w:rPr>
                <w:rFonts w:hint="eastAsia" w:ascii="宋体" w:hAnsi="宋体" w:cs="宋体"/>
                <w:color w:val="000000" w:themeColor="text1"/>
                <w:szCs w:val="21"/>
                <w14:textFill>
                  <w14:solidFill>
                    <w14:schemeClr w14:val="tx1"/>
                  </w14:solidFill>
                </w14:textFill>
              </w:rPr>
            </w:pPr>
          </w:p>
        </w:tc>
      </w:tr>
      <w:tr w14:paraId="2036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485" w:type="dxa"/>
            <w:tcBorders>
              <w:top w:val="single" w:color="auto" w:sz="4" w:space="0"/>
              <w:left w:val="single" w:color="auto" w:sz="4" w:space="0"/>
              <w:bottom w:val="single" w:color="auto" w:sz="4" w:space="0"/>
              <w:right w:val="single" w:color="auto" w:sz="4" w:space="0"/>
            </w:tcBorders>
            <w:vAlign w:val="center"/>
          </w:tcPr>
          <w:p w14:paraId="2F800A3A">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183" w:type="dxa"/>
            <w:tcBorders>
              <w:top w:val="single" w:color="auto" w:sz="4" w:space="0"/>
              <w:left w:val="single" w:color="auto" w:sz="4" w:space="0"/>
              <w:bottom w:val="single" w:color="auto" w:sz="4" w:space="0"/>
              <w:right w:val="single" w:color="auto" w:sz="4" w:space="0"/>
            </w:tcBorders>
            <w:vAlign w:val="center"/>
          </w:tcPr>
          <w:p w14:paraId="7D080168">
            <w:pPr>
              <w:spacing w:line="480" w:lineRule="exact"/>
              <w:jc w:val="center"/>
              <w:rPr>
                <w:rFonts w:hint="eastAsia" w:ascii="宋体" w:hAnsi="宋体" w:cs="宋体"/>
                <w:color w:val="000000" w:themeColor="text1"/>
                <w:szCs w:val="21"/>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vAlign w:val="center"/>
          </w:tcPr>
          <w:p w14:paraId="2F2143C6">
            <w:pPr>
              <w:spacing w:line="480" w:lineRule="exact"/>
              <w:jc w:val="center"/>
              <w:rPr>
                <w:rFonts w:hint="eastAsia" w:ascii="宋体" w:hAnsi="宋体" w:cs="宋体"/>
                <w:color w:val="000000" w:themeColor="text1"/>
                <w:szCs w:val="21"/>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508A1824">
            <w:pPr>
              <w:spacing w:line="480" w:lineRule="exact"/>
              <w:jc w:val="center"/>
              <w:rPr>
                <w:rFonts w:hint="eastAsia" w:ascii="宋体" w:hAnsi="宋体" w:cs="宋体"/>
                <w:color w:val="000000" w:themeColor="text1"/>
                <w:szCs w:val="21"/>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vAlign w:val="center"/>
          </w:tcPr>
          <w:p w14:paraId="4CBD85DD">
            <w:pPr>
              <w:spacing w:line="480" w:lineRule="exact"/>
              <w:jc w:val="center"/>
              <w:rPr>
                <w:rFonts w:hint="eastAsia" w:ascii="宋体" w:hAnsi="宋体" w:cs="宋体"/>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14:paraId="199C0ABD">
            <w:pPr>
              <w:spacing w:line="480" w:lineRule="exact"/>
              <w:jc w:val="center"/>
              <w:rPr>
                <w:rFonts w:hint="eastAsia" w:ascii="宋体" w:hAnsi="宋体" w:cs="宋体"/>
                <w:color w:val="000000" w:themeColor="text1"/>
                <w:szCs w:val="21"/>
                <w14:textFill>
                  <w14:solidFill>
                    <w14:schemeClr w14:val="tx1"/>
                  </w14:solidFill>
                </w14:textFill>
              </w:rPr>
            </w:pPr>
          </w:p>
        </w:tc>
        <w:tc>
          <w:tcPr>
            <w:tcW w:w="762" w:type="dxa"/>
            <w:tcBorders>
              <w:top w:val="single" w:color="auto" w:sz="4" w:space="0"/>
              <w:left w:val="single" w:color="auto" w:sz="4" w:space="0"/>
              <w:bottom w:val="single" w:color="auto" w:sz="4" w:space="0"/>
              <w:right w:val="single" w:color="auto" w:sz="4" w:space="0"/>
            </w:tcBorders>
            <w:vAlign w:val="center"/>
          </w:tcPr>
          <w:p w14:paraId="4E7D5770">
            <w:pPr>
              <w:spacing w:line="480" w:lineRule="exact"/>
              <w:jc w:val="center"/>
              <w:rPr>
                <w:rFonts w:hint="eastAsia" w:ascii="宋体" w:hAnsi="宋体" w:cs="宋体"/>
                <w:color w:val="000000" w:themeColor="text1"/>
                <w:szCs w:val="21"/>
                <w14:textFill>
                  <w14:solidFill>
                    <w14:schemeClr w14:val="tx1"/>
                  </w14:solidFill>
                </w14:textFill>
              </w:rPr>
            </w:pPr>
          </w:p>
        </w:tc>
        <w:tc>
          <w:tcPr>
            <w:tcW w:w="1072" w:type="dxa"/>
            <w:tcBorders>
              <w:top w:val="single" w:color="auto" w:sz="4" w:space="0"/>
              <w:left w:val="single" w:color="auto" w:sz="4" w:space="0"/>
              <w:bottom w:val="single" w:color="auto" w:sz="4" w:space="0"/>
              <w:right w:val="single" w:color="auto" w:sz="4" w:space="0"/>
            </w:tcBorders>
            <w:vAlign w:val="center"/>
          </w:tcPr>
          <w:p w14:paraId="7CDE0418">
            <w:pPr>
              <w:spacing w:line="480" w:lineRule="exact"/>
              <w:jc w:val="center"/>
              <w:rPr>
                <w:rFonts w:hint="eastAsia" w:ascii="宋体" w:hAnsi="宋体" w:cs="宋体"/>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0A191CFC">
            <w:pPr>
              <w:spacing w:line="480" w:lineRule="exact"/>
              <w:jc w:val="center"/>
              <w:rPr>
                <w:rFonts w:hint="eastAsia" w:ascii="宋体" w:hAnsi="宋体" w:cs="宋体"/>
                <w:color w:val="000000" w:themeColor="text1"/>
                <w:szCs w:val="21"/>
                <w14:textFill>
                  <w14:solidFill>
                    <w14:schemeClr w14:val="tx1"/>
                  </w14:solidFill>
                </w14:textFill>
              </w:rPr>
            </w:pPr>
          </w:p>
        </w:tc>
      </w:tr>
      <w:tr w14:paraId="77D9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485" w:type="dxa"/>
            <w:tcBorders>
              <w:top w:val="single" w:color="auto" w:sz="4" w:space="0"/>
              <w:left w:val="single" w:color="auto" w:sz="4" w:space="0"/>
              <w:bottom w:val="single" w:color="auto" w:sz="4" w:space="0"/>
              <w:right w:val="single" w:color="auto" w:sz="4" w:space="0"/>
            </w:tcBorders>
            <w:vAlign w:val="center"/>
          </w:tcPr>
          <w:p w14:paraId="046E5937">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1183" w:type="dxa"/>
            <w:tcBorders>
              <w:top w:val="single" w:color="auto" w:sz="4" w:space="0"/>
              <w:left w:val="single" w:color="auto" w:sz="4" w:space="0"/>
              <w:bottom w:val="single" w:color="auto" w:sz="4" w:space="0"/>
              <w:right w:val="single" w:color="auto" w:sz="4" w:space="0"/>
            </w:tcBorders>
            <w:vAlign w:val="center"/>
          </w:tcPr>
          <w:p w14:paraId="31151E4C">
            <w:pPr>
              <w:spacing w:line="480" w:lineRule="exact"/>
              <w:jc w:val="center"/>
              <w:rPr>
                <w:rFonts w:hint="eastAsia" w:ascii="宋体" w:hAnsi="宋体" w:cs="宋体"/>
                <w:color w:val="000000" w:themeColor="text1"/>
                <w:szCs w:val="21"/>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vAlign w:val="center"/>
          </w:tcPr>
          <w:p w14:paraId="44BA6659">
            <w:pPr>
              <w:spacing w:line="480" w:lineRule="exact"/>
              <w:jc w:val="center"/>
              <w:rPr>
                <w:rFonts w:hint="eastAsia" w:ascii="宋体" w:hAnsi="宋体" w:cs="宋体"/>
                <w:color w:val="000000" w:themeColor="text1"/>
                <w:szCs w:val="21"/>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6B40D984">
            <w:pPr>
              <w:spacing w:line="480" w:lineRule="exact"/>
              <w:jc w:val="center"/>
              <w:rPr>
                <w:rFonts w:hint="eastAsia" w:ascii="宋体" w:hAnsi="宋体" w:cs="宋体"/>
                <w:color w:val="000000" w:themeColor="text1"/>
                <w:szCs w:val="21"/>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vAlign w:val="center"/>
          </w:tcPr>
          <w:p w14:paraId="5565F332">
            <w:pPr>
              <w:spacing w:line="480" w:lineRule="exact"/>
              <w:jc w:val="center"/>
              <w:rPr>
                <w:rFonts w:hint="eastAsia" w:ascii="宋体" w:hAnsi="宋体" w:cs="宋体"/>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14:paraId="1A920269">
            <w:pPr>
              <w:spacing w:line="480" w:lineRule="exact"/>
              <w:jc w:val="center"/>
              <w:rPr>
                <w:rFonts w:hint="eastAsia" w:ascii="宋体" w:hAnsi="宋体" w:cs="宋体"/>
                <w:color w:val="000000" w:themeColor="text1"/>
                <w:szCs w:val="21"/>
                <w14:textFill>
                  <w14:solidFill>
                    <w14:schemeClr w14:val="tx1"/>
                  </w14:solidFill>
                </w14:textFill>
              </w:rPr>
            </w:pPr>
          </w:p>
        </w:tc>
        <w:tc>
          <w:tcPr>
            <w:tcW w:w="762" w:type="dxa"/>
            <w:tcBorders>
              <w:top w:val="single" w:color="auto" w:sz="4" w:space="0"/>
              <w:left w:val="single" w:color="auto" w:sz="4" w:space="0"/>
              <w:bottom w:val="single" w:color="auto" w:sz="4" w:space="0"/>
              <w:right w:val="single" w:color="auto" w:sz="4" w:space="0"/>
            </w:tcBorders>
            <w:vAlign w:val="center"/>
          </w:tcPr>
          <w:p w14:paraId="25A901C0">
            <w:pPr>
              <w:spacing w:line="480" w:lineRule="exact"/>
              <w:jc w:val="center"/>
              <w:rPr>
                <w:rFonts w:hint="eastAsia" w:ascii="宋体" w:hAnsi="宋体" w:cs="宋体"/>
                <w:color w:val="000000" w:themeColor="text1"/>
                <w:szCs w:val="21"/>
                <w14:textFill>
                  <w14:solidFill>
                    <w14:schemeClr w14:val="tx1"/>
                  </w14:solidFill>
                </w14:textFill>
              </w:rPr>
            </w:pPr>
          </w:p>
        </w:tc>
        <w:tc>
          <w:tcPr>
            <w:tcW w:w="1072" w:type="dxa"/>
            <w:tcBorders>
              <w:top w:val="single" w:color="auto" w:sz="4" w:space="0"/>
              <w:left w:val="single" w:color="auto" w:sz="4" w:space="0"/>
              <w:bottom w:val="single" w:color="auto" w:sz="4" w:space="0"/>
              <w:right w:val="single" w:color="auto" w:sz="4" w:space="0"/>
            </w:tcBorders>
            <w:vAlign w:val="center"/>
          </w:tcPr>
          <w:p w14:paraId="36A7A28A">
            <w:pPr>
              <w:spacing w:line="480" w:lineRule="exact"/>
              <w:jc w:val="center"/>
              <w:rPr>
                <w:rFonts w:hint="eastAsia" w:ascii="宋体" w:hAnsi="宋体" w:cs="宋体"/>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7E22CF5C">
            <w:pPr>
              <w:spacing w:line="480" w:lineRule="exact"/>
              <w:jc w:val="center"/>
              <w:rPr>
                <w:rFonts w:hint="eastAsia" w:ascii="宋体" w:hAnsi="宋体" w:cs="宋体"/>
                <w:color w:val="000000" w:themeColor="text1"/>
                <w:szCs w:val="21"/>
                <w14:textFill>
                  <w14:solidFill>
                    <w14:schemeClr w14:val="tx1"/>
                  </w14:solidFill>
                </w14:textFill>
              </w:rPr>
            </w:pPr>
          </w:p>
        </w:tc>
      </w:tr>
      <w:tr w14:paraId="5EF1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485" w:type="dxa"/>
            <w:tcBorders>
              <w:top w:val="single" w:color="auto" w:sz="4" w:space="0"/>
              <w:left w:val="single" w:color="auto" w:sz="4" w:space="0"/>
              <w:bottom w:val="single" w:color="auto" w:sz="4" w:space="0"/>
              <w:right w:val="single" w:color="auto" w:sz="4" w:space="0"/>
            </w:tcBorders>
            <w:vAlign w:val="center"/>
          </w:tcPr>
          <w:p w14:paraId="6BA9B67F">
            <w:pPr>
              <w:spacing w:line="4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1183" w:type="dxa"/>
            <w:tcBorders>
              <w:top w:val="single" w:color="auto" w:sz="4" w:space="0"/>
              <w:left w:val="single" w:color="auto" w:sz="4" w:space="0"/>
              <w:bottom w:val="single" w:color="auto" w:sz="4" w:space="0"/>
              <w:right w:val="single" w:color="auto" w:sz="4" w:space="0"/>
            </w:tcBorders>
            <w:vAlign w:val="center"/>
          </w:tcPr>
          <w:p w14:paraId="42F28A5B">
            <w:pPr>
              <w:spacing w:line="480" w:lineRule="exact"/>
              <w:jc w:val="center"/>
              <w:rPr>
                <w:rFonts w:hint="eastAsia" w:ascii="宋体" w:hAnsi="宋体" w:cs="宋体"/>
                <w:color w:val="000000" w:themeColor="text1"/>
                <w:szCs w:val="21"/>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vAlign w:val="center"/>
          </w:tcPr>
          <w:p w14:paraId="10FBE53B">
            <w:pPr>
              <w:spacing w:line="480" w:lineRule="exact"/>
              <w:jc w:val="center"/>
              <w:rPr>
                <w:rFonts w:hint="eastAsia" w:ascii="宋体" w:hAnsi="宋体" w:cs="宋体"/>
                <w:color w:val="000000" w:themeColor="text1"/>
                <w:szCs w:val="21"/>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34D590DE">
            <w:pPr>
              <w:spacing w:line="480" w:lineRule="exact"/>
              <w:jc w:val="center"/>
              <w:rPr>
                <w:rFonts w:hint="eastAsia" w:ascii="宋体" w:hAnsi="宋体" w:cs="宋体"/>
                <w:color w:val="000000" w:themeColor="text1"/>
                <w:szCs w:val="21"/>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vAlign w:val="center"/>
          </w:tcPr>
          <w:p w14:paraId="4281375B">
            <w:pPr>
              <w:spacing w:line="480" w:lineRule="exact"/>
              <w:jc w:val="center"/>
              <w:rPr>
                <w:rFonts w:hint="eastAsia" w:ascii="宋体" w:hAnsi="宋体" w:cs="宋体"/>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14:paraId="651CCE46">
            <w:pPr>
              <w:spacing w:line="480" w:lineRule="exact"/>
              <w:jc w:val="center"/>
              <w:rPr>
                <w:rFonts w:hint="eastAsia" w:ascii="宋体" w:hAnsi="宋体" w:cs="宋体"/>
                <w:color w:val="000000" w:themeColor="text1"/>
                <w:szCs w:val="21"/>
                <w14:textFill>
                  <w14:solidFill>
                    <w14:schemeClr w14:val="tx1"/>
                  </w14:solidFill>
                </w14:textFill>
              </w:rPr>
            </w:pPr>
          </w:p>
        </w:tc>
        <w:tc>
          <w:tcPr>
            <w:tcW w:w="762" w:type="dxa"/>
            <w:tcBorders>
              <w:top w:val="single" w:color="auto" w:sz="4" w:space="0"/>
              <w:left w:val="single" w:color="auto" w:sz="4" w:space="0"/>
              <w:bottom w:val="single" w:color="auto" w:sz="4" w:space="0"/>
              <w:right w:val="single" w:color="auto" w:sz="4" w:space="0"/>
            </w:tcBorders>
            <w:vAlign w:val="center"/>
          </w:tcPr>
          <w:p w14:paraId="1114CF94">
            <w:pPr>
              <w:spacing w:line="480" w:lineRule="exact"/>
              <w:jc w:val="center"/>
              <w:rPr>
                <w:rFonts w:hint="eastAsia" w:ascii="宋体" w:hAnsi="宋体" w:cs="宋体"/>
                <w:color w:val="000000" w:themeColor="text1"/>
                <w:szCs w:val="21"/>
                <w14:textFill>
                  <w14:solidFill>
                    <w14:schemeClr w14:val="tx1"/>
                  </w14:solidFill>
                </w14:textFill>
              </w:rPr>
            </w:pPr>
          </w:p>
        </w:tc>
        <w:tc>
          <w:tcPr>
            <w:tcW w:w="1072" w:type="dxa"/>
            <w:tcBorders>
              <w:top w:val="single" w:color="auto" w:sz="4" w:space="0"/>
              <w:left w:val="single" w:color="auto" w:sz="4" w:space="0"/>
              <w:bottom w:val="single" w:color="auto" w:sz="4" w:space="0"/>
              <w:right w:val="single" w:color="auto" w:sz="4" w:space="0"/>
            </w:tcBorders>
            <w:vAlign w:val="center"/>
          </w:tcPr>
          <w:p w14:paraId="516DE14E">
            <w:pPr>
              <w:spacing w:line="480" w:lineRule="exact"/>
              <w:jc w:val="center"/>
              <w:rPr>
                <w:rFonts w:hint="eastAsia" w:ascii="宋体" w:hAnsi="宋体" w:cs="宋体"/>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1CB11DD5">
            <w:pPr>
              <w:spacing w:line="480" w:lineRule="exact"/>
              <w:jc w:val="center"/>
              <w:rPr>
                <w:rFonts w:hint="eastAsia" w:ascii="宋体" w:hAnsi="宋体" w:cs="宋体"/>
                <w:color w:val="000000" w:themeColor="text1"/>
                <w:szCs w:val="21"/>
                <w14:textFill>
                  <w14:solidFill>
                    <w14:schemeClr w14:val="tx1"/>
                  </w14:solidFill>
                </w14:textFill>
              </w:rPr>
            </w:pPr>
          </w:p>
        </w:tc>
      </w:tr>
      <w:tr w14:paraId="587D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8849" w:type="dxa"/>
            <w:gridSpan w:val="9"/>
            <w:tcBorders>
              <w:top w:val="single" w:color="auto" w:sz="4" w:space="0"/>
              <w:left w:val="single" w:color="auto" w:sz="4" w:space="0"/>
              <w:bottom w:val="single" w:color="auto" w:sz="4" w:space="0"/>
              <w:right w:val="single" w:color="auto" w:sz="4" w:space="0"/>
            </w:tcBorders>
            <w:vAlign w:val="center"/>
          </w:tcPr>
          <w:p w14:paraId="6EE5781D">
            <w:pPr>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人民币合计金额：</w:t>
            </w:r>
          </w:p>
        </w:tc>
      </w:tr>
    </w:tbl>
    <w:p w14:paraId="0D99A20C">
      <w:pPr>
        <w:snapToGrid w:val="0"/>
        <w:spacing w:line="480" w:lineRule="exact"/>
        <w:ind w:right="52"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2、合同合计金额包括（1）货物的价格；（2）必要的保险费用和各项税金；（3）其他（如运输、装卸、安装、调试、培训、技术支持、售后货物、更新升级等费用，根据项目具体情况填写）： 包括货款、随配附件、备品备件、专用工具、包装、运输、装卸、保险、运抵指定交货地点、送货上门服务、现场安装调试、保修等各种费用和售后服务、培训、税金、招标代理服务费及其他所有成本费用的总和。</w:t>
      </w:r>
    </w:p>
    <w:p w14:paraId="5895BE22">
      <w:pPr>
        <w:snapToGrid w:val="0"/>
        <w:spacing w:line="480" w:lineRule="exact"/>
        <w:ind w:firstLine="422"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第二条　质量保证</w:t>
      </w:r>
    </w:p>
    <w:p w14:paraId="3B79057C">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1、乙方所提供的货物型号、技术规格、技术参数等质量必须与采购文件和承诺相一致。乙方提供的节能和环保产品必须是列入政府采购清单的产品。</w:t>
      </w:r>
    </w:p>
    <w:p w14:paraId="6F39A21B">
      <w:pPr>
        <w:snapToGrid w:val="0"/>
        <w:spacing w:line="480" w:lineRule="exact"/>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2、乙方所提供的货物必须是全新、未使用的原装产品，且在正常安装、使用和保养条件下，其使用寿命期内各项指标均达到质量要求。</w:t>
      </w:r>
    </w:p>
    <w:p w14:paraId="77147A38">
      <w:pPr>
        <w:snapToGrid w:val="0"/>
        <w:spacing w:line="480" w:lineRule="exact"/>
        <w:ind w:firstLine="422"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第三条　权利保证</w:t>
      </w:r>
    </w:p>
    <w:p w14:paraId="17EA0914">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1、乙方应保证所提供货物在使用时不会侵犯任何第三方的专利权、商标权、工业设计权或其他权利。</w:t>
      </w:r>
    </w:p>
    <w:p w14:paraId="034696B4">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2、乙方应按采购文件规定的时间向甲方提供使用货物的有关技术资料。</w:t>
      </w:r>
    </w:p>
    <w:p w14:paraId="072196FB">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7828B8E">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4、乙方保证所交付的货物的所有权完全属于乙方且无任何抵押、质押、查封等产权瑕疵。</w:t>
      </w:r>
    </w:p>
    <w:p w14:paraId="7D602A4A">
      <w:pPr>
        <w:snapToGrid w:val="0"/>
        <w:spacing w:line="480" w:lineRule="exact"/>
        <w:ind w:firstLine="422"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第四条　包装和运输</w:t>
      </w:r>
    </w:p>
    <w:p w14:paraId="1A320200">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1、乙方提供的货物均应按（招标）采购文件要求的包装材料、包装标准、包装方式进行包装，每一包装单元内应附详细的装箱单和质量合格证。</w:t>
      </w:r>
    </w:p>
    <w:p w14:paraId="36BDCDC7">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2、货物的运输方式：</w:t>
      </w:r>
      <w:r>
        <w:rPr>
          <w:rFonts w:hint="eastAsia" w:ascii="宋体" w:hAnsi="宋体" w:cs="宋体"/>
          <w:color w:val="000000" w:themeColor="text1"/>
          <w:szCs w:val="21"/>
          <w:u w:val="single"/>
          <w14:textFill>
            <w14:solidFill>
              <w14:schemeClr w14:val="tx1"/>
            </w14:solidFill>
          </w14:textFill>
        </w:rPr>
        <w:t xml:space="preserve">  不限   </w:t>
      </w:r>
      <w:r>
        <w:rPr>
          <w:rFonts w:hint="eastAsia" w:ascii="宋体" w:hAnsi="宋体" w:cs="宋体"/>
          <w:color w:val="000000" w:themeColor="text1"/>
          <w:szCs w:val="21"/>
          <w14:textFill>
            <w14:solidFill>
              <w14:schemeClr w14:val="tx1"/>
            </w14:solidFill>
          </w14:textFill>
        </w:rPr>
        <w:t>。</w:t>
      </w:r>
    </w:p>
    <w:p w14:paraId="37D77E92">
      <w:pPr>
        <w:snapToGrid w:val="0"/>
        <w:spacing w:line="480" w:lineRule="exact"/>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3、乙方负责货物运输，货物运输合理损耗及计算方法：</w:t>
      </w:r>
      <w:r>
        <w:rPr>
          <w:rFonts w:hint="eastAsia" w:ascii="宋体" w:hAnsi="宋体" w:cs="宋体"/>
          <w:color w:val="000000" w:themeColor="text1"/>
          <w:szCs w:val="21"/>
          <w:u w:val="single"/>
          <w14:textFill>
            <w14:solidFill>
              <w14:schemeClr w14:val="tx1"/>
            </w14:solidFill>
          </w14:textFill>
        </w:rPr>
        <w:t xml:space="preserve"> 本项目合同不接受损耗 </w:t>
      </w:r>
      <w:r>
        <w:rPr>
          <w:rFonts w:hint="eastAsia" w:ascii="宋体" w:hAnsi="宋体" w:cs="宋体"/>
          <w:color w:val="000000" w:themeColor="text1"/>
          <w:szCs w:val="21"/>
          <w14:textFill>
            <w14:solidFill>
              <w14:schemeClr w14:val="tx1"/>
            </w14:solidFill>
          </w14:textFill>
        </w:rPr>
        <w:t>。</w:t>
      </w:r>
    </w:p>
    <w:p w14:paraId="692FB4BA">
      <w:pPr>
        <w:snapToGrid w:val="0"/>
        <w:spacing w:line="480" w:lineRule="exact"/>
        <w:ind w:firstLine="422"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第五条　交付和验收</w:t>
      </w:r>
    </w:p>
    <w:p w14:paraId="2EE85246">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1、交货时间：___________</w:t>
      </w:r>
    </w:p>
    <w:p w14:paraId="356CE2EC">
      <w:pPr>
        <w:snapToGrid w:val="0"/>
        <w:spacing w:line="480" w:lineRule="exact"/>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交货地点：</w:t>
      </w:r>
      <w:r>
        <w:rPr>
          <w:rFonts w:hint="eastAsia" w:ascii="宋体" w:hAnsi="宋体" w:cs="宋体"/>
          <w:color w:val="000000" w:themeColor="text1"/>
          <w:szCs w:val="21"/>
          <w:u w:val="single"/>
          <w14:textFill>
            <w14:solidFill>
              <w14:schemeClr w14:val="tx1"/>
            </w14:solidFill>
          </w14:textFill>
        </w:rPr>
        <w:t>广西区内（南宁市指定地点）</w:t>
      </w:r>
    </w:p>
    <w:p w14:paraId="112BD007">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2、乙方提供不符合（招标）采购文件和本合同规定的货物，甲方有权拒绝接受。</w:t>
      </w:r>
    </w:p>
    <w:p w14:paraId="18F37D02">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3、乙方应将所提供货物的装箱清单、用户手册、原厂保修卡、随机资料、工具和备品、备件等交付给甲方，货物属于进口产品的，供货时应同时附上中文使用说明书，如有缺失应及时补齐，否则视为逾期交货。</w:t>
      </w:r>
    </w:p>
    <w:p w14:paraId="3F436D27">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bookmarkStart w:id="109" w:name="_Hlk117261937"/>
      <w:r>
        <w:rPr>
          <w:rFonts w:hint="eastAsia" w:ascii="宋体" w:hAnsi="宋体" w:cs="宋体"/>
          <w:color w:val="000000" w:themeColor="text1"/>
          <w:szCs w:val="21"/>
          <w14:textFill>
            <w14:solidFill>
              <w14:schemeClr w14:val="tx1"/>
            </w14:solidFill>
          </w14:textFill>
        </w:rPr>
        <w:t>甲方</w:t>
      </w:r>
      <w:bookmarkEnd w:id="109"/>
      <w:r>
        <w:rPr>
          <w:rFonts w:hint="eastAsia" w:ascii="宋体" w:hAnsi="宋体" w:cs="宋体"/>
          <w:color w:val="000000" w:themeColor="text1"/>
          <w:szCs w:val="21"/>
          <w14:textFill>
            <w14:solidFill>
              <w14:schemeClr w14:val="tx1"/>
            </w14:solidFill>
          </w14:textFill>
        </w:rPr>
        <w:t>应当在到货（安装、调试完）后七个工作日内进行货物验收，逾期不验收的，乙方可视同验收合格。验收合格后由甲乙双方签署货物验收单并加盖采购单位公章，甲乙双方各执一份。甲方签署的验收单并不免除乙方对标的物的质量保证责任，甲方在使用标的物过程中，存在质量问题的，乙方应承担相应责任。</w:t>
      </w:r>
    </w:p>
    <w:p w14:paraId="42710554">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7B565DAB">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6、甲方对验收有异议的，在验收后十个工作日内以书面形式向乙方提出，乙方应自收到甲方书面异议后</w:t>
      </w:r>
      <w:r>
        <w:rPr>
          <w:rFonts w:hint="eastAsia" w:ascii="宋体" w:hAnsi="宋体" w:cs="宋体"/>
          <w:color w:val="000000" w:themeColor="text1"/>
          <w:szCs w:val="21"/>
          <w:u w:val="single"/>
          <w14:textFill>
            <w14:solidFill>
              <w14:schemeClr w14:val="tx1"/>
            </w14:solidFill>
          </w14:textFill>
        </w:rPr>
        <w:t xml:space="preserve"> 10个工作 </w:t>
      </w:r>
      <w:r>
        <w:rPr>
          <w:rFonts w:hint="eastAsia" w:ascii="宋体" w:hAnsi="宋体" w:cs="宋体"/>
          <w:color w:val="000000" w:themeColor="text1"/>
          <w:szCs w:val="21"/>
          <w14:textFill>
            <w14:solidFill>
              <w14:schemeClr w14:val="tx1"/>
            </w14:solidFill>
          </w14:textFill>
        </w:rPr>
        <w:t>日内及时予以解决。</w:t>
      </w:r>
    </w:p>
    <w:p w14:paraId="6ED36D3E">
      <w:pPr>
        <w:snapToGrid w:val="0"/>
        <w:spacing w:line="480" w:lineRule="exact"/>
        <w:ind w:firstLine="422"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第六条　安装和培训</w:t>
      </w:r>
    </w:p>
    <w:p w14:paraId="56A733AC">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1、甲方应提供必要安装条件（如场地、电源、水源等）。</w:t>
      </w:r>
    </w:p>
    <w:p w14:paraId="478907FF">
      <w:pPr>
        <w:snapToGrid w:val="0"/>
        <w:spacing w:line="480" w:lineRule="exact"/>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2、乙方负责甲方有关人员的培训。培训时间、地点：</w:t>
      </w:r>
      <w:r>
        <w:rPr>
          <w:rFonts w:hint="eastAsia" w:ascii="宋体" w:hAnsi="宋体" w:cs="宋体"/>
          <w:color w:val="000000" w:themeColor="text1"/>
          <w:szCs w:val="21"/>
          <w:u w:val="single"/>
          <w14:textFill>
            <w14:solidFill>
              <w14:schemeClr w14:val="tx1"/>
            </w14:solidFill>
          </w14:textFill>
        </w:rPr>
        <w:t>详见《响应文件》。</w:t>
      </w:r>
    </w:p>
    <w:p w14:paraId="7B3FAC95">
      <w:pPr>
        <w:snapToGrid w:val="0"/>
        <w:spacing w:line="480" w:lineRule="exact"/>
        <w:ind w:firstLine="422"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第七条  售后服务、质保期</w:t>
      </w:r>
    </w:p>
    <w:p w14:paraId="79FA4000">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1、乙方应按照国家有关法律法规和“三包”规定以及（招标）采购文件及响应文件，为甲方提供售后服务。</w:t>
      </w:r>
    </w:p>
    <w:p w14:paraId="7F0272FC">
      <w:pPr>
        <w:snapToGrid w:val="0"/>
        <w:spacing w:line="480" w:lineRule="exact"/>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2、货物质保期：</w:t>
      </w:r>
      <w:r>
        <w:rPr>
          <w:rFonts w:hint="eastAsia" w:ascii="宋体" w:hAnsi="宋体" w:cs="宋体"/>
          <w:color w:val="000000" w:themeColor="text1"/>
          <w:szCs w:val="21"/>
          <w:u w:val="single"/>
          <w14:textFill>
            <w14:solidFill>
              <w14:schemeClr w14:val="tx1"/>
            </w14:solidFill>
          </w14:textFill>
        </w:rPr>
        <w:t>见《商务响应表》。</w:t>
      </w:r>
    </w:p>
    <w:p w14:paraId="34B2DCF8">
      <w:pPr>
        <w:snapToGrid w:val="0"/>
        <w:spacing w:line="480" w:lineRule="exact"/>
        <w:ind w:firstLine="422"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第八条　付款方式</w:t>
      </w:r>
    </w:p>
    <w:p w14:paraId="1FD24211">
      <w:pPr>
        <w:snapToGrid w:val="0"/>
        <w:spacing w:line="480" w:lineRule="exact"/>
        <w:ind w:left="-61" w:leftChars="-29" w:firstLine="514" w:firstLineChars="245"/>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付款方式：</w:t>
      </w:r>
      <w:r>
        <w:rPr>
          <w:rFonts w:hint="eastAsia" w:ascii="宋体" w:hAnsi="宋体" w:cs="宋体"/>
          <w:color w:val="000000" w:themeColor="text1"/>
          <w:szCs w:val="21"/>
          <w:u w:val="single"/>
          <w14:textFill>
            <w14:solidFill>
              <w14:schemeClr w14:val="tx1"/>
            </w14:solidFill>
          </w14:textFill>
        </w:rPr>
        <w:t xml:space="preserve">                    </w:t>
      </w:r>
    </w:p>
    <w:p w14:paraId="0A5DB733">
      <w:pPr>
        <w:snapToGrid w:val="0"/>
        <w:spacing w:line="480" w:lineRule="exact"/>
        <w:ind w:left="-61" w:firstLine="514"/>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第九条  税费</w:t>
      </w:r>
    </w:p>
    <w:p w14:paraId="2B09E0F3">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本合同执行中相关的一切税费均由乙方负担。</w:t>
      </w:r>
    </w:p>
    <w:p w14:paraId="27B0BA23">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第十条  质量保证及售后服务</w:t>
      </w:r>
    </w:p>
    <w:p w14:paraId="25CDC2D6">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1、乙方应按采购文件规定的货物性能、技术要求、质量标准向甲方提供未经使用的全新产品。不符合要求的，根据实际情况，经双方协商，可按以下办法处理：</w:t>
      </w:r>
    </w:p>
    <w:p w14:paraId="7B01B0D5">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（1）更换：由乙方承担所发生的全部费用。</w:t>
      </w:r>
    </w:p>
    <w:p w14:paraId="506D6AC2">
      <w:pPr>
        <w:snapToGrid w:val="0"/>
        <w:spacing w:line="480" w:lineRule="exact"/>
        <w:ind w:firstLine="42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（2）贬值处理：由甲乙双方合议定价。</w:t>
      </w:r>
    </w:p>
    <w:p w14:paraId="7BDE18ED">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（3）退货处理：乙方应退还甲方支付的合同款，同时应承担该货物的直接费用（运输、保险、检验、货款利息及银行手续费等）。</w:t>
      </w:r>
    </w:p>
    <w:p w14:paraId="34F68877">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2、如在使用过程中发生质量问题，乙方在接到甲方通知后在</w:t>
      </w:r>
      <w:r>
        <w:rPr>
          <w:rFonts w:hint="eastAsia" w:ascii="宋体" w:hAnsi="宋体" w:cs="宋体"/>
          <w:color w:val="000000" w:themeColor="text1"/>
          <w:kern w:val="0"/>
          <w:szCs w:val="21"/>
          <w:u w:val="single"/>
          <w14:textFill>
            <w14:solidFill>
              <w14:schemeClr w14:val="tx1"/>
            </w14:solidFill>
          </w14:textFill>
        </w:rPr>
        <w:t xml:space="preserve"> 乙方售后服务承诺的时间</w:t>
      </w:r>
      <w:r>
        <w:rPr>
          <w:rFonts w:hint="eastAsia" w:ascii="宋体" w:hAnsi="宋体" w:cs="宋体"/>
          <w:color w:val="000000" w:themeColor="text1"/>
          <w:kern w:val="0"/>
          <w:szCs w:val="21"/>
          <w14:textFill>
            <w14:solidFill>
              <w14:schemeClr w14:val="tx1"/>
            </w14:solidFill>
          </w14:textFill>
        </w:rPr>
        <w:t>内到达甲方现场处理。</w:t>
      </w:r>
    </w:p>
    <w:p w14:paraId="19A73A00">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3、在质保期内，乙方应对货物出现的质量及安全问题负责处理解决并承担一切费用。</w:t>
      </w:r>
    </w:p>
    <w:p w14:paraId="572CE935">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4、质保期内货物如因人为使用不当导致损坏的，乙方也应当积极进行维修服务，</w:t>
      </w:r>
      <w:r>
        <w:rPr>
          <w:rFonts w:hint="eastAsia"/>
        </w:rPr>
        <w:t>并保证提供优惠价格的配件和服务</w:t>
      </w:r>
      <w:r>
        <w:rPr>
          <w:rFonts w:hint="eastAsia" w:ascii="宋体" w:hAnsi="宋体" w:cs="宋体"/>
          <w:color w:val="000000" w:themeColor="text1"/>
          <w:szCs w:val="21"/>
          <w14:textFill>
            <w14:solidFill>
              <w14:schemeClr w14:val="tx1"/>
            </w14:solidFill>
          </w14:textFill>
        </w:rPr>
        <w:t>。超过保修期的机器设备，终生维修，维修时只收部件成本费。</w:t>
      </w:r>
    </w:p>
    <w:p w14:paraId="58C57FB8">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第十一条  调试和验收</w:t>
      </w:r>
    </w:p>
    <w:p w14:paraId="47FC5EFF">
      <w:pPr>
        <w:snapToGrid w:val="0"/>
        <w:spacing w:line="480" w:lineRule="exact"/>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甲方对乙方提交的货物依据采购文件上的技术规格要求和国家有关质量标准进行现场初步验收，外观、说明书符合采购文件技术要求的，给予签收，初步验收不合格的不予签收。货到后，甲方应当在到货（安装、调试完）后七个工作日内进行货物验收。</w:t>
      </w:r>
    </w:p>
    <w:p w14:paraId="45144694">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2、乙方交货前应对产品作出全面检查和对验收文件进行整理，并列出清单，作为甲方收货验收和使用的技术条件依据，检验的结果应随货物交甲方。</w:t>
      </w:r>
    </w:p>
    <w:p w14:paraId="33DE745C">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3、甲方对乙方提供的货物在使用前进行调试时，乙方需负责安装并培训甲方的使用操作人员，并协助甲方一起调试，直到符合技术要求，甲方才做最终验收。</w:t>
      </w:r>
    </w:p>
    <w:p w14:paraId="500055C6">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 对技术复杂的货物，甲方应请国家认可的专业检测机构参与初步验收及最终验收，并由其出具质量检测报告。</w:t>
      </w:r>
    </w:p>
    <w:p w14:paraId="03A6831C">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 验收时乙方必须在现场，验收完毕后作出验收结果报告；验收费用由乙方负责。</w:t>
      </w:r>
    </w:p>
    <w:p w14:paraId="586B1429">
      <w:pPr>
        <w:snapToGrid w:val="0"/>
        <w:spacing w:line="480" w:lineRule="exact"/>
        <w:ind w:firstLine="413" w:firstLineChars="196"/>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第十二条  货物包装、发运及运输</w:t>
      </w:r>
    </w:p>
    <w:p w14:paraId="67A99830">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 乙方应在货物发运前对其进行满足运输距离、防潮、防震、防锈和防破损装卸等要求包装，以保证货物安全运达甲方指定地点。</w:t>
      </w:r>
    </w:p>
    <w:p w14:paraId="6588E23F">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 使用说明书（货物属于进口产品的，供货时应同时附上中文使用说明书）、质量检验证明书、随配附件和工具以及清单一并附于货物内。</w:t>
      </w:r>
    </w:p>
    <w:p w14:paraId="6DE992CE">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 乙方在货物发运手续办理完毕后二十四小时内或货到甲方四十八小时前通知甲方，以准备接货。</w:t>
      </w:r>
    </w:p>
    <w:p w14:paraId="3A660DD1">
      <w:pPr>
        <w:snapToGrid w:val="0"/>
        <w:spacing w:line="480" w:lineRule="exact"/>
        <w:ind w:left="420" w:left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 货物在交付甲方前发生的风险均由乙方负责。</w:t>
      </w:r>
    </w:p>
    <w:p w14:paraId="1DECE98B">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 货物在规定的交付期限内由乙方送达甲方指定的地点视为交付，乙方同时需通知甲方货物已送达。</w:t>
      </w:r>
    </w:p>
    <w:p w14:paraId="50139CCF">
      <w:pPr>
        <w:snapToGrid w:val="0"/>
        <w:spacing w:line="480" w:lineRule="exact"/>
        <w:ind w:firstLine="422"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第十三条　违约责任</w:t>
      </w:r>
    </w:p>
    <w:p w14:paraId="753F8622">
      <w:pPr>
        <w:snapToGrid w:val="0"/>
        <w:spacing w:line="480" w:lineRule="exact"/>
        <w:ind w:firstLine="525" w:firstLineChars="2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1008F7CE">
      <w:pPr>
        <w:snapToGrid w:val="0"/>
        <w:spacing w:line="480" w:lineRule="exact"/>
        <w:ind w:firstLine="472" w:firstLineChars="225"/>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2、乙方提供的货物如侵犯了第三方合法权益而引发的任何纠纷或诉讼，均由乙方负责交涉并承担全部责任。</w:t>
      </w:r>
    </w:p>
    <w:p w14:paraId="0138DACD">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3、因包装、运输引起的货物损坏，按质量不合格处罚。</w:t>
      </w:r>
    </w:p>
    <w:p w14:paraId="2131C9C2">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4、甲方无故延期接收货物、乙方逾期交货的，每天向对方偿付违约货款额</w:t>
      </w:r>
      <w:r>
        <w:rPr>
          <w:rFonts w:hint="eastAsia" w:ascii="宋体" w:hAnsi="宋体" w:cs="宋体"/>
          <w:color w:val="000000" w:themeColor="text1"/>
          <w:szCs w:val="21"/>
          <w:u w:val="single"/>
          <w14:textFill>
            <w14:solidFill>
              <w14:schemeClr w14:val="tx1"/>
            </w14:solidFill>
          </w14:textFill>
        </w:rPr>
        <w:t>0.4‰</w:t>
      </w:r>
      <w:r>
        <w:rPr>
          <w:rFonts w:hint="eastAsia" w:ascii="宋体" w:hAnsi="宋体" w:cs="宋体"/>
          <w:color w:val="000000" w:themeColor="text1"/>
          <w:szCs w:val="21"/>
          <w14:textFill>
            <w14:solidFill>
              <w14:schemeClr w14:val="tx1"/>
            </w14:solidFill>
          </w14:textFill>
        </w:rPr>
        <w:t>违约金，但违约金累计不得超过违约货款额</w:t>
      </w:r>
      <w:bookmarkStart w:id="110" w:name="_Hlk117262039"/>
      <w:r>
        <w:rPr>
          <w:rFonts w:hint="eastAsia" w:ascii="宋体" w:hAnsi="宋体" w:cs="宋体"/>
          <w:color w:val="000000" w:themeColor="text1"/>
          <w:szCs w:val="21"/>
          <w14:textFill>
            <w14:solidFill>
              <w14:schemeClr w14:val="tx1"/>
            </w14:solidFill>
          </w14:textFill>
        </w:rPr>
        <w:t>10%</w:t>
      </w:r>
      <w:bookmarkEnd w:id="110"/>
      <w:r>
        <w:rPr>
          <w:rFonts w:hint="eastAsia" w:ascii="宋体" w:hAnsi="宋体" w:cs="宋体"/>
          <w:color w:val="000000" w:themeColor="text1"/>
          <w:szCs w:val="21"/>
          <w14:textFill>
            <w14:solidFill>
              <w14:schemeClr w14:val="tx1"/>
            </w14:solidFill>
          </w14:textFill>
        </w:rPr>
        <w:t>，超过 15 天对方有权解除合同，违约方承担因此给对方造成经济损失；甲方延期付货款的，每天向乙方偿付延期货款额0.4‰滞纳金，但滞纳金累计不得超过延期货款额5%。</w:t>
      </w:r>
    </w:p>
    <w:p w14:paraId="25BC07EB">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乙方未按本合同和投标（响应）文件中规定的服务承诺提供售后服务的，每发生一次，乙方应按本合同合计金额10%向甲方支付违约金。并且，甲方有权委托第三方提供相应的服务，由此产生的服务费用由乙方承担。</w:t>
      </w:r>
    </w:p>
    <w:p w14:paraId="6C02A8DA">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6、乙方提供的货物在质保期内，因设计、工艺或材料的缺陷和其它质量原因造成的问题，由乙方负责。</w:t>
      </w:r>
    </w:p>
    <w:p w14:paraId="3A30DA35">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7、其它违约行为按违约货款额5%收取违约金并赔偿经济损失。</w:t>
      </w:r>
    </w:p>
    <w:p w14:paraId="776F9A75">
      <w:pPr>
        <w:snapToGrid w:val="0"/>
        <w:spacing w:line="480" w:lineRule="exact"/>
        <w:ind w:firstLine="413" w:firstLineChars="196"/>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第十四条  不可抗力事件处理</w:t>
      </w:r>
    </w:p>
    <w:p w14:paraId="296DBE7D">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 在合同有效期内，任何一方因不可抗力事件</w:t>
      </w:r>
      <w:r>
        <w:rPr>
          <w:rFonts w:hint="eastAsia" w:ascii="宋体" w:hAnsi="宋体" w:cs="宋体"/>
          <w:b/>
          <w:color w:val="000000" w:themeColor="text1"/>
          <w:kern w:val="0"/>
          <w:szCs w:val="21"/>
          <w14:textFill>
            <w14:solidFill>
              <w14:schemeClr w14:val="tx1"/>
            </w14:solidFill>
          </w14:textFill>
        </w:rPr>
        <w:t>（含政府行为，下同）</w:t>
      </w:r>
      <w:r>
        <w:rPr>
          <w:rFonts w:hint="eastAsia" w:ascii="宋体" w:hAnsi="宋体" w:cs="宋体"/>
          <w:color w:val="000000" w:themeColor="text1"/>
          <w:kern w:val="0"/>
          <w:szCs w:val="21"/>
          <w14:textFill>
            <w14:solidFill>
              <w14:schemeClr w14:val="tx1"/>
            </w14:solidFill>
          </w14:textFill>
        </w:rPr>
        <w:t>导致不能履行合同，则合同履行期可延长，其延长期与不可抗力影响期相同。</w:t>
      </w:r>
    </w:p>
    <w:p w14:paraId="0E84C939">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 不可抗力事件发生后，应立即通知对方，并寄送有关权威机构出具的证明。</w:t>
      </w:r>
    </w:p>
    <w:p w14:paraId="7EFB55D3">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 不可抗力事件延续六十天以上，双方应通过友好协商，确定是否继续履行合同。</w:t>
      </w:r>
    </w:p>
    <w:p w14:paraId="2D8FE750">
      <w:pPr>
        <w:snapToGrid w:val="0"/>
        <w:spacing w:line="480" w:lineRule="exact"/>
        <w:ind w:firstLine="422"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第十五条  合同争议解决</w:t>
      </w:r>
    </w:p>
    <w:p w14:paraId="4162CF51">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1、因货物质量问题发生争议的，应邀请国家认可的质量检测机构对货物质量进行鉴定。货物符合标准的，鉴定费由甲方承担；货物不符合标准的，鉴定费由乙方承担。</w:t>
      </w:r>
    </w:p>
    <w:p w14:paraId="1E5CCA5F">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2、因履行本合同引起的或与本合同有关的争议，甲乙双方应首先通过友好协商解决，如果协商不能解决，</w:t>
      </w:r>
      <w:r>
        <w:rPr>
          <w:rFonts w:hint="eastAsia" w:ascii="宋体" w:hAnsi="宋体" w:cs="宋体"/>
          <w:b/>
          <w:color w:val="000000" w:themeColor="text1"/>
          <w:szCs w:val="21"/>
          <w:u w:val="single"/>
          <w14:textFill>
            <w14:solidFill>
              <w14:schemeClr w14:val="tx1"/>
            </w14:solidFill>
          </w14:textFill>
        </w:rPr>
        <w:t>应向甲方所在地有管辖权的人民法院提起诉讼。守约方为主张权利而产生的律师费、保全费、保函费、鉴定费、公告费、公证费等由违约方承担。</w:t>
      </w:r>
    </w:p>
    <w:p w14:paraId="5702D954">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3、诉讼期间，本合同继续履行。</w:t>
      </w:r>
    </w:p>
    <w:p w14:paraId="58687E32">
      <w:pPr>
        <w:snapToGrid w:val="0"/>
        <w:spacing w:line="480" w:lineRule="exact"/>
        <w:ind w:firstLine="413" w:firstLineChars="196"/>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第十六条  合同生效及其它</w:t>
      </w:r>
    </w:p>
    <w:p w14:paraId="0D6BB340">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1.合同经双方法定代表人或被授权代表签字并加盖单位公章后生效。</w:t>
      </w:r>
    </w:p>
    <w:p w14:paraId="5545155E">
      <w:pPr>
        <w:snapToGrid w:val="0"/>
        <w:spacing w:line="480" w:lineRule="exact"/>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2.合同执行中涉及采购资金和采购内容修改或补充的，在法规范围内，须签书面补充协议方可作为主合同不可分割的一部分。</w:t>
      </w:r>
    </w:p>
    <w:p w14:paraId="5B576A87">
      <w:pPr>
        <w:snapToGrid w:val="0"/>
        <w:spacing w:line="480" w:lineRule="exact"/>
        <w:ind w:left="420" w:left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3.本合同未尽事宜，遵照《中华人民共和国民法典》有关条文执行。</w:t>
      </w:r>
    </w:p>
    <w:p w14:paraId="673B6C79">
      <w:pPr>
        <w:snapToGrid w:val="0"/>
        <w:spacing w:line="480" w:lineRule="exact"/>
        <w:ind w:firstLine="422"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第十七条　合同的变更、终止与转让</w:t>
      </w:r>
    </w:p>
    <w:p w14:paraId="4A6B5B1C">
      <w:pPr>
        <w:snapToGrid w:val="0"/>
        <w:spacing w:line="4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1、除《中华人民共和国政府采购法》第五十条规定的情形外，本合同一经签订，甲乙双方不得擅自变更、中止或终止。</w:t>
      </w:r>
    </w:p>
    <w:p w14:paraId="063E8E05">
      <w:pPr>
        <w:snapToGrid w:val="0"/>
        <w:spacing w:line="480" w:lineRule="exact"/>
        <w:ind w:left="-61" w:firstLine="514"/>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2、乙方不得擅自转让（无进口资格的供应商委托进口货物除外）其应履行的合同义务。</w:t>
      </w:r>
    </w:p>
    <w:p w14:paraId="3A521219">
      <w:pPr>
        <w:snapToGrid w:val="0"/>
        <w:spacing w:line="480" w:lineRule="exact"/>
        <w:ind w:firstLine="422"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第十八条　签订本合同依据</w:t>
      </w:r>
    </w:p>
    <w:p w14:paraId="474D1572">
      <w:pPr>
        <w:snapToGrid w:val="0"/>
        <w:spacing w:line="480" w:lineRule="exact"/>
        <w:ind w:left="420" w:left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1、竞争性谈判采购文件；</w:t>
      </w:r>
    </w:p>
    <w:p w14:paraId="4862D10A">
      <w:pPr>
        <w:snapToGrid w:val="0"/>
        <w:spacing w:line="480" w:lineRule="exact"/>
        <w:ind w:left="420" w:left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2、成交供应商提供的响应文件；</w:t>
      </w:r>
    </w:p>
    <w:p w14:paraId="4D529CC8">
      <w:pPr>
        <w:snapToGrid w:val="0"/>
        <w:spacing w:line="480" w:lineRule="exact"/>
        <w:ind w:left="420" w:left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3、成交通知书；</w:t>
      </w:r>
    </w:p>
    <w:p w14:paraId="613D284B">
      <w:pPr>
        <w:snapToGrid w:val="0"/>
        <w:spacing w:line="480" w:lineRule="exact"/>
        <w:ind w:left="420" w:left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4、其他约定附件（如有）。</w:t>
      </w:r>
    </w:p>
    <w:p w14:paraId="2BD4C7CD">
      <w:pPr>
        <w:snapToGrid w:val="0"/>
        <w:spacing w:line="480" w:lineRule="exact"/>
        <w:ind w:firstLine="422"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第十九条　</w:t>
      </w:r>
      <w:r>
        <w:rPr>
          <w:rFonts w:hint="eastAsia" w:ascii="宋体" w:hAnsi="宋体" w:cs="宋体"/>
          <w:color w:val="000000" w:themeColor="text1"/>
          <w:szCs w:val="21"/>
          <w14:textFill>
            <w14:solidFill>
              <w14:schemeClr w14:val="tx1"/>
            </w14:solidFill>
          </w14:textFill>
        </w:rPr>
        <w:t>本合同一式陆份，具有同等法律效力，甲方贰份、乙方贰份，采购代理机构贰份。</w:t>
      </w:r>
    </w:p>
    <w:tbl>
      <w:tblPr>
        <w:tblStyle w:val="29"/>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6"/>
        <w:gridCol w:w="4266"/>
      </w:tblGrid>
      <w:tr w14:paraId="4A93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266" w:type="dxa"/>
            <w:tcBorders>
              <w:top w:val="single" w:color="auto" w:sz="4" w:space="0"/>
              <w:left w:val="single" w:color="auto" w:sz="4" w:space="0"/>
              <w:bottom w:val="single" w:color="auto" w:sz="4" w:space="0"/>
              <w:right w:val="single" w:color="auto" w:sz="4" w:space="0"/>
            </w:tcBorders>
            <w:vAlign w:val="center"/>
          </w:tcPr>
          <w:p w14:paraId="12E455A7">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甲方（章）</w:t>
            </w:r>
            <w:r>
              <w:rPr>
                <w:rFonts w:ascii="宋体" w:hAnsi="宋体" w:cs="宋体"/>
                <w:color w:val="000000" w:themeColor="text1"/>
                <w:szCs w:val="21"/>
                <w14:textFill>
                  <w14:solidFill>
                    <w14:schemeClr w14:val="tx1"/>
                  </w14:solidFill>
                </w14:textFill>
              </w:rPr>
              <w:t>广西壮族自治区退役军人康复中心</w:t>
            </w:r>
            <w:r>
              <w:rPr>
                <w:rFonts w:hint="eastAsia" w:ascii="宋体" w:hAnsi="宋体" w:cs="宋体"/>
                <w:color w:val="000000" w:themeColor="text1"/>
                <w:szCs w:val="21"/>
                <w14:textFill>
                  <w14:solidFill>
                    <w14:schemeClr w14:val="tx1"/>
                  </w14:solidFill>
                </w14:textFill>
              </w:rPr>
              <w:t xml:space="preserve">           </w:t>
            </w:r>
          </w:p>
          <w:p w14:paraId="66B1040E">
            <w:pPr>
              <w:snapToGrid w:val="0"/>
              <w:spacing w:line="480" w:lineRule="exact"/>
              <w:rPr>
                <w:rFonts w:hint="eastAsia" w:ascii="宋体" w:hAnsi="宋体" w:cs="宋体"/>
                <w:color w:val="000000" w:themeColor="text1"/>
                <w:szCs w:val="21"/>
                <w14:textFill>
                  <w14:solidFill>
                    <w14:schemeClr w14:val="tx1"/>
                  </w14:solidFill>
                </w14:textFill>
              </w:rPr>
            </w:pPr>
          </w:p>
          <w:p w14:paraId="1B71E51E">
            <w:pPr>
              <w:snapToGrid w:val="0"/>
              <w:spacing w:line="480" w:lineRule="exact"/>
              <w:ind w:firstLine="945" w:firstLineChars="450"/>
              <w:jc w:val="righ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年   月   日</w:t>
            </w:r>
          </w:p>
        </w:tc>
        <w:tc>
          <w:tcPr>
            <w:tcW w:w="4266" w:type="dxa"/>
            <w:tcBorders>
              <w:top w:val="single" w:color="auto" w:sz="4" w:space="0"/>
              <w:left w:val="single" w:color="auto" w:sz="4" w:space="0"/>
              <w:bottom w:val="single" w:color="auto" w:sz="4" w:space="0"/>
              <w:right w:val="single" w:color="auto" w:sz="4" w:space="0"/>
            </w:tcBorders>
            <w:vAlign w:val="center"/>
          </w:tcPr>
          <w:p w14:paraId="59A58287">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乙方（章）              </w:t>
            </w:r>
          </w:p>
          <w:p w14:paraId="01CF76E8">
            <w:pPr>
              <w:snapToGrid w:val="0"/>
              <w:spacing w:line="480" w:lineRule="exact"/>
              <w:rPr>
                <w:rFonts w:hint="eastAsia" w:ascii="宋体" w:hAnsi="宋体" w:cs="宋体"/>
                <w:color w:val="000000" w:themeColor="text1"/>
                <w:szCs w:val="21"/>
                <w14:textFill>
                  <w14:solidFill>
                    <w14:schemeClr w14:val="tx1"/>
                  </w14:solidFill>
                </w14:textFill>
              </w:rPr>
            </w:pPr>
          </w:p>
          <w:p w14:paraId="7C6CE945">
            <w:pPr>
              <w:snapToGrid w:val="0"/>
              <w:spacing w:line="480" w:lineRule="exact"/>
              <w:rPr>
                <w:rFonts w:hint="eastAsia" w:ascii="宋体" w:hAnsi="宋体" w:cs="宋体"/>
                <w:color w:val="000000" w:themeColor="text1"/>
                <w:szCs w:val="21"/>
                <w14:textFill>
                  <w14:solidFill>
                    <w14:schemeClr w14:val="tx1"/>
                  </w14:solidFill>
                </w14:textFill>
              </w:rPr>
            </w:pPr>
          </w:p>
          <w:p w14:paraId="6EC85CC6">
            <w:pPr>
              <w:snapToGrid w:val="0"/>
              <w:spacing w:line="480" w:lineRule="exact"/>
              <w:jc w:val="righ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年   月   日</w:t>
            </w:r>
          </w:p>
        </w:tc>
      </w:tr>
      <w:tr w14:paraId="3681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center"/>
        </w:trPr>
        <w:tc>
          <w:tcPr>
            <w:tcW w:w="4266" w:type="dxa"/>
            <w:tcBorders>
              <w:top w:val="single" w:color="auto" w:sz="4" w:space="0"/>
              <w:left w:val="single" w:color="auto" w:sz="4" w:space="0"/>
              <w:bottom w:val="single" w:color="auto" w:sz="4" w:space="0"/>
              <w:right w:val="single" w:color="auto" w:sz="4" w:space="0"/>
            </w:tcBorders>
            <w:vAlign w:val="center"/>
          </w:tcPr>
          <w:p w14:paraId="1FC15737">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单位地址：南宁市青秀区厢竹大道48—1号</w:t>
            </w:r>
          </w:p>
        </w:tc>
        <w:tc>
          <w:tcPr>
            <w:tcW w:w="4266" w:type="dxa"/>
            <w:tcBorders>
              <w:top w:val="single" w:color="auto" w:sz="4" w:space="0"/>
              <w:left w:val="single" w:color="auto" w:sz="4" w:space="0"/>
              <w:bottom w:val="single" w:color="auto" w:sz="4" w:space="0"/>
              <w:right w:val="single" w:color="auto" w:sz="4" w:space="0"/>
            </w:tcBorders>
            <w:vAlign w:val="center"/>
          </w:tcPr>
          <w:p w14:paraId="03403E0D">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单位地址：</w:t>
            </w:r>
          </w:p>
        </w:tc>
      </w:tr>
      <w:tr w14:paraId="186A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4266" w:type="dxa"/>
            <w:tcBorders>
              <w:top w:val="single" w:color="auto" w:sz="4" w:space="0"/>
              <w:left w:val="single" w:color="auto" w:sz="4" w:space="0"/>
              <w:bottom w:val="single" w:color="auto" w:sz="4" w:space="0"/>
              <w:right w:val="single" w:color="auto" w:sz="4" w:space="0"/>
            </w:tcBorders>
            <w:vAlign w:val="center"/>
          </w:tcPr>
          <w:p w14:paraId="6C097C9E">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法定代表人或委托代理人：</w:t>
            </w:r>
          </w:p>
        </w:tc>
        <w:tc>
          <w:tcPr>
            <w:tcW w:w="4266" w:type="dxa"/>
            <w:tcBorders>
              <w:top w:val="single" w:color="auto" w:sz="4" w:space="0"/>
              <w:left w:val="single" w:color="auto" w:sz="4" w:space="0"/>
              <w:bottom w:val="single" w:color="auto" w:sz="4" w:space="0"/>
              <w:right w:val="single" w:color="auto" w:sz="4" w:space="0"/>
            </w:tcBorders>
            <w:vAlign w:val="center"/>
          </w:tcPr>
          <w:p w14:paraId="37B7A42A">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法定代表人或委托代理人：</w:t>
            </w:r>
          </w:p>
        </w:tc>
      </w:tr>
      <w:tr w14:paraId="05D7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4266" w:type="dxa"/>
            <w:tcBorders>
              <w:top w:val="single" w:color="auto" w:sz="4" w:space="0"/>
              <w:left w:val="single" w:color="auto" w:sz="4" w:space="0"/>
              <w:bottom w:val="single" w:color="auto" w:sz="4" w:space="0"/>
              <w:right w:val="single" w:color="auto" w:sz="4" w:space="0"/>
            </w:tcBorders>
            <w:vAlign w:val="center"/>
          </w:tcPr>
          <w:p w14:paraId="72B6A8ED">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电话：</w:t>
            </w:r>
          </w:p>
        </w:tc>
        <w:tc>
          <w:tcPr>
            <w:tcW w:w="4266" w:type="dxa"/>
            <w:tcBorders>
              <w:top w:val="single" w:color="auto" w:sz="4" w:space="0"/>
              <w:left w:val="single" w:color="auto" w:sz="4" w:space="0"/>
              <w:bottom w:val="single" w:color="auto" w:sz="4" w:space="0"/>
              <w:right w:val="single" w:color="auto" w:sz="4" w:space="0"/>
            </w:tcBorders>
            <w:vAlign w:val="center"/>
          </w:tcPr>
          <w:p w14:paraId="52392F2C">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电话：</w:t>
            </w:r>
          </w:p>
        </w:tc>
      </w:tr>
      <w:tr w14:paraId="520F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4266" w:type="dxa"/>
            <w:tcBorders>
              <w:top w:val="single" w:color="auto" w:sz="4" w:space="0"/>
              <w:left w:val="single" w:color="auto" w:sz="4" w:space="0"/>
              <w:bottom w:val="single" w:color="auto" w:sz="4" w:space="0"/>
              <w:right w:val="single" w:color="auto" w:sz="4" w:space="0"/>
            </w:tcBorders>
            <w:vAlign w:val="center"/>
          </w:tcPr>
          <w:p w14:paraId="098DA4AD">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电子邮箱：</w:t>
            </w:r>
          </w:p>
        </w:tc>
        <w:tc>
          <w:tcPr>
            <w:tcW w:w="4266" w:type="dxa"/>
            <w:tcBorders>
              <w:top w:val="single" w:color="auto" w:sz="4" w:space="0"/>
              <w:left w:val="single" w:color="auto" w:sz="4" w:space="0"/>
              <w:bottom w:val="single" w:color="auto" w:sz="4" w:space="0"/>
              <w:right w:val="single" w:color="auto" w:sz="4" w:space="0"/>
            </w:tcBorders>
            <w:vAlign w:val="center"/>
          </w:tcPr>
          <w:p w14:paraId="7BD2314D">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电子邮箱：</w:t>
            </w:r>
          </w:p>
        </w:tc>
      </w:tr>
      <w:tr w14:paraId="0CE2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266" w:type="dxa"/>
            <w:tcBorders>
              <w:top w:val="single" w:color="auto" w:sz="4" w:space="0"/>
              <w:left w:val="single" w:color="auto" w:sz="4" w:space="0"/>
              <w:bottom w:val="single" w:color="auto" w:sz="4" w:space="0"/>
              <w:right w:val="single" w:color="auto" w:sz="4" w:space="0"/>
            </w:tcBorders>
            <w:vAlign w:val="center"/>
          </w:tcPr>
          <w:p w14:paraId="1401A184">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开户银行：</w:t>
            </w:r>
          </w:p>
        </w:tc>
        <w:tc>
          <w:tcPr>
            <w:tcW w:w="4266" w:type="dxa"/>
            <w:tcBorders>
              <w:top w:val="single" w:color="auto" w:sz="4" w:space="0"/>
              <w:left w:val="single" w:color="auto" w:sz="4" w:space="0"/>
              <w:bottom w:val="single" w:color="auto" w:sz="4" w:space="0"/>
              <w:right w:val="single" w:color="auto" w:sz="4" w:space="0"/>
            </w:tcBorders>
            <w:vAlign w:val="center"/>
          </w:tcPr>
          <w:p w14:paraId="221059B2">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开户银行：</w:t>
            </w:r>
          </w:p>
        </w:tc>
      </w:tr>
      <w:tr w14:paraId="3801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4266" w:type="dxa"/>
            <w:tcBorders>
              <w:top w:val="single" w:color="auto" w:sz="4" w:space="0"/>
              <w:left w:val="single" w:color="auto" w:sz="4" w:space="0"/>
              <w:bottom w:val="single" w:color="auto" w:sz="4" w:space="0"/>
              <w:right w:val="single" w:color="auto" w:sz="4" w:space="0"/>
            </w:tcBorders>
            <w:vAlign w:val="center"/>
          </w:tcPr>
          <w:p w14:paraId="487DFCA1">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账号：</w:t>
            </w:r>
          </w:p>
        </w:tc>
        <w:tc>
          <w:tcPr>
            <w:tcW w:w="4266" w:type="dxa"/>
            <w:tcBorders>
              <w:top w:val="single" w:color="auto" w:sz="4" w:space="0"/>
              <w:left w:val="single" w:color="auto" w:sz="4" w:space="0"/>
              <w:bottom w:val="single" w:color="auto" w:sz="4" w:space="0"/>
              <w:right w:val="single" w:color="auto" w:sz="4" w:space="0"/>
            </w:tcBorders>
            <w:vAlign w:val="center"/>
          </w:tcPr>
          <w:p w14:paraId="388AE499">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账号：</w:t>
            </w:r>
          </w:p>
        </w:tc>
      </w:tr>
      <w:tr w14:paraId="1A1B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6" w:type="dxa"/>
            <w:tcBorders>
              <w:top w:val="single" w:color="auto" w:sz="4" w:space="0"/>
              <w:left w:val="single" w:color="auto" w:sz="4" w:space="0"/>
              <w:bottom w:val="single" w:color="auto" w:sz="4" w:space="0"/>
              <w:right w:val="single" w:color="auto" w:sz="4" w:space="0"/>
            </w:tcBorders>
            <w:vAlign w:val="center"/>
          </w:tcPr>
          <w:p w14:paraId="35A095CE">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纳税人识别号或统一社会信用代码：</w:t>
            </w:r>
          </w:p>
          <w:p w14:paraId="3C7B407B">
            <w:pPr>
              <w:snapToGrid w:val="0"/>
              <w:spacing w:line="480" w:lineRule="exac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12450000662148856M</w:t>
            </w:r>
          </w:p>
        </w:tc>
        <w:tc>
          <w:tcPr>
            <w:tcW w:w="4266" w:type="dxa"/>
            <w:tcBorders>
              <w:top w:val="single" w:color="auto" w:sz="4" w:space="0"/>
              <w:left w:val="single" w:color="auto" w:sz="4" w:space="0"/>
              <w:bottom w:val="single" w:color="auto" w:sz="4" w:space="0"/>
              <w:right w:val="single" w:color="auto" w:sz="4" w:space="0"/>
            </w:tcBorders>
            <w:vAlign w:val="center"/>
          </w:tcPr>
          <w:p w14:paraId="38818AB3">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纳税人识别号或统一社会信用代码：</w:t>
            </w:r>
          </w:p>
          <w:p w14:paraId="424BF2DC">
            <w:pPr>
              <w:snapToGrid w:val="0"/>
              <w:spacing w:line="480" w:lineRule="exact"/>
              <w:rPr>
                <w:rFonts w:hint="eastAsia" w:ascii="宋体" w:hAnsi="宋体" w:cs="宋体"/>
                <w:color w:val="000000" w:themeColor="text1"/>
                <w:szCs w:val="21"/>
                <w14:textFill>
                  <w14:solidFill>
                    <w14:schemeClr w14:val="tx1"/>
                  </w14:solidFill>
                </w14:textFill>
              </w:rPr>
            </w:pPr>
          </w:p>
        </w:tc>
      </w:tr>
      <w:tr w14:paraId="35B8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4266" w:type="dxa"/>
            <w:tcBorders>
              <w:top w:val="single" w:color="auto" w:sz="4" w:space="0"/>
              <w:left w:val="single" w:color="auto" w:sz="4" w:space="0"/>
              <w:bottom w:val="single" w:color="auto" w:sz="4" w:space="0"/>
              <w:right w:val="single" w:color="auto" w:sz="4" w:space="0"/>
            </w:tcBorders>
            <w:vAlign w:val="center"/>
          </w:tcPr>
          <w:p w14:paraId="59287E8D">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邮政编码：530023</w:t>
            </w:r>
          </w:p>
        </w:tc>
        <w:tc>
          <w:tcPr>
            <w:tcW w:w="4266" w:type="dxa"/>
            <w:tcBorders>
              <w:top w:val="single" w:color="auto" w:sz="4" w:space="0"/>
              <w:left w:val="single" w:color="auto" w:sz="4" w:space="0"/>
              <w:bottom w:val="single" w:color="auto" w:sz="4" w:space="0"/>
              <w:right w:val="single" w:color="auto" w:sz="4" w:space="0"/>
            </w:tcBorders>
            <w:vAlign w:val="center"/>
          </w:tcPr>
          <w:p w14:paraId="39869D96">
            <w:pPr>
              <w:snapToGrid w:val="0"/>
              <w:spacing w:line="48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邮政编码：</w:t>
            </w:r>
          </w:p>
        </w:tc>
      </w:tr>
    </w:tbl>
    <w:p w14:paraId="7C5940E4">
      <w:pPr>
        <w:spacing w:line="360" w:lineRule="auto"/>
      </w:pPr>
    </w:p>
    <w:p w14:paraId="2801A247">
      <w:pPr>
        <w:spacing w:line="360" w:lineRule="auto"/>
      </w:pPr>
    </w:p>
    <w:p w14:paraId="6636CDB9">
      <w:pPr>
        <w:spacing w:line="360" w:lineRule="auto"/>
      </w:pPr>
    </w:p>
    <w:p w14:paraId="2BFAFF83">
      <w:pPr>
        <w:spacing w:line="360" w:lineRule="auto"/>
      </w:pPr>
    </w:p>
    <w:p w14:paraId="3EACAF7F">
      <w:pPr>
        <w:spacing w:line="360" w:lineRule="auto"/>
      </w:pPr>
    </w:p>
    <w:p w14:paraId="08D9CA0B">
      <w:pPr>
        <w:spacing w:line="360" w:lineRule="auto"/>
      </w:pPr>
    </w:p>
    <w:p w14:paraId="3DF60370">
      <w:pPr>
        <w:spacing w:line="360" w:lineRule="auto"/>
      </w:pPr>
    </w:p>
    <w:p w14:paraId="1D74DDB3">
      <w:pPr>
        <w:spacing w:line="360" w:lineRule="auto"/>
      </w:pPr>
    </w:p>
    <w:p w14:paraId="44B5372E">
      <w:pPr>
        <w:spacing w:line="360" w:lineRule="auto"/>
      </w:pPr>
    </w:p>
    <w:p w14:paraId="11CE6B03">
      <w:pPr>
        <w:spacing w:line="360" w:lineRule="auto"/>
      </w:pPr>
    </w:p>
    <w:p w14:paraId="471B93D8">
      <w:pPr>
        <w:spacing w:line="360" w:lineRule="auto"/>
      </w:pPr>
    </w:p>
    <w:p w14:paraId="0FFF4DED">
      <w:pPr>
        <w:spacing w:line="360" w:lineRule="auto"/>
      </w:pPr>
    </w:p>
    <w:p w14:paraId="016B2AC4">
      <w:pPr>
        <w:spacing w:line="360" w:lineRule="auto"/>
      </w:pPr>
    </w:p>
    <w:p w14:paraId="66F9D1CF">
      <w:pPr>
        <w:spacing w:line="360" w:lineRule="auto"/>
      </w:pPr>
    </w:p>
    <w:p w14:paraId="5604AA1A">
      <w:pPr>
        <w:spacing w:line="360" w:lineRule="auto"/>
      </w:pPr>
    </w:p>
    <w:p w14:paraId="6BDDF5B6">
      <w:pPr>
        <w:spacing w:line="360" w:lineRule="auto"/>
      </w:pPr>
    </w:p>
    <w:p w14:paraId="32DAADE2">
      <w:pPr>
        <w:spacing w:line="360" w:lineRule="auto"/>
      </w:pPr>
    </w:p>
    <w:p w14:paraId="3A40BADE">
      <w:pPr>
        <w:spacing w:line="360" w:lineRule="auto"/>
      </w:pPr>
    </w:p>
    <w:p w14:paraId="0AB422FD">
      <w:pPr>
        <w:spacing w:line="360" w:lineRule="auto"/>
      </w:pPr>
    </w:p>
    <w:p w14:paraId="10730EBF">
      <w:pPr>
        <w:pStyle w:val="17"/>
        <w:spacing w:line="840" w:lineRule="exact"/>
        <w:ind w:firstLine="420"/>
        <w:jc w:val="center"/>
        <w:rPr>
          <w:rFonts w:hint="eastAsia" w:ascii="黑体" w:hAnsi="宋体" w:eastAsia="黑体"/>
          <w:b/>
          <w:bCs/>
          <w:sz w:val="72"/>
        </w:rPr>
      </w:pPr>
    </w:p>
    <w:p w14:paraId="5B9A0137">
      <w:pPr>
        <w:pStyle w:val="17"/>
        <w:spacing w:line="840" w:lineRule="exact"/>
        <w:ind w:firstLine="420"/>
        <w:jc w:val="center"/>
        <w:rPr>
          <w:rFonts w:hint="eastAsia" w:ascii="黑体" w:hAnsi="宋体" w:eastAsia="黑体"/>
          <w:b/>
          <w:bCs/>
          <w:sz w:val="72"/>
        </w:rPr>
      </w:pPr>
    </w:p>
    <w:p w14:paraId="002E706C">
      <w:pPr>
        <w:pStyle w:val="17"/>
        <w:spacing w:line="840" w:lineRule="exact"/>
        <w:ind w:firstLine="420"/>
        <w:jc w:val="center"/>
        <w:rPr>
          <w:rFonts w:hint="eastAsia" w:ascii="黑体" w:hAnsi="宋体" w:eastAsia="黑体"/>
          <w:b/>
          <w:bCs/>
          <w:sz w:val="72"/>
        </w:rPr>
      </w:pPr>
    </w:p>
    <w:p w14:paraId="0BD6349A">
      <w:pPr>
        <w:pStyle w:val="17"/>
        <w:spacing w:line="840" w:lineRule="exact"/>
        <w:ind w:firstLine="420"/>
        <w:jc w:val="center"/>
        <w:rPr>
          <w:rFonts w:hint="eastAsia" w:ascii="黑体" w:hAnsi="宋体" w:eastAsia="黑体"/>
          <w:b/>
          <w:bCs/>
          <w:sz w:val="72"/>
        </w:rPr>
      </w:pPr>
      <w:r>
        <w:rPr>
          <w:rFonts w:ascii="黑体" w:hAnsi="宋体" w:eastAsia="黑体"/>
          <w:b/>
          <w:bCs/>
          <w:sz w:val="72"/>
        </w:rPr>
        <w:t>采购合同书</w:t>
      </w:r>
    </w:p>
    <w:p w14:paraId="15D940EE"/>
    <w:p w14:paraId="24E61798"/>
    <w:p w14:paraId="0C78B5A0"/>
    <w:p w14:paraId="55B6DB40"/>
    <w:p w14:paraId="4EE9285E">
      <w:pPr>
        <w:snapToGrid w:val="0"/>
        <w:spacing w:line="480" w:lineRule="auto"/>
        <w:ind w:left="2877" w:leftChars="513" w:hanging="1800" w:hangingChars="500"/>
        <w:rPr>
          <w:rFonts w:hint="eastAsia" w:ascii="宋体" w:hAnsi="宋体" w:cs="宋体"/>
          <w:bCs/>
          <w:sz w:val="36"/>
          <w:szCs w:val="36"/>
        </w:rPr>
      </w:pPr>
    </w:p>
    <w:p w14:paraId="6BEBD229">
      <w:pPr>
        <w:snapToGrid w:val="0"/>
        <w:spacing w:line="480" w:lineRule="auto"/>
        <w:ind w:left="2884" w:leftChars="513" w:hanging="1807" w:hangingChars="500"/>
        <w:rPr>
          <w:rFonts w:hint="eastAsia" w:ascii="宋体" w:hAnsi="宋体" w:cs="宋体"/>
          <w:b/>
          <w:sz w:val="36"/>
          <w:szCs w:val="36"/>
        </w:rPr>
      </w:pPr>
      <w:r>
        <w:rPr>
          <w:rFonts w:hint="eastAsia" w:ascii="宋体" w:hAnsi="宋体" w:cs="宋体"/>
          <w:b/>
          <w:sz w:val="36"/>
          <w:szCs w:val="36"/>
        </w:rPr>
        <w:t>合同名称：康复楼多功能康养用房设备购置项目</w:t>
      </w:r>
    </w:p>
    <w:p w14:paraId="50898E24">
      <w:pPr>
        <w:snapToGrid w:val="0"/>
        <w:spacing w:line="480" w:lineRule="auto"/>
        <w:ind w:left="2873" w:leftChars="1368"/>
        <w:rPr>
          <w:rFonts w:hint="eastAsia" w:ascii="宋体" w:hAnsi="宋体" w:cs="宋体"/>
          <w:b/>
          <w:sz w:val="36"/>
          <w:szCs w:val="36"/>
        </w:rPr>
      </w:pPr>
      <w:r>
        <w:rPr>
          <w:rFonts w:hint="eastAsia" w:ascii="宋体" w:hAnsi="宋体" w:cs="宋体"/>
          <w:b/>
          <w:sz w:val="36"/>
          <w:szCs w:val="36"/>
        </w:rPr>
        <w:t>（装饰工程部分）</w:t>
      </w:r>
    </w:p>
    <w:p w14:paraId="68C915DF">
      <w:pPr>
        <w:snapToGrid w:val="0"/>
        <w:spacing w:line="480" w:lineRule="auto"/>
        <w:ind w:firstLine="1084" w:firstLineChars="300"/>
        <w:rPr>
          <w:rFonts w:hint="eastAsia" w:ascii="宋体" w:hAnsi="宋体" w:eastAsia="宋体" w:cs="宋体"/>
          <w:b/>
          <w:sz w:val="36"/>
          <w:szCs w:val="36"/>
          <w:lang w:eastAsia="zh-CN"/>
        </w:rPr>
      </w:pPr>
      <w:r>
        <w:rPr>
          <w:rFonts w:hint="eastAsia" w:ascii="宋体" w:hAnsi="宋体" w:cs="宋体"/>
          <w:b/>
          <w:sz w:val="36"/>
          <w:szCs w:val="36"/>
        </w:rPr>
        <w:t>合同编号：</w:t>
      </w:r>
      <w:r>
        <w:rPr>
          <w:rFonts w:hint="eastAsia" w:ascii="宋体" w:hAnsi="宋体" w:cs="宋体"/>
          <w:b/>
          <w:sz w:val="36"/>
          <w:szCs w:val="36"/>
          <w:lang w:eastAsia="zh-CN"/>
        </w:rPr>
        <w:t>GXZC2025-J1-003307-ZHZB</w:t>
      </w:r>
    </w:p>
    <w:p w14:paraId="1548EC88">
      <w:pPr>
        <w:snapToGrid w:val="0"/>
        <w:spacing w:line="480" w:lineRule="auto"/>
        <w:ind w:firstLine="1084" w:firstLineChars="300"/>
        <w:rPr>
          <w:rFonts w:hint="eastAsia" w:ascii="宋体" w:hAnsi="宋体" w:cs="宋体"/>
          <w:b/>
          <w:sz w:val="36"/>
          <w:szCs w:val="36"/>
        </w:rPr>
      </w:pPr>
      <w:r>
        <w:rPr>
          <w:rFonts w:hint="eastAsia" w:ascii="宋体" w:hAnsi="宋体" w:cs="宋体"/>
          <w:b/>
          <w:sz w:val="36"/>
          <w:szCs w:val="36"/>
        </w:rPr>
        <w:t>分标号：B分标</w:t>
      </w:r>
    </w:p>
    <w:p w14:paraId="23A9DEB0">
      <w:pPr>
        <w:pStyle w:val="78"/>
        <w:spacing w:line="480" w:lineRule="auto"/>
        <w:ind w:firstLine="643"/>
        <w:rPr>
          <w:rFonts w:hint="eastAsia" w:ascii="宋体" w:hAnsi="宋体" w:cs="宋体"/>
          <w:b/>
          <w:sz w:val="32"/>
          <w:szCs w:val="32"/>
          <w:u w:val="single"/>
        </w:rPr>
      </w:pPr>
    </w:p>
    <w:p w14:paraId="310CBD2F">
      <w:pPr>
        <w:rPr>
          <w:b/>
        </w:rPr>
      </w:pPr>
    </w:p>
    <w:p w14:paraId="7AAFF9DA">
      <w:pPr>
        <w:snapToGrid w:val="0"/>
        <w:spacing w:line="480" w:lineRule="auto"/>
        <w:ind w:firstLine="964" w:firstLineChars="300"/>
        <w:jc w:val="left"/>
        <w:rPr>
          <w:rFonts w:hint="eastAsia" w:ascii="宋体" w:hAnsi="宋体" w:cs="宋体"/>
          <w:b/>
          <w:sz w:val="32"/>
          <w:szCs w:val="32"/>
          <w:u w:val="single"/>
        </w:rPr>
      </w:pPr>
      <w:r>
        <w:rPr>
          <w:rFonts w:hint="eastAsia" w:ascii="宋体" w:hAnsi="宋体" w:cs="宋体"/>
          <w:b/>
          <w:sz w:val="32"/>
          <w:szCs w:val="32"/>
        </w:rPr>
        <w:t>采购人（甲方）：</w:t>
      </w:r>
      <w:r>
        <w:rPr>
          <w:rFonts w:hint="eastAsia" w:ascii="宋体" w:hAnsi="宋体" w:cs="宋体"/>
          <w:b/>
          <w:sz w:val="32"/>
          <w:szCs w:val="32"/>
          <w:u w:val="single"/>
        </w:rPr>
        <w:t xml:space="preserve">                       </w:t>
      </w:r>
    </w:p>
    <w:p w14:paraId="78B52EF9">
      <w:pPr>
        <w:snapToGrid w:val="0"/>
        <w:spacing w:line="480" w:lineRule="auto"/>
        <w:ind w:firstLine="964" w:firstLineChars="300"/>
        <w:rPr>
          <w:rFonts w:hint="eastAsia" w:ascii="宋体" w:hAnsi="宋体" w:cs="宋体"/>
          <w:b/>
          <w:sz w:val="32"/>
          <w:szCs w:val="32"/>
          <w:u w:val="single"/>
        </w:rPr>
      </w:pPr>
      <w:r>
        <w:rPr>
          <w:rFonts w:hint="eastAsia" w:ascii="宋体" w:hAnsi="宋体" w:cs="宋体"/>
          <w:b/>
          <w:sz w:val="32"/>
          <w:szCs w:val="32"/>
        </w:rPr>
        <w:t>供应商（乙方）：</w:t>
      </w:r>
      <w:r>
        <w:rPr>
          <w:rFonts w:hint="eastAsia" w:ascii="宋体" w:hAnsi="宋体" w:cs="宋体"/>
          <w:b/>
          <w:sz w:val="32"/>
          <w:szCs w:val="32"/>
          <w:u w:val="single"/>
        </w:rPr>
        <w:t xml:space="preserve">                       </w:t>
      </w:r>
      <w:r>
        <w:rPr>
          <w:rFonts w:hint="eastAsia" w:ascii="宋体" w:hAnsi="宋体" w:cs="宋体"/>
          <w:b/>
          <w:sz w:val="32"/>
          <w:szCs w:val="32"/>
        </w:rPr>
        <w:t xml:space="preserve">    </w:t>
      </w:r>
    </w:p>
    <w:p w14:paraId="7085F14B">
      <w:pPr>
        <w:snapToGrid w:val="0"/>
        <w:spacing w:line="480" w:lineRule="auto"/>
        <w:jc w:val="center"/>
        <w:rPr>
          <w:rFonts w:hint="eastAsia" w:ascii="宋体" w:hAnsi="宋体" w:cs="宋体"/>
          <w:b/>
          <w:sz w:val="32"/>
          <w:szCs w:val="32"/>
        </w:rPr>
      </w:pPr>
    </w:p>
    <w:p w14:paraId="41F317E0">
      <w:pPr>
        <w:snapToGrid w:val="0"/>
        <w:spacing w:line="480" w:lineRule="auto"/>
        <w:ind w:firstLine="964" w:firstLineChars="300"/>
        <w:jc w:val="left"/>
        <w:rPr>
          <w:rFonts w:hint="eastAsia" w:ascii="宋体" w:hAnsi="宋体" w:cs="宋体"/>
          <w:b/>
          <w:sz w:val="32"/>
          <w:szCs w:val="32"/>
          <w:u w:val="single"/>
        </w:rPr>
      </w:pPr>
      <w:r>
        <w:rPr>
          <w:rFonts w:hint="eastAsia" w:ascii="宋体" w:hAnsi="宋体" w:cs="宋体"/>
          <w:b/>
          <w:sz w:val="32"/>
          <w:szCs w:val="32"/>
        </w:rPr>
        <w:t>签订合同地点：</w:t>
      </w:r>
      <w:r>
        <w:rPr>
          <w:rFonts w:hint="eastAsia" w:ascii="宋体" w:hAnsi="宋体" w:cs="宋体"/>
          <w:b/>
          <w:sz w:val="32"/>
          <w:szCs w:val="32"/>
          <w:u w:val="single"/>
        </w:rPr>
        <w:t xml:space="preserve">                         </w:t>
      </w:r>
    </w:p>
    <w:p w14:paraId="5EC04C49">
      <w:pPr>
        <w:snapToGrid w:val="0"/>
        <w:spacing w:line="480" w:lineRule="auto"/>
        <w:ind w:firstLine="964" w:firstLineChars="300"/>
        <w:jc w:val="left"/>
        <w:rPr>
          <w:rFonts w:hint="eastAsia" w:ascii="宋体" w:hAnsi="宋体" w:cs="宋体"/>
          <w:b/>
          <w:sz w:val="32"/>
          <w:szCs w:val="32"/>
        </w:rPr>
      </w:pPr>
      <w:r>
        <w:rPr>
          <w:rFonts w:hint="eastAsia" w:ascii="宋体" w:hAnsi="宋体" w:cs="宋体"/>
          <w:b/>
          <w:sz w:val="32"/>
          <w:szCs w:val="32"/>
        </w:rPr>
        <w:t>签订合同时间：</w:t>
      </w:r>
      <w:r>
        <w:rPr>
          <w:rFonts w:hint="eastAsia" w:ascii="宋体" w:hAnsi="宋体" w:cs="宋体"/>
          <w:b/>
          <w:color w:val="000000"/>
          <w:sz w:val="32"/>
          <w:szCs w:val="32"/>
          <w:u w:val="single"/>
        </w:rPr>
        <w:t xml:space="preserve">                          </w:t>
      </w:r>
    </w:p>
    <w:p w14:paraId="3F37CD9F">
      <w:pPr>
        <w:spacing w:line="480" w:lineRule="exact"/>
        <w:jc w:val="center"/>
        <w:rPr>
          <w:rFonts w:hint="eastAsia" w:ascii="宋体" w:hAnsi="宋体" w:cs="宋体"/>
          <w:sz w:val="43"/>
          <w:szCs w:val="43"/>
        </w:rPr>
      </w:pPr>
      <w:r>
        <w:rPr>
          <w:rFonts w:hint="eastAsia" w:ascii="宋体" w:hAnsi="宋体" w:cs="宋体"/>
          <w:spacing w:val="16"/>
          <w:sz w:val="43"/>
          <w:szCs w:val="43"/>
        </w:rPr>
        <w:br w:type="page"/>
      </w:r>
      <w:r>
        <w:rPr>
          <w:rFonts w:hint="eastAsia" w:ascii="宋体" w:hAnsi="宋体" w:cs="宋体"/>
          <w:b/>
          <w:bCs/>
          <w:spacing w:val="16"/>
          <w:sz w:val="36"/>
          <w:szCs w:val="36"/>
        </w:rPr>
        <w:t>第</w:t>
      </w:r>
      <w:r>
        <w:rPr>
          <w:rFonts w:hint="eastAsia" w:ascii="宋体" w:hAnsi="宋体" w:cs="宋体"/>
          <w:b/>
          <w:bCs/>
          <w:spacing w:val="13"/>
          <w:sz w:val="36"/>
          <w:szCs w:val="36"/>
        </w:rPr>
        <w:t>一部分 合同协议书</w:t>
      </w:r>
    </w:p>
    <w:p w14:paraId="3D071F72">
      <w:pPr>
        <w:spacing w:line="480" w:lineRule="exact"/>
        <w:rPr>
          <w:rFonts w:hint="eastAsia" w:ascii="宋体" w:hAnsi="宋体" w:cs="宋体"/>
        </w:rPr>
      </w:pPr>
    </w:p>
    <w:p w14:paraId="09D09493">
      <w:pPr>
        <w:spacing w:line="360" w:lineRule="auto"/>
        <w:rPr>
          <w:rFonts w:hint="eastAsia" w:ascii="宋体" w:hAnsi="宋体" w:cs="宋体"/>
          <w:szCs w:val="21"/>
        </w:rPr>
      </w:pPr>
      <w:r>
        <w:rPr>
          <w:rFonts w:hint="eastAsia" w:ascii="宋体" w:hAnsi="宋体" w:cs="宋体"/>
          <w:spacing w:val="1"/>
          <w:szCs w:val="21"/>
        </w:rPr>
        <w:t>发包人（全称）：</w:t>
      </w:r>
      <w:r>
        <w:rPr>
          <w:rFonts w:hint="eastAsia" w:ascii="宋体" w:hAnsi="宋体" w:cs="宋体"/>
          <w:szCs w:val="21"/>
          <w:u w:val="single"/>
        </w:rPr>
        <w:t>广西壮族自治区退役军人康复中心</w:t>
      </w:r>
    </w:p>
    <w:p w14:paraId="4D187E4A">
      <w:pPr>
        <w:spacing w:line="360" w:lineRule="auto"/>
        <w:rPr>
          <w:rFonts w:hint="eastAsia" w:ascii="宋体" w:hAnsi="宋体" w:cs="宋体"/>
          <w:szCs w:val="21"/>
        </w:rPr>
      </w:pPr>
      <w:r>
        <w:rPr>
          <w:rFonts w:hint="eastAsia" w:ascii="宋体" w:hAnsi="宋体" w:cs="宋体"/>
          <w:spacing w:val="10"/>
          <w:szCs w:val="21"/>
        </w:rPr>
        <w:t>承</w:t>
      </w:r>
      <w:r>
        <w:rPr>
          <w:rFonts w:hint="eastAsia" w:ascii="宋体" w:hAnsi="宋体" w:cs="宋体"/>
          <w:spacing w:val="6"/>
          <w:szCs w:val="21"/>
        </w:rPr>
        <w:t>包人（全称）：</w:t>
      </w:r>
      <w:r>
        <w:rPr>
          <w:rFonts w:hint="eastAsia" w:ascii="宋体" w:hAnsi="宋体" w:cs="宋体"/>
          <w:szCs w:val="21"/>
          <w:u w:val="single"/>
        </w:rPr>
        <w:t xml:space="preserve">                             </w:t>
      </w:r>
    </w:p>
    <w:p w14:paraId="4012AE25">
      <w:pPr>
        <w:spacing w:line="360" w:lineRule="auto"/>
        <w:ind w:firstLine="421"/>
        <w:rPr>
          <w:rFonts w:hint="eastAsia" w:ascii="宋体" w:hAnsi="宋体" w:cs="宋体"/>
          <w:szCs w:val="21"/>
        </w:rPr>
      </w:pPr>
      <w:r>
        <w:rPr>
          <w:rFonts w:hint="eastAsia" w:ascii="宋体" w:hAnsi="宋体" w:cs="宋体"/>
          <w:spacing w:val="1"/>
          <w:szCs w:val="21"/>
        </w:rPr>
        <w:t>根据《中华人民共和国民法典》《中华人民共和国建</w:t>
      </w:r>
      <w:r>
        <w:rPr>
          <w:rFonts w:hint="eastAsia" w:ascii="宋体" w:hAnsi="宋体" w:cs="宋体"/>
          <w:szCs w:val="21"/>
        </w:rPr>
        <w:t xml:space="preserve">筑法》及有关法律规定，遵循平等、 </w:t>
      </w:r>
      <w:r>
        <w:rPr>
          <w:rFonts w:hint="eastAsia" w:ascii="宋体" w:hAnsi="宋体" w:cs="宋体"/>
          <w:spacing w:val="-4"/>
          <w:szCs w:val="21"/>
        </w:rPr>
        <w:t>自愿、公平和诚实信</w:t>
      </w:r>
      <w:r>
        <w:rPr>
          <w:rFonts w:hint="eastAsia" w:ascii="宋体" w:hAnsi="宋体" w:cs="宋体"/>
          <w:spacing w:val="-3"/>
          <w:szCs w:val="21"/>
        </w:rPr>
        <w:t>用</w:t>
      </w:r>
      <w:r>
        <w:rPr>
          <w:rFonts w:hint="eastAsia" w:ascii="宋体" w:hAnsi="宋体" w:cs="宋体"/>
          <w:spacing w:val="-2"/>
          <w:szCs w:val="21"/>
        </w:rPr>
        <w:t>的原则，双方就</w:t>
      </w:r>
      <w:r>
        <w:rPr>
          <w:rFonts w:hint="eastAsia" w:ascii="宋体" w:hAnsi="宋体" w:cs="宋体"/>
          <w:b/>
          <w:bCs/>
          <w:spacing w:val="-2"/>
          <w:szCs w:val="21"/>
          <w:u w:val="single"/>
        </w:rPr>
        <w:t>康复楼多功能康养用房设备购置项目（装饰工程部分）</w:t>
      </w:r>
      <w:r>
        <w:rPr>
          <w:rFonts w:hint="eastAsia" w:ascii="宋体" w:hAnsi="宋体" w:cs="宋体"/>
          <w:spacing w:val="-2"/>
          <w:szCs w:val="21"/>
        </w:rPr>
        <w:t>施工及有关事项协商一致，</w:t>
      </w:r>
      <w:r>
        <w:rPr>
          <w:rFonts w:hint="eastAsia" w:ascii="宋体" w:hAnsi="宋体" w:cs="宋体"/>
          <w:szCs w:val="21"/>
        </w:rPr>
        <w:t xml:space="preserve"> </w:t>
      </w:r>
      <w:r>
        <w:rPr>
          <w:rFonts w:hint="eastAsia" w:ascii="宋体" w:hAnsi="宋体" w:cs="宋体"/>
          <w:spacing w:val="-6"/>
          <w:szCs w:val="21"/>
        </w:rPr>
        <w:t>共</w:t>
      </w:r>
      <w:r>
        <w:rPr>
          <w:rFonts w:hint="eastAsia" w:ascii="宋体" w:hAnsi="宋体" w:cs="宋体"/>
          <w:spacing w:val="-5"/>
          <w:szCs w:val="21"/>
        </w:rPr>
        <w:t>同达成如下协议：</w:t>
      </w:r>
    </w:p>
    <w:p w14:paraId="2355F62D">
      <w:pPr>
        <w:spacing w:line="360" w:lineRule="auto"/>
        <w:outlineLvl w:val="6"/>
        <w:rPr>
          <w:rFonts w:hint="eastAsia" w:ascii="宋体" w:hAnsi="宋体" w:cs="宋体"/>
          <w:b/>
          <w:bCs/>
          <w:szCs w:val="21"/>
        </w:rPr>
      </w:pPr>
      <w:r>
        <w:rPr>
          <w:rFonts w:hint="eastAsia" w:ascii="宋体" w:hAnsi="宋体" w:cs="宋体"/>
          <w:b/>
          <w:bCs/>
          <w:spacing w:val="6"/>
          <w:szCs w:val="21"/>
        </w:rPr>
        <w:t>一、工程概</w:t>
      </w:r>
      <w:r>
        <w:rPr>
          <w:rFonts w:hint="eastAsia" w:ascii="宋体" w:hAnsi="宋体" w:cs="宋体"/>
          <w:b/>
          <w:bCs/>
          <w:spacing w:val="5"/>
          <w:szCs w:val="21"/>
        </w:rPr>
        <w:t>况</w:t>
      </w:r>
    </w:p>
    <w:p w14:paraId="6764A0B9">
      <w:pPr>
        <w:spacing w:line="360" w:lineRule="auto"/>
        <w:ind w:firstLine="408" w:firstLineChars="200"/>
        <w:rPr>
          <w:rFonts w:hint="eastAsia" w:ascii="宋体" w:hAnsi="宋体" w:cs="宋体"/>
          <w:szCs w:val="21"/>
        </w:rPr>
      </w:pPr>
      <w:r>
        <w:rPr>
          <w:rFonts w:hint="eastAsia" w:ascii="宋体" w:hAnsi="宋体" w:cs="宋体"/>
          <w:spacing w:val="-3"/>
          <w:szCs w:val="21"/>
        </w:rPr>
        <w:t>1.工程名称：</w:t>
      </w:r>
      <w:r>
        <w:rPr>
          <w:rFonts w:hint="eastAsia" w:ascii="宋体" w:hAnsi="宋体" w:cs="宋体"/>
          <w:b/>
          <w:bCs/>
          <w:spacing w:val="-3"/>
          <w:szCs w:val="21"/>
          <w:u w:val="single"/>
        </w:rPr>
        <w:t>康复楼多功能康养用房设备购置项目（装饰工程部分）</w:t>
      </w:r>
      <w:r>
        <w:rPr>
          <w:rFonts w:hint="eastAsia" w:ascii="宋体" w:hAnsi="宋体" w:cs="宋体"/>
          <w:spacing w:val="-1"/>
          <w:szCs w:val="21"/>
        </w:rPr>
        <w:t>。</w:t>
      </w:r>
    </w:p>
    <w:p w14:paraId="6CF87BBB">
      <w:pPr>
        <w:spacing w:line="360" w:lineRule="auto"/>
        <w:ind w:firstLine="416" w:firstLineChars="200"/>
        <w:rPr>
          <w:rFonts w:hint="eastAsia" w:ascii="宋体" w:hAnsi="宋体" w:cs="宋体"/>
          <w:szCs w:val="21"/>
        </w:rPr>
      </w:pPr>
      <w:r>
        <w:rPr>
          <w:rFonts w:hint="eastAsia" w:ascii="宋体" w:hAnsi="宋体" w:cs="宋体"/>
          <w:spacing w:val="-1"/>
          <w:szCs w:val="21"/>
        </w:rPr>
        <w:t>2.工程地点：</w:t>
      </w:r>
      <w:r>
        <w:rPr>
          <w:rFonts w:hint="eastAsia" w:ascii="宋体" w:hAnsi="宋体" w:cs="宋体"/>
          <w:spacing w:val="-1"/>
          <w:szCs w:val="21"/>
          <w:u w:val="single"/>
        </w:rPr>
        <w:t xml:space="preserve">                  </w:t>
      </w:r>
      <w:r>
        <w:rPr>
          <w:rFonts w:hint="eastAsia" w:ascii="宋体" w:hAnsi="宋体" w:cs="宋体"/>
          <w:szCs w:val="21"/>
        </w:rPr>
        <w:t>。</w:t>
      </w:r>
    </w:p>
    <w:p w14:paraId="47D2ECC5">
      <w:pPr>
        <w:spacing w:line="360" w:lineRule="auto"/>
        <w:ind w:firstLine="412" w:firstLineChars="200"/>
        <w:rPr>
          <w:rFonts w:hint="eastAsia" w:ascii="宋体" w:hAnsi="宋体" w:cs="宋体"/>
          <w:szCs w:val="21"/>
        </w:rPr>
      </w:pPr>
      <w:r>
        <w:rPr>
          <w:rFonts w:hint="eastAsia" w:ascii="宋体" w:hAnsi="宋体" w:cs="宋体"/>
          <w:spacing w:val="-2"/>
          <w:szCs w:val="21"/>
        </w:rPr>
        <w:t>3.工程立项批准文号：</w:t>
      </w:r>
      <w:r>
        <w:rPr>
          <w:rFonts w:hint="eastAsia" w:ascii="宋体" w:hAnsi="宋体" w:cs="宋体"/>
          <w:spacing w:val="-2"/>
          <w:szCs w:val="21"/>
          <w:u w:val="single"/>
        </w:rPr>
        <w:t xml:space="preserve">              /                 </w:t>
      </w:r>
      <w:r>
        <w:rPr>
          <w:rFonts w:hint="eastAsia" w:ascii="宋体" w:hAnsi="宋体" w:cs="宋体"/>
          <w:spacing w:val="-1"/>
          <w:szCs w:val="21"/>
        </w:rPr>
        <w:t>。</w:t>
      </w:r>
    </w:p>
    <w:p w14:paraId="65ED3E73">
      <w:pPr>
        <w:spacing w:line="360" w:lineRule="auto"/>
        <w:ind w:firstLine="412" w:firstLineChars="200"/>
        <w:rPr>
          <w:rFonts w:hint="eastAsia" w:ascii="宋体" w:hAnsi="宋体" w:cs="宋体"/>
          <w:szCs w:val="21"/>
        </w:rPr>
      </w:pPr>
      <w:r>
        <w:rPr>
          <w:rFonts w:hint="eastAsia" w:ascii="宋体" w:hAnsi="宋体" w:cs="宋体"/>
          <w:spacing w:val="-2"/>
          <w:szCs w:val="21"/>
        </w:rPr>
        <w:t>4.资金来源：</w:t>
      </w:r>
      <w:r>
        <w:rPr>
          <w:rFonts w:hint="eastAsia" w:ascii="宋体" w:hAnsi="宋体" w:cs="宋体"/>
          <w:spacing w:val="-2"/>
          <w:szCs w:val="21"/>
          <w:u w:val="single"/>
        </w:rPr>
        <w:t xml:space="preserve">财政资金    </w:t>
      </w:r>
      <w:r>
        <w:rPr>
          <w:rFonts w:hint="eastAsia" w:ascii="宋体" w:hAnsi="宋体" w:cs="宋体"/>
          <w:spacing w:val="-1"/>
          <w:szCs w:val="21"/>
          <w:u w:val="single"/>
        </w:rPr>
        <w:t xml:space="preserve">                </w:t>
      </w:r>
      <w:r>
        <w:rPr>
          <w:rFonts w:hint="eastAsia" w:ascii="宋体" w:hAnsi="宋体" w:cs="宋体"/>
          <w:spacing w:val="-1"/>
          <w:szCs w:val="21"/>
        </w:rPr>
        <w:t>。</w:t>
      </w:r>
    </w:p>
    <w:p w14:paraId="6C9AFB41">
      <w:pPr>
        <w:spacing w:line="360" w:lineRule="auto"/>
        <w:ind w:firstLine="408" w:firstLineChars="200"/>
        <w:rPr>
          <w:rFonts w:hint="eastAsia" w:ascii="宋体" w:hAnsi="宋体" w:cs="宋体"/>
          <w:szCs w:val="21"/>
        </w:rPr>
      </w:pPr>
      <w:r>
        <w:rPr>
          <w:rFonts w:hint="eastAsia" w:ascii="宋体" w:hAnsi="宋体" w:cs="宋体"/>
          <w:spacing w:val="-3"/>
          <w:szCs w:val="21"/>
        </w:rPr>
        <w:t>5</w:t>
      </w:r>
      <w:r>
        <w:rPr>
          <w:rFonts w:hint="eastAsia" w:ascii="宋体" w:hAnsi="宋体" w:cs="宋体"/>
          <w:spacing w:val="-2"/>
          <w:szCs w:val="21"/>
        </w:rPr>
        <w:t>.工程内容：</w:t>
      </w:r>
      <w:r>
        <w:rPr>
          <w:rFonts w:hint="eastAsia" w:ascii="宋体" w:hAnsi="宋体" w:cs="宋体"/>
          <w:spacing w:val="-2"/>
          <w:szCs w:val="21"/>
          <w:u w:val="single"/>
        </w:rPr>
        <w:t xml:space="preserve">                                 </w:t>
      </w:r>
      <w:r>
        <w:rPr>
          <w:rFonts w:hint="eastAsia" w:ascii="宋体" w:hAnsi="宋体" w:cs="宋体"/>
          <w:szCs w:val="21"/>
          <w:u w:val="single"/>
        </w:rPr>
        <w:t>。</w:t>
      </w:r>
    </w:p>
    <w:p w14:paraId="195CA13A">
      <w:pPr>
        <w:spacing w:line="360" w:lineRule="auto"/>
        <w:ind w:firstLine="396" w:firstLineChars="200"/>
        <w:rPr>
          <w:rFonts w:hint="eastAsia" w:ascii="宋体" w:hAnsi="宋体" w:cs="宋体"/>
          <w:szCs w:val="21"/>
          <w:u w:val="single"/>
        </w:rPr>
      </w:pPr>
      <w:r>
        <w:rPr>
          <w:rFonts w:hint="eastAsia" w:ascii="宋体" w:hAnsi="宋体" w:cs="宋体"/>
          <w:spacing w:val="-6"/>
          <w:szCs w:val="21"/>
        </w:rPr>
        <w:t>6.</w:t>
      </w:r>
      <w:r>
        <w:rPr>
          <w:rFonts w:hint="eastAsia" w:ascii="宋体" w:hAnsi="宋体" w:cs="宋体"/>
          <w:spacing w:val="-3"/>
          <w:szCs w:val="21"/>
        </w:rPr>
        <w:t>工程承包范围：</w:t>
      </w:r>
      <w:r>
        <w:rPr>
          <w:rFonts w:hint="eastAsia" w:ascii="宋体" w:hAnsi="宋体" w:cs="宋体"/>
          <w:spacing w:val="-3"/>
          <w:szCs w:val="21"/>
          <w:u w:val="single"/>
        </w:rPr>
        <w:t xml:space="preserve">                              </w:t>
      </w:r>
      <w:r>
        <w:rPr>
          <w:rFonts w:hint="eastAsia" w:ascii="宋体" w:hAnsi="宋体" w:cs="宋体"/>
          <w:szCs w:val="21"/>
          <w:u w:val="single"/>
        </w:rPr>
        <w:t>。</w:t>
      </w:r>
    </w:p>
    <w:p w14:paraId="2529E377">
      <w:pPr>
        <w:spacing w:line="360" w:lineRule="auto"/>
        <w:outlineLvl w:val="6"/>
        <w:rPr>
          <w:rFonts w:hint="eastAsia" w:ascii="宋体" w:hAnsi="宋体" w:cs="宋体"/>
          <w:b/>
          <w:bCs/>
          <w:spacing w:val="6"/>
          <w:szCs w:val="21"/>
        </w:rPr>
      </w:pPr>
      <w:r>
        <w:rPr>
          <w:rFonts w:hint="eastAsia" w:ascii="宋体" w:hAnsi="宋体" w:cs="宋体"/>
          <w:b/>
          <w:bCs/>
          <w:spacing w:val="6"/>
          <w:szCs w:val="21"/>
        </w:rPr>
        <w:t>二、合同工期</w:t>
      </w:r>
    </w:p>
    <w:p w14:paraId="24842084">
      <w:pPr>
        <w:spacing w:line="360" w:lineRule="auto"/>
        <w:ind w:firstLine="388" w:firstLineChars="200"/>
        <w:rPr>
          <w:rFonts w:hint="eastAsia" w:ascii="宋体" w:hAnsi="宋体" w:cs="宋体"/>
          <w:szCs w:val="21"/>
        </w:rPr>
      </w:pPr>
      <w:r>
        <w:rPr>
          <w:rFonts w:hint="eastAsia" w:ascii="宋体" w:hAnsi="宋体" w:cs="宋体"/>
          <w:spacing w:val="-8"/>
          <w:szCs w:val="21"/>
        </w:rPr>
        <w:t>计划开工</w:t>
      </w:r>
      <w:r>
        <w:rPr>
          <w:rFonts w:hint="eastAsia" w:ascii="宋体" w:hAnsi="宋体" w:cs="宋体"/>
          <w:spacing w:val="-7"/>
          <w:szCs w:val="21"/>
        </w:rPr>
        <w:t>日</w:t>
      </w:r>
      <w:r>
        <w:rPr>
          <w:rFonts w:hint="eastAsia" w:ascii="宋体" w:hAnsi="宋体" w:cs="宋体"/>
          <w:spacing w:val="-4"/>
          <w:szCs w:val="21"/>
        </w:rPr>
        <w:t>期：</w:t>
      </w:r>
      <w:r>
        <w:rPr>
          <w:rFonts w:hint="eastAsia" w:ascii="宋体" w:hAnsi="宋体" w:cs="宋体"/>
          <w:spacing w:val="-4"/>
          <w:szCs w:val="21"/>
          <w:u w:val="single"/>
        </w:rPr>
        <w:t xml:space="preserve">           </w:t>
      </w:r>
      <w:r>
        <w:rPr>
          <w:rFonts w:hint="eastAsia" w:ascii="宋体" w:hAnsi="宋体" w:cs="宋体"/>
          <w:spacing w:val="-4"/>
          <w:szCs w:val="21"/>
        </w:rPr>
        <w:t>年</w:t>
      </w:r>
      <w:r>
        <w:rPr>
          <w:rFonts w:hint="eastAsia" w:ascii="宋体" w:hAnsi="宋体" w:cs="宋体"/>
          <w:spacing w:val="-4"/>
          <w:szCs w:val="21"/>
          <w:u w:val="single"/>
        </w:rPr>
        <w:t xml:space="preserve">      </w:t>
      </w:r>
      <w:r>
        <w:rPr>
          <w:rFonts w:hint="eastAsia" w:ascii="宋体" w:hAnsi="宋体" w:cs="宋体"/>
          <w:spacing w:val="-4"/>
          <w:szCs w:val="21"/>
        </w:rPr>
        <w:t>月</w:t>
      </w:r>
      <w:r>
        <w:rPr>
          <w:rFonts w:hint="eastAsia" w:ascii="宋体" w:hAnsi="宋体" w:cs="宋体"/>
          <w:spacing w:val="-4"/>
          <w:szCs w:val="21"/>
          <w:u w:val="single"/>
        </w:rPr>
        <w:t xml:space="preserve">      </w:t>
      </w:r>
      <w:r>
        <w:rPr>
          <w:rFonts w:hint="eastAsia" w:ascii="宋体" w:hAnsi="宋体" w:cs="宋体"/>
          <w:spacing w:val="-4"/>
          <w:szCs w:val="21"/>
        </w:rPr>
        <w:t xml:space="preserve">日。 </w:t>
      </w:r>
    </w:p>
    <w:p w14:paraId="461D3488">
      <w:pPr>
        <w:spacing w:line="360" w:lineRule="auto"/>
        <w:ind w:firstLine="396" w:firstLineChars="200"/>
        <w:rPr>
          <w:rFonts w:hint="eastAsia" w:ascii="宋体" w:hAnsi="宋体" w:cs="宋体"/>
          <w:szCs w:val="21"/>
        </w:rPr>
      </w:pPr>
      <w:r>
        <w:rPr>
          <w:rFonts w:hint="eastAsia" w:ascii="宋体" w:hAnsi="宋体" w:cs="宋体"/>
          <w:spacing w:val="-6"/>
          <w:szCs w:val="21"/>
        </w:rPr>
        <w:t>计划</w:t>
      </w:r>
      <w:r>
        <w:rPr>
          <w:rFonts w:hint="eastAsia" w:ascii="宋体" w:hAnsi="宋体" w:cs="宋体"/>
          <w:spacing w:val="-3"/>
          <w:szCs w:val="21"/>
        </w:rPr>
        <w:t>竣工日期：</w:t>
      </w:r>
      <w:r>
        <w:rPr>
          <w:rFonts w:hint="eastAsia" w:ascii="宋体" w:hAnsi="宋体" w:cs="宋体"/>
          <w:spacing w:val="-3"/>
          <w:szCs w:val="21"/>
          <w:u w:val="single"/>
        </w:rPr>
        <w:t xml:space="preserve">          </w:t>
      </w:r>
      <w:r>
        <w:rPr>
          <w:rFonts w:hint="eastAsia" w:ascii="宋体" w:hAnsi="宋体" w:cs="宋体"/>
          <w:spacing w:val="-3"/>
          <w:szCs w:val="21"/>
        </w:rPr>
        <w:t>年</w:t>
      </w:r>
      <w:r>
        <w:rPr>
          <w:rFonts w:hint="eastAsia" w:ascii="宋体" w:hAnsi="宋体" w:cs="宋体"/>
          <w:spacing w:val="-3"/>
          <w:szCs w:val="21"/>
          <w:u w:val="single"/>
        </w:rPr>
        <w:t xml:space="preserve">      </w:t>
      </w:r>
      <w:r>
        <w:rPr>
          <w:rFonts w:hint="eastAsia" w:ascii="宋体" w:hAnsi="宋体" w:cs="宋体"/>
          <w:spacing w:val="-3"/>
          <w:szCs w:val="21"/>
        </w:rPr>
        <w:t>月</w:t>
      </w:r>
      <w:r>
        <w:rPr>
          <w:rFonts w:hint="eastAsia" w:ascii="宋体" w:hAnsi="宋体" w:cs="宋体"/>
          <w:spacing w:val="-3"/>
          <w:szCs w:val="21"/>
          <w:u w:val="single"/>
        </w:rPr>
        <w:t xml:space="preserve">      </w:t>
      </w:r>
      <w:r>
        <w:rPr>
          <w:rFonts w:hint="eastAsia" w:ascii="宋体" w:hAnsi="宋体" w:cs="宋体"/>
          <w:spacing w:val="-3"/>
          <w:szCs w:val="21"/>
        </w:rPr>
        <w:t>日。</w:t>
      </w:r>
    </w:p>
    <w:p w14:paraId="76DE79FF">
      <w:pPr>
        <w:spacing w:line="360" w:lineRule="auto"/>
        <w:ind w:firstLine="412" w:firstLineChars="200"/>
        <w:rPr>
          <w:rFonts w:hint="eastAsia" w:ascii="宋体" w:hAnsi="宋体" w:cs="宋体"/>
          <w:szCs w:val="21"/>
        </w:rPr>
      </w:pPr>
      <w:r>
        <w:rPr>
          <w:rFonts w:hint="eastAsia" w:ascii="宋体" w:hAnsi="宋体" w:cs="宋体"/>
          <w:spacing w:val="-2"/>
          <w:szCs w:val="21"/>
        </w:rPr>
        <w:t xml:space="preserve">工期总日历天数： </w:t>
      </w:r>
      <w:r>
        <w:rPr>
          <w:rFonts w:hint="eastAsia" w:ascii="宋体" w:hAnsi="宋体" w:cs="宋体"/>
          <w:spacing w:val="-2"/>
          <w:szCs w:val="21"/>
          <w:u w:val="single"/>
        </w:rPr>
        <w:t xml:space="preserve">      </w:t>
      </w:r>
      <w:r>
        <w:rPr>
          <w:rFonts w:hint="eastAsia" w:ascii="宋体" w:hAnsi="宋体" w:cs="宋体"/>
          <w:spacing w:val="-2"/>
          <w:szCs w:val="21"/>
        </w:rPr>
        <w:t>天。工期总日历天数与根据前述计划开竣工日期计算的工期天数</w:t>
      </w:r>
      <w:r>
        <w:rPr>
          <w:rFonts w:hint="eastAsia" w:ascii="宋体" w:hAnsi="宋体" w:cs="宋体"/>
          <w:szCs w:val="21"/>
        </w:rPr>
        <w:t xml:space="preserve">不一 </w:t>
      </w:r>
      <w:r>
        <w:rPr>
          <w:rFonts w:hint="eastAsia" w:ascii="宋体" w:hAnsi="宋体" w:cs="宋体"/>
          <w:spacing w:val="-4"/>
          <w:szCs w:val="21"/>
        </w:rPr>
        <w:t>致</w:t>
      </w:r>
      <w:r>
        <w:rPr>
          <w:rFonts w:hint="eastAsia" w:ascii="宋体" w:hAnsi="宋体" w:cs="宋体"/>
          <w:spacing w:val="-2"/>
          <w:szCs w:val="21"/>
        </w:rPr>
        <w:t>的，以工期总日历天数为准。</w:t>
      </w:r>
    </w:p>
    <w:p w14:paraId="08D73F08">
      <w:pPr>
        <w:spacing w:line="360" w:lineRule="auto"/>
        <w:outlineLvl w:val="6"/>
        <w:rPr>
          <w:rFonts w:hint="eastAsia" w:ascii="宋体" w:hAnsi="宋体" w:cs="宋体"/>
          <w:b/>
          <w:bCs/>
          <w:szCs w:val="21"/>
        </w:rPr>
      </w:pPr>
      <w:r>
        <w:rPr>
          <w:rFonts w:hint="eastAsia" w:ascii="宋体" w:hAnsi="宋体" w:cs="宋体"/>
          <w:b/>
          <w:bCs/>
          <w:spacing w:val="8"/>
          <w:szCs w:val="21"/>
        </w:rPr>
        <w:t>三</w:t>
      </w:r>
      <w:r>
        <w:rPr>
          <w:rFonts w:hint="eastAsia" w:ascii="宋体" w:hAnsi="宋体" w:cs="宋体"/>
          <w:b/>
          <w:bCs/>
          <w:spacing w:val="6"/>
          <w:szCs w:val="21"/>
        </w:rPr>
        <w:t>、质量标准</w:t>
      </w:r>
    </w:p>
    <w:p w14:paraId="57D98B96">
      <w:pPr>
        <w:spacing w:line="360" w:lineRule="auto"/>
        <w:ind w:firstLine="404" w:firstLineChars="200"/>
        <w:rPr>
          <w:rFonts w:hint="eastAsia" w:ascii="宋体" w:hAnsi="宋体" w:cs="宋体"/>
          <w:szCs w:val="21"/>
        </w:rPr>
      </w:pPr>
      <w:r>
        <w:rPr>
          <w:rFonts w:hint="eastAsia" w:ascii="宋体" w:hAnsi="宋体" w:cs="宋体"/>
          <w:spacing w:val="-4"/>
          <w:szCs w:val="21"/>
        </w:rPr>
        <w:t>工程质量符合</w:t>
      </w:r>
      <w:r>
        <w:rPr>
          <w:rFonts w:hint="eastAsia" w:ascii="宋体" w:hAnsi="宋体" w:cs="宋体"/>
          <w:spacing w:val="-4"/>
          <w:szCs w:val="21"/>
          <w:u w:val="single"/>
        </w:rPr>
        <w:t xml:space="preserve"> 达到国家施工验收规范合格标准要求</w:t>
      </w:r>
      <w:r>
        <w:rPr>
          <w:rFonts w:hint="eastAsia" w:ascii="宋体" w:hAnsi="宋体" w:cs="宋体"/>
          <w:spacing w:val="-2"/>
          <w:szCs w:val="21"/>
          <w:u w:val="single"/>
        </w:rPr>
        <w:t xml:space="preserve"> </w:t>
      </w:r>
      <w:r>
        <w:rPr>
          <w:rFonts w:hint="eastAsia" w:ascii="宋体" w:hAnsi="宋体" w:cs="宋体"/>
          <w:spacing w:val="-2"/>
          <w:szCs w:val="21"/>
        </w:rPr>
        <w:t>标准。</w:t>
      </w:r>
    </w:p>
    <w:p w14:paraId="79499DEE">
      <w:pPr>
        <w:spacing w:line="360" w:lineRule="auto"/>
        <w:outlineLvl w:val="6"/>
        <w:rPr>
          <w:rFonts w:hint="eastAsia" w:ascii="宋体" w:hAnsi="宋体" w:cs="宋体"/>
          <w:b/>
          <w:bCs/>
          <w:szCs w:val="21"/>
        </w:rPr>
      </w:pPr>
      <w:r>
        <w:rPr>
          <w:rFonts w:hint="eastAsia" w:ascii="宋体" w:hAnsi="宋体" w:cs="宋体"/>
          <w:b/>
          <w:bCs/>
          <w:spacing w:val="4"/>
          <w:szCs w:val="21"/>
        </w:rPr>
        <w:t>四、签约</w:t>
      </w:r>
      <w:r>
        <w:rPr>
          <w:rFonts w:hint="eastAsia" w:ascii="宋体" w:hAnsi="宋体" w:cs="宋体"/>
          <w:b/>
          <w:bCs/>
          <w:spacing w:val="3"/>
          <w:szCs w:val="21"/>
        </w:rPr>
        <w:t>合</w:t>
      </w:r>
      <w:r>
        <w:rPr>
          <w:rFonts w:hint="eastAsia" w:ascii="宋体" w:hAnsi="宋体" w:cs="宋体"/>
          <w:b/>
          <w:bCs/>
          <w:spacing w:val="2"/>
          <w:szCs w:val="21"/>
        </w:rPr>
        <w:t>同价与合同价格形式</w:t>
      </w:r>
    </w:p>
    <w:p w14:paraId="4416547A">
      <w:pPr>
        <w:spacing w:line="360" w:lineRule="auto"/>
        <w:ind w:firstLine="400" w:firstLineChars="200"/>
        <w:rPr>
          <w:rFonts w:hint="eastAsia" w:ascii="宋体" w:hAnsi="宋体" w:cs="宋体"/>
          <w:szCs w:val="21"/>
        </w:rPr>
      </w:pPr>
      <w:r>
        <w:rPr>
          <w:rFonts w:hint="eastAsia" w:ascii="宋体" w:hAnsi="宋体" w:cs="宋体"/>
          <w:spacing w:val="-5"/>
          <w:szCs w:val="21"/>
        </w:rPr>
        <w:t>1.签约合同价为：</w:t>
      </w:r>
      <w:r>
        <w:rPr>
          <w:rFonts w:hint="eastAsia" w:ascii="宋体" w:hAnsi="宋体" w:cs="宋体"/>
          <w:spacing w:val="4"/>
          <w:szCs w:val="21"/>
        </w:rPr>
        <w:t>人民</w:t>
      </w:r>
      <w:r>
        <w:rPr>
          <w:rFonts w:hint="eastAsia" w:ascii="宋体" w:hAnsi="宋体" w:cs="宋体"/>
          <w:spacing w:val="2"/>
          <w:szCs w:val="21"/>
        </w:rPr>
        <w:t>币（大写）</w:t>
      </w:r>
      <w:r>
        <w:rPr>
          <w:rFonts w:hint="eastAsia" w:ascii="宋体" w:hAnsi="宋体" w:cs="宋体"/>
          <w:spacing w:val="2"/>
          <w:szCs w:val="21"/>
          <w:u w:val="single"/>
        </w:rPr>
        <w:t xml:space="preserve">                   </w:t>
      </w:r>
      <w:r>
        <w:rPr>
          <w:rFonts w:hint="eastAsia" w:ascii="宋体" w:hAnsi="宋体" w:cs="宋体"/>
          <w:spacing w:val="2"/>
          <w:szCs w:val="21"/>
        </w:rPr>
        <w:t>（¥</w:t>
      </w:r>
      <w:r>
        <w:rPr>
          <w:rFonts w:hint="eastAsia" w:ascii="宋体" w:hAnsi="宋体" w:cs="宋体"/>
          <w:spacing w:val="2"/>
          <w:szCs w:val="21"/>
          <w:u w:val="single"/>
        </w:rPr>
        <w:t xml:space="preserve">                   </w:t>
      </w:r>
      <w:r>
        <w:rPr>
          <w:rFonts w:hint="eastAsia" w:ascii="宋体" w:hAnsi="宋体" w:cs="宋体"/>
          <w:spacing w:val="2"/>
          <w:szCs w:val="21"/>
        </w:rPr>
        <w:t xml:space="preserve"> 元） ；</w:t>
      </w:r>
    </w:p>
    <w:p w14:paraId="2B123FF0">
      <w:pPr>
        <w:spacing w:line="360" w:lineRule="auto"/>
        <w:ind w:firstLine="420" w:firstLineChars="200"/>
        <w:rPr>
          <w:rFonts w:hint="eastAsia" w:ascii="宋体" w:hAnsi="宋体" w:cs="宋体"/>
          <w:szCs w:val="21"/>
        </w:rPr>
      </w:pPr>
      <w:r>
        <w:rPr>
          <w:rFonts w:hint="eastAsia" w:ascii="宋体" w:hAnsi="宋体" w:cs="宋体"/>
          <w:szCs w:val="21"/>
        </w:rPr>
        <w:t>具体构成详见价格清单。</w:t>
      </w:r>
      <w:r>
        <w:rPr>
          <w:rFonts w:hint="eastAsia" w:ascii="宋体" w:hAnsi="宋体" w:cs="宋体"/>
          <w:spacing w:val="-14"/>
          <w:szCs w:val="21"/>
        </w:rPr>
        <w:t>其</w:t>
      </w:r>
      <w:r>
        <w:rPr>
          <w:rFonts w:hint="eastAsia" w:ascii="宋体" w:hAnsi="宋体" w:cs="宋体"/>
          <w:spacing w:val="-12"/>
          <w:szCs w:val="21"/>
        </w:rPr>
        <w:t>中：</w:t>
      </w:r>
    </w:p>
    <w:p w14:paraId="046BD44D">
      <w:pPr>
        <w:spacing w:line="360" w:lineRule="auto"/>
        <w:ind w:firstLine="476" w:firstLineChars="200"/>
        <w:rPr>
          <w:rFonts w:hint="eastAsia" w:ascii="宋体" w:hAnsi="宋体" w:cs="宋体"/>
          <w:szCs w:val="21"/>
        </w:rPr>
      </w:pPr>
      <w:r>
        <w:rPr>
          <w:rFonts w:hint="eastAsia" w:ascii="宋体" w:hAnsi="宋体" w:cs="宋体"/>
          <w:spacing w:val="14"/>
          <w:szCs w:val="21"/>
        </w:rPr>
        <w:t>（1）安全文明施工费</w:t>
      </w:r>
      <w:r>
        <w:rPr>
          <w:rFonts w:hint="eastAsia" w:ascii="宋体" w:hAnsi="宋体" w:cs="宋体"/>
          <w:spacing w:val="12"/>
          <w:szCs w:val="21"/>
        </w:rPr>
        <w:t>：</w:t>
      </w:r>
    </w:p>
    <w:p w14:paraId="0B560403">
      <w:pPr>
        <w:spacing w:line="360" w:lineRule="auto"/>
        <w:ind w:firstLine="436" w:firstLineChars="200"/>
        <w:rPr>
          <w:rFonts w:hint="eastAsia" w:ascii="宋体" w:hAnsi="宋体" w:cs="宋体"/>
          <w:szCs w:val="21"/>
        </w:rPr>
      </w:pPr>
      <w:r>
        <w:rPr>
          <w:rFonts w:hint="eastAsia" w:ascii="宋体" w:hAnsi="宋体" w:cs="宋体"/>
          <w:spacing w:val="4"/>
          <w:szCs w:val="21"/>
        </w:rPr>
        <w:t>人民币（大写）</w:t>
      </w:r>
      <w:r>
        <w:rPr>
          <w:rFonts w:hint="eastAsia" w:ascii="宋体" w:hAnsi="宋体" w:cs="宋体"/>
          <w:spacing w:val="4"/>
          <w:szCs w:val="21"/>
          <w:u w:val="single"/>
        </w:rPr>
        <w:t xml:space="preserve"> </w:t>
      </w:r>
      <w:r>
        <w:rPr>
          <w:rFonts w:hint="eastAsia" w:ascii="宋体" w:hAnsi="宋体" w:cs="宋体"/>
          <w:spacing w:val="2"/>
          <w:szCs w:val="21"/>
          <w:u w:val="single"/>
        </w:rPr>
        <w:t xml:space="preserve">                </w:t>
      </w:r>
      <w:r>
        <w:rPr>
          <w:rFonts w:hint="eastAsia" w:ascii="宋体" w:hAnsi="宋体" w:cs="宋体"/>
          <w:spacing w:val="2"/>
          <w:szCs w:val="21"/>
        </w:rPr>
        <w:t>（¥</w:t>
      </w:r>
      <w:r>
        <w:rPr>
          <w:rFonts w:hint="eastAsia" w:ascii="宋体" w:hAnsi="宋体" w:cs="宋体"/>
          <w:spacing w:val="2"/>
          <w:szCs w:val="21"/>
          <w:u w:val="single"/>
        </w:rPr>
        <w:t xml:space="preserve">                   </w:t>
      </w:r>
      <w:r>
        <w:rPr>
          <w:rFonts w:hint="eastAsia" w:ascii="宋体" w:hAnsi="宋体" w:cs="宋体"/>
          <w:spacing w:val="2"/>
          <w:szCs w:val="21"/>
        </w:rPr>
        <w:t xml:space="preserve"> 元） ；</w:t>
      </w:r>
    </w:p>
    <w:p w14:paraId="347C89D8">
      <w:pPr>
        <w:spacing w:line="360" w:lineRule="auto"/>
        <w:ind w:firstLine="492" w:firstLineChars="200"/>
        <w:rPr>
          <w:rFonts w:hint="eastAsia" w:ascii="宋体" w:hAnsi="宋体" w:cs="宋体"/>
          <w:szCs w:val="21"/>
        </w:rPr>
      </w:pPr>
      <w:r>
        <w:rPr>
          <w:rFonts w:hint="eastAsia" w:ascii="宋体" w:hAnsi="宋体" w:cs="宋体"/>
          <w:spacing w:val="18"/>
          <w:szCs w:val="21"/>
        </w:rPr>
        <w:t>（</w:t>
      </w:r>
      <w:r>
        <w:rPr>
          <w:rFonts w:hint="eastAsia" w:ascii="宋体" w:hAnsi="宋体" w:cs="宋体"/>
          <w:spacing w:val="10"/>
          <w:szCs w:val="21"/>
        </w:rPr>
        <w:t>2</w:t>
      </w:r>
      <w:r>
        <w:rPr>
          <w:rFonts w:hint="eastAsia" w:ascii="宋体" w:hAnsi="宋体" w:cs="宋体"/>
          <w:spacing w:val="9"/>
          <w:szCs w:val="21"/>
        </w:rPr>
        <w:t>）材料和工程设备暂估价金额：</w:t>
      </w:r>
    </w:p>
    <w:p w14:paraId="3F34B970">
      <w:pPr>
        <w:spacing w:line="360" w:lineRule="auto"/>
        <w:ind w:firstLine="436" w:firstLineChars="200"/>
        <w:rPr>
          <w:rFonts w:hint="eastAsia" w:ascii="宋体" w:hAnsi="宋体" w:cs="宋体"/>
          <w:szCs w:val="21"/>
        </w:rPr>
      </w:pPr>
      <w:r>
        <w:rPr>
          <w:rFonts w:hint="eastAsia" w:ascii="宋体" w:hAnsi="宋体" w:cs="宋体"/>
          <w:spacing w:val="4"/>
          <w:szCs w:val="21"/>
        </w:rPr>
        <w:t>人民币（大写）</w:t>
      </w:r>
      <w:r>
        <w:rPr>
          <w:rFonts w:hint="eastAsia" w:ascii="宋体" w:hAnsi="宋体" w:cs="宋体"/>
          <w:spacing w:val="4"/>
          <w:szCs w:val="21"/>
          <w:u w:val="single"/>
        </w:rPr>
        <w:t xml:space="preserve"> </w:t>
      </w:r>
      <w:r>
        <w:rPr>
          <w:rFonts w:hint="eastAsia" w:ascii="宋体" w:hAnsi="宋体" w:cs="宋体"/>
          <w:spacing w:val="2"/>
          <w:szCs w:val="21"/>
          <w:u w:val="single"/>
        </w:rPr>
        <w:t xml:space="preserve">                </w:t>
      </w:r>
      <w:r>
        <w:rPr>
          <w:rFonts w:hint="eastAsia" w:ascii="宋体" w:hAnsi="宋体" w:cs="宋体"/>
          <w:spacing w:val="2"/>
          <w:szCs w:val="21"/>
        </w:rPr>
        <w:t>（¥</w:t>
      </w:r>
      <w:r>
        <w:rPr>
          <w:rFonts w:hint="eastAsia" w:ascii="宋体" w:hAnsi="宋体" w:cs="宋体"/>
          <w:spacing w:val="2"/>
          <w:szCs w:val="21"/>
          <w:u w:val="single"/>
        </w:rPr>
        <w:t xml:space="preserve">                   </w:t>
      </w:r>
      <w:r>
        <w:rPr>
          <w:rFonts w:hint="eastAsia" w:ascii="宋体" w:hAnsi="宋体" w:cs="宋体"/>
          <w:spacing w:val="2"/>
          <w:szCs w:val="21"/>
        </w:rPr>
        <w:t xml:space="preserve"> 元） ；</w:t>
      </w:r>
    </w:p>
    <w:p w14:paraId="14BEF07F">
      <w:pPr>
        <w:spacing w:line="360" w:lineRule="auto"/>
        <w:ind w:firstLine="468" w:firstLineChars="200"/>
        <w:rPr>
          <w:rFonts w:hint="eastAsia" w:ascii="宋体" w:hAnsi="宋体" w:cs="宋体"/>
          <w:szCs w:val="21"/>
        </w:rPr>
      </w:pPr>
      <w:r>
        <w:rPr>
          <w:rFonts w:hint="eastAsia" w:ascii="宋体" w:hAnsi="宋体" w:cs="宋体"/>
          <w:spacing w:val="12"/>
          <w:szCs w:val="21"/>
        </w:rPr>
        <w:t>（3）专业工程暂估价金额</w:t>
      </w:r>
      <w:r>
        <w:rPr>
          <w:rFonts w:hint="eastAsia" w:ascii="宋体" w:hAnsi="宋体" w:cs="宋体"/>
          <w:spacing w:val="9"/>
          <w:szCs w:val="21"/>
        </w:rPr>
        <w:t>：</w:t>
      </w:r>
    </w:p>
    <w:p w14:paraId="4C8BA755">
      <w:pPr>
        <w:spacing w:line="360" w:lineRule="auto"/>
        <w:ind w:firstLine="436" w:firstLineChars="200"/>
        <w:rPr>
          <w:rFonts w:hint="eastAsia" w:ascii="宋体" w:hAnsi="宋体" w:cs="宋体"/>
          <w:szCs w:val="21"/>
        </w:rPr>
      </w:pPr>
      <w:r>
        <w:rPr>
          <w:rFonts w:hint="eastAsia" w:ascii="宋体" w:hAnsi="宋体" w:cs="宋体"/>
          <w:spacing w:val="4"/>
          <w:szCs w:val="21"/>
        </w:rPr>
        <w:t>人民币（大写）</w:t>
      </w:r>
      <w:r>
        <w:rPr>
          <w:rFonts w:hint="eastAsia" w:ascii="宋体" w:hAnsi="宋体" w:cs="宋体"/>
          <w:spacing w:val="4"/>
          <w:szCs w:val="21"/>
          <w:u w:val="single"/>
        </w:rPr>
        <w:t xml:space="preserve"> </w:t>
      </w:r>
      <w:r>
        <w:rPr>
          <w:rFonts w:hint="eastAsia" w:ascii="宋体" w:hAnsi="宋体" w:cs="宋体"/>
          <w:spacing w:val="2"/>
          <w:szCs w:val="21"/>
          <w:u w:val="single"/>
        </w:rPr>
        <w:t xml:space="preserve">                </w:t>
      </w:r>
      <w:r>
        <w:rPr>
          <w:rFonts w:hint="eastAsia" w:ascii="宋体" w:hAnsi="宋体" w:cs="宋体"/>
          <w:spacing w:val="2"/>
          <w:szCs w:val="21"/>
        </w:rPr>
        <w:t>（¥</w:t>
      </w:r>
      <w:r>
        <w:rPr>
          <w:rFonts w:hint="eastAsia" w:ascii="宋体" w:hAnsi="宋体" w:cs="宋体"/>
          <w:spacing w:val="2"/>
          <w:szCs w:val="21"/>
          <w:u w:val="single"/>
        </w:rPr>
        <w:t xml:space="preserve">                   </w:t>
      </w:r>
      <w:r>
        <w:rPr>
          <w:rFonts w:hint="eastAsia" w:ascii="宋体" w:hAnsi="宋体" w:cs="宋体"/>
          <w:spacing w:val="2"/>
          <w:szCs w:val="21"/>
        </w:rPr>
        <w:t xml:space="preserve"> 元） ；</w:t>
      </w:r>
    </w:p>
    <w:p w14:paraId="6DD1D3F1">
      <w:pPr>
        <w:spacing w:line="360" w:lineRule="auto"/>
        <w:ind w:firstLine="496" w:firstLineChars="200"/>
        <w:rPr>
          <w:rFonts w:hint="eastAsia" w:ascii="宋体" w:hAnsi="宋体" w:cs="宋体"/>
          <w:szCs w:val="21"/>
        </w:rPr>
      </w:pPr>
      <w:r>
        <w:rPr>
          <w:rFonts w:hint="eastAsia" w:ascii="宋体" w:hAnsi="宋体" w:cs="宋体"/>
          <w:spacing w:val="19"/>
          <w:szCs w:val="21"/>
        </w:rPr>
        <w:t>（4）暂列金额</w:t>
      </w:r>
      <w:r>
        <w:rPr>
          <w:rFonts w:hint="eastAsia" w:ascii="宋体" w:hAnsi="宋体" w:cs="宋体"/>
          <w:spacing w:val="17"/>
          <w:szCs w:val="21"/>
        </w:rPr>
        <w:t>：</w:t>
      </w:r>
    </w:p>
    <w:p w14:paraId="5A38B0A9">
      <w:pPr>
        <w:spacing w:line="360" w:lineRule="auto"/>
        <w:ind w:firstLine="436" w:firstLineChars="200"/>
        <w:rPr>
          <w:rFonts w:hint="eastAsia" w:ascii="宋体" w:hAnsi="宋体" w:cs="宋体"/>
          <w:szCs w:val="21"/>
        </w:rPr>
      </w:pPr>
      <w:r>
        <w:rPr>
          <w:rFonts w:hint="eastAsia" w:ascii="宋体" w:hAnsi="宋体" w:cs="宋体"/>
          <w:spacing w:val="4"/>
          <w:szCs w:val="21"/>
        </w:rPr>
        <w:t>人民币（大写）</w:t>
      </w:r>
      <w:r>
        <w:rPr>
          <w:rFonts w:hint="eastAsia" w:ascii="宋体" w:hAnsi="宋体" w:cs="宋体"/>
          <w:spacing w:val="4"/>
          <w:szCs w:val="21"/>
          <w:u w:val="single"/>
        </w:rPr>
        <w:t xml:space="preserve"> </w:t>
      </w:r>
      <w:r>
        <w:rPr>
          <w:rFonts w:hint="eastAsia" w:ascii="宋体" w:hAnsi="宋体" w:cs="宋体"/>
          <w:spacing w:val="2"/>
          <w:szCs w:val="21"/>
          <w:u w:val="single"/>
        </w:rPr>
        <w:t xml:space="preserve">                </w:t>
      </w:r>
      <w:r>
        <w:rPr>
          <w:rFonts w:hint="eastAsia" w:ascii="宋体" w:hAnsi="宋体" w:cs="宋体"/>
          <w:spacing w:val="2"/>
          <w:szCs w:val="21"/>
        </w:rPr>
        <w:t>（¥</w:t>
      </w:r>
      <w:r>
        <w:rPr>
          <w:rFonts w:hint="eastAsia" w:ascii="宋体" w:hAnsi="宋体" w:cs="宋体"/>
          <w:spacing w:val="2"/>
          <w:szCs w:val="21"/>
          <w:u w:val="single"/>
        </w:rPr>
        <w:t xml:space="preserve">                   </w:t>
      </w:r>
      <w:r>
        <w:rPr>
          <w:rFonts w:hint="eastAsia" w:ascii="宋体" w:hAnsi="宋体" w:cs="宋体"/>
          <w:spacing w:val="2"/>
          <w:szCs w:val="21"/>
        </w:rPr>
        <w:t xml:space="preserve"> 元）。</w:t>
      </w:r>
    </w:p>
    <w:p w14:paraId="151B9EB8">
      <w:pPr>
        <w:spacing w:line="360" w:lineRule="auto"/>
        <w:ind w:firstLine="404" w:firstLineChars="200"/>
        <w:rPr>
          <w:rFonts w:hint="eastAsia" w:ascii="宋体" w:hAnsi="宋体" w:cs="宋体"/>
          <w:szCs w:val="21"/>
          <w:highlight w:val="none"/>
        </w:rPr>
      </w:pPr>
      <w:r>
        <w:rPr>
          <w:rFonts w:hint="eastAsia" w:ascii="宋体" w:hAnsi="宋体" w:cs="宋体"/>
          <w:spacing w:val="-4"/>
          <w:szCs w:val="21"/>
          <w:highlight w:val="none"/>
        </w:rPr>
        <w:t>2.合同价格形式</w:t>
      </w:r>
      <w:r>
        <w:rPr>
          <w:rFonts w:hint="eastAsia" w:ascii="宋体" w:hAnsi="宋体" w:cs="宋体"/>
          <w:spacing w:val="-3"/>
          <w:szCs w:val="21"/>
          <w:highlight w:val="none"/>
        </w:rPr>
        <w:t>：</w:t>
      </w:r>
      <w:r>
        <w:rPr>
          <w:rFonts w:hint="eastAsia" w:ascii="宋体" w:hAnsi="宋体" w:cs="宋体"/>
          <w:spacing w:val="-2"/>
          <w:szCs w:val="21"/>
          <w:highlight w:val="none"/>
          <w:u w:val="single"/>
        </w:rPr>
        <w:t>固定总价</w:t>
      </w:r>
      <w:r>
        <w:rPr>
          <w:rFonts w:hint="eastAsia" w:ascii="宋体" w:hAnsi="宋体" w:cs="宋体"/>
          <w:spacing w:val="-2"/>
          <w:szCs w:val="21"/>
          <w:highlight w:val="none"/>
        </w:rPr>
        <w:t>。</w:t>
      </w:r>
    </w:p>
    <w:p w14:paraId="49DA2B6D">
      <w:pPr>
        <w:spacing w:line="360" w:lineRule="auto"/>
        <w:outlineLvl w:val="6"/>
        <w:rPr>
          <w:rFonts w:hint="eastAsia" w:ascii="宋体" w:hAnsi="宋体" w:cs="宋体"/>
          <w:b/>
          <w:bCs/>
          <w:szCs w:val="21"/>
        </w:rPr>
      </w:pPr>
      <w:r>
        <w:rPr>
          <w:rFonts w:hint="eastAsia" w:ascii="宋体" w:hAnsi="宋体" w:cs="宋体"/>
          <w:b/>
          <w:bCs/>
          <w:spacing w:val="6"/>
          <w:szCs w:val="21"/>
        </w:rPr>
        <w:t>五、项目经</w:t>
      </w:r>
      <w:r>
        <w:rPr>
          <w:rFonts w:hint="eastAsia" w:ascii="宋体" w:hAnsi="宋体" w:cs="宋体"/>
          <w:b/>
          <w:bCs/>
          <w:spacing w:val="5"/>
          <w:szCs w:val="21"/>
        </w:rPr>
        <w:t>理</w:t>
      </w:r>
    </w:p>
    <w:p w14:paraId="208D4690">
      <w:pPr>
        <w:spacing w:line="360" w:lineRule="auto"/>
        <w:ind w:firstLine="396" w:firstLineChars="200"/>
        <w:rPr>
          <w:rFonts w:hint="eastAsia" w:ascii="宋体" w:hAnsi="宋体" w:cs="宋体"/>
          <w:szCs w:val="21"/>
        </w:rPr>
      </w:pPr>
      <w:r>
        <w:rPr>
          <w:rFonts w:hint="eastAsia" w:ascii="宋体" w:hAnsi="宋体" w:cs="宋体"/>
          <w:spacing w:val="-6"/>
          <w:szCs w:val="21"/>
        </w:rPr>
        <w:t>承包人项目</w:t>
      </w:r>
      <w:r>
        <w:rPr>
          <w:rFonts w:hint="eastAsia" w:ascii="宋体" w:hAnsi="宋体" w:cs="宋体"/>
          <w:spacing w:val="-3"/>
          <w:szCs w:val="21"/>
        </w:rPr>
        <w:t>经理：</w:t>
      </w:r>
      <w:r>
        <w:rPr>
          <w:rFonts w:hint="eastAsia" w:ascii="宋体" w:hAnsi="宋体" w:cs="宋体"/>
          <w:spacing w:val="-3"/>
          <w:szCs w:val="21"/>
          <w:u w:val="single"/>
        </w:rPr>
        <w:t xml:space="preserve">                      </w:t>
      </w:r>
      <w:r>
        <w:rPr>
          <w:rFonts w:hint="eastAsia" w:ascii="宋体" w:hAnsi="宋体" w:cs="宋体"/>
          <w:spacing w:val="-3"/>
          <w:szCs w:val="21"/>
        </w:rPr>
        <w:t>。</w:t>
      </w:r>
    </w:p>
    <w:p w14:paraId="2AD74E65">
      <w:pPr>
        <w:spacing w:line="360" w:lineRule="auto"/>
        <w:outlineLvl w:val="6"/>
        <w:rPr>
          <w:rFonts w:hint="eastAsia" w:ascii="宋体" w:hAnsi="宋体" w:cs="宋体"/>
          <w:b/>
          <w:bCs/>
          <w:szCs w:val="21"/>
        </w:rPr>
      </w:pPr>
      <w:r>
        <w:rPr>
          <w:rFonts w:hint="eastAsia" w:ascii="宋体" w:hAnsi="宋体" w:cs="宋体"/>
          <w:b/>
          <w:bCs/>
          <w:spacing w:val="8"/>
          <w:szCs w:val="21"/>
        </w:rPr>
        <w:t>六</w:t>
      </w:r>
      <w:r>
        <w:rPr>
          <w:rFonts w:hint="eastAsia" w:ascii="宋体" w:hAnsi="宋体" w:cs="宋体"/>
          <w:b/>
          <w:bCs/>
          <w:spacing w:val="5"/>
          <w:szCs w:val="21"/>
        </w:rPr>
        <w:t>、</w:t>
      </w:r>
      <w:r>
        <w:rPr>
          <w:rFonts w:hint="eastAsia" w:ascii="宋体" w:hAnsi="宋体" w:cs="宋体"/>
          <w:b/>
          <w:bCs/>
          <w:spacing w:val="4"/>
          <w:szCs w:val="21"/>
        </w:rPr>
        <w:t>合同文件构成</w:t>
      </w:r>
    </w:p>
    <w:p w14:paraId="797382EF">
      <w:pPr>
        <w:spacing w:line="360" w:lineRule="auto"/>
        <w:ind w:firstLine="440" w:firstLineChars="200"/>
        <w:rPr>
          <w:rFonts w:hint="eastAsia" w:ascii="宋体" w:hAnsi="宋体" w:cs="宋体"/>
          <w:spacing w:val="5"/>
          <w:szCs w:val="21"/>
        </w:rPr>
      </w:pPr>
      <w:r>
        <w:rPr>
          <w:rFonts w:hint="eastAsia" w:ascii="宋体" w:hAnsi="宋体" w:cs="宋体"/>
          <w:spacing w:val="5"/>
          <w:szCs w:val="21"/>
        </w:rPr>
        <w:t>本协议书与下列文件一起构成合同文件：</w:t>
      </w:r>
    </w:p>
    <w:p w14:paraId="18D35B40">
      <w:pPr>
        <w:spacing w:line="360" w:lineRule="auto"/>
        <w:ind w:firstLine="440" w:firstLineChars="200"/>
        <w:rPr>
          <w:rFonts w:hint="eastAsia" w:ascii="宋体" w:hAnsi="宋体" w:cs="宋体"/>
          <w:spacing w:val="5"/>
          <w:szCs w:val="21"/>
        </w:rPr>
      </w:pPr>
      <w:r>
        <w:rPr>
          <w:rFonts w:hint="eastAsia" w:ascii="宋体" w:hAnsi="宋体" w:cs="宋体"/>
          <w:spacing w:val="5"/>
          <w:szCs w:val="21"/>
        </w:rPr>
        <w:t>（1）合同协议书；</w:t>
      </w:r>
    </w:p>
    <w:p w14:paraId="1026458E">
      <w:pPr>
        <w:spacing w:line="360" w:lineRule="auto"/>
        <w:ind w:firstLine="440" w:firstLineChars="200"/>
        <w:rPr>
          <w:rFonts w:hint="eastAsia" w:ascii="宋体" w:hAnsi="宋体" w:cs="宋体"/>
          <w:spacing w:val="5"/>
          <w:szCs w:val="21"/>
        </w:rPr>
      </w:pPr>
      <w:r>
        <w:rPr>
          <w:rFonts w:hint="eastAsia" w:ascii="宋体" w:hAnsi="宋体" w:cs="宋体"/>
          <w:spacing w:val="5"/>
          <w:szCs w:val="21"/>
        </w:rPr>
        <w:t>（2）成交通知书；</w:t>
      </w:r>
    </w:p>
    <w:p w14:paraId="14C23AB9">
      <w:pPr>
        <w:spacing w:line="360" w:lineRule="auto"/>
        <w:ind w:firstLine="440" w:firstLineChars="200"/>
        <w:rPr>
          <w:rFonts w:hint="eastAsia" w:ascii="宋体" w:hAnsi="宋体" w:cs="宋体"/>
          <w:spacing w:val="5"/>
          <w:szCs w:val="21"/>
        </w:rPr>
      </w:pPr>
      <w:r>
        <w:rPr>
          <w:rFonts w:hint="eastAsia" w:ascii="宋体" w:hAnsi="宋体" w:cs="宋体"/>
          <w:spacing w:val="5"/>
          <w:szCs w:val="21"/>
        </w:rPr>
        <w:t>（3）</w:t>
      </w:r>
      <w:r>
        <w:rPr>
          <w:rFonts w:hint="eastAsia" w:hAnsi="宋体" w:cs="宋体"/>
        </w:rPr>
        <w:t>竞标函及竞标函附录</w:t>
      </w:r>
      <w:r>
        <w:rPr>
          <w:rFonts w:hint="eastAsia" w:ascii="宋体" w:hAnsi="宋体" w:cs="宋体"/>
          <w:spacing w:val="5"/>
          <w:szCs w:val="21"/>
        </w:rPr>
        <w:t>；</w:t>
      </w:r>
    </w:p>
    <w:p w14:paraId="3E05D3B9">
      <w:pPr>
        <w:spacing w:line="360" w:lineRule="auto"/>
        <w:ind w:firstLine="440" w:firstLineChars="200"/>
        <w:rPr>
          <w:rFonts w:hint="eastAsia" w:ascii="宋体" w:hAnsi="宋体" w:cs="宋体"/>
          <w:spacing w:val="5"/>
          <w:szCs w:val="21"/>
        </w:rPr>
      </w:pPr>
      <w:r>
        <w:rPr>
          <w:rFonts w:hint="eastAsia" w:ascii="宋体" w:hAnsi="宋体" w:cs="宋体"/>
          <w:spacing w:val="5"/>
          <w:szCs w:val="21"/>
        </w:rPr>
        <w:t>（4）专用合同条款及其附件；</w:t>
      </w:r>
    </w:p>
    <w:p w14:paraId="525C8D74">
      <w:pPr>
        <w:spacing w:line="360" w:lineRule="auto"/>
        <w:ind w:firstLine="440" w:firstLineChars="200"/>
        <w:rPr>
          <w:rFonts w:hint="eastAsia" w:ascii="宋体" w:hAnsi="宋体" w:cs="宋体"/>
          <w:spacing w:val="5"/>
          <w:szCs w:val="21"/>
        </w:rPr>
      </w:pPr>
      <w:r>
        <w:rPr>
          <w:rFonts w:hint="eastAsia" w:ascii="宋体" w:hAnsi="宋体" w:cs="宋体"/>
          <w:spacing w:val="5"/>
          <w:szCs w:val="21"/>
        </w:rPr>
        <w:t>（5）通用合同条款；</w:t>
      </w:r>
    </w:p>
    <w:p w14:paraId="004CC953">
      <w:pPr>
        <w:spacing w:line="360" w:lineRule="auto"/>
        <w:ind w:firstLine="440" w:firstLineChars="200"/>
        <w:rPr>
          <w:rFonts w:hint="eastAsia" w:ascii="宋体" w:hAnsi="宋体" w:cs="宋体"/>
          <w:spacing w:val="5"/>
          <w:szCs w:val="21"/>
        </w:rPr>
      </w:pPr>
      <w:r>
        <w:rPr>
          <w:rFonts w:hint="eastAsia" w:ascii="宋体" w:hAnsi="宋体" w:cs="宋体"/>
          <w:spacing w:val="5"/>
          <w:szCs w:val="21"/>
        </w:rPr>
        <w:t>（6）技术标准和要求；</w:t>
      </w:r>
    </w:p>
    <w:p w14:paraId="67F5499C">
      <w:pPr>
        <w:spacing w:line="360" w:lineRule="auto"/>
        <w:ind w:firstLine="440" w:firstLineChars="200"/>
        <w:rPr>
          <w:rFonts w:hint="eastAsia" w:ascii="宋体" w:hAnsi="宋体" w:cs="宋体"/>
          <w:spacing w:val="5"/>
          <w:szCs w:val="21"/>
        </w:rPr>
      </w:pPr>
      <w:r>
        <w:rPr>
          <w:rFonts w:hint="eastAsia" w:ascii="宋体" w:hAnsi="宋体" w:cs="宋体"/>
          <w:spacing w:val="5"/>
          <w:szCs w:val="21"/>
        </w:rPr>
        <w:t>（7）已标价工程量清单；</w:t>
      </w:r>
    </w:p>
    <w:p w14:paraId="6D0C2EDA">
      <w:pPr>
        <w:spacing w:line="360" w:lineRule="auto"/>
        <w:ind w:firstLine="440" w:firstLineChars="200"/>
        <w:rPr>
          <w:rFonts w:hint="eastAsia" w:ascii="宋体" w:hAnsi="宋体" w:cs="宋体"/>
          <w:spacing w:val="5"/>
          <w:szCs w:val="21"/>
        </w:rPr>
      </w:pPr>
      <w:r>
        <w:rPr>
          <w:rFonts w:hint="eastAsia" w:ascii="宋体" w:hAnsi="宋体" w:cs="宋体"/>
          <w:spacing w:val="5"/>
          <w:szCs w:val="21"/>
        </w:rPr>
        <w:t>（8）图纸；</w:t>
      </w:r>
    </w:p>
    <w:p w14:paraId="5D71484B">
      <w:pPr>
        <w:spacing w:line="360" w:lineRule="auto"/>
        <w:ind w:firstLine="440" w:firstLineChars="200"/>
        <w:rPr>
          <w:rFonts w:hint="eastAsia" w:ascii="宋体" w:hAnsi="宋体" w:cs="宋体"/>
          <w:spacing w:val="5"/>
          <w:szCs w:val="21"/>
        </w:rPr>
      </w:pPr>
      <w:r>
        <w:rPr>
          <w:rFonts w:hint="eastAsia" w:ascii="宋体" w:hAnsi="宋体" w:cs="宋体"/>
          <w:spacing w:val="5"/>
          <w:szCs w:val="21"/>
        </w:rPr>
        <w:t>（9）采购文件（含补充通知和答疑）；</w:t>
      </w:r>
    </w:p>
    <w:p w14:paraId="2A2DA239">
      <w:pPr>
        <w:spacing w:line="360" w:lineRule="auto"/>
        <w:ind w:firstLine="440" w:firstLineChars="200"/>
        <w:rPr>
          <w:rFonts w:hint="eastAsia" w:ascii="宋体" w:hAnsi="宋体" w:cs="宋体"/>
          <w:spacing w:val="5"/>
          <w:szCs w:val="21"/>
        </w:rPr>
      </w:pPr>
      <w:r>
        <w:rPr>
          <w:rFonts w:hint="eastAsia" w:ascii="宋体" w:hAnsi="宋体" w:cs="宋体"/>
          <w:spacing w:val="5"/>
          <w:szCs w:val="21"/>
        </w:rPr>
        <w:t>（10）履约保证金缴纳证明（如有）；</w:t>
      </w:r>
    </w:p>
    <w:p w14:paraId="17079846">
      <w:pPr>
        <w:spacing w:line="360" w:lineRule="auto"/>
        <w:ind w:firstLine="440" w:firstLineChars="200"/>
        <w:rPr>
          <w:rFonts w:hint="eastAsia" w:ascii="宋体" w:hAnsi="宋体" w:cs="宋体"/>
          <w:spacing w:val="5"/>
          <w:szCs w:val="21"/>
        </w:rPr>
      </w:pPr>
      <w:r>
        <w:rPr>
          <w:rFonts w:hint="eastAsia" w:ascii="宋体" w:hAnsi="宋体" w:cs="宋体"/>
          <w:spacing w:val="5"/>
          <w:szCs w:val="21"/>
        </w:rPr>
        <w:t>（11）其他合同文件（在合同订立及履行过程中形成的与合同有关的文件均构成合同文件组成部分）。</w:t>
      </w:r>
    </w:p>
    <w:p w14:paraId="2F760F5C">
      <w:pPr>
        <w:spacing w:line="360" w:lineRule="auto"/>
        <w:ind w:firstLine="440" w:firstLineChars="200"/>
        <w:rPr>
          <w:rFonts w:hint="eastAsia" w:ascii="宋体" w:hAnsi="宋体" w:cs="宋体"/>
          <w:spacing w:val="5"/>
          <w:szCs w:val="21"/>
        </w:rPr>
      </w:pPr>
      <w:r>
        <w:rPr>
          <w:rFonts w:hint="eastAsia" w:ascii="宋体" w:hAnsi="宋体" w:cs="宋体"/>
          <w:spacing w:val="5"/>
          <w:szCs w:val="21"/>
        </w:rPr>
        <w:t>上述各项合同文件包括合同当事人就该项合同文件所作出的补充和修改，属于同一类内容的 文件，应以最新签署的为准（违反采购文件实质性内容的约定除外）。专用合同条款及其附件须经合同当事人签字或盖章。</w:t>
      </w:r>
    </w:p>
    <w:p w14:paraId="1552BD55">
      <w:pPr>
        <w:spacing w:line="360" w:lineRule="auto"/>
        <w:outlineLvl w:val="6"/>
        <w:rPr>
          <w:rFonts w:hint="eastAsia" w:ascii="宋体" w:hAnsi="宋体" w:cs="宋体"/>
          <w:b/>
          <w:bCs/>
          <w:szCs w:val="21"/>
        </w:rPr>
      </w:pPr>
      <w:r>
        <w:rPr>
          <w:rFonts w:hint="eastAsia" w:ascii="宋体" w:hAnsi="宋体" w:cs="宋体"/>
          <w:b/>
          <w:bCs/>
          <w:spacing w:val="12"/>
          <w:szCs w:val="21"/>
        </w:rPr>
        <w:t>七</w:t>
      </w:r>
      <w:r>
        <w:rPr>
          <w:rFonts w:hint="eastAsia" w:ascii="宋体" w:hAnsi="宋体" w:cs="宋体"/>
          <w:b/>
          <w:bCs/>
          <w:spacing w:val="9"/>
          <w:szCs w:val="21"/>
        </w:rPr>
        <w:t>、承诺</w:t>
      </w:r>
    </w:p>
    <w:p w14:paraId="4C6AC857">
      <w:pPr>
        <w:spacing w:line="360" w:lineRule="auto"/>
        <w:ind w:firstLine="440" w:firstLineChars="200"/>
        <w:rPr>
          <w:rFonts w:hint="eastAsia" w:ascii="宋体" w:hAnsi="宋体" w:cs="宋体"/>
          <w:spacing w:val="5"/>
          <w:szCs w:val="21"/>
        </w:rPr>
      </w:pPr>
      <w:r>
        <w:rPr>
          <w:rFonts w:hint="eastAsia" w:ascii="宋体" w:hAnsi="宋体" w:cs="宋体"/>
          <w:spacing w:val="5"/>
          <w:szCs w:val="21"/>
        </w:rPr>
        <w:t>1.发包人承诺按照法律规定履行项目审批手续、筹集工程建设资金并按照合同约定的期限和方式支付合同价款。</w:t>
      </w:r>
    </w:p>
    <w:p w14:paraId="3BEC4238">
      <w:pPr>
        <w:spacing w:line="360" w:lineRule="auto"/>
        <w:ind w:firstLine="440" w:firstLineChars="200"/>
        <w:rPr>
          <w:rFonts w:hint="eastAsia" w:ascii="宋体" w:hAnsi="宋体" w:cs="宋体"/>
          <w:spacing w:val="5"/>
          <w:szCs w:val="21"/>
        </w:rPr>
      </w:pPr>
      <w:r>
        <w:rPr>
          <w:rFonts w:hint="eastAsia" w:ascii="宋体" w:hAnsi="宋体" w:cs="宋体"/>
          <w:spacing w:val="5"/>
          <w:szCs w:val="21"/>
        </w:rPr>
        <w:t>2.承包人承诺按照法律规定及合同约定组织完成工程施工，确保工程质量和安全，不进行转包及违法分包，并在缺陷责任期及保修期内承担相应的工程维修责任。</w:t>
      </w:r>
    </w:p>
    <w:p w14:paraId="2195B628">
      <w:pPr>
        <w:spacing w:line="360" w:lineRule="auto"/>
        <w:ind w:firstLine="440" w:firstLineChars="200"/>
        <w:rPr>
          <w:rFonts w:hint="eastAsia" w:ascii="宋体" w:hAnsi="宋体" w:cs="宋体"/>
          <w:spacing w:val="5"/>
          <w:szCs w:val="21"/>
        </w:rPr>
      </w:pPr>
      <w:r>
        <w:rPr>
          <w:rFonts w:hint="eastAsia" w:ascii="宋体" w:hAnsi="宋体" w:cs="宋体"/>
          <w:spacing w:val="5"/>
          <w:szCs w:val="21"/>
        </w:rPr>
        <w:t>3.承包人承诺不拖欠农民工工资，如果承包人发生违反规定拖欠或克扣农民工工资行为，造成农民工上访，由承包人负全责。</w:t>
      </w:r>
    </w:p>
    <w:p w14:paraId="28FB3434">
      <w:pPr>
        <w:spacing w:line="360" w:lineRule="auto"/>
        <w:ind w:firstLine="440" w:firstLineChars="200"/>
        <w:rPr>
          <w:rFonts w:hint="eastAsia" w:ascii="宋体" w:hAnsi="宋体" w:cs="宋体"/>
          <w:spacing w:val="5"/>
          <w:szCs w:val="21"/>
        </w:rPr>
      </w:pPr>
      <w:r>
        <w:rPr>
          <w:rFonts w:hint="eastAsia" w:ascii="宋体" w:hAnsi="宋体" w:cs="宋体"/>
          <w:spacing w:val="5"/>
          <w:szCs w:val="21"/>
        </w:rPr>
        <w:t>4.发包人和承包人通过招投标形式签订合同的，双方理解并承诺不再就同一工程另行签订与合同实质性内容相背离的协议。</w:t>
      </w:r>
    </w:p>
    <w:p w14:paraId="1B5348CB">
      <w:pPr>
        <w:spacing w:line="360" w:lineRule="auto"/>
        <w:outlineLvl w:val="6"/>
        <w:rPr>
          <w:rFonts w:hint="eastAsia" w:ascii="宋体" w:hAnsi="宋体" w:cs="宋体"/>
          <w:b/>
          <w:bCs/>
          <w:szCs w:val="21"/>
        </w:rPr>
      </w:pPr>
      <w:r>
        <w:rPr>
          <w:rFonts w:hint="eastAsia" w:ascii="宋体" w:hAnsi="宋体" w:cs="宋体"/>
          <w:b/>
          <w:bCs/>
          <w:spacing w:val="6"/>
          <w:szCs w:val="21"/>
        </w:rPr>
        <w:t>八、词语含</w:t>
      </w:r>
      <w:r>
        <w:rPr>
          <w:rFonts w:hint="eastAsia" w:ascii="宋体" w:hAnsi="宋体" w:cs="宋体"/>
          <w:b/>
          <w:bCs/>
          <w:spacing w:val="5"/>
          <w:szCs w:val="21"/>
        </w:rPr>
        <w:t>义</w:t>
      </w:r>
    </w:p>
    <w:p w14:paraId="08F332E8">
      <w:pPr>
        <w:spacing w:line="360" w:lineRule="auto"/>
        <w:ind w:firstLine="416" w:firstLineChars="200"/>
        <w:rPr>
          <w:rFonts w:hint="eastAsia" w:ascii="宋体" w:hAnsi="宋体" w:cs="宋体"/>
          <w:szCs w:val="21"/>
        </w:rPr>
      </w:pPr>
      <w:r>
        <w:rPr>
          <w:rFonts w:hint="eastAsia" w:ascii="宋体" w:hAnsi="宋体" w:cs="宋体"/>
          <w:spacing w:val="-1"/>
          <w:szCs w:val="21"/>
        </w:rPr>
        <w:t>本协议书中词语含义与第二部分通用合同条款中赋予的含</w:t>
      </w:r>
      <w:r>
        <w:rPr>
          <w:rFonts w:hint="eastAsia" w:ascii="宋体" w:hAnsi="宋体" w:cs="宋体"/>
          <w:szCs w:val="21"/>
        </w:rPr>
        <w:t>义相同。</w:t>
      </w:r>
    </w:p>
    <w:p w14:paraId="507573D4">
      <w:pPr>
        <w:spacing w:line="360" w:lineRule="auto"/>
        <w:outlineLvl w:val="6"/>
        <w:rPr>
          <w:rFonts w:hint="eastAsia" w:ascii="宋体" w:hAnsi="宋体" w:cs="宋体"/>
          <w:b/>
          <w:bCs/>
          <w:szCs w:val="21"/>
        </w:rPr>
      </w:pPr>
      <w:r>
        <w:rPr>
          <w:rFonts w:hint="eastAsia" w:ascii="宋体" w:hAnsi="宋体" w:cs="宋体"/>
          <w:b/>
          <w:bCs/>
          <w:spacing w:val="8"/>
          <w:szCs w:val="21"/>
        </w:rPr>
        <w:t>九</w:t>
      </w:r>
      <w:r>
        <w:rPr>
          <w:rFonts w:hint="eastAsia" w:ascii="宋体" w:hAnsi="宋体" w:cs="宋体"/>
          <w:b/>
          <w:bCs/>
          <w:spacing w:val="5"/>
          <w:szCs w:val="21"/>
        </w:rPr>
        <w:t>、签订时间</w:t>
      </w:r>
    </w:p>
    <w:p w14:paraId="2AEB9114">
      <w:pPr>
        <w:spacing w:line="360" w:lineRule="auto"/>
        <w:ind w:firstLine="396" w:firstLineChars="200"/>
        <w:rPr>
          <w:rFonts w:hint="eastAsia" w:ascii="宋体" w:hAnsi="宋体" w:cs="宋体"/>
          <w:szCs w:val="21"/>
        </w:rPr>
      </w:pPr>
      <w:r>
        <w:rPr>
          <w:rFonts w:hint="eastAsia" w:ascii="宋体" w:hAnsi="宋体" w:cs="宋体"/>
          <w:spacing w:val="-6"/>
          <w:szCs w:val="21"/>
        </w:rPr>
        <w:t>本合同于</w:t>
      </w:r>
      <w:r>
        <w:rPr>
          <w:rFonts w:hint="eastAsia" w:ascii="宋体" w:hAnsi="宋体" w:cs="宋体"/>
          <w:spacing w:val="-6"/>
          <w:szCs w:val="21"/>
          <w:u w:val="single"/>
        </w:rPr>
        <w:t xml:space="preserve">   </w:t>
      </w:r>
      <w:r>
        <w:rPr>
          <w:rFonts w:hint="eastAsia" w:ascii="宋体" w:hAnsi="宋体" w:cs="宋体"/>
          <w:spacing w:val="-3"/>
          <w:szCs w:val="21"/>
          <w:u w:val="single"/>
        </w:rPr>
        <w:t xml:space="preserve">     </w:t>
      </w:r>
      <w:r>
        <w:rPr>
          <w:rFonts w:hint="eastAsia" w:ascii="宋体" w:hAnsi="宋体" w:cs="宋体"/>
          <w:spacing w:val="-3"/>
          <w:szCs w:val="21"/>
        </w:rPr>
        <w:t>年</w:t>
      </w:r>
      <w:r>
        <w:rPr>
          <w:rFonts w:hint="eastAsia" w:ascii="宋体" w:hAnsi="宋体" w:cs="宋体"/>
          <w:spacing w:val="-3"/>
          <w:szCs w:val="21"/>
          <w:u w:val="single"/>
        </w:rPr>
        <w:t xml:space="preserve">    </w:t>
      </w:r>
      <w:r>
        <w:rPr>
          <w:rFonts w:hint="eastAsia" w:ascii="宋体" w:hAnsi="宋体" w:cs="宋体"/>
          <w:spacing w:val="-3"/>
          <w:szCs w:val="21"/>
        </w:rPr>
        <w:t>月</w:t>
      </w:r>
      <w:r>
        <w:rPr>
          <w:rFonts w:hint="eastAsia" w:ascii="宋体" w:hAnsi="宋体" w:cs="宋体"/>
          <w:spacing w:val="-3"/>
          <w:szCs w:val="21"/>
          <w:u w:val="single"/>
        </w:rPr>
        <w:t xml:space="preserve">    </w:t>
      </w:r>
      <w:r>
        <w:rPr>
          <w:rFonts w:hint="eastAsia" w:ascii="宋体" w:hAnsi="宋体" w:cs="宋体"/>
          <w:spacing w:val="-3"/>
          <w:szCs w:val="21"/>
        </w:rPr>
        <w:t>日签订。</w:t>
      </w:r>
    </w:p>
    <w:p w14:paraId="42FD633A">
      <w:pPr>
        <w:spacing w:line="360" w:lineRule="auto"/>
        <w:outlineLvl w:val="6"/>
        <w:rPr>
          <w:b/>
          <w:bCs/>
        </w:rPr>
      </w:pPr>
      <w:bookmarkStart w:id="111" w:name="_Toc351203490"/>
      <w:r>
        <w:rPr>
          <w:rFonts w:hint="eastAsia" w:hAnsi="宋体" w:cs="宋体"/>
          <w:b/>
          <w:bCs/>
        </w:rPr>
        <w:t>十、签订地点</w:t>
      </w:r>
      <w:bookmarkEnd w:id="111"/>
    </w:p>
    <w:p w14:paraId="19C15108">
      <w:pPr>
        <w:spacing w:line="360" w:lineRule="auto"/>
        <w:ind w:firstLine="420" w:firstLineChars="200"/>
        <w:rPr>
          <w:rFonts w:hint="eastAsia" w:hAnsi="宋体"/>
        </w:rPr>
      </w:pPr>
      <w:r>
        <w:rPr>
          <w:rFonts w:hint="eastAsia" w:hAnsi="宋体" w:cs="宋体"/>
        </w:rPr>
        <w:t>本合同在签订</w:t>
      </w:r>
      <w:r>
        <w:rPr>
          <w:rFonts w:hint="eastAsia" w:hAnsi="宋体" w:cs="宋体"/>
          <w:u w:val="single"/>
        </w:rPr>
        <w:t xml:space="preserve"> 广西壮族自治区南宁市 </w:t>
      </w:r>
      <w:r>
        <w:rPr>
          <w:rFonts w:hint="eastAsia" w:hAnsi="宋体" w:cs="宋体"/>
        </w:rPr>
        <w:t>。</w:t>
      </w:r>
    </w:p>
    <w:p w14:paraId="239724D9">
      <w:pPr>
        <w:spacing w:line="360" w:lineRule="auto"/>
        <w:jc w:val="left"/>
        <w:outlineLvl w:val="0"/>
        <w:rPr>
          <w:lang w:eastAsia="zh-Hans"/>
        </w:rPr>
      </w:pPr>
      <w:bookmarkStart w:id="112" w:name="_Toc5269"/>
      <w:bookmarkStart w:id="113" w:name="_Toc32651"/>
      <w:r>
        <w:rPr>
          <w:rFonts w:hint="eastAsia" w:hAnsi="宋体" w:cs="宋体"/>
          <w:b/>
          <w:bCs/>
        </w:rPr>
        <w:t>十一、</w:t>
      </w:r>
      <w:r>
        <w:rPr>
          <w:rFonts w:hint="eastAsia" w:hAnsi="宋体" w:cs="宋体"/>
          <w:b/>
          <w:bCs/>
          <w:lang w:eastAsia="zh-Hans"/>
        </w:rPr>
        <w:t>送达</w:t>
      </w:r>
      <w:bookmarkEnd w:id="112"/>
      <w:bookmarkEnd w:id="113"/>
    </w:p>
    <w:p w14:paraId="2FFAF6E4">
      <w:pPr>
        <w:spacing w:line="360" w:lineRule="auto"/>
        <w:ind w:firstLine="420" w:firstLineChars="200"/>
        <w:outlineLvl w:val="0"/>
        <w:rPr>
          <w:rFonts w:hint="eastAsia" w:ascii="宋体" w:hAnsi="宋体" w:cs="宋体"/>
          <w:b/>
          <w:bCs/>
          <w:szCs w:val="21"/>
        </w:rPr>
      </w:pPr>
      <w:bookmarkStart w:id="114" w:name="_Toc21084"/>
      <w:bookmarkStart w:id="115" w:name="_Toc8946"/>
      <w:r>
        <w:rPr>
          <w:rFonts w:hint="eastAsia" w:ascii="宋体" w:hAnsi="宋体" w:cs="宋体"/>
          <w:szCs w:val="21"/>
        </w:rPr>
        <w:t>双方确认本合同首部或落款通讯地址作为文书送达地址，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电子邮件、传真送达的，一经发送，即视为送达。</w:t>
      </w:r>
      <w:bookmarkEnd w:id="114"/>
    </w:p>
    <w:p w14:paraId="50880214">
      <w:pPr>
        <w:spacing w:line="360" w:lineRule="auto"/>
        <w:outlineLvl w:val="0"/>
        <w:rPr>
          <w:b/>
          <w:bCs/>
        </w:rPr>
      </w:pPr>
      <w:bookmarkStart w:id="116" w:name="_Toc1370"/>
      <w:r>
        <w:rPr>
          <w:rFonts w:hint="eastAsia" w:hAnsi="宋体" w:cs="宋体"/>
          <w:b/>
          <w:bCs/>
          <w:lang w:eastAsia="zh-Hans"/>
        </w:rPr>
        <w:t>十二、</w:t>
      </w:r>
      <w:r>
        <w:rPr>
          <w:rFonts w:hint="eastAsia" w:hAnsi="宋体" w:cs="宋体"/>
          <w:b/>
          <w:bCs/>
        </w:rPr>
        <w:t>补充协议</w:t>
      </w:r>
      <w:bookmarkEnd w:id="115"/>
      <w:bookmarkEnd w:id="116"/>
    </w:p>
    <w:p w14:paraId="5C8B95CD">
      <w:pPr>
        <w:spacing w:line="360" w:lineRule="auto"/>
        <w:ind w:firstLine="420" w:firstLineChars="200"/>
        <w:rPr>
          <w:rFonts w:hint="eastAsia" w:hAnsi="宋体"/>
        </w:rPr>
      </w:pPr>
      <w:r>
        <w:rPr>
          <w:rFonts w:hint="eastAsia" w:hAnsi="宋体" w:cs="宋体"/>
        </w:rPr>
        <w:t>合同未尽事宜，合同当事人另行签订补充协议，补充协议是合同的组成部分。</w:t>
      </w:r>
    </w:p>
    <w:p w14:paraId="5810415D">
      <w:pPr>
        <w:spacing w:line="360" w:lineRule="auto"/>
        <w:outlineLvl w:val="0"/>
        <w:rPr>
          <w:b/>
          <w:bCs/>
        </w:rPr>
      </w:pPr>
      <w:bookmarkStart w:id="117" w:name="_Toc4793"/>
      <w:bookmarkStart w:id="118" w:name="_Toc351203492"/>
      <w:bookmarkStart w:id="119" w:name="_Toc25458"/>
      <w:r>
        <w:rPr>
          <w:rFonts w:hint="eastAsia" w:hAnsi="宋体" w:cs="宋体"/>
          <w:b/>
          <w:bCs/>
        </w:rPr>
        <w:t>十</w:t>
      </w:r>
      <w:r>
        <w:rPr>
          <w:rFonts w:hint="eastAsia" w:hAnsi="宋体" w:cs="宋体"/>
          <w:b/>
          <w:bCs/>
          <w:lang w:eastAsia="zh-Hans"/>
        </w:rPr>
        <w:t>三</w:t>
      </w:r>
      <w:r>
        <w:rPr>
          <w:rFonts w:hint="eastAsia" w:hAnsi="宋体" w:cs="宋体"/>
          <w:b/>
          <w:bCs/>
        </w:rPr>
        <w:t>、合同生效</w:t>
      </w:r>
      <w:bookmarkEnd w:id="117"/>
      <w:bookmarkEnd w:id="118"/>
      <w:bookmarkEnd w:id="119"/>
    </w:p>
    <w:p w14:paraId="531DE80C">
      <w:pPr>
        <w:spacing w:line="360" w:lineRule="auto"/>
        <w:ind w:firstLine="420" w:firstLineChars="200"/>
        <w:rPr>
          <w:rFonts w:hint="eastAsia" w:hAnsi="宋体"/>
        </w:rPr>
      </w:pPr>
      <w:r>
        <w:rPr>
          <w:rFonts w:hint="eastAsia" w:hAnsi="宋体" w:cs="宋体"/>
        </w:rPr>
        <w:t>本合同自双方法定代表人签字加盖公章后生效。</w:t>
      </w:r>
    </w:p>
    <w:p w14:paraId="513A5BC1">
      <w:pPr>
        <w:spacing w:line="360" w:lineRule="auto"/>
        <w:outlineLvl w:val="0"/>
        <w:rPr>
          <w:b/>
          <w:bCs/>
        </w:rPr>
      </w:pPr>
      <w:bookmarkStart w:id="120" w:name="_Toc15746"/>
      <w:bookmarkStart w:id="121" w:name="_Toc351203493"/>
      <w:bookmarkStart w:id="122" w:name="_Toc19485"/>
      <w:r>
        <w:rPr>
          <w:rFonts w:hint="eastAsia" w:hAnsi="宋体" w:cs="宋体"/>
          <w:b/>
          <w:bCs/>
        </w:rPr>
        <w:t>十</w:t>
      </w:r>
      <w:r>
        <w:rPr>
          <w:rFonts w:hint="eastAsia" w:hAnsi="宋体" w:cs="宋体"/>
          <w:b/>
          <w:bCs/>
          <w:lang w:eastAsia="zh-Hans"/>
        </w:rPr>
        <w:t>四</w:t>
      </w:r>
      <w:r>
        <w:rPr>
          <w:rFonts w:hint="eastAsia" w:hAnsi="宋体" w:cs="宋体"/>
          <w:b/>
          <w:bCs/>
        </w:rPr>
        <w:t>、合同份数</w:t>
      </w:r>
      <w:bookmarkEnd w:id="120"/>
      <w:bookmarkEnd w:id="121"/>
      <w:bookmarkEnd w:id="122"/>
    </w:p>
    <w:p w14:paraId="407FC21C">
      <w:pPr>
        <w:spacing w:line="360" w:lineRule="auto"/>
      </w:pPr>
      <w:r>
        <w:rPr>
          <w:rFonts w:hint="eastAsia" w:hAnsi="宋体" w:cs="宋体"/>
        </w:rPr>
        <w:t>本合同一式</w:t>
      </w:r>
      <w:r>
        <w:rPr>
          <w:rFonts w:hint="eastAsia" w:hAnsi="宋体" w:cs="宋体"/>
          <w:u w:val="single"/>
        </w:rPr>
        <w:t>陆</w:t>
      </w:r>
      <w:r>
        <w:rPr>
          <w:rFonts w:hint="eastAsia" w:hAnsi="宋体" w:cs="宋体"/>
        </w:rPr>
        <w:t>份，均具有同等法律效力，发包人执</w:t>
      </w:r>
      <w:r>
        <w:rPr>
          <w:rFonts w:hint="eastAsia" w:hAnsi="宋体" w:cs="宋体"/>
          <w:u w:val="single"/>
        </w:rPr>
        <w:t>贰</w:t>
      </w:r>
      <w:r>
        <w:rPr>
          <w:rFonts w:hint="eastAsia" w:hAnsi="宋体" w:cs="宋体"/>
        </w:rPr>
        <w:t>份，承包人执</w:t>
      </w:r>
      <w:r>
        <w:rPr>
          <w:rFonts w:hint="eastAsia" w:hAnsi="宋体" w:cs="宋体"/>
          <w:u w:val="single"/>
        </w:rPr>
        <w:t>贰</w:t>
      </w:r>
      <w:r>
        <w:rPr>
          <w:rFonts w:hint="eastAsia" w:hAnsi="宋体" w:cs="宋体"/>
        </w:rPr>
        <w:t>份，代理机构</w:t>
      </w:r>
      <w:r>
        <w:rPr>
          <w:rFonts w:hint="eastAsia" w:hAnsi="宋体" w:cs="宋体"/>
          <w:u w:val="single"/>
        </w:rPr>
        <w:t>贰</w:t>
      </w:r>
      <w:r>
        <w:rPr>
          <w:rFonts w:hint="eastAsia" w:hAnsi="宋体" w:cs="宋体"/>
        </w:rPr>
        <w:t>份。</w:t>
      </w:r>
    </w:p>
    <w:tbl>
      <w:tblPr>
        <w:tblStyle w:val="29"/>
        <w:tblpPr w:leftFromText="180" w:rightFromText="180" w:vertAnchor="text" w:horzAnchor="page" w:tblpXSpec="center" w:tblpY="604"/>
        <w:tblOverlap w:val="never"/>
        <w:tblW w:w="9119" w:type="dxa"/>
        <w:jc w:val="center"/>
        <w:tblLayout w:type="fixed"/>
        <w:tblCellMar>
          <w:top w:w="0" w:type="dxa"/>
          <w:left w:w="108" w:type="dxa"/>
          <w:bottom w:w="0" w:type="dxa"/>
          <w:right w:w="108" w:type="dxa"/>
        </w:tblCellMar>
      </w:tblPr>
      <w:tblGrid>
        <w:gridCol w:w="4481"/>
        <w:gridCol w:w="4638"/>
      </w:tblGrid>
      <w:tr w14:paraId="567260CA">
        <w:tblPrEx>
          <w:tblCellMar>
            <w:top w:w="0" w:type="dxa"/>
            <w:left w:w="108" w:type="dxa"/>
            <w:bottom w:w="0" w:type="dxa"/>
            <w:right w:w="108" w:type="dxa"/>
          </w:tblCellMar>
        </w:tblPrEx>
        <w:trPr>
          <w:trHeight w:val="885" w:hRule="atLeast"/>
          <w:jc w:val="center"/>
        </w:trPr>
        <w:tc>
          <w:tcPr>
            <w:tcW w:w="4481" w:type="dxa"/>
            <w:vAlign w:val="center"/>
          </w:tcPr>
          <w:p w14:paraId="0757DAE2">
            <w:pPr>
              <w:ind w:right="105" w:rightChars="50"/>
              <w:textAlignment w:val="top"/>
              <w:rPr>
                <w:rFonts w:hint="eastAsia" w:ascii="宋体" w:hAnsi="宋体" w:cs="宋体"/>
                <w:szCs w:val="21"/>
              </w:rPr>
            </w:pPr>
            <w:r>
              <w:rPr>
                <w:rFonts w:hint="eastAsia" w:ascii="宋体" w:hAnsi="宋体" w:cs="宋体"/>
                <w:szCs w:val="21"/>
              </w:rPr>
              <w:t>发包人（公章）：广西壮族自治区退役军人康复中心</w:t>
            </w:r>
          </w:p>
        </w:tc>
        <w:tc>
          <w:tcPr>
            <w:tcW w:w="4638" w:type="dxa"/>
            <w:vAlign w:val="center"/>
          </w:tcPr>
          <w:p w14:paraId="2CE6753D">
            <w:pPr>
              <w:ind w:right="105" w:rightChars="50"/>
              <w:textAlignment w:val="top"/>
              <w:rPr>
                <w:rFonts w:hint="eastAsia" w:ascii="宋体" w:hAnsi="宋体" w:cs="宋体"/>
                <w:szCs w:val="21"/>
              </w:rPr>
            </w:pPr>
            <w:r>
              <w:rPr>
                <w:rFonts w:hint="eastAsia" w:ascii="宋体" w:hAnsi="宋体" w:cs="宋体"/>
                <w:szCs w:val="21"/>
              </w:rPr>
              <w:t>承包人（公章）：</w:t>
            </w:r>
          </w:p>
        </w:tc>
      </w:tr>
      <w:tr w14:paraId="157EF128">
        <w:tblPrEx>
          <w:tblCellMar>
            <w:top w:w="0" w:type="dxa"/>
            <w:left w:w="108" w:type="dxa"/>
            <w:bottom w:w="0" w:type="dxa"/>
            <w:right w:w="108" w:type="dxa"/>
          </w:tblCellMar>
        </w:tblPrEx>
        <w:trPr>
          <w:trHeight w:val="796" w:hRule="atLeast"/>
          <w:jc w:val="center"/>
        </w:trPr>
        <w:tc>
          <w:tcPr>
            <w:tcW w:w="4481" w:type="dxa"/>
            <w:vAlign w:val="center"/>
          </w:tcPr>
          <w:p w14:paraId="67DD0B76">
            <w:pPr>
              <w:ind w:right="105" w:rightChars="50"/>
              <w:textAlignment w:val="top"/>
              <w:rPr>
                <w:rFonts w:hint="eastAsia" w:ascii="宋体" w:hAnsi="宋体" w:cs="宋体"/>
                <w:szCs w:val="21"/>
              </w:rPr>
            </w:pPr>
            <w:r>
              <w:rPr>
                <w:rFonts w:hint="eastAsia" w:ascii="宋体" w:hAnsi="宋体" w:cs="宋体"/>
                <w:szCs w:val="21"/>
              </w:rPr>
              <w:t>法定代表人或其委托代理人：</w:t>
            </w:r>
          </w:p>
        </w:tc>
        <w:tc>
          <w:tcPr>
            <w:tcW w:w="4638" w:type="dxa"/>
            <w:vAlign w:val="center"/>
          </w:tcPr>
          <w:p w14:paraId="13B98BF9">
            <w:pPr>
              <w:ind w:right="105" w:rightChars="50"/>
              <w:textAlignment w:val="top"/>
              <w:rPr>
                <w:rFonts w:hint="eastAsia" w:ascii="宋体" w:hAnsi="宋体" w:cs="宋体"/>
                <w:szCs w:val="21"/>
              </w:rPr>
            </w:pPr>
            <w:r>
              <w:rPr>
                <w:rFonts w:hint="eastAsia" w:ascii="宋体" w:hAnsi="宋体" w:cs="宋体"/>
                <w:szCs w:val="21"/>
              </w:rPr>
              <w:t>法定代表人或其委托代理人：</w:t>
            </w:r>
          </w:p>
        </w:tc>
      </w:tr>
      <w:tr w14:paraId="71122E50">
        <w:tblPrEx>
          <w:tblCellMar>
            <w:top w:w="0" w:type="dxa"/>
            <w:left w:w="108" w:type="dxa"/>
            <w:bottom w:w="0" w:type="dxa"/>
            <w:right w:w="108" w:type="dxa"/>
          </w:tblCellMar>
        </w:tblPrEx>
        <w:trPr>
          <w:trHeight w:val="679" w:hRule="atLeast"/>
          <w:jc w:val="center"/>
        </w:trPr>
        <w:tc>
          <w:tcPr>
            <w:tcW w:w="4481" w:type="dxa"/>
            <w:vAlign w:val="center"/>
          </w:tcPr>
          <w:p w14:paraId="3173E4BB">
            <w:pPr>
              <w:ind w:right="105" w:rightChars="50"/>
              <w:textAlignment w:val="top"/>
              <w:rPr>
                <w:rFonts w:hint="eastAsia" w:ascii="宋体" w:hAnsi="宋体" w:cs="宋体"/>
                <w:szCs w:val="21"/>
              </w:rPr>
            </w:pPr>
            <w:r>
              <w:rPr>
                <w:rFonts w:hint="eastAsia" w:ascii="宋体" w:hAnsi="宋体" w:cs="宋体"/>
                <w:szCs w:val="21"/>
              </w:rPr>
              <w:t>（签章）</w:t>
            </w:r>
          </w:p>
        </w:tc>
        <w:tc>
          <w:tcPr>
            <w:tcW w:w="4638" w:type="dxa"/>
            <w:vAlign w:val="center"/>
          </w:tcPr>
          <w:p w14:paraId="0140C72D">
            <w:pPr>
              <w:ind w:right="105" w:rightChars="50"/>
              <w:textAlignment w:val="top"/>
              <w:rPr>
                <w:rFonts w:hint="eastAsia" w:ascii="宋体" w:hAnsi="宋体" w:cs="宋体"/>
                <w:szCs w:val="21"/>
              </w:rPr>
            </w:pPr>
            <w:r>
              <w:rPr>
                <w:rFonts w:hint="eastAsia" w:ascii="宋体" w:hAnsi="宋体" w:cs="宋体"/>
                <w:szCs w:val="21"/>
              </w:rPr>
              <w:t>（签章）</w:t>
            </w:r>
          </w:p>
        </w:tc>
      </w:tr>
      <w:tr w14:paraId="3F8C3D69">
        <w:tblPrEx>
          <w:tblCellMar>
            <w:top w:w="0" w:type="dxa"/>
            <w:left w:w="108" w:type="dxa"/>
            <w:bottom w:w="0" w:type="dxa"/>
            <w:right w:w="108" w:type="dxa"/>
          </w:tblCellMar>
        </w:tblPrEx>
        <w:trPr>
          <w:trHeight w:val="679" w:hRule="atLeast"/>
          <w:jc w:val="center"/>
        </w:trPr>
        <w:tc>
          <w:tcPr>
            <w:tcW w:w="4481" w:type="dxa"/>
            <w:vAlign w:val="center"/>
          </w:tcPr>
          <w:p w14:paraId="34A303ED">
            <w:pPr>
              <w:ind w:right="105" w:rightChars="50"/>
              <w:textAlignment w:val="top"/>
              <w:rPr>
                <w:rFonts w:hint="eastAsia" w:ascii="宋体" w:hAnsi="宋体" w:cs="宋体"/>
                <w:szCs w:val="21"/>
              </w:rPr>
            </w:pPr>
            <w:r>
              <w:rPr>
                <w:rFonts w:hint="eastAsia" w:ascii="宋体" w:hAnsi="宋体" w:cs="宋体"/>
                <w:szCs w:val="21"/>
              </w:rPr>
              <w:t>统一信用代码：</w:t>
            </w:r>
          </w:p>
        </w:tc>
        <w:tc>
          <w:tcPr>
            <w:tcW w:w="4638" w:type="dxa"/>
            <w:vAlign w:val="center"/>
          </w:tcPr>
          <w:p w14:paraId="316AB8B2">
            <w:pPr>
              <w:ind w:right="105" w:rightChars="50"/>
              <w:textAlignment w:val="top"/>
              <w:rPr>
                <w:rFonts w:hint="eastAsia" w:ascii="宋体" w:hAnsi="宋体" w:cs="宋体"/>
                <w:szCs w:val="21"/>
              </w:rPr>
            </w:pPr>
            <w:r>
              <w:rPr>
                <w:rFonts w:hint="eastAsia" w:ascii="宋体" w:hAnsi="宋体" w:cs="宋体"/>
                <w:szCs w:val="21"/>
              </w:rPr>
              <w:t>统一信用代码：</w:t>
            </w:r>
          </w:p>
        </w:tc>
      </w:tr>
      <w:tr w14:paraId="7F8DE4E3">
        <w:tblPrEx>
          <w:tblCellMar>
            <w:top w:w="0" w:type="dxa"/>
            <w:left w:w="108" w:type="dxa"/>
            <w:bottom w:w="0" w:type="dxa"/>
            <w:right w:w="108" w:type="dxa"/>
          </w:tblCellMar>
        </w:tblPrEx>
        <w:trPr>
          <w:trHeight w:val="736" w:hRule="atLeast"/>
          <w:jc w:val="center"/>
        </w:trPr>
        <w:tc>
          <w:tcPr>
            <w:tcW w:w="4481" w:type="dxa"/>
          </w:tcPr>
          <w:p w14:paraId="3E5DB868">
            <w:pPr>
              <w:ind w:right="105" w:rightChars="50"/>
              <w:textAlignment w:val="top"/>
              <w:rPr>
                <w:rFonts w:hint="eastAsia" w:ascii="宋体" w:hAnsi="宋体" w:cs="宋体"/>
                <w:szCs w:val="21"/>
              </w:rPr>
            </w:pPr>
            <w:r>
              <w:rPr>
                <w:rFonts w:hint="eastAsia" w:ascii="宋体" w:hAnsi="宋体" w:cs="宋体"/>
                <w:szCs w:val="21"/>
              </w:rPr>
              <w:t xml:space="preserve">地址：南宁市青秀区青山路8号 </w:t>
            </w:r>
          </w:p>
        </w:tc>
        <w:tc>
          <w:tcPr>
            <w:tcW w:w="4638" w:type="dxa"/>
          </w:tcPr>
          <w:p w14:paraId="1F8326E3">
            <w:pPr>
              <w:ind w:right="105" w:rightChars="50"/>
              <w:textAlignment w:val="top"/>
              <w:rPr>
                <w:rFonts w:hint="eastAsia" w:ascii="宋体" w:hAnsi="宋体" w:cs="宋体"/>
                <w:szCs w:val="21"/>
              </w:rPr>
            </w:pPr>
            <w:r>
              <w:rPr>
                <w:rFonts w:hint="eastAsia" w:ascii="宋体" w:hAnsi="宋体" w:cs="宋体"/>
                <w:szCs w:val="21"/>
              </w:rPr>
              <w:t xml:space="preserve">地址： </w:t>
            </w:r>
          </w:p>
        </w:tc>
      </w:tr>
      <w:tr w14:paraId="035790E7">
        <w:tblPrEx>
          <w:tblCellMar>
            <w:top w:w="0" w:type="dxa"/>
            <w:left w:w="108" w:type="dxa"/>
            <w:bottom w:w="0" w:type="dxa"/>
            <w:right w:w="108" w:type="dxa"/>
          </w:tblCellMar>
        </w:tblPrEx>
        <w:trPr>
          <w:trHeight w:val="679" w:hRule="atLeast"/>
          <w:jc w:val="center"/>
        </w:trPr>
        <w:tc>
          <w:tcPr>
            <w:tcW w:w="4481" w:type="dxa"/>
            <w:vAlign w:val="center"/>
          </w:tcPr>
          <w:p w14:paraId="1A1B33AE">
            <w:pPr>
              <w:ind w:right="105" w:rightChars="50"/>
              <w:textAlignment w:val="top"/>
              <w:rPr>
                <w:rFonts w:hint="eastAsia" w:ascii="宋体" w:hAnsi="宋体" w:cs="宋体"/>
                <w:szCs w:val="21"/>
              </w:rPr>
            </w:pPr>
            <w:r>
              <w:rPr>
                <w:rFonts w:hint="eastAsia" w:ascii="宋体" w:hAnsi="宋体" w:cs="宋体"/>
                <w:szCs w:val="21"/>
              </w:rPr>
              <w:t xml:space="preserve">邮政编码： </w:t>
            </w:r>
          </w:p>
        </w:tc>
        <w:tc>
          <w:tcPr>
            <w:tcW w:w="4638" w:type="dxa"/>
            <w:vAlign w:val="center"/>
          </w:tcPr>
          <w:p w14:paraId="659C39D3">
            <w:pPr>
              <w:ind w:right="105" w:rightChars="50"/>
              <w:textAlignment w:val="top"/>
              <w:rPr>
                <w:rFonts w:hint="eastAsia" w:ascii="宋体" w:hAnsi="宋体" w:cs="宋体"/>
                <w:szCs w:val="21"/>
              </w:rPr>
            </w:pPr>
            <w:r>
              <w:rPr>
                <w:rFonts w:hint="eastAsia" w:ascii="宋体" w:hAnsi="宋体" w:cs="宋体"/>
                <w:szCs w:val="21"/>
              </w:rPr>
              <w:t>邮政编码：</w:t>
            </w:r>
          </w:p>
        </w:tc>
      </w:tr>
      <w:tr w14:paraId="7D2E677C">
        <w:tblPrEx>
          <w:tblCellMar>
            <w:top w:w="0" w:type="dxa"/>
            <w:left w:w="108" w:type="dxa"/>
            <w:bottom w:w="0" w:type="dxa"/>
            <w:right w:w="108" w:type="dxa"/>
          </w:tblCellMar>
        </w:tblPrEx>
        <w:trPr>
          <w:trHeight w:val="679" w:hRule="atLeast"/>
          <w:jc w:val="center"/>
        </w:trPr>
        <w:tc>
          <w:tcPr>
            <w:tcW w:w="4481" w:type="dxa"/>
            <w:vAlign w:val="center"/>
          </w:tcPr>
          <w:p w14:paraId="58AE57DF">
            <w:pPr>
              <w:ind w:right="105" w:rightChars="50"/>
              <w:textAlignment w:val="top"/>
              <w:rPr>
                <w:rFonts w:hint="eastAsia" w:ascii="宋体" w:hAnsi="宋体" w:cs="宋体"/>
                <w:szCs w:val="21"/>
              </w:rPr>
            </w:pPr>
            <w:r>
              <w:rPr>
                <w:rFonts w:hint="eastAsia" w:ascii="宋体" w:hAnsi="宋体" w:cs="宋体"/>
                <w:szCs w:val="21"/>
              </w:rPr>
              <w:t xml:space="preserve">电  话： </w:t>
            </w:r>
          </w:p>
        </w:tc>
        <w:tc>
          <w:tcPr>
            <w:tcW w:w="4638" w:type="dxa"/>
            <w:vAlign w:val="center"/>
          </w:tcPr>
          <w:p w14:paraId="64CD6D1A">
            <w:pPr>
              <w:ind w:right="105" w:rightChars="50"/>
              <w:textAlignment w:val="top"/>
              <w:rPr>
                <w:rFonts w:hint="eastAsia" w:ascii="宋体" w:hAnsi="宋体" w:cs="宋体"/>
                <w:szCs w:val="21"/>
              </w:rPr>
            </w:pPr>
            <w:r>
              <w:rPr>
                <w:rFonts w:hint="eastAsia" w:ascii="宋体" w:hAnsi="宋体" w:cs="宋体"/>
                <w:szCs w:val="21"/>
              </w:rPr>
              <w:t xml:space="preserve">电  话： </w:t>
            </w:r>
          </w:p>
        </w:tc>
      </w:tr>
      <w:tr w14:paraId="5019FF09">
        <w:tblPrEx>
          <w:tblCellMar>
            <w:top w:w="0" w:type="dxa"/>
            <w:left w:w="108" w:type="dxa"/>
            <w:bottom w:w="0" w:type="dxa"/>
            <w:right w:w="108" w:type="dxa"/>
          </w:tblCellMar>
        </w:tblPrEx>
        <w:trPr>
          <w:trHeight w:val="679" w:hRule="atLeast"/>
          <w:jc w:val="center"/>
        </w:trPr>
        <w:tc>
          <w:tcPr>
            <w:tcW w:w="4481" w:type="dxa"/>
            <w:vAlign w:val="center"/>
          </w:tcPr>
          <w:p w14:paraId="242FDFD0">
            <w:pPr>
              <w:ind w:right="105" w:rightChars="50"/>
              <w:textAlignment w:val="top"/>
              <w:rPr>
                <w:rFonts w:hint="eastAsia" w:ascii="宋体" w:hAnsi="宋体" w:cs="宋体"/>
                <w:szCs w:val="21"/>
              </w:rPr>
            </w:pPr>
            <w:r>
              <w:rPr>
                <w:rFonts w:hint="eastAsia" w:ascii="宋体" w:hAnsi="宋体" w:cs="宋体"/>
                <w:szCs w:val="21"/>
              </w:rPr>
              <w:t>传  真：/</w:t>
            </w:r>
          </w:p>
        </w:tc>
        <w:tc>
          <w:tcPr>
            <w:tcW w:w="4638" w:type="dxa"/>
            <w:vAlign w:val="center"/>
          </w:tcPr>
          <w:p w14:paraId="23D4AC8F">
            <w:pPr>
              <w:ind w:right="105" w:rightChars="50"/>
              <w:textAlignment w:val="top"/>
              <w:rPr>
                <w:rFonts w:hint="eastAsia" w:ascii="宋体" w:hAnsi="宋体" w:cs="宋体"/>
                <w:szCs w:val="21"/>
              </w:rPr>
            </w:pPr>
            <w:r>
              <w:rPr>
                <w:rFonts w:hint="eastAsia" w:ascii="宋体" w:hAnsi="宋体" w:cs="宋体"/>
                <w:szCs w:val="21"/>
              </w:rPr>
              <w:t xml:space="preserve">传  真： </w:t>
            </w:r>
          </w:p>
        </w:tc>
      </w:tr>
      <w:tr w14:paraId="5679EDC7">
        <w:tblPrEx>
          <w:tblCellMar>
            <w:top w:w="0" w:type="dxa"/>
            <w:left w:w="108" w:type="dxa"/>
            <w:bottom w:w="0" w:type="dxa"/>
            <w:right w:w="108" w:type="dxa"/>
          </w:tblCellMar>
        </w:tblPrEx>
        <w:trPr>
          <w:trHeight w:val="679" w:hRule="atLeast"/>
          <w:jc w:val="center"/>
        </w:trPr>
        <w:tc>
          <w:tcPr>
            <w:tcW w:w="4481" w:type="dxa"/>
            <w:vAlign w:val="center"/>
          </w:tcPr>
          <w:p w14:paraId="55BE46CB">
            <w:pPr>
              <w:ind w:right="105" w:rightChars="50"/>
              <w:textAlignment w:val="top"/>
              <w:rPr>
                <w:rFonts w:hint="eastAsia" w:ascii="宋体" w:hAnsi="宋体" w:cs="宋体"/>
                <w:szCs w:val="21"/>
              </w:rPr>
            </w:pPr>
            <w:r>
              <w:rPr>
                <w:rFonts w:hint="eastAsia" w:ascii="宋体" w:hAnsi="宋体" w:cs="宋体"/>
                <w:szCs w:val="21"/>
              </w:rPr>
              <w:t xml:space="preserve">电子信箱： </w:t>
            </w:r>
          </w:p>
        </w:tc>
        <w:tc>
          <w:tcPr>
            <w:tcW w:w="4638" w:type="dxa"/>
            <w:vAlign w:val="center"/>
          </w:tcPr>
          <w:p w14:paraId="5ACF9661">
            <w:pPr>
              <w:ind w:right="105" w:rightChars="50"/>
              <w:textAlignment w:val="top"/>
              <w:rPr>
                <w:rFonts w:hint="eastAsia" w:ascii="宋体" w:hAnsi="宋体" w:cs="宋体"/>
                <w:szCs w:val="21"/>
              </w:rPr>
            </w:pPr>
            <w:r>
              <w:rPr>
                <w:rFonts w:hint="eastAsia" w:ascii="宋体" w:hAnsi="宋体" w:cs="宋体"/>
                <w:szCs w:val="21"/>
              </w:rPr>
              <w:t xml:space="preserve">电子信箱： </w:t>
            </w:r>
          </w:p>
        </w:tc>
      </w:tr>
      <w:tr w14:paraId="55CC4D5A">
        <w:tblPrEx>
          <w:tblCellMar>
            <w:top w:w="0" w:type="dxa"/>
            <w:left w:w="108" w:type="dxa"/>
            <w:bottom w:w="0" w:type="dxa"/>
            <w:right w:w="108" w:type="dxa"/>
          </w:tblCellMar>
        </w:tblPrEx>
        <w:trPr>
          <w:trHeight w:val="679" w:hRule="atLeast"/>
          <w:jc w:val="center"/>
        </w:trPr>
        <w:tc>
          <w:tcPr>
            <w:tcW w:w="4481" w:type="dxa"/>
            <w:vAlign w:val="center"/>
          </w:tcPr>
          <w:p w14:paraId="310033BC">
            <w:pPr>
              <w:ind w:right="105" w:rightChars="50"/>
              <w:textAlignment w:val="top"/>
              <w:rPr>
                <w:rFonts w:hint="eastAsia" w:ascii="宋体" w:hAnsi="宋体" w:cs="宋体"/>
                <w:szCs w:val="21"/>
              </w:rPr>
            </w:pPr>
            <w:r>
              <w:rPr>
                <w:rFonts w:hint="eastAsia" w:ascii="宋体" w:hAnsi="宋体" w:cs="宋体"/>
                <w:szCs w:val="21"/>
              </w:rPr>
              <w:t xml:space="preserve">开户银行： </w:t>
            </w:r>
          </w:p>
        </w:tc>
        <w:tc>
          <w:tcPr>
            <w:tcW w:w="4638" w:type="dxa"/>
            <w:vAlign w:val="center"/>
          </w:tcPr>
          <w:p w14:paraId="790EEEF6">
            <w:pPr>
              <w:ind w:right="105" w:rightChars="50"/>
              <w:textAlignment w:val="top"/>
              <w:rPr>
                <w:rFonts w:hint="eastAsia" w:ascii="宋体" w:hAnsi="宋体" w:cs="宋体"/>
                <w:szCs w:val="21"/>
              </w:rPr>
            </w:pPr>
            <w:r>
              <w:rPr>
                <w:rFonts w:hint="eastAsia" w:ascii="宋体" w:hAnsi="宋体" w:cs="宋体"/>
                <w:szCs w:val="21"/>
              </w:rPr>
              <w:t xml:space="preserve">开户银行： </w:t>
            </w:r>
          </w:p>
        </w:tc>
      </w:tr>
      <w:tr w14:paraId="68AC8479">
        <w:tblPrEx>
          <w:tblCellMar>
            <w:top w:w="0" w:type="dxa"/>
            <w:left w:w="108" w:type="dxa"/>
            <w:bottom w:w="0" w:type="dxa"/>
            <w:right w:w="108" w:type="dxa"/>
          </w:tblCellMar>
        </w:tblPrEx>
        <w:trPr>
          <w:trHeight w:val="679" w:hRule="atLeast"/>
          <w:jc w:val="center"/>
        </w:trPr>
        <w:tc>
          <w:tcPr>
            <w:tcW w:w="4481" w:type="dxa"/>
            <w:vAlign w:val="center"/>
          </w:tcPr>
          <w:p w14:paraId="4AF24619">
            <w:pPr>
              <w:ind w:right="105" w:rightChars="50"/>
              <w:textAlignment w:val="top"/>
              <w:rPr>
                <w:rFonts w:hint="eastAsia" w:ascii="宋体" w:hAnsi="宋体" w:cs="宋体"/>
                <w:szCs w:val="21"/>
              </w:rPr>
            </w:pPr>
            <w:r>
              <w:rPr>
                <w:rFonts w:hint="eastAsia" w:ascii="宋体" w:hAnsi="宋体" w:cs="宋体"/>
                <w:szCs w:val="21"/>
              </w:rPr>
              <w:t xml:space="preserve">账  号： </w:t>
            </w:r>
          </w:p>
        </w:tc>
        <w:tc>
          <w:tcPr>
            <w:tcW w:w="4638" w:type="dxa"/>
            <w:vAlign w:val="center"/>
          </w:tcPr>
          <w:p w14:paraId="066ECC43">
            <w:pPr>
              <w:ind w:right="105" w:rightChars="50"/>
              <w:textAlignment w:val="top"/>
              <w:rPr>
                <w:rFonts w:hint="eastAsia" w:ascii="宋体" w:hAnsi="宋体" w:cs="宋体"/>
                <w:szCs w:val="21"/>
              </w:rPr>
            </w:pPr>
            <w:r>
              <w:rPr>
                <w:rFonts w:hint="eastAsia" w:ascii="宋体" w:hAnsi="宋体" w:cs="宋体"/>
                <w:szCs w:val="21"/>
              </w:rPr>
              <w:t xml:space="preserve">账  号：  </w:t>
            </w:r>
          </w:p>
        </w:tc>
      </w:tr>
      <w:tr w14:paraId="32B12A44">
        <w:tblPrEx>
          <w:tblCellMar>
            <w:top w:w="0" w:type="dxa"/>
            <w:left w:w="108" w:type="dxa"/>
            <w:bottom w:w="0" w:type="dxa"/>
            <w:right w:w="108" w:type="dxa"/>
          </w:tblCellMar>
        </w:tblPrEx>
        <w:trPr>
          <w:trHeight w:val="679" w:hRule="atLeast"/>
          <w:jc w:val="center"/>
        </w:trPr>
        <w:tc>
          <w:tcPr>
            <w:tcW w:w="4481" w:type="dxa"/>
            <w:vAlign w:val="center"/>
          </w:tcPr>
          <w:p w14:paraId="3CBB7B72">
            <w:pPr>
              <w:ind w:right="105" w:rightChars="50"/>
              <w:textAlignment w:val="top"/>
              <w:rPr>
                <w:rFonts w:hint="eastAsia" w:ascii="宋体" w:hAnsi="宋体" w:cs="宋体"/>
                <w:szCs w:val="21"/>
              </w:rPr>
            </w:pPr>
            <w:r>
              <w:rPr>
                <w:rFonts w:hint="eastAsia" w:ascii="宋体" w:hAnsi="宋体" w:cs="宋体"/>
                <w:szCs w:val="21"/>
              </w:rPr>
              <w:t>时  间：   年   月   日</w:t>
            </w:r>
          </w:p>
        </w:tc>
        <w:tc>
          <w:tcPr>
            <w:tcW w:w="4638" w:type="dxa"/>
            <w:vAlign w:val="center"/>
          </w:tcPr>
          <w:p w14:paraId="03BF68A1">
            <w:pPr>
              <w:ind w:right="105" w:rightChars="50"/>
              <w:textAlignment w:val="top"/>
              <w:rPr>
                <w:rFonts w:hint="eastAsia" w:ascii="宋体" w:hAnsi="宋体" w:cs="宋体"/>
                <w:szCs w:val="21"/>
              </w:rPr>
            </w:pPr>
            <w:r>
              <w:rPr>
                <w:rFonts w:hint="eastAsia" w:ascii="宋体" w:hAnsi="宋体" w:cs="宋体"/>
                <w:szCs w:val="21"/>
              </w:rPr>
              <w:t>时  间：   年   月   日</w:t>
            </w:r>
          </w:p>
        </w:tc>
      </w:tr>
    </w:tbl>
    <w:p w14:paraId="618FADFB">
      <w:pPr>
        <w:spacing w:before="140" w:line="222" w:lineRule="auto"/>
        <w:jc w:val="center"/>
        <w:rPr>
          <w:rFonts w:hint="eastAsia" w:ascii="宋体" w:hAnsi="宋体" w:cs="宋体"/>
          <w:sz w:val="43"/>
          <w:szCs w:val="43"/>
        </w:rPr>
      </w:pPr>
      <w:r>
        <w:rPr>
          <w:rFonts w:hint="eastAsia" w:ascii="宋体" w:hAnsi="宋体" w:cs="宋体"/>
          <w:spacing w:val="14"/>
          <w:sz w:val="43"/>
          <w:szCs w:val="43"/>
        </w:rPr>
        <w:br w:type="page"/>
      </w:r>
      <w:r>
        <w:rPr>
          <w:rFonts w:hint="eastAsia" w:ascii="宋体" w:hAnsi="宋体" w:cs="宋体"/>
          <w:b/>
          <w:bCs/>
          <w:spacing w:val="14"/>
          <w:sz w:val="36"/>
          <w:szCs w:val="36"/>
        </w:rPr>
        <w:t>第二部分 通用合同条</w:t>
      </w:r>
      <w:r>
        <w:rPr>
          <w:rFonts w:hint="eastAsia" w:ascii="宋体" w:hAnsi="宋体" w:cs="宋体"/>
          <w:b/>
          <w:bCs/>
          <w:spacing w:val="13"/>
          <w:sz w:val="36"/>
          <w:szCs w:val="36"/>
        </w:rPr>
        <w:t>款</w:t>
      </w:r>
    </w:p>
    <w:p w14:paraId="1B6E42D7">
      <w:pPr>
        <w:spacing w:line="500" w:lineRule="exact"/>
        <w:jc w:val="center"/>
        <w:rPr>
          <w:rFonts w:hint="eastAsia" w:ascii="宋体" w:hAnsi="宋体" w:cs="宋体"/>
          <w:b/>
          <w:bCs/>
          <w:spacing w:val="11"/>
          <w:szCs w:val="21"/>
        </w:rPr>
        <w:sectPr>
          <w:pgSz w:w="11911" w:h="16843"/>
          <w:pgMar w:top="1134" w:right="1434" w:bottom="1134" w:left="1434" w:header="0" w:footer="1191" w:gutter="0"/>
          <w:cols w:space="720" w:num="1"/>
        </w:sectPr>
      </w:pPr>
      <w:r>
        <w:rPr>
          <w:rFonts w:hint="eastAsia" w:ascii="宋体" w:hAnsi="宋体" w:cs="宋体"/>
          <w:b/>
          <w:bCs/>
          <w:spacing w:val="13"/>
          <w:szCs w:val="21"/>
        </w:rPr>
        <w:t>采</w:t>
      </w:r>
      <w:r>
        <w:rPr>
          <w:rFonts w:hint="eastAsia" w:ascii="宋体" w:hAnsi="宋体" w:cs="宋体"/>
          <w:b/>
          <w:bCs/>
          <w:spacing w:val="11"/>
          <w:szCs w:val="21"/>
        </w:rPr>
        <w:t>用《建设工程施工合同（示范文本）》（</w:t>
      </w:r>
      <w:r>
        <w:rPr>
          <w:rFonts w:hint="eastAsia" w:ascii="宋体" w:hAnsi="宋体" w:cs="宋体"/>
          <w:b/>
          <w:bCs/>
          <w:szCs w:val="21"/>
        </w:rPr>
        <w:t>GF</w:t>
      </w:r>
      <w:r>
        <w:rPr>
          <w:rFonts w:hint="eastAsia" w:ascii="宋体" w:hAnsi="宋体" w:cs="宋体"/>
          <w:b/>
          <w:bCs/>
          <w:spacing w:val="11"/>
          <w:szCs w:val="21"/>
        </w:rPr>
        <w:t>—2017—0201）。</w:t>
      </w:r>
    </w:p>
    <w:p w14:paraId="096E41CA">
      <w:pPr>
        <w:spacing w:line="480" w:lineRule="exact"/>
        <w:jc w:val="center"/>
        <w:rPr>
          <w:rFonts w:hint="eastAsia" w:ascii="宋体" w:hAnsi="宋体"/>
          <w:b/>
          <w:bCs/>
          <w:sz w:val="36"/>
          <w:szCs w:val="36"/>
        </w:rPr>
      </w:pPr>
      <w:r>
        <w:rPr>
          <w:rFonts w:ascii="宋体" w:hAnsi="宋体"/>
          <w:b/>
          <w:bCs/>
          <w:sz w:val="36"/>
          <w:szCs w:val="36"/>
        </w:rPr>
        <w:t>第</w:t>
      </w:r>
      <w:r>
        <w:rPr>
          <w:rFonts w:hint="eastAsia" w:ascii="宋体" w:hAnsi="宋体"/>
          <w:b/>
          <w:bCs/>
          <w:sz w:val="36"/>
          <w:szCs w:val="36"/>
        </w:rPr>
        <w:t>三</w:t>
      </w:r>
      <w:r>
        <w:rPr>
          <w:rFonts w:ascii="宋体" w:hAnsi="宋体"/>
          <w:b/>
          <w:bCs/>
          <w:sz w:val="36"/>
          <w:szCs w:val="36"/>
        </w:rPr>
        <w:t>部分 专用合同条款</w:t>
      </w:r>
    </w:p>
    <w:p w14:paraId="25748B0A">
      <w:pPr>
        <w:pStyle w:val="82"/>
        <w:keepNext/>
        <w:keepLines/>
        <w:spacing w:before="60" w:after="60" w:line="413" w:lineRule="auto"/>
        <w:outlineLvl w:val="1"/>
        <w:rPr>
          <w:rFonts w:hint="eastAsia" w:ascii="宋体" w:hAnsi="宋体" w:cs="宋体"/>
          <w:b/>
          <w:bCs/>
          <w:szCs w:val="32"/>
        </w:rPr>
      </w:pPr>
      <w:bookmarkStart w:id="123" w:name="_Toc3271"/>
      <w:bookmarkStart w:id="124" w:name="_Toc12967"/>
      <w:r>
        <w:rPr>
          <w:rFonts w:hint="eastAsia" w:ascii="宋体" w:hAnsi="宋体" w:cs="宋体"/>
          <w:b/>
          <w:bCs/>
          <w:szCs w:val="32"/>
        </w:rPr>
        <w:t>1. 一般约定</w:t>
      </w:r>
      <w:bookmarkEnd w:id="123"/>
      <w:bookmarkEnd w:id="124"/>
    </w:p>
    <w:p w14:paraId="63BEE6F9">
      <w:pPr>
        <w:pStyle w:val="82"/>
        <w:keepNext/>
        <w:keepLines/>
        <w:spacing w:line="360" w:lineRule="auto"/>
        <w:outlineLvl w:val="2"/>
        <w:rPr>
          <w:rFonts w:hint="eastAsia" w:ascii="宋体" w:hAnsi="宋体" w:cs="宋体"/>
          <w:b/>
          <w:bCs/>
          <w:szCs w:val="32"/>
        </w:rPr>
      </w:pPr>
      <w:bookmarkStart w:id="125" w:name="_Toc26669"/>
      <w:bookmarkStart w:id="126" w:name="_Toc12088"/>
      <w:r>
        <w:rPr>
          <w:rFonts w:hint="eastAsia" w:ascii="宋体" w:hAnsi="宋体" w:cs="宋体"/>
          <w:b/>
          <w:bCs/>
          <w:szCs w:val="32"/>
        </w:rPr>
        <w:t>1.1 词语定义</w:t>
      </w:r>
      <w:bookmarkEnd w:id="125"/>
      <w:bookmarkEnd w:id="126"/>
    </w:p>
    <w:p w14:paraId="6C4FC2C8">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1.1.1 合同</w:t>
      </w:r>
    </w:p>
    <w:p w14:paraId="2A9CF695">
      <w:pPr>
        <w:pStyle w:val="82"/>
        <w:spacing w:line="360" w:lineRule="auto"/>
        <w:ind w:firstLine="420" w:firstLineChars="200"/>
        <w:rPr>
          <w:rFonts w:hint="eastAsia" w:ascii="宋体" w:hAnsi="宋体" w:cs="宋体"/>
          <w:szCs w:val="21"/>
          <w:u w:val="single"/>
        </w:rPr>
      </w:pPr>
      <w:r>
        <w:rPr>
          <w:rFonts w:hint="eastAsia" w:ascii="宋体" w:hAnsi="宋体" w:cs="宋体"/>
          <w:kern w:val="0"/>
          <w:szCs w:val="21"/>
        </w:rPr>
        <w:t>1.1.1.10 其他合同文件包括：</w:t>
      </w:r>
      <w:r>
        <w:rPr>
          <w:rFonts w:hint="eastAsia" w:ascii="宋体" w:hAnsi="宋体" w:cs="宋体"/>
          <w:szCs w:val="21"/>
          <w:u w:val="single"/>
        </w:rPr>
        <w:t>合同文件包括：成交通知书、采购文件（含所有补充通知和答疑）、响应文件及其附件、本合同专用条款、本合同通用条款、标准、规范及有关技术文件、图纸、已标价的工程量清单</w:t>
      </w:r>
      <w:r>
        <w:rPr>
          <w:rFonts w:hint="eastAsia" w:ascii="宋体" w:hAnsi="宋体" w:cs="宋体"/>
          <w:szCs w:val="21"/>
        </w:rPr>
        <w:t>。</w:t>
      </w:r>
    </w:p>
    <w:p w14:paraId="540B6706">
      <w:pPr>
        <w:pStyle w:val="82"/>
        <w:spacing w:line="360" w:lineRule="auto"/>
        <w:ind w:firstLine="420" w:firstLineChars="200"/>
        <w:rPr>
          <w:rFonts w:hint="eastAsia" w:ascii="宋体" w:hAnsi="宋体" w:cs="宋体"/>
          <w:szCs w:val="21"/>
        </w:rPr>
      </w:pPr>
      <w:r>
        <w:rPr>
          <w:rFonts w:hint="eastAsia" w:ascii="宋体" w:hAnsi="宋体" w:cs="宋体"/>
          <w:szCs w:val="21"/>
        </w:rPr>
        <w:t>1.1.2 合同当事人及其他相关方</w:t>
      </w:r>
    </w:p>
    <w:p w14:paraId="11A919CE">
      <w:pPr>
        <w:pStyle w:val="82"/>
        <w:spacing w:line="360" w:lineRule="auto"/>
        <w:ind w:firstLine="420" w:firstLineChars="200"/>
        <w:outlineLvl w:val="0"/>
        <w:rPr>
          <w:rFonts w:hint="eastAsia" w:ascii="宋体" w:hAnsi="宋体" w:cs="宋体"/>
          <w:szCs w:val="21"/>
        </w:rPr>
      </w:pPr>
      <w:bookmarkStart w:id="127" w:name="_Toc26732"/>
      <w:bookmarkStart w:id="128" w:name="_Toc23875"/>
      <w:r>
        <w:rPr>
          <w:rFonts w:hint="eastAsia" w:ascii="宋体" w:hAnsi="宋体" w:cs="宋体"/>
          <w:szCs w:val="21"/>
        </w:rPr>
        <w:t>1.1.2.4 监理人：</w:t>
      </w:r>
      <w:bookmarkEnd w:id="127"/>
      <w:bookmarkEnd w:id="128"/>
    </w:p>
    <w:p w14:paraId="518F149B">
      <w:pPr>
        <w:pStyle w:val="82"/>
        <w:spacing w:line="360" w:lineRule="auto"/>
        <w:ind w:firstLine="420" w:firstLineChars="200"/>
        <w:rPr>
          <w:rFonts w:hint="eastAsia" w:ascii="宋体" w:hAnsi="宋体" w:cs="宋体"/>
          <w:szCs w:val="21"/>
        </w:rPr>
      </w:pPr>
      <w:r>
        <w:rPr>
          <w:rFonts w:hint="eastAsia" w:ascii="宋体" w:hAnsi="宋体" w:cs="宋体"/>
          <w:szCs w:val="21"/>
        </w:rPr>
        <w:t>名称：</w:t>
      </w:r>
      <w:r>
        <w:rPr>
          <w:rFonts w:hint="eastAsia" w:ascii="宋体" w:hAnsi="宋体" w:cs="宋体"/>
          <w:szCs w:val="21"/>
          <w:u w:val="single"/>
        </w:rPr>
        <w:t></w:t>
      </w:r>
      <w:r>
        <w:rPr>
          <w:rFonts w:hint="eastAsia" w:ascii="宋体" w:hAnsi="宋体" w:cs="宋体"/>
          <w:szCs w:val="21"/>
        </w:rPr>
        <w:t>；</w:t>
      </w:r>
    </w:p>
    <w:p w14:paraId="076A57EA">
      <w:pPr>
        <w:pStyle w:val="82"/>
        <w:spacing w:line="360" w:lineRule="auto"/>
        <w:ind w:firstLine="420" w:firstLineChars="200"/>
        <w:rPr>
          <w:rFonts w:hint="eastAsia" w:ascii="宋体" w:hAnsi="宋体" w:cs="宋体"/>
          <w:szCs w:val="21"/>
        </w:rPr>
      </w:pPr>
      <w:r>
        <w:rPr>
          <w:rFonts w:hint="eastAsia" w:ascii="宋体" w:hAnsi="宋体" w:cs="宋体"/>
          <w:szCs w:val="21"/>
        </w:rPr>
        <w:t>资质类别和等级：</w:t>
      </w:r>
      <w:r>
        <w:rPr>
          <w:rFonts w:hint="eastAsia" w:ascii="宋体" w:hAnsi="宋体" w:cs="宋体"/>
          <w:szCs w:val="21"/>
          <w:u w:val="single"/>
        </w:rPr>
        <w:t></w:t>
      </w:r>
      <w:r>
        <w:rPr>
          <w:rFonts w:hint="eastAsia" w:ascii="宋体" w:hAnsi="宋体" w:cs="宋体"/>
          <w:szCs w:val="21"/>
        </w:rPr>
        <w:t>；</w:t>
      </w:r>
    </w:p>
    <w:p w14:paraId="335C1D4F">
      <w:pPr>
        <w:pStyle w:val="82"/>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w:t>
      </w:r>
      <w:r>
        <w:rPr>
          <w:rFonts w:hint="eastAsia" w:ascii="宋体" w:hAnsi="宋体" w:cs="宋体"/>
          <w:szCs w:val="21"/>
        </w:rPr>
        <w:t>；</w:t>
      </w:r>
    </w:p>
    <w:p w14:paraId="231E9F20">
      <w:pPr>
        <w:pStyle w:val="82"/>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w:t>
      </w:r>
      <w:r>
        <w:rPr>
          <w:rFonts w:hint="eastAsia" w:ascii="宋体" w:hAnsi="宋体" w:cs="宋体"/>
          <w:szCs w:val="21"/>
        </w:rPr>
        <w:t>；</w:t>
      </w:r>
    </w:p>
    <w:p w14:paraId="57B35A2D">
      <w:pPr>
        <w:pStyle w:val="82"/>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w:t>
      </w:r>
      <w:r>
        <w:rPr>
          <w:rFonts w:hint="eastAsia" w:ascii="宋体" w:hAnsi="宋体" w:cs="宋体"/>
          <w:szCs w:val="21"/>
        </w:rPr>
        <w:t>。</w:t>
      </w:r>
    </w:p>
    <w:p w14:paraId="759AC468">
      <w:pPr>
        <w:pStyle w:val="82"/>
        <w:spacing w:line="360" w:lineRule="auto"/>
        <w:ind w:firstLine="420" w:firstLineChars="200"/>
        <w:outlineLvl w:val="0"/>
        <w:rPr>
          <w:rFonts w:hint="eastAsia" w:ascii="宋体" w:hAnsi="宋体" w:cs="宋体"/>
          <w:szCs w:val="21"/>
        </w:rPr>
      </w:pPr>
      <w:bookmarkStart w:id="129" w:name="_Toc2811"/>
      <w:bookmarkStart w:id="130" w:name="_Toc9765"/>
      <w:r>
        <w:rPr>
          <w:rFonts w:hint="eastAsia" w:ascii="宋体" w:hAnsi="宋体" w:cs="宋体"/>
          <w:szCs w:val="21"/>
        </w:rPr>
        <w:t>1.1.2.5 设计人：</w:t>
      </w:r>
      <w:bookmarkEnd w:id="129"/>
      <w:bookmarkEnd w:id="130"/>
    </w:p>
    <w:p w14:paraId="6E3AFEEC">
      <w:pPr>
        <w:pStyle w:val="82"/>
        <w:spacing w:line="360" w:lineRule="auto"/>
        <w:ind w:firstLine="420" w:firstLineChars="200"/>
        <w:rPr>
          <w:rFonts w:hint="eastAsia" w:ascii="宋体" w:hAnsi="宋体" w:cs="宋体"/>
          <w:szCs w:val="21"/>
        </w:rPr>
      </w:pPr>
      <w:r>
        <w:rPr>
          <w:rFonts w:hint="eastAsia" w:ascii="宋体" w:hAnsi="宋体" w:cs="宋体"/>
          <w:szCs w:val="21"/>
        </w:rPr>
        <w:t>名称：</w:t>
      </w:r>
      <w:r>
        <w:rPr>
          <w:rFonts w:hint="eastAsia" w:ascii="宋体" w:hAnsi="宋体" w:cs="宋体"/>
          <w:szCs w:val="21"/>
          <w:u w:val="single"/>
        </w:rPr>
        <w:t></w:t>
      </w:r>
      <w:r>
        <w:rPr>
          <w:rFonts w:hint="eastAsia" w:ascii="宋体" w:hAnsi="宋体" w:cs="宋体"/>
          <w:szCs w:val="21"/>
        </w:rPr>
        <w:t>；</w:t>
      </w:r>
    </w:p>
    <w:p w14:paraId="0568DD46">
      <w:pPr>
        <w:pStyle w:val="82"/>
        <w:spacing w:line="360" w:lineRule="auto"/>
        <w:ind w:firstLine="420" w:firstLineChars="200"/>
        <w:rPr>
          <w:rFonts w:hint="eastAsia" w:ascii="宋体" w:hAnsi="宋体" w:cs="宋体"/>
          <w:szCs w:val="21"/>
        </w:rPr>
      </w:pPr>
      <w:r>
        <w:rPr>
          <w:rFonts w:hint="eastAsia" w:ascii="宋体" w:hAnsi="宋体" w:cs="宋体"/>
          <w:szCs w:val="21"/>
        </w:rPr>
        <w:t>资质类别和等级：</w:t>
      </w:r>
      <w:r>
        <w:rPr>
          <w:rFonts w:hint="eastAsia" w:ascii="宋体" w:hAnsi="宋体" w:cs="宋体"/>
          <w:szCs w:val="21"/>
          <w:u w:val="single"/>
        </w:rPr>
        <w:t></w:t>
      </w:r>
      <w:r>
        <w:rPr>
          <w:rFonts w:hint="eastAsia" w:ascii="宋体" w:hAnsi="宋体" w:cs="宋体"/>
          <w:szCs w:val="21"/>
        </w:rPr>
        <w:t>；</w:t>
      </w:r>
    </w:p>
    <w:p w14:paraId="6FCD50C7">
      <w:pPr>
        <w:pStyle w:val="82"/>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w:t>
      </w:r>
      <w:r>
        <w:rPr>
          <w:rFonts w:hint="eastAsia" w:ascii="宋体" w:hAnsi="宋体" w:cs="宋体"/>
          <w:szCs w:val="21"/>
        </w:rPr>
        <w:t>；</w:t>
      </w:r>
    </w:p>
    <w:p w14:paraId="0BE96C19">
      <w:pPr>
        <w:pStyle w:val="82"/>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w:t>
      </w:r>
      <w:r>
        <w:rPr>
          <w:rFonts w:hint="eastAsia" w:ascii="宋体" w:hAnsi="宋体" w:cs="宋体"/>
          <w:szCs w:val="21"/>
        </w:rPr>
        <w:t>；</w:t>
      </w:r>
    </w:p>
    <w:p w14:paraId="2871D875">
      <w:pPr>
        <w:pStyle w:val="82"/>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w:t>
      </w:r>
      <w:r>
        <w:rPr>
          <w:rFonts w:hint="eastAsia" w:ascii="宋体" w:hAnsi="宋体" w:cs="宋体"/>
          <w:szCs w:val="21"/>
        </w:rPr>
        <w:t>。</w:t>
      </w:r>
    </w:p>
    <w:p w14:paraId="51C35120">
      <w:pPr>
        <w:pStyle w:val="82"/>
        <w:spacing w:line="360" w:lineRule="auto"/>
        <w:ind w:firstLine="420" w:firstLineChars="200"/>
        <w:rPr>
          <w:rFonts w:hint="eastAsia" w:ascii="宋体" w:hAnsi="宋体" w:cs="宋体"/>
          <w:szCs w:val="21"/>
        </w:rPr>
      </w:pPr>
      <w:r>
        <w:rPr>
          <w:rFonts w:hint="eastAsia" w:ascii="宋体" w:hAnsi="宋体" w:cs="宋体"/>
          <w:szCs w:val="21"/>
        </w:rPr>
        <w:t>1.1.3 工程和设备</w:t>
      </w:r>
    </w:p>
    <w:p w14:paraId="7C352291">
      <w:pPr>
        <w:pStyle w:val="82"/>
        <w:spacing w:line="360" w:lineRule="auto"/>
        <w:ind w:firstLine="420" w:firstLineChars="200"/>
        <w:outlineLvl w:val="0"/>
        <w:rPr>
          <w:rFonts w:hint="eastAsia" w:ascii="宋体" w:hAnsi="宋体" w:cs="宋体"/>
          <w:szCs w:val="21"/>
        </w:rPr>
      </w:pPr>
      <w:bookmarkStart w:id="131" w:name="_Toc12921"/>
      <w:bookmarkStart w:id="132" w:name="_Toc3788"/>
      <w:r>
        <w:rPr>
          <w:rFonts w:hint="eastAsia" w:ascii="宋体" w:hAnsi="宋体" w:cs="宋体"/>
          <w:szCs w:val="21"/>
        </w:rPr>
        <w:t>1.1.3.7 作为施工现场组成部分的其他场所包括：</w:t>
      </w:r>
      <w:bookmarkEnd w:id="131"/>
      <w:r>
        <w:rPr>
          <w:rFonts w:hint="eastAsia" w:ascii="宋体" w:hAnsi="宋体" w:cs="宋体"/>
          <w:szCs w:val="21"/>
          <w:u w:val="single"/>
        </w:rPr>
        <w:t>双方另行确定</w:t>
      </w:r>
      <w:r>
        <w:rPr>
          <w:rFonts w:hint="eastAsia" w:ascii="宋体" w:hAnsi="宋体" w:cs="宋体"/>
          <w:szCs w:val="21"/>
        </w:rPr>
        <w:t>。</w:t>
      </w:r>
      <w:bookmarkEnd w:id="132"/>
    </w:p>
    <w:p w14:paraId="7DF88A09">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1.1.3.9 永久占地包括：</w:t>
      </w:r>
      <w:r>
        <w:rPr>
          <w:rFonts w:hint="eastAsia" w:ascii="宋体" w:hAnsi="宋体" w:cs="宋体"/>
          <w:kern w:val="0"/>
          <w:szCs w:val="21"/>
          <w:u w:val="single"/>
        </w:rPr>
        <w:t>按施工图纸确定。</w:t>
      </w:r>
    </w:p>
    <w:p w14:paraId="054BFF7C">
      <w:pPr>
        <w:pStyle w:val="82"/>
        <w:spacing w:line="360" w:lineRule="auto"/>
        <w:ind w:firstLine="420" w:firstLineChars="200"/>
        <w:jc w:val="left"/>
        <w:rPr>
          <w:rFonts w:hint="eastAsia" w:ascii="宋体" w:hAnsi="宋体" w:cs="宋体"/>
          <w:szCs w:val="21"/>
        </w:rPr>
      </w:pPr>
      <w:r>
        <w:rPr>
          <w:rFonts w:hint="eastAsia" w:ascii="宋体" w:hAnsi="宋体" w:cs="宋体"/>
          <w:kern w:val="0"/>
          <w:szCs w:val="21"/>
        </w:rPr>
        <w:t>1.1.3.10 临时占地包括：</w:t>
      </w:r>
      <w:r>
        <w:rPr>
          <w:rFonts w:hint="eastAsia" w:ascii="宋体" w:hAnsi="宋体" w:cs="宋体"/>
          <w:kern w:val="0"/>
          <w:szCs w:val="21"/>
          <w:u w:val="single"/>
        </w:rPr>
        <w:t>双方在合同履行过程中确定。</w:t>
      </w:r>
    </w:p>
    <w:p w14:paraId="6B15DF93">
      <w:pPr>
        <w:pStyle w:val="82"/>
        <w:keepNext/>
        <w:keepLines/>
        <w:spacing w:line="360" w:lineRule="auto"/>
        <w:outlineLvl w:val="2"/>
        <w:rPr>
          <w:rFonts w:hint="eastAsia" w:ascii="宋体" w:hAnsi="宋体" w:cs="宋体"/>
          <w:b/>
          <w:bCs/>
          <w:szCs w:val="32"/>
        </w:rPr>
      </w:pPr>
      <w:bookmarkStart w:id="133" w:name="_Toc24954"/>
      <w:bookmarkStart w:id="134" w:name="_Toc6104"/>
      <w:r>
        <w:rPr>
          <w:rFonts w:hint="eastAsia" w:ascii="宋体" w:hAnsi="宋体" w:cs="宋体"/>
          <w:b/>
          <w:bCs/>
          <w:szCs w:val="32"/>
        </w:rPr>
        <w:t>1.3 法律</w:t>
      </w:r>
      <w:bookmarkEnd w:id="133"/>
      <w:bookmarkEnd w:id="134"/>
    </w:p>
    <w:p w14:paraId="4D7B5636">
      <w:pPr>
        <w:pStyle w:val="82"/>
        <w:spacing w:line="360" w:lineRule="auto"/>
        <w:ind w:firstLine="420" w:firstLineChars="200"/>
        <w:rPr>
          <w:rFonts w:hint="eastAsia" w:ascii="宋体" w:hAnsi="宋体" w:cs="宋体"/>
          <w:szCs w:val="21"/>
          <w:u w:val="single"/>
        </w:rPr>
      </w:pPr>
      <w:r>
        <w:rPr>
          <w:rFonts w:hint="eastAsia" w:ascii="宋体" w:hAnsi="宋体" w:cs="宋体"/>
          <w:szCs w:val="21"/>
        </w:rPr>
        <w:t>适用于合同的其他规范性文件：</w:t>
      </w:r>
      <w:r>
        <w:rPr>
          <w:rFonts w:hint="eastAsia" w:ascii="宋体" w:hAnsi="宋体" w:cs="宋体"/>
          <w:szCs w:val="21"/>
          <w:u w:val="single"/>
        </w:rPr>
        <w:t>包括现行有效的中华人民共和国法律、行政法规、部门规章以及工程所在地的地方性法规、条例、地方政府规章等</w:t>
      </w:r>
      <w:r>
        <w:rPr>
          <w:rFonts w:hint="eastAsia" w:ascii="宋体" w:hAnsi="宋体" w:cs="宋体"/>
          <w:szCs w:val="21"/>
        </w:rPr>
        <w:t>。</w:t>
      </w:r>
    </w:p>
    <w:p w14:paraId="0AE741FC">
      <w:pPr>
        <w:pStyle w:val="82"/>
        <w:keepNext/>
        <w:keepLines/>
        <w:spacing w:line="360" w:lineRule="auto"/>
        <w:outlineLvl w:val="2"/>
        <w:rPr>
          <w:rFonts w:hint="eastAsia" w:ascii="宋体" w:hAnsi="宋体" w:cs="宋体"/>
          <w:b/>
          <w:bCs/>
          <w:szCs w:val="32"/>
        </w:rPr>
      </w:pPr>
      <w:bookmarkStart w:id="135" w:name="_Toc32183"/>
      <w:bookmarkStart w:id="136" w:name="_Toc31325"/>
      <w:r>
        <w:rPr>
          <w:rFonts w:hint="eastAsia" w:ascii="宋体" w:hAnsi="宋体" w:cs="宋体"/>
          <w:b/>
          <w:bCs/>
          <w:szCs w:val="32"/>
        </w:rPr>
        <w:t>1.4 标准和规范</w:t>
      </w:r>
      <w:bookmarkEnd w:id="135"/>
      <w:bookmarkEnd w:id="136"/>
    </w:p>
    <w:p w14:paraId="66E2E84B">
      <w:pPr>
        <w:pStyle w:val="82"/>
        <w:spacing w:line="360" w:lineRule="auto"/>
        <w:ind w:firstLine="420" w:firstLineChars="200"/>
        <w:rPr>
          <w:rFonts w:hint="eastAsia" w:ascii="宋体" w:hAnsi="宋体" w:cs="宋体"/>
          <w:szCs w:val="21"/>
          <w:u w:val="single"/>
        </w:rPr>
      </w:pPr>
      <w:r>
        <w:rPr>
          <w:rFonts w:hint="eastAsia" w:ascii="宋体" w:hAnsi="宋体" w:cs="宋体"/>
          <w:szCs w:val="21"/>
        </w:rPr>
        <w:t>1.4.1 适用于工程的标准规范包括：</w:t>
      </w:r>
      <w:r>
        <w:rPr>
          <w:rFonts w:hint="eastAsia" w:ascii="宋体" w:hAnsi="宋体" w:cs="宋体"/>
          <w:szCs w:val="21"/>
          <w:u w:val="single"/>
        </w:rPr>
        <w:t>国家、地方或行业颁布的工程施工规范及标准和有关工程施工验收规范及标准等</w:t>
      </w:r>
      <w:r>
        <w:rPr>
          <w:rFonts w:hint="eastAsia" w:ascii="宋体" w:hAnsi="宋体" w:cs="宋体"/>
          <w:szCs w:val="21"/>
        </w:rPr>
        <w:t>。</w:t>
      </w:r>
    </w:p>
    <w:p w14:paraId="742423EE">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1.4.2 发包人提供国外标准、规范的名称：</w:t>
      </w:r>
      <w:r>
        <w:rPr>
          <w:rFonts w:hint="eastAsia" w:ascii="宋体" w:hAnsi="宋体" w:cs="宋体"/>
          <w:szCs w:val="21"/>
          <w:u w:val="single"/>
        </w:rPr>
        <w:t xml:space="preserve">  /         </w:t>
      </w:r>
      <w:r>
        <w:rPr>
          <w:rFonts w:hint="eastAsia" w:ascii="宋体" w:hAnsi="宋体" w:cs="宋体"/>
          <w:szCs w:val="21"/>
        </w:rPr>
        <w:t>；</w:t>
      </w:r>
    </w:p>
    <w:p w14:paraId="18A597DD">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 xml:space="preserve">        /              </w:t>
      </w:r>
      <w:r>
        <w:rPr>
          <w:rFonts w:hint="eastAsia" w:ascii="宋体" w:hAnsi="宋体" w:cs="宋体"/>
          <w:kern w:val="0"/>
          <w:szCs w:val="21"/>
        </w:rPr>
        <w:t>；</w:t>
      </w:r>
    </w:p>
    <w:p w14:paraId="62EDF1A4">
      <w:pPr>
        <w:pStyle w:val="82"/>
        <w:spacing w:line="360" w:lineRule="auto"/>
        <w:ind w:firstLine="420" w:firstLineChars="200"/>
        <w:rPr>
          <w:rFonts w:hint="eastAsia"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 xml:space="preserve">           /           </w:t>
      </w:r>
      <w:r>
        <w:rPr>
          <w:rFonts w:hint="eastAsia" w:ascii="宋体" w:hAnsi="宋体" w:cs="宋体"/>
          <w:kern w:val="0"/>
          <w:szCs w:val="21"/>
        </w:rPr>
        <w:t>。</w:t>
      </w:r>
    </w:p>
    <w:p w14:paraId="4BE3305B">
      <w:pPr>
        <w:pStyle w:val="82"/>
        <w:spacing w:line="360" w:lineRule="auto"/>
        <w:ind w:firstLine="420" w:firstLineChars="200"/>
        <w:rPr>
          <w:rFonts w:hint="eastAsia" w:ascii="宋体" w:hAnsi="宋体" w:cs="宋体"/>
          <w:szCs w:val="21"/>
        </w:rPr>
      </w:pPr>
      <w:r>
        <w:rPr>
          <w:rFonts w:hint="eastAsia" w:ascii="宋体" w:hAnsi="宋体" w:cs="宋体"/>
          <w:szCs w:val="21"/>
        </w:rPr>
        <w:t>1.4.3 发包人对工程的技术标准和功能要求的特殊要求：</w:t>
      </w:r>
      <w:r>
        <w:rPr>
          <w:rFonts w:hint="eastAsia" w:ascii="宋体" w:hAnsi="宋体" w:cs="宋体"/>
          <w:szCs w:val="21"/>
          <w:u w:val="single"/>
        </w:rPr>
        <w:t>按国家、地方或行业颁布的工程施工规范及标准和有关建筑工程施工验收规范及标准要求实行</w:t>
      </w:r>
      <w:r>
        <w:rPr>
          <w:rFonts w:hint="eastAsia" w:ascii="宋体" w:hAnsi="宋体" w:cs="宋体"/>
          <w:szCs w:val="21"/>
        </w:rPr>
        <w:t>。</w:t>
      </w:r>
    </w:p>
    <w:p w14:paraId="1E273111">
      <w:pPr>
        <w:pStyle w:val="82"/>
        <w:keepNext/>
        <w:keepLines/>
        <w:spacing w:line="360" w:lineRule="auto"/>
        <w:outlineLvl w:val="2"/>
        <w:rPr>
          <w:rFonts w:hint="eastAsia" w:ascii="宋体" w:hAnsi="宋体" w:cs="宋体"/>
          <w:b/>
          <w:bCs/>
          <w:szCs w:val="32"/>
        </w:rPr>
      </w:pPr>
      <w:bookmarkStart w:id="137" w:name="_Toc8240"/>
      <w:bookmarkStart w:id="138" w:name="_Toc17856"/>
      <w:r>
        <w:rPr>
          <w:rFonts w:hint="eastAsia" w:ascii="宋体" w:hAnsi="宋体" w:cs="宋体"/>
          <w:b/>
          <w:bCs/>
          <w:szCs w:val="32"/>
        </w:rPr>
        <w:t>1.5 合同文件的优先顺序</w:t>
      </w:r>
      <w:bookmarkEnd w:id="137"/>
      <w:bookmarkEnd w:id="138"/>
    </w:p>
    <w:p w14:paraId="55AF5C24">
      <w:pPr>
        <w:pStyle w:val="82"/>
        <w:spacing w:line="360" w:lineRule="auto"/>
        <w:ind w:firstLine="420" w:firstLineChars="200"/>
        <w:rPr>
          <w:rFonts w:hint="eastAsia" w:ascii="宋体" w:hAnsi="宋体" w:cs="宋体"/>
          <w:szCs w:val="21"/>
        </w:rPr>
      </w:pPr>
      <w:r>
        <w:rPr>
          <w:rFonts w:hint="eastAsia" w:ascii="宋体" w:hAnsi="宋体" w:cs="宋体"/>
          <w:szCs w:val="21"/>
        </w:rPr>
        <w:t>合同文件组成及优先顺序为：</w:t>
      </w:r>
    </w:p>
    <w:p w14:paraId="0BEC550C">
      <w:pPr>
        <w:spacing w:line="360" w:lineRule="auto"/>
        <w:ind w:firstLine="440" w:firstLineChars="200"/>
        <w:rPr>
          <w:rFonts w:hint="eastAsia" w:ascii="宋体" w:hAnsi="宋体" w:cs="宋体"/>
          <w:spacing w:val="5"/>
          <w:szCs w:val="21"/>
        </w:rPr>
      </w:pPr>
      <w:r>
        <w:rPr>
          <w:rFonts w:hint="eastAsia" w:ascii="宋体" w:hAnsi="宋体" w:cs="宋体"/>
          <w:spacing w:val="5"/>
          <w:szCs w:val="21"/>
        </w:rPr>
        <w:t>（1）合同协议书；</w:t>
      </w:r>
    </w:p>
    <w:p w14:paraId="0F263607">
      <w:pPr>
        <w:spacing w:line="360" w:lineRule="auto"/>
        <w:ind w:firstLine="440" w:firstLineChars="200"/>
        <w:rPr>
          <w:rFonts w:hint="eastAsia" w:ascii="宋体" w:hAnsi="宋体" w:cs="宋体"/>
          <w:spacing w:val="5"/>
          <w:szCs w:val="21"/>
        </w:rPr>
      </w:pPr>
      <w:r>
        <w:rPr>
          <w:rFonts w:hint="eastAsia" w:ascii="宋体" w:hAnsi="宋体" w:cs="宋体"/>
          <w:spacing w:val="5"/>
          <w:szCs w:val="21"/>
        </w:rPr>
        <w:t>（2）成交通知书；</w:t>
      </w:r>
    </w:p>
    <w:p w14:paraId="249BF795">
      <w:pPr>
        <w:spacing w:line="360" w:lineRule="auto"/>
        <w:ind w:firstLine="440" w:firstLineChars="200"/>
        <w:rPr>
          <w:rFonts w:hint="eastAsia" w:ascii="宋体" w:hAnsi="宋体" w:cs="宋体"/>
          <w:spacing w:val="5"/>
          <w:szCs w:val="21"/>
        </w:rPr>
      </w:pPr>
      <w:r>
        <w:rPr>
          <w:rFonts w:hint="eastAsia" w:ascii="宋体" w:hAnsi="宋体" w:cs="宋体"/>
          <w:spacing w:val="5"/>
          <w:szCs w:val="21"/>
        </w:rPr>
        <w:t>（3）</w:t>
      </w:r>
      <w:r>
        <w:rPr>
          <w:rFonts w:hint="eastAsia" w:hAnsi="宋体" w:cs="宋体"/>
        </w:rPr>
        <w:t>竞标函及竞标函附录</w:t>
      </w:r>
      <w:r>
        <w:rPr>
          <w:rFonts w:hint="eastAsia" w:ascii="宋体" w:hAnsi="宋体" w:cs="宋体"/>
          <w:spacing w:val="5"/>
          <w:szCs w:val="21"/>
        </w:rPr>
        <w:t>；</w:t>
      </w:r>
    </w:p>
    <w:p w14:paraId="67F73169">
      <w:pPr>
        <w:spacing w:line="360" w:lineRule="auto"/>
        <w:ind w:firstLine="440" w:firstLineChars="200"/>
        <w:rPr>
          <w:rFonts w:hint="eastAsia" w:ascii="宋体" w:hAnsi="宋体" w:cs="宋体"/>
          <w:spacing w:val="5"/>
          <w:szCs w:val="21"/>
        </w:rPr>
      </w:pPr>
      <w:r>
        <w:rPr>
          <w:rFonts w:hint="eastAsia" w:ascii="宋体" w:hAnsi="宋体" w:cs="宋体"/>
          <w:spacing w:val="5"/>
          <w:szCs w:val="21"/>
        </w:rPr>
        <w:t>（4）专用合同条款及其附件；</w:t>
      </w:r>
    </w:p>
    <w:p w14:paraId="5F67D937">
      <w:pPr>
        <w:spacing w:line="360" w:lineRule="auto"/>
        <w:ind w:firstLine="440" w:firstLineChars="200"/>
        <w:rPr>
          <w:rFonts w:hint="eastAsia" w:ascii="宋体" w:hAnsi="宋体" w:cs="宋体"/>
          <w:spacing w:val="5"/>
          <w:szCs w:val="21"/>
        </w:rPr>
      </w:pPr>
      <w:r>
        <w:rPr>
          <w:rFonts w:hint="eastAsia" w:ascii="宋体" w:hAnsi="宋体" w:cs="宋体"/>
          <w:spacing w:val="5"/>
          <w:szCs w:val="21"/>
        </w:rPr>
        <w:t>（5）通用合同条款；</w:t>
      </w:r>
    </w:p>
    <w:p w14:paraId="41E006B0">
      <w:pPr>
        <w:spacing w:line="360" w:lineRule="auto"/>
        <w:ind w:firstLine="440" w:firstLineChars="200"/>
        <w:rPr>
          <w:rFonts w:hint="eastAsia" w:ascii="宋体" w:hAnsi="宋体" w:cs="宋体"/>
          <w:spacing w:val="5"/>
          <w:szCs w:val="21"/>
        </w:rPr>
      </w:pPr>
      <w:r>
        <w:rPr>
          <w:rFonts w:hint="eastAsia" w:ascii="宋体" w:hAnsi="宋体" w:cs="宋体"/>
          <w:spacing w:val="5"/>
          <w:szCs w:val="21"/>
        </w:rPr>
        <w:t>（6）技术标准和要求；</w:t>
      </w:r>
    </w:p>
    <w:p w14:paraId="520CA19B">
      <w:pPr>
        <w:spacing w:line="360" w:lineRule="auto"/>
        <w:ind w:firstLine="440" w:firstLineChars="200"/>
        <w:rPr>
          <w:rFonts w:hint="eastAsia" w:ascii="宋体" w:hAnsi="宋体" w:cs="宋体"/>
          <w:spacing w:val="5"/>
          <w:szCs w:val="21"/>
        </w:rPr>
      </w:pPr>
      <w:r>
        <w:rPr>
          <w:rFonts w:hint="eastAsia" w:ascii="宋体" w:hAnsi="宋体" w:cs="宋体"/>
          <w:spacing w:val="5"/>
          <w:szCs w:val="21"/>
        </w:rPr>
        <w:t>（7）已标价工程量清单；</w:t>
      </w:r>
    </w:p>
    <w:p w14:paraId="045B36A9">
      <w:pPr>
        <w:spacing w:line="360" w:lineRule="auto"/>
        <w:ind w:firstLine="440" w:firstLineChars="200"/>
        <w:rPr>
          <w:rFonts w:hint="eastAsia" w:ascii="宋体" w:hAnsi="宋体" w:cs="宋体"/>
          <w:spacing w:val="5"/>
          <w:szCs w:val="21"/>
        </w:rPr>
      </w:pPr>
      <w:r>
        <w:rPr>
          <w:rFonts w:hint="eastAsia" w:ascii="宋体" w:hAnsi="宋体" w:cs="宋体"/>
          <w:spacing w:val="5"/>
          <w:szCs w:val="21"/>
        </w:rPr>
        <w:t>（8）图纸；</w:t>
      </w:r>
    </w:p>
    <w:p w14:paraId="1336A749">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9）《建设工程工程量清单计价规范（GB50500-2013）》及其广西实施细则及《关于建筑业实施营业税改征增值税后广西壮族自治区建设工程计价依据调整的通知》（桂建标〔2016〕17号）、《建设工程工程量清单计算规范（GB5854~50862-2013）》及其广西实施细则（修订本） (适用于实行工程量清单计价的项目) ；</w:t>
      </w:r>
    </w:p>
    <w:p w14:paraId="48C1E139">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 xml:space="preserve"> (10)</w:t>
      </w:r>
      <w:r>
        <w:rPr>
          <w:rFonts w:hint="eastAsia" w:ascii="宋体" w:hAnsi="宋体" w:cs="宋体"/>
        </w:rPr>
        <w:t>其他合同文件</w:t>
      </w:r>
      <w:r>
        <w:rPr>
          <w:rFonts w:hint="eastAsia" w:ascii="宋体" w:hAnsi="宋体" w:cs="宋体"/>
          <w:kern w:val="0"/>
          <w:szCs w:val="21"/>
        </w:rPr>
        <w:t>。</w:t>
      </w:r>
    </w:p>
    <w:p w14:paraId="157E45A4">
      <w:pPr>
        <w:pStyle w:val="82"/>
        <w:spacing w:line="360" w:lineRule="auto"/>
        <w:ind w:firstLine="420" w:firstLineChars="200"/>
        <w:rPr>
          <w:rFonts w:hint="eastAsia" w:ascii="宋体" w:hAnsi="宋体" w:cs="宋体"/>
          <w:kern w:val="0"/>
        </w:rPr>
      </w:pPr>
      <w:r>
        <w:rPr>
          <w:rFonts w:hint="eastAsia" w:ascii="宋体" w:hAnsi="宋体" w:cs="宋体"/>
          <w:kern w:val="0"/>
        </w:rPr>
        <w:t>上述各项合同文件包括合同当事人就该项合同文件所作出的补充和修改，属于同一类内容的文件，应以最新签署的为准（违反采购文件实质性内容的约定除外）。专用合同条款及其附件须经合同当事人签字或盖章。</w:t>
      </w:r>
    </w:p>
    <w:p w14:paraId="204A40B8">
      <w:pPr>
        <w:pStyle w:val="82"/>
        <w:keepNext/>
        <w:keepLines/>
        <w:spacing w:line="360" w:lineRule="auto"/>
        <w:outlineLvl w:val="2"/>
        <w:rPr>
          <w:rFonts w:hint="eastAsia" w:ascii="宋体" w:hAnsi="宋体" w:cs="宋体"/>
          <w:b/>
          <w:bCs/>
          <w:szCs w:val="32"/>
        </w:rPr>
      </w:pPr>
      <w:bookmarkStart w:id="139" w:name="_Toc14950"/>
      <w:bookmarkStart w:id="140" w:name="_Toc1778"/>
      <w:r>
        <w:rPr>
          <w:rFonts w:hint="eastAsia" w:ascii="宋体" w:hAnsi="宋体" w:cs="宋体"/>
          <w:b/>
          <w:bCs/>
          <w:szCs w:val="32"/>
        </w:rPr>
        <w:t>1.6 图纸和承包人文件</w:t>
      </w:r>
      <w:bookmarkEnd w:id="139"/>
      <w:bookmarkEnd w:id="140"/>
      <w:r>
        <w:rPr>
          <w:rFonts w:hint="eastAsia" w:ascii="宋体" w:hAnsi="宋体" w:cs="宋体"/>
          <w:b/>
          <w:bCs/>
          <w:szCs w:val="32"/>
        </w:rPr>
        <w:tab/>
      </w:r>
    </w:p>
    <w:p w14:paraId="1B5515D5">
      <w:pPr>
        <w:pStyle w:val="82"/>
        <w:spacing w:line="360" w:lineRule="auto"/>
        <w:ind w:firstLine="420" w:firstLineChars="200"/>
        <w:rPr>
          <w:rFonts w:hint="eastAsia" w:ascii="宋体" w:hAnsi="宋体" w:cs="宋体"/>
          <w:szCs w:val="21"/>
        </w:rPr>
      </w:pPr>
      <w:r>
        <w:rPr>
          <w:rFonts w:hint="eastAsia" w:ascii="宋体" w:hAnsi="宋体" w:cs="宋体"/>
          <w:szCs w:val="21"/>
        </w:rPr>
        <w:t>1.6.1 图纸的提供</w:t>
      </w:r>
    </w:p>
    <w:p w14:paraId="352E07B3">
      <w:pPr>
        <w:pStyle w:val="82"/>
        <w:spacing w:line="360" w:lineRule="auto"/>
        <w:ind w:firstLine="420" w:firstLineChars="200"/>
        <w:rPr>
          <w:rFonts w:hint="eastAsia"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开工前十四日</w:t>
      </w:r>
      <w:r>
        <w:rPr>
          <w:rFonts w:hint="eastAsia" w:ascii="宋体" w:hAnsi="宋体" w:cs="宋体"/>
          <w:szCs w:val="21"/>
        </w:rPr>
        <w:t>；</w:t>
      </w:r>
    </w:p>
    <w:p w14:paraId="3BF40C69">
      <w:pPr>
        <w:pStyle w:val="82"/>
        <w:spacing w:line="360" w:lineRule="auto"/>
        <w:ind w:firstLine="420" w:firstLineChars="200"/>
        <w:rPr>
          <w:rFonts w:hint="eastAsia"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叁份，如承包人需要追加图纸，发包人负责联系设计方代为复印，承包人向发包人支付相应的工本费，本项目的图纸只能用于本工地，未经发包人同意不得向第三方提供图纸</w:t>
      </w:r>
      <w:r>
        <w:rPr>
          <w:rFonts w:hint="eastAsia" w:ascii="宋体" w:hAnsi="宋体" w:cs="宋体"/>
          <w:szCs w:val="21"/>
        </w:rPr>
        <w:t>；</w:t>
      </w:r>
    </w:p>
    <w:p w14:paraId="44373984">
      <w:pPr>
        <w:pStyle w:val="82"/>
        <w:spacing w:line="360" w:lineRule="auto"/>
        <w:ind w:firstLine="420" w:firstLineChars="200"/>
        <w:rPr>
          <w:rFonts w:hint="eastAsia"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完整的施工设计图纸文件</w:t>
      </w:r>
      <w:r>
        <w:rPr>
          <w:rFonts w:hint="eastAsia" w:ascii="宋体" w:hAnsi="宋体" w:cs="宋体"/>
          <w:szCs w:val="21"/>
        </w:rPr>
        <w:t>。</w:t>
      </w:r>
    </w:p>
    <w:p w14:paraId="2C104940">
      <w:pPr>
        <w:pStyle w:val="82"/>
        <w:spacing w:line="360" w:lineRule="auto"/>
        <w:ind w:firstLine="420" w:firstLineChars="200"/>
        <w:rPr>
          <w:rFonts w:hint="eastAsia" w:ascii="宋体" w:hAnsi="宋体" w:cs="宋体"/>
          <w:szCs w:val="21"/>
        </w:rPr>
      </w:pPr>
      <w:r>
        <w:rPr>
          <w:rFonts w:hint="eastAsia" w:ascii="宋体" w:hAnsi="宋体" w:cs="宋体"/>
          <w:szCs w:val="21"/>
        </w:rPr>
        <w:t>1.6.4 承包人文件</w:t>
      </w:r>
    </w:p>
    <w:p w14:paraId="268F0501">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需要由承包人提供的文件，包括：</w:t>
      </w:r>
      <w:r>
        <w:rPr>
          <w:rFonts w:hint="eastAsia" w:ascii="宋体" w:hAnsi="宋体" w:cs="宋体"/>
          <w:szCs w:val="21"/>
          <w:u w:val="single"/>
        </w:rPr>
        <w:t>开工前7天应提供完善的施工组织设计和安全专项方案，其他需要由承包人提供的文件由双方另行确定；</w:t>
      </w:r>
    </w:p>
    <w:p w14:paraId="5AEADE96">
      <w:pPr>
        <w:pStyle w:val="82"/>
        <w:spacing w:line="360" w:lineRule="auto"/>
        <w:ind w:firstLine="420" w:firstLineChars="200"/>
        <w:rPr>
          <w:rFonts w:hint="eastAsia" w:ascii="宋体" w:hAnsi="宋体" w:cs="宋体"/>
          <w:szCs w:val="21"/>
        </w:rPr>
      </w:pPr>
      <w:r>
        <w:rPr>
          <w:rFonts w:hint="eastAsia" w:ascii="宋体" w:hAnsi="宋体" w:cs="宋体"/>
          <w:szCs w:val="21"/>
        </w:rPr>
        <w:t>承包人提供的文件的期限为：</w:t>
      </w:r>
      <w:r>
        <w:rPr>
          <w:rFonts w:hint="eastAsia" w:ascii="宋体" w:hAnsi="宋体" w:cs="宋体"/>
          <w:szCs w:val="21"/>
          <w:u w:val="single"/>
        </w:rPr>
        <w:t>开工前7天</w:t>
      </w:r>
      <w:r>
        <w:rPr>
          <w:rFonts w:hint="eastAsia" w:ascii="宋体" w:hAnsi="宋体" w:cs="宋体"/>
          <w:szCs w:val="21"/>
        </w:rPr>
        <w:t>；</w:t>
      </w:r>
    </w:p>
    <w:p w14:paraId="50A0A523">
      <w:pPr>
        <w:pStyle w:val="82"/>
        <w:spacing w:line="360" w:lineRule="auto"/>
        <w:ind w:firstLine="420" w:firstLineChars="200"/>
        <w:rPr>
          <w:rFonts w:hint="eastAsia" w:ascii="宋体" w:hAnsi="宋体" w:cs="宋体"/>
          <w:szCs w:val="21"/>
        </w:rPr>
      </w:pPr>
      <w:r>
        <w:rPr>
          <w:rFonts w:hint="eastAsia" w:ascii="宋体" w:hAnsi="宋体" w:cs="宋体"/>
          <w:szCs w:val="21"/>
        </w:rPr>
        <w:t>承包人提供的文件的数量为：</w:t>
      </w:r>
      <w:r>
        <w:rPr>
          <w:rFonts w:hint="eastAsia" w:ascii="宋体" w:hAnsi="宋体" w:cs="宋体"/>
          <w:szCs w:val="21"/>
          <w:u w:val="single"/>
        </w:rPr>
        <w:t>一式两份</w:t>
      </w:r>
      <w:r>
        <w:rPr>
          <w:rFonts w:hint="eastAsia" w:ascii="宋体" w:hAnsi="宋体" w:cs="宋体"/>
          <w:szCs w:val="21"/>
        </w:rPr>
        <w:t>；</w:t>
      </w:r>
    </w:p>
    <w:p w14:paraId="4A5048BB">
      <w:pPr>
        <w:pStyle w:val="82"/>
        <w:spacing w:line="360" w:lineRule="auto"/>
        <w:ind w:firstLine="420" w:firstLineChars="200"/>
        <w:rPr>
          <w:rFonts w:hint="eastAsia" w:ascii="宋体" w:hAnsi="宋体" w:cs="宋体"/>
          <w:szCs w:val="21"/>
        </w:rPr>
      </w:pPr>
      <w:r>
        <w:rPr>
          <w:rFonts w:hint="eastAsia" w:ascii="宋体" w:hAnsi="宋体" w:cs="宋体"/>
          <w:szCs w:val="21"/>
        </w:rPr>
        <w:t>承包人提供的文件的形式为：</w:t>
      </w:r>
      <w:r>
        <w:rPr>
          <w:rFonts w:hint="eastAsia" w:ascii="宋体" w:hAnsi="宋体" w:cs="宋体"/>
          <w:szCs w:val="21"/>
          <w:u w:val="single"/>
        </w:rPr>
        <w:t>书面形式及电子档</w:t>
      </w:r>
      <w:r>
        <w:rPr>
          <w:rFonts w:hint="eastAsia" w:ascii="宋体" w:hAnsi="宋体" w:cs="宋体"/>
          <w:szCs w:val="21"/>
        </w:rPr>
        <w:t>；</w:t>
      </w:r>
    </w:p>
    <w:p w14:paraId="294C8399">
      <w:pPr>
        <w:pStyle w:val="82"/>
        <w:spacing w:line="360" w:lineRule="auto"/>
        <w:ind w:firstLine="420" w:firstLineChars="200"/>
        <w:rPr>
          <w:rFonts w:hint="eastAsia" w:ascii="宋体" w:hAnsi="宋体" w:cs="宋体"/>
          <w:szCs w:val="21"/>
        </w:rPr>
      </w:pPr>
      <w:r>
        <w:rPr>
          <w:rFonts w:hint="eastAsia" w:ascii="宋体" w:hAnsi="宋体" w:cs="宋体"/>
          <w:szCs w:val="21"/>
        </w:rPr>
        <w:t>发包人审批承包人文件的期限：</w:t>
      </w:r>
      <w:r>
        <w:rPr>
          <w:rFonts w:hint="eastAsia" w:ascii="宋体" w:hAnsi="宋体" w:cs="宋体"/>
          <w:szCs w:val="21"/>
          <w:u w:val="single"/>
        </w:rPr>
        <w:t>接受之日起7天内</w:t>
      </w:r>
      <w:r>
        <w:rPr>
          <w:rFonts w:hint="eastAsia" w:ascii="宋体" w:hAnsi="宋体" w:cs="宋体"/>
          <w:szCs w:val="21"/>
        </w:rPr>
        <w:t>。</w:t>
      </w:r>
    </w:p>
    <w:p w14:paraId="33F0D659">
      <w:pPr>
        <w:pStyle w:val="82"/>
        <w:spacing w:line="360" w:lineRule="auto"/>
        <w:ind w:firstLine="420" w:firstLineChars="200"/>
        <w:rPr>
          <w:rFonts w:hint="eastAsia" w:ascii="宋体" w:hAnsi="宋体" w:cs="宋体"/>
          <w:szCs w:val="21"/>
        </w:rPr>
      </w:pPr>
      <w:r>
        <w:rPr>
          <w:rFonts w:hint="eastAsia" w:ascii="宋体" w:hAnsi="宋体" w:cs="宋体"/>
          <w:szCs w:val="21"/>
        </w:rPr>
        <w:t>1.6.5 现场图纸准备</w:t>
      </w:r>
    </w:p>
    <w:p w14:paraId="182335A7">
      <w:pPr>
        <w:pStyle w:val="82"/>
        <w:spacing w:line="360" w:lineRule="auto"/>
        <w:ind w:firstLine="420" w:firstLineChars="200"/>
        <w:rPr>
          <w:rFonts w:hint="eastAsia" w:ascii="宋体" w:hAnsi="宋体" w:cs="宋体"/>
          <w:szCs w:val="21"/>
        </w:rPr>
      </w:pPr>
      <w:r>
        <w:rPr>
          <w:rFonts w:hint="eastAsia" w:ascii="宋体" w:hAnsi="宋体" w:cs="宋体"/>
          <w:szCs w:val="21"/>
        </w:rPr>
        <w:t>关于现场图纸准备的约定：</w:t>
      </w:r>
      <w:r>
        <w:rPr>
          <w:rFonts w:hint="eastAsia" w:ascii="宋体" w:hAnsi="宋体" w:cs="宋体"/>
          <w:szCs w:val="21"/>
          <w:u w:val="single"/>
        </w:rPr>
        <w:t>承包人应在施工现场保留一套完整的施工图纸，供监理工程师和有关人员进行工程检查时使用</w:t>
      </w:r>
      <w:r>
        <w:rPr>
          <w:rFonts w:hint="eastAsia" w:ascii="宋体" w:hAnsi="宋体" w:cs="宋体"/>
          <w:szCs w:val="21"/>
        </w:rPr>
        <w:t>。</w:t>
      </w:r>
    </w:p>
    <w:p w14:paraId="27DF7DB6">
      <w:pPr>
        <w:pStyle w:val="82"/>
        <w:keepNext/>
        <w:keepLines/>
        <w:spacing w:line="360" w:lineRule="auto"/>
        <w:outlineLvl w:val="2"/>
        <w:rPr>
          <w:rFonts w:hint="eastAsia" w:ascii="宋体" w:hAnsi="宋体" w:cs="宋体"/>
          <w:b/>
          <w:bCs/>
          <w:szCs w:val="32"/>
        </w:rPr>
      </w:pPr>
      <w:bookmarkStart w:id="141" w:name="_Toc29014"/>
      <w:bookmarkStart w:id="142" w:name="_Toc9401"/>
      <w:r>
        <w:rPr>
          <w:rFonts w:hint="eastAsia" w:ascii="宋体" w:hAnsi="宋体" w:cs="宋体"/>
          <w:b/>
          <w:bCs/>
          <w:szCs w:val="32"/>
        </w:rPr>
        <w:t>1.7 联络</w:t>
      </w:r>
      <w:bookmarkEnd w:id="141"/>
      <w:bookmarkEnd w:id="142"/>
    </w:p>
    <w:p w14:paraId="5BAE1595">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1.7.1发包人和承包人应当在</w:t>
      </w:r>
      <w:r>
        <w:rPr>
          <w:rFonts w:hint="eastAsia" w:ascii="宋体" w:hAnsi="宋体" w:cs="宋体"/>
          <w:szCs w:val="21"/>
          <w:u w:val="single"/>
        </w:rPr>
        <w:t xml:space="preserve"> 7   </w:t>
      </w:r>
      <w:r>
        <w:rPr>
          <w:rFonts w:hint="eastAsia" w:ascii="宋体" w:hAnsi="宋体" w:cs="宋体"/>
          <w:kern w:val="0"/>
          <w:szCs w:val="21"/>
        </w:rPr>
        <w:t>天内将与合同有关的通知、批准、证明、证书、指示、指令、要求、请求、同意、意见、确定和决定等书面函件送达对方当事人。</w:t>
      </w:r>
    </w:p>
    <w:p w14:paraId="171892A1">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1.7.2 发包人接收文件的地点：</w:t>
      </w:r>
      <w:r>
        <w:rPr>
          <w:rFonts w:hint="eastAsia" w:ascii="宋体" w:hAnsi="宋体" w:cs="宋体"/>
          <w:kern w:val="0"/>
          <w:szCs w:val="21"/>
          <w:u w:val="single"/>
        </w:rPr>
        <w:t>发包人办公地点</w:t>
      </w:r>
      <w:r>
        <w:rPr>
          <w:rFonts w:hint="eastAsia" w:ascii="宋体" w:hAnsi="宋体" w:cs="宋体"/>
          <w:kern w:val="0"/>
          <w:szCs w:val="21"/>
        </w:rPr>
        <w:t>；</w:t>
      </w:r>
    </w:p>
    <w:p w14:paraId="33F30FAC">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发包人指定的接收人为：</w:t>
      </w:r>
      <w:r>
        <w:rPr>
          <w:rFonts w:hint="eastAsia" w:ascii="宋体" w:hAnsi="宋体" w:cs="宋体"/>
          <w:kern w:val="0"/>
          <w:szCs w:val="21"/>
          <w:u w:val="single"/>
        </w:rPr>
        <w:t>发包人代表</w:t>
      </w:r>
      <w:r>
        <w:rPr>
          <w:rFonts w:hint="eastAsia" w:ascii="宋体" w:hAnsi="宋体" w:cs="宋体"/>
          <w:kern w:val="0"/>
          <w:szCs w:val="21"/>
        </w:rPr>
        <w:t>。</w:t>
      </w:r>
    </w:p>
    <w:p w14:paraId="68D8E5C2">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承包人接收文件的地点：</w:t>
      </w:r>
      <w:r>
        <w:rPr>
          <w:rFonts w:hint="eastAsia" w:ascii="宋体" w:hAnsi="宋体" w:cs="宋体"/>
          <w:kern w:val="0"/>
          <w:szCs w:val="21"/>
          <w:u w:val="single"/>
        </w:rPr>
        <w:t>现场施工单位项目部</w:t>
      </w:r>
      <w:r>
        <w:rPr>
          <w:rFonts w:hint="eastAsia" w:ascii="宋体" w:hAnsi="宋体" w:cs="宋体"/>
          <w:kern w:val="0"/>
          <w:szCs w:val="21"/>
        </w:rPr>
        <w:t>；</w:t>
      </w:r>
    </w:p>
    <w:p w14:paraId="57BFBEEC">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承包人指定的接收人为：</w:t>
      </w:r>
      <w:r>
        <w:rPr>
          <w:rFonts w:hint="eastAsia" w:ascii="宋体" w:hAnsi="宋体" w:cs="宋体"/>
          <w:kern w:val="0"/>
          <w:szCs w:val="21"/>
          <w:u w:val="single"/>
        </w:rPr>
        <w:t>现场资料员</w:t>
      </w:r>
      <w:r>
        <w:rPr>
          <w:rFonts w:hint="eastAsia" w:ascii="宋体" w:hAnsi="宋体" w:cs="宋体"/>
          <w:kern w:val="0"/>
          <w:szCs w:val="21"/>
        </w:rPr>
        <w:t>。</w:t>
      </w:r>
    </w:p>
    <w:p w14:paraId="528C83C1">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监理人接收文件的地点：</w:t>
      </w:r>
      <w:r>
        <w:rPr>
          <w:rFonts w:hint="eastAsia" w:ascii="宋体" w:hAnsi="宋体" w:cs="宋体"/>
          <w:kern w:val="0"/>
          <w:szCs w:val="21"/>
          <w:u w:val="single"/>
        </w:rPr>
        <w:t>监理人施工现场监理办公室（如有）</w:t>
      </w:r>
      <w:r>
        <w:rPr>
          <w:rFonts w:hint="eastAsia" w:ascii="宋体" w:hAnsi="宋体" w:cs="宋体"/>
          <w:kern w:val="0"/>
          <w:szCs w:val="21"/>
        </w:rPr>
        <w:t>；</w:t>
      </w:r>
    </w:p>
    <w:p w14:paraId="6D3C8E88">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监理人指定的接收人为：</w:t>
      </w:r>
      <w:r>
        <w:rPr>
          <w:rFonts w:hint="eastAsia" w:ascii="宋体" w:hAnsi="宋体" w:cs="宋体"/>
          <w:kern w:val="0"/>
          <w:szCs w:val="21"/>
          <w:u w:val="single"/>
        </w:rPr>
        <w:t>项目总监或总监代理（如有）</w:t>
      </w:r>
      <w:r>
        <w:rPr>
          <w:rFonts w:hint="eastAsia" w:ascii="宋体" w:hAnsi="宋体" w:cs="宋体"/>
          <w:kern w:val="0"/>
          <w:szCs w:val="21"/>
        </w:rPr>
        <w:t>。</w:t>
      </w:r>
    </w:p>
    <w:p w14:paraId="77539DF6">
      <w:pPr>
        <w:pStyle w:val="82"/>
        <w:keepNext/>
        <w:keepLines/>
        <w:spacing w:line="360" w:lineRule="auto"/>
        <w:outlineLvl w:val="2"/>
        <w:rPr>
          <w:rFonts w:hint="eastAsia" w:ascii="宋体" w:hAnsi="宋体" w:cs="宋体"/>
          <w:b/>
          <w:bCs/>
          <w:szCs w:val="32"/>
        </w:rPr>
      </w:pPr>
      <w:bookmarkStart w:id="143" w:name="_Toc1280"/>
      <w:bookmarkStart w:id="144" w:name="_Toc23684"/>
      <w:r>
        <w:rPr>
          <w:rFonts w:hint="eastAsia" w:ascii="宋体" w:hAnsi="宋体" w:cs="宋体"/>
          <w:b/>
          <w:bCs/>
          <w:szCs w:val="32"/>
        </w:rPr>
        <w:t>1.10 交通运输</w:t>
      </w:r>
      <w:bookmarkEnd w:id="143"/>
      <w:bookmarkEnd w:id="144"/>
    </w:p>
    <w:p w14:paraId="5DE7F628">
      <w:pPr>
        <w:pStyle w:val="82"/>
        <w:spacing w:line="360" w:lineRule="auto"/>
        <w:ind w:firstLine="420" w:firstLineChars="200"/>
        <w:rPr>
          <w:rFonts w:hint="eastAsia" w:ascii="宋体" w:hAnsi="宋体" w:cs="宋体"/>
          <w:szCs w:val="21"/>
        </w:rPr>
      </w:pPr>
      <w:r>
        <w:rPr>
          <w:rFonts w:hint="eastAsia" w:ascii="宋体" w:hAnsi="宋体" w:cs="宋体"/>
          <w:szCs w:val="21"/>
        </w:rPr>
        <w:t>1.10.1 出入现场的权利</w:t>
      </w:r>
    </w:p>
    <w:p w14:paraId="2ECFFDCC">
      <w:pPr>
        <w:pStyle w:val="82"/>
        <w:spacing w:line="360" w:lineRule="auto"/>
        <w:ind w:firstLine="420" w:firstLineChars="200"/>
        <w:rPr>
          <w:rFonts w:hint="eastAsia" w:ascii="宋体" w:hAnsi="宋体" w:cs="宋体"/>
          <w:szCs w:val="21"/>
          <w:u w:val="single"/>
        </w:rPr>
      </w:pPr>
      <w:r>
        <w:rPr>
          <w:rFonts w:hint="eastAsia" w:ascii="宋体" w:hAnsi="宋体" w:cs="宋体"/>
          <w:szCs w:val="21"/>
        </w:rPr>
        <w:t>关于出入现场的权利的约定：</w:t>
      </w:r>
      <w:r>
        <w:rPr>
          <w:rFonts w:hint="eastAsia" w:ascii="宋体" w:hAnsi="宋体" w:cs="宋体"/>
          <w:szCs w:val="21"/>
          <w:u w:val="single"/>
        </w:rPr>
        <w:t>承包人负责办理取得道路通行权、场外设施修建权，其相关费用由承包人承担；负责施工所需的场内临时道路和交通设施的修建、维护、养护和管理，相关费用由承包人承担。发包人和监理人有权无偿使用承包人修建的临时道路和交通设施，不需要交纳任何费用。</w:t>
      </w:r>
    </w:p>
    <w:p w14:paraId="4CDE427D">
      <w:pPr>
        <w:pStyle w:val="82"/>
        <w:spacing w:line="360" w:lineRule="auto"/>
        <w:ind w:firstLine="420" w:firstLineChars="200"/>
        <w:jc w:val="left"/>
        <w:rPr>
          <w:rFonts w:hint="eastAsia" w:ascii="宋体" w:hAnsi="宋体" w:cs="宋体"/>
          <w:szCs w:val="21"/>
        </w:rPr>
      </w:pPr>
      <w:r>
        <w:rPr>
          <w:rFonts w:hint="eastAsia" w:ascii="宋体" w:hAnsi="宋体" w:cs="宋体"/>
          <w:szCs w:val="21"/>
        </w:rPr>
        <w:t>1.10.3 场内交通</w:t>
      </w:r>
    </w:p>
    <w:p w14:paraId="222FA63C">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关于场外交通和场内交通的边界的约定：</w:t>
      </w:r>
      <w:r>
        <w:rPr>
          <w:rFonts w:hint="eastAsia" w:ascii="宋体" w:hAnsi="宋体" w:cs="宋体"/>
          <w:szCs w:val="21"/>
          <w:u w:val="single"/>
        </w:rPr>
        <w:t>按“通用条款”执行</w:t>
      </w:r>
      <w:r>
        <w:rPr>
          <w:rFonts w:hint="eastAsia" w:ascii="宋体" w:hAnsi="宋体" w:cs="宋体"/>
          <w:szCs w:val="21"/>
        </w:rPr>
        <w:t>。</w:t>
      </w:r>
    </w:p>
    <w:p w14:paraId="672FF3C2">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关于发包人向承包人免费提供满足工程施工需要的场内道路和交通设施的约定：</w:t>
      </w:r>
      <w:r>
        <w:rPr>
          <w:rFonts w:hint="eastAsia" w:ascii="宋体" w:hAnsi="宋体" w:cs="宋体"/>
          <w:szCs w:val="21"/>
          <w:u w:val="single"/>
        </w:rPr>
        <w:t>无</w:t>
      </w:r>
      <w:r>
        <w:rPr>
          <w:rFonts w:hint="eastAsia" w:ascii="宋体" w:hAnsi="宋体" w:cs="宋体"/>
          <w:szCs w:val="21"/>
        </w:rPr>
        <w:t></w:t>
      </w:r>
    </w:p>
    <w:p w14:paraId="423B7531">
      <w:pPr>
        <w:pStyle w:val="82"/>
        <w:spacing w:line="360" w:lineRule="auto"/>
        <w:ind w:firstLine="420" w:firstLineChars="200"/>
        <w:jc w:val="left"/>
        <w:rPr>
          <w:rFonts w:hint="eastAsia" w:ascii="宋体" w:hAnsi="宋体" w:cs="宋体"/>
          <w:szCs w:val="21"/>
        </w:rPr>
      </w:pPr>
      <w:r>
        <w:rPr>
          <w:rFonts w:hint="eastAsia" w:ascii="宋体" w:hAnsi="宋体" w:cs="宋体"/>
          <w:szCs w:val="21"/>
        </w:rPr>
        <w:t>1.10.4 超大件和超重件的运输</w:t>
      </w:r>
    </w:p>
    <w:p w14:paraId="22369BE3">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另行协商</w:t>
      </w:r>
      <w:r>
        <w:rPr>
          <w:rFonts w:hint="eastAsia" w:ascii="宋体" w:hAnsi="宋体" w:cs="宋体"/>
          <w:szCs w:val="21"/>
        </w:rPr>
        <w:t>承担。</w:t>
      </w:r>
    </w:p>
    <w:p w14:paraId="48801186">
      <w:pPr>
        <w:pStyle w:val="82"/>
        <w:keepNext/>
        <w:keepLines/>
        <w:spacing w:line="360" w:lineRule="auto"/>
        <w:outlineLvl w:val="2"/>
        <w:rPr>
          <w:rFonts w:hint="eastAsia" w:ascii="宋体" w:hAnsi="宋体" w:cs="宋体"/>
          <w:b/>
          <w:bCs/>
          <w:szCs w:val="32"/>
        </w:rPr>
      </w:pPr>
      <w:bookmarkStart w:id="145" w:name="_Toc24133"/>
      <w:bookmarkStart w:id="146" w:name="_Toc18669"/>
      <w:r>
        <w:rPr>
          <w:rFonts w:hint="eastAsia" w:ascii="宋体" w:hAnsi="宋体" w:cs="宋体"/>
          <w:b/>
          <w:bCs/>
          <w:szCs w:val="32"/>
        </w:rPr>
        <w:t>1.11 知识产权</w:t>
      </w:r>
      <w:bookmarkEnd w:id="145"/>
      <w:bookmarkEnd w:id="146"/>
    </w:p>
    <w:p w14:paraId="28A2A5A5">
      <w:pPr>
        <w:pStyle w:val="82"/>
        <w:spacing w:line="360" w:lineRule="auto"/>
        <w:ind w:firstLine="420" w:firstLineChars="200"/>
        <w:rPr>
          <w:rFonts w:hint="eastAsia" w:ascii="宋体" w:hAnsi="宋体" w:cs="宋体"/>
          <w:szCs w:val="21"/>
        </w:rPr>
      </w:pPr>
      <w:r>
        <w:rPr>
          <w:rFonts w:hint="eastAsia" w:ascii="宋体" w:hAnsi="宋体" w:cs="宋体"/>
          <w:szCs w:val="21"/>
        </w:rPr>
        <w:t>1.11.1 关于发包人提供给承包人的图纸、发包人为实施工程自行编制或委托编制的技术规范以及反映发包人关于合同要求或其他类似性质的文件的著作权的归属：</w:t>
      </w:r>
      <w:r>
        <w:rPr>
          <w:rFonts w:hint="eastAsia" w:ascii="宋体" w:hAnsi="宋体" w:cs="宋体"/>
          <w:szCs w:val="21"/>
          <w:u w:val="single"/>
        </w:rPr>
        <w:t>归发包人所有</w:t>
      </w:r>
      <w:r>
        <w:rPr>
          <w:rFonts w:hint="eastAsia" w:ascii="宋体" w:hAnsi="宋体" w:cs="宋体"/>
          <w:szCs w:val="21"/>
        </w:rPr>
        <w:t>。</w:t>
      </w:r>
    </w:p>
    <w:p w14:paraId="454E9003">
      <w:pPr>
        <w:pStyle w:val="82"/>
        <w:spacing w:line="360" w:lineRule="auto"/>
        <w:ind w:firstLine="420" w:firstLineChars="200"/>
        <w:rPr>
          <w:rFonts w:hint="eastAsia" w:ascii="宋体" w:hAnsi="宋体" w:cs="宋体"/>
          <w:szCs w:val="21"/>
        </w:rPr>
      </w:pPr>
      <w:r>
        <w:rPr>
          <w:rFonts w:hint="eastAsia" w:ascii="宋体" w:hAnsi="宋体" w:cs="宋体"/>
          <w:szCs w:val="21"/>
        </w:rPr>
        <w:t>关于发包人提供的上述文件的使用限制的要求：</w:t>
      </w:r>
      <w:r>
        <w:rPr>
          <w:rFonts w:hint="eastAsia" w:ascii="宋体" w:hAnsi="宋体" w:cs="宋体"/>
          <w:szCs w:val="21"/>
          <w:u w:val="single"/>
        </w:rPr>
        <w:t>不得用于与本工程无关的其他事项</w:t>
      </w:r>
      <w:r>
        <w:rPr>
          <w:rFonts w:hint="eastAsia" w:ascii="宋体" w:hAnsi="宋体" w:cs="宋体"/>
          <w:szCs w:val="21"/>
        </w:rPr>
        <w:t>。</w:t>
      </w:r>
    </w:p>
    <w:p w14:paraId="2AF75F6E">
      <w:pPr>
        <w:pStyle w:val="82"/>
        <w:spacing w:line="360" w:lineRule="auto"/>
        <w:ind w:firstLine="420" w:firstLineChars="200"/>
        <w:rPr>
          <w:rFonts w:hint="eastAsia" w:ascii="宋体" w:hAnsi="宋体" w:cs="宋体"/>
          <w:szCs w:val="21"/>
        </w:rPr>
      </w:pPr>
      <w:r>
        <w:rPr>
          <w:rFonts w:hint="eastAsia" w:ascii="宋体" w:hAnsi="宋体" w:cs="宋体"/>
          <w:szCs w:val="21"/>
        </w:rPr>
        <w:t>1.11.2 关于承包人为实施工程所编制文件的著作权的归属：</w:t>
      </w:r>
      <w:r>
        <w:rPr>
          <w:rFonts w:hint="eastAsia" w:ascii="宋体" w:hAnsi="宋体" w:cs="宋体"/>
          <w:szCs w:val="21"/>
          <w:u w:val="single"/>
        </w:rPr>
        <w:t xml:space="preserve">除署名权以外的著作权全属于发包人 </w:t>
      </w:r>
      <w:r>
        <w:rPr>
          <w:rFonts w:hint="eastAsia" w:ascii="宋体" w:hAnsi="宋体" w:cs="宋体"/>
          <w:szCs w:val="21"/>
        </w:rPr>
        <w:t>。</w:t>
      </w:r>
    </w:p>
    <w:p w14:paraId="0A2D349C">
      <w:pPr>
        <w:pStyle w:val="82"/>
        <w:spacing w:line="360" w:lineRule="auto"/>
        <w:ind w:firstLine="420" w:firstLineChars="200"/>
        <w:rPr>
          <w:rFonts w:hint="eastAsia" w:ascii="宋体" w:hAnsi="宋体" w:cs="宋体"/>
          <w:szCs w:val="21"/>
          <w:u w:val="single"/>
        </w:rPr>
      </w:pPr>
      <w:r>
        <w:rPr>
          <w:rFonts w:hint="eastAsia" w:ascii="宋体" w:hAnsi="宋体" w:cs="宋体"/>
          <w:szCs w:val="21"/>
        </w:rPr>
        <w:t>关于承包人提供的上述文件的使用限制的要求：</w:t>
      </w:r>
      <w:r>
        <w:rPr>
          <w:rFonts w:hint="eastAsia" w:ascii="宋体" w:hAnsi="宋体" w:cs="宋体"/>
          <w:szCs w:val="21"/>
          <w:u w:val="single"/>
        </w:rPr>
        <w:t>不得用于与本工程无关的其他事项，且文件的使用不得损害发包人的利益</w:t>
      </w:r>
      <w:r>
        <w:rPr>
          <w:rFonts w:hint="eastAsia" w:ascii="宋体" w:hAnsi="宋体" w:cs="宋体"/>
          <w:szCs w:val="21"/>
        </w:rPr>
        <w:t>。</w:t>
      </w:r>
    </w:p>
    <w:p w14:paraId="66CF4798">
      <w:pPr>
        <w:pStyle w:val="82"/>
        <w:spacing w:line="360" w:lineRule="auto"/>
        <w:ind w:firstLine="420" w:firstLineChars="200"/>
        <w:rPr>
          <w:rFonts w:hint="eastAsia" w:ascii="宋体" w:hAnsi="宋体" w:cs="宋体"/>
          <w:szCs w:val="21"/>
          <w:u w:val="single"/>
        </w:rPr>
      </w:pPr>
      <w:r>
        <w:rPr>
          <w:rFonts w:hint="eastAsia" w:ascii="宋体" w:hAnsi="宋体" w:cs="宋体"/>
          <w:szCs w:val="21"/>
        </w:rPr>
        <w:t>1.11.4 承包人在施工过程中所采用的专利、专有技术、技术秘密的使用费的承担方式：</w:t>
      </w:r>
      <w:r>
        <w:rPr>
          <w:rFonts w:hint="eastAsia" w:ascii="宋体" w:hAnsi="宋体" w:cs="宋体"/>
          <w:szCs w:val="21"/>
          <w:u w:val="single"/>
        </w:rPr>
        <w:t xml:space="preserve">承包人承担 </w:t>
      </w:r>
      <w:r>
        <w:rPr>
          <w:rFonts w:hint="eastAsia" w:ascii="宋体" w:hAnsi="宋体" w:cs="宋体"/>
          <w:kern w:val="0"/>
          <w:szCs w:val="21"/>
        </w:rPr>
        <w:t>。</w:t>
      </w:r>
    </w:p>
    <w:p w14:paraId="66F2E345">
      <w:pPr>
        <w:pStyle w:val="82"/>
        <w:keepNext/>
        <w:keepLines/>
        <w:spacing w:line="360" w:lineRule="auto"/>
        <w:outlineLvl w:val="2"/>
        <w:rPr>
          <w:rFonts w:hint="eastAsia" w:ascii="宋体" w:hAnsi="宋体" w:cs="宋体"/>
          <w:b/>
          <w:bCs/>
          <w:szCs w:val="32"/>
        </w:rPr>
      </w:pPr>
      <w:bookmarkStart w:id="147" w:name="_Toc8200"/>
      <w:bookmarkStart w:id="148" w:name="_Toc12123"/>
      <w:r>
        <w:rPr>
          <w:rFonts w:hint="eastAsia" w:ascii="宋体" w:hAnsi="宋体" w:cs="宋体"/>
          <w:b/>
          <w:bCs/>
          <w:szCs w:val="32"/>
        </w:rPr>
        <w:t>1.13工程量清单错误的修正</w:t>
      </w:r>
      <w:bookmarkEnd w:id="147"/>
      <w:bookmarkEnd w:id="148"/>
    </w:p>
    <w:p w14:paraId="52A54281">
      <w:pPr>
        <w:pStyle w:val="82"/>
        <w:bidi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出现工程量清单工程量偏差时，是否调整合同价格：</w:t>
      </w:r>
      <w:r>
        <w:rPr>
          <w:rFonts w:hint="eastAsia" w:ascii="宋体" w:hAnsi="宋体" w:cs="宋体"/>
          <w:color w:val="auto"/>
          <w:highlight w:val="none"/>
          <w:u w:val="single"/>
          <w:lang w:eastAsia="zh-CN"/>
        </w:rPr>
        <w:t>否</w:t>
      </w:r>
      <w:r>
        <w:rPr>
          <w:rFonts w:hint="eastAsia" w:ascii="宋体" w:hAnsi="宋体" w:eastAsia="宋体" w:cs="宋体"/>
          <w:color w:val="auto"/>
          <w:kern w:val="0"/>
          <w:szCs w:val="21"/>
          <w:highlight w:val="none"/>
        </w:rPr>
        <w:t>。</w:t>
      </w:r>
    </w:p>
    <w:p w14:paraId="297ABF76">
      <w:pPr>
        <w:pStyle w:val="82"/>
        <w:spacing w:line="360" w:lineRule="auto"/>
        <w:rPr>
          <w:rFonts w:hint="eastAsia" w:ascii="宋体" w:hAnsi="宋体" w:cs="宋体"/>
          <w:b/>
          <w:bCs/>
          <w:szCs w:val="32"/>
        </w:rPr>
      </w:pPr>
      <w:r>
        <w:rPr>
          <w:rFonts w:hint="eastAsia" w:ascii="宋体" w:hAnsi="宋体" w:cs="宋体"/>
          <w:b/>
          <w:bCs/>
          <w:szCs w:val="32"/>
        </w:rPr>
        <w:t>2. 发包人</w:t>
      </w:r>
    </w:p>
    <w:p w14:paraId="7D6E82DD">
      <w:pPr>
        <w:pStyle w:val="82"/>
        <w:keepNext/>
        <w:keepLines/>
        <w:spacing w:line="360" w:lineRule="auto"/>
        <w:outlineLvl w:val="2"/>
        <w:rPr>
          <w:rFonts w:hint="eastAsia" w:ascii="宋体" w:hAnsi="宋体" w:cs="宋体"/>
          <w:b/>
          <w:bCs/>
          <w:szCs w:val="32"/>
        </w:rPr>
      </w:pPr>
      <w:bookmarkStart w:id="149" w:name="_Toc4904"/>
      <w:bookmarkStart w:id="150" w:name="_Toc986"/>
      <w:r>
        <w:rPr>
          <w:rFonts w:hint="eastAsia" w:ascii="宋体" w:hAnsi="宋体" w:cs="宋体"/>
          <w:b/>
          <w:bCs/>
          <w:szCs w:val="32"/>
        </w:rPr>
        <w:t>2.2 发包人代表</w:t>
      </w:r>
      <w:bookmarkEnd w:id="149"/>
      <w:bookmarkEnd w:id="150"/>
    </w:p>
    <w:p w14:paraId="7893A658">
      <w:pPr>
        <w:pStyle w:val="82"/>
        <w:spacing w:line="360" w:lineRule="auto"/>
        <w:ind w:firstLine="420" w:firstLineChars="200"/>
        <w:rPr>
          <w:rFonts w:hint="eastAsia" w:ascii="宋体" w:hAnsi="宋体" w:cs="宋体"/>
          <w:szCs w:val="21"/>
        </w:rPr>
      </w:pPr>
      <w:r>
        <w:rPr>
          <w:rFonts w:hint="eastAsia" w:ascii="宋体" w:hAnsi="宋体" w:cs="宋体"/>
          <w:szCs w:val="21"/>
        </w:rPr>
        <w:t>发包人代表：</w:t>
      </w:r>
    </w:p>
    <w:p w14:paraId="2F264C97">
      <w:pPr>
        <w:pStyle w:val="82"/>
        <w:spacing w:line="360" w:lineRule="auto"/>
        <w:ind w:firstLine="420" w:firstLineChars="200"/>
        <w:rPr>
          <w:rFonts w:hint="eastAsia" w:ascii="宋体" w:hAnsi="宋体" w:cs="宋体"/>
          <w:szCs w:val="21"/>
        </w:rPr>
      </w:pPr>
      <w:r>
        <w:rPr>
          <w:rFonts w:hint="eastAsia" w:ascii="宋体" w:hAnsi="宋体" w:cs="宋体"/>
          <w:szCs w:val="21"/>
        </w:rPr>
        <w:t>姓名：</w:t>
      </w:r>
      <w:r>
        <w:rPr>
          <w:rFonts w:hint="eastAsia" w:ascii="宋体" w:hAnsi="宋体" w:cs="宋体"/>
          <w:szCs w:val="21"/>
          <w:u w:val="single"/>
        </w:rPr>
        <w:t></w:t>
      </w:r>
      <w:r>
        <w:rPr>
          <w:rFonts w:hint="eastAsia" w:ascii="宋体" w:hAnsi="宋体" w:cs="宋体"/>
          <w:szCs w:val="21"/>
        </w:rPr>
        <w:t>；</w:t>
      </w:r>
    </w:p>
    <w:p w14:paraId="7011DB52">
      <w:pPr>
        <w:pStyle w:val="82"/>
        <w:spacing w:line="360" w:lineRule="auto"/>
        <w:ind w:firstLine="420" w:firstLineChars="200"/>
        <w:rPr>
          <w:rFonts w:hint="eastAsia" w:ascii="宋体" w:hAnsi="宋体" w:cs="宋体"/>
          <w:szCs w:val="21"/>
        </w:rPr>
      </w:pPr>
      <w:r>
        <w:rPr>
          <w:rFonts w:hint="eastAsia" w:ascii="宋体" w:hAnsi="宋体" w:cs="宋体"/>
          <w:szCs w:val="21"/>
        </w:rPr>
        <w:t>身份证号：</w:t>
      </w:r>
      <w:r>
        <w:rPr>
          <w:rFonts w:hint="eastAsia" w:ascii="宋体" w:hAnsi="宋体" w:cs="宋体"/>
          <w:szCs w:val="21"/>
          <w:u w:val="single"/>
        </w:rPr>
        <w:t></w:t>
      </w:r>
      <w:r>
        <w:rPr>
          <w:rFonts w:hint="eastAsia" w:ascii="宋体" w:hAnsi="宋体" w:cs="宋体"/>
          <w:szCs w:val="21"/>
        </w:rPr>
        <w:t>；</w:t>
      </w:r>
    </w:p>
    <w:p w14:paraId="1C5A91A3">
      <w:pPr>
        <w:pStyle w:val="82"/>
        <w:spacing w:line="360" w:lineRule="auto"/>
        <w:ind w:firstLine="420" w:firstLineChars="200"/>
        <w:rPr>
          <w:rFonts w:hint="eastAsia" w:ascii="宋体" w:hAnsi="宋体" w:cs="宋体"/>
          <w:szCs w:val="21"/>
        </w:rPr>
      </w:pPr>
      <w:r>
        <w:rPr>
          <w:rFonts w:hint="eastAsia" w:ascii="宋体" w:hAnsi="宋体" w:cs="宋体"/>
          <w:szCs w:val="21"/>
        </w:rPr>
        <w:t>职务：</w:t>
      </w:r>
      <w:r>
        <w:rPr>
          <w:rFonts w:hint="eastAsia" w:ascii="宋体" w:hAnsi="宋体" w:cs="宋体"/>
          <w:szCs w:val="21"/>
          <w:u w:val="single"/>
        </w:rPr>
        <w:t></w:t>
      </w:r>
      <w:r>
        <w:rPr>
          <w:rFonts w:hint="eastAsia" w:ascii="宋体" w:hAnsi="宋体" w:cs="宋体"/>
          <w:szCs w:val="21"/>
        </w:rPr>
        <w:t>；</w:t>
      </w:r>
    </w:p>
    <w:p w14:paraId="19B193F8">
      <w:pPr>
        <w:pStyle w:val="82"/>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w:t>
      </w:r>
      <w:r>
        <w:rPr>
          <w:rFonts w:hint="eastAsia" w:ascii="宋体" w:hAnsi="宋体" w:cs="宋体"/>
          <w:szCs w:val="21"/>
        </w:rPr>
        <w:t>；</w:t>
      </w:r>
    </w:p>
    <w:p w14:paraId="7C1F9AE3">
      <w:pPr>
        <w:pStyle w:val="82"/>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w:t>
      </w:r>
      <w:r>
        <w:rPr>
          <w:rFonts w:hint="eastAsia" w:ascii="宋体" w:hAnsi="宋体" w:cs="宋体"/>
          <w:szCs w:val="21"/>
        </w:rPr>
        <w:t>；</w:t>
      </w:r>
    </w:p>
    <w:p w14:paraId="3C2C3030">
      <w:pPr>
        <w:pStyle w:val="82"/>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w:t>
      </w:r>
      <w:r>
        <w:rPr>
          <w:rFonts w:hint="eastAsia" w:ascii="宋体" w:hAnsi="宋体" w:cs="宋体"/>
          <w:szCs w:val="21"/>
        </w:rPr>
        <w:t>。</w:t>
      </w:r>
    </w:p>
    <w:p w14:paraId="6DACBFB2">
      <w:pPr>
        <w:pStyle w:val="82"/>
        <w:spacing w:line="360" w:lineRule="auto"/>
        <w:ind w:firstLine="420" w:firstLineChars="200"/>
        <w:rPr>
          <w:rFonts w:hint="eastAsia" w:ascii="宋体" w:hAnsi="宋体" w:cs="宋体"/>
          <w:szCs w:val="21"/>
          <w:u w:val="single"/>
        </w:rPr>
      </w:pPr>
      <w:r>
        <w:rPr>
          <w:rFonts w:hint="eastAsia" w:ascii="宋体" w:hAnsi="宋体" w:cs="宋体"/>
          <w:szCs w:val="21"/>
        </w:rPr>
        <w:t>发包人对发包人代表的授权范围如下：</w:t>
      </w:r>
      <w:r>
        <w:rPr>
          <w:rFonts w:hint="eastAsia" w:ascii="宋体" w:hAnsi="宋体" w:cs="宋体"/>
          <w:szCs w:val="21"/>
          <w:u w:val="single"/>
        </w:rPr>
        <w:t>组织、管理、监督各参建单位的现场行为，同时协调各参建单位及相关部门的工作关系</w:t>
      </w:r>
      <w:r>
        <w:rPr>
          <w:rFonts w:hint="eastAsia" w:ascii="宋体" w:hAnsi="宋体" w:cs="宋体"/>
          <w:szCs w:val="21"/>
        </w:rPr>
        <w:t>。</w:t>
      </w:r>
    </w:p>
    <w:p w14:paraId="63BD6D1A">
      <w:pPr>
        <w:pStyle w:val="82"/>
        <w:keepNext/>
        <w:keepLines/>
        <w:spacing w:line="360" w:lineRule="auto"/>
        <w:outlineLvl w:val="2"/>
        <w:rPr>
          <w:rFonts w:hint="eastAsia" w:ascii="宋体" w:hAnsi="宋体" w:cs="宋体"/>
          <w:b/>
          <w:bCs/>
          <w:szCs w:val="32"/>
        </w:rPr>
      </w:pPr>
      <w:bookmarkStart w:id="151" w:name="_Toc21450"/>
      <w:bookmarkStart w:id="152" w:name="_Toc10272"/>
      <w:r>
        <w:rPr>
          <w:rFonts w:hint="eastAsia" w:ascii="宋体" w:hAnsi="宋体" w:cs="宋体"/>
          <w:b/>
          <w:bCs/>
          <w:szCs w:val="32"/>
        </w:rPr>
        <w:t>2.4 施工现场、施工条件和基础资料的提供</w:t>
      </w:r>
      <w:bookmarkEnd w:id="151"/>
      <w:bookmarkEnd w:id="152"/>
    </w:p>
    <w:p w14:paraId="27E4EA12">
      <w:pPr>
        <w:pStyle w:val="82"/>
        <w:spacing w:line="360" w:lineRule="auto"/>
        <w:ind w:firstLine="420" w:firstLineChars="200"/>
        <w:rPr>
          <w:rFonts w:hint="eastAsia" w:ascii="宋体" w:hAnsi="宋体" w:cs="宋体"/>
          <w:szCs w:val="21"/>
        </w:rPr>
      </w:pPr>
      <w:r>
        <w:rPr>
          <w:rFonts w:hint="eastAsia" w:ascii="宋体" w:hAnsi="宋体" w:cs="宋体"/>
          <w:szCs w:val="21"/>
        </w:rPr>
        <w:t>2.4.1 提供施工现场</w:t>
      </w:r>
    </w:p>
    <w:p w14:paraId="302B00BF">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关于发包人移交施工现场的期限要求：</w:t>
      </w:r>
      <w:r>
        <w:rPr>
          <w:rFonts w:hint="eastAsia" w:ascii="宋体" w:hAnsi="宋体" w:cs="宋体"/>
          <w:szCs w:val="21"/>
          <w:u w:val="single"/>
        </w:rPr>
        <w:t>开工前7天内</w:t>
      </w:r>
      <w:r>
        <w:rPr>
          <w:rFonts w:hint="eastAsia" w:ascii="宋体" w:hAnsi="宋体" w:cs="宋体"/>
          <w:szCs w:val="21"/>
        </w:rPr>
        <w:t>。</w:t>
      </w:r>
    </w:p>
    <w:p w14:paraId="1674C3DA">
      <w:pPr>
        <w:pStyle w:val="82"/>
        <w:spacing w:line="360" w:lineRule="auto"/>
        <w:ind w:firstLine="420" w:firstLineChars="200"/>
        <w:rPr>
          <w:rFonts w:hint="eastAsia" w:ascii="宋体" w:hAnsi="宋体" w:cs="宋体"/>
          <w:szCs w:val="21"/>
        </w:rPr>
      </w:pPr>
      <w:r>
        <w:rPr>
          <w:rFonts w:hint="eastAsia" w:ascii="宋体" w:hAnsi="宋体" w:cs="宋体"/>
          <w:szCs w:val="21"/>
        </w:rPr>
        <w:t>2.4.2 提供施工条件</w:t>
      </w:r>
    </w:p>
    <w:p w14:paraId="106C94F6">
      <w:pPr>
        <w:pStyle w:val="82"/>
        <w:spacing w:line="360" w:lineRule="auto"/>
        <w:ind w:firstLine="420" w:firstLineChars="200"/>
        <w:rPr>
          <w:rFonts w:hint="eastAsia" w:ascii="宋体" w:hAnsi="宋体" w:cs="宋体"/>
          <w:szCs w:val="21"/>
        </w:rPr>
      </w:pPr>
      <w:r>
        <w:rPr>
          <w:rFonts w:hint="eastAsia" w:ascii="宋体" w:hAnsi="宋体" w:cs="宋体"/>
          <w:szCs w:val="21"/>
        </w:rPr>
        <w:t>关于发包人应负责提供施工所需要的条件，包括：</w:t>
      </w:r>
      <w:r>
        <w:rPr>
          <w:rFonts w:hint="eastAsia" w:ascii="宋体" w:hAnsi="宋体" w:cs="宋体"/>
          <w:szCs w:val="21"/>
          <w:u w:val="single"/>
        </w:rPr>
        <w:t>1、按“通用条款”。2、发包方协助承包人办理临时用地租用，协调与电力、供水及当地政府部门的关系</w:t>
      </w:r>
      <w:r>
        <w:rPr>
          <w:rFonts w:hint="eastAsia" w:ascii="宋体" w:hAnsi="宋体" w:cs="宋体"/>
          <w:szCs w:val="21"/>
        </w:rPr>
        <w:t>。</w:t>
      </w:r>
    </w:p>
    <w:p w14:paraId="59E2E7B6">
      <w:pPr>
        <w:pStyle w:val="82"/>
        <w:keepNext/>
        <w:keepLines/>
        <w:spacing w:line="360" w:lineRule="auto"/>
        <w:outlineLvl w:val="2"/>
        <w:rPr>
          <w:rFonts w:hint="eastAsia" w:ascii="宋体" w:hAnsi="宋体" w:cs="宋体"/>
          <w:b/>
          <w:bCs/>
          <w:szCs w:val="32"/>
        </w:rPr>
      </w:pPr>
      <w:bookmarkStart w:id="153" w:name="_Toc22299"/>
      <w:bookmarkStart w:id="154" w:name="_Toc19878"/>
      <w:r>
        <w:rPr>
          <w:rFonts w:hint="eastAsia" w:ascii="宋体" w:hAnsi="宋体" w:cs="宋体"/>
          <w:b/>
          <w:bCs/>
          <w:szCs w:val="32"/>
        </w:rPr>
        <w:t>2.5 资金来源证明及支付担保</w:t>
      </w:r>
      <w:bookmarkEnd w:id="153"/>
      <w:bookmarkEnd w:id="154"/>
    </w:p>
    <w:p w14:paraId="16D007F4">
      <w:pPr>
        <w:pStyle w:val="82"/>
        <w:spacing w:line="360" w:lineRule="auto"/>
        <w:ind w:firstLine="420" w:firstLineChars="200"/>
        <w:rPr>
          <w:rFonts w:hint="eastAsia"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          </w:t>
      </w:r>
      <w:r>
        <w:rPr>
          <w:rFonts w:hint="eastAsia" w:ascii="宋体" w:hAnsi="宋体" w:cs="宋体"/>
          <w:szCs w:val="21"/>
        </w:rPr>
        <w:t>。</w:t>
      </w:r>
    </w:p>
    <w:p w14:paraId="1357052D">
      <w:pPr>
        <w:pStyle w:val="82"/>
        <w:spacing w:line="360" w:lineRule="auto"/>
        <w:ind w:firstLine="420" w:firstLineChars="200"/>
        <w:rPr>
          <w:rFonts w:hint="eastAsia"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         </w:t>
      </w:r>
      <w:r>
        <w:rPr>
          <w:rFonts w:hint="eastAsia" w:ascii="宋体" w:hAnsi="宋体" w:cs="宋体"/>
          <w:szCs w:val="21"/>
        </w:rPr>
        <w:t>。</w:t>
      </w:r>
    </w:p>
    <w:p w14:paraId="64ED9879">
      <w:pPr>
        <w:pStyle w:val="82"/>
        <w:spacing w:line="360" w:lineRule="auto"/>
        <w:ind w:firstLine="420" w:firstLineChars="200"/>
        <w:rPr>
          <w:rFonts w:hint="eastAsia" w:ascii="宋体" w:hAnsi="宋体" w:cs="宋体"/>
          <w:szCs w:val="21"/>
        </w:rPr>
      </w:pPr>
      <w:r>
        <w:rPr>
          <w:rFonts w:hint="eastAsia" w:ascii="宋体" w:hAnsi="宋体" w:cs="宋体"/>
          <w:szCs w:val="21"/>
        </w:rPr>
        <w:t>发包人提供支付担保的形式：</w:t>
      </w:r>
      <w:r>
        <w:rPr>
          <w:rFonts w:hint="eastAsia" w:ascii="宋体" w:hAnsi="宋体" w:cs="宋体"/>
          <w:szCs w:val="21"/>
          <w:u w:val="single"/>
        </w:rPr>
        <w:t>       /              </w:t>
      </w:r>
      <w:r>
        <w:rPr>
          <w:rFonts w:hint="eastAsia" w:ascii="宋体" w:hAnsi="宋体" w:cs="宋体"/>
          <w:szCs w:val="21"/>
        </w:rPr>
        <w:t>。</w:t>
      </w:r>
    </w:p>
    <w:p w14:paraId="5A5D6B52">
      <w:pPr>
        <w:pStyle w:val="82"/>
        <w:keepNext/>
        <w:keepLines/>
        <w:spacing w:before="60" w:after="60" w:line="413" w:lineRule="auto"/>
        <w:outlineLvl w:val="1"/>
        <w:rPr>
          <w:rFonts w:hint="eastAsia" w:ascii="宋体" w:hAnsi="宋体" w:cs="宋体"/>
          <w:b/>
          <w:bCs/>
          <w:szCs w:val="32"/>
        </w:rPr>
      </w:pPr>
      <w:bookmarkStart w:id="155" w:name="_Toc27962"/>
      <w:bookmarkStart w:id="156" w:name="_Toc5552"/>
      <w:r>
        <w:rPr>
          <w:rFonts w:hint="eastAsia" w:ascii="宋体" w:hAnsi="宋体" w:cs="宋体"/>
          <w:b/>
          <w:bCs/>
          <w:szCs w:val="32"/>
        </w:rPr>
        <w:t>3. 承包人</w:t>
      </w:r>
      <w:bookmarkEnd w:id="155"/>
      <w:bookmarkEnd w:id="156"/>
    </w:p>
    <w:p w14:paraId="1FAAFD08">
      <w:pPr>
        <w:pStyle w:val="82"/>
        <w:keepNext/>
        <w:keepLines/>
        <w:spacing w:line="360" w:lineRule="auto"/>
        <w:outlineLvl w:val="2"/>
        <w:rPr>
          <w:rFonts w:hint="eastAsia" w:ascii="宋体" w:hAnsi="宋体" w:cs="宋体"/>
          <w:b/>
          <w:bCs/>
          <w:szCs w:val="32"/>
        </w:rPr>
      </w:pPr>
      <w:bookmarkStart w:id="157" w:name="_Toc18546"/>
      <w:bookmarkStart w:id="158" w:name="_Toc30675"/>
      <w:r>
        <w:rPr>
          <w:rFonts w:hint="eastAsia" w:ascii="宋体" w:hAnsi="宋体" w:cs="宋体"/>
          <w:b/>
          <w:bCs/>
          <w:szCs w:val="32"/>
        </w:rPr>
        <w:t>3.1 承包人的一般义务</w:t>
      </w:r>
      <w:bookmarkEnd w:id="157"/>
      <w:bookmarkEnd w:id="158"/>
    </w:p>
    <w:p w14:paraId="78115DAA">
      <w:pPr>
        <w:pStyle w:val="82"/>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（9）</w:t>
      </w:r>
      <w:r>
        <w:rPr>
          <w:rFonts w:hint="eastAsia" w:ascii="宋体" w:hAnsi="宋体" w:cs="宋体"/>
          <w:szCs w:val="21"/>
        </w:rPr>
        <w:t>承包人提交的竣工资料的内容：</w:t>
      </w:r>
      <w:r>
        <w:rPr>
          <w:rFonts w:hint="eastAsia" w:ascii="宋体" w:hAnsi="宋体" w:cs="宋体"/>
          <w:szCs w:val="21"/>
          <w:u w:val="single"/>
        </w:rPr>
        <w:t>按照法律规定和合同约定编制的竣工资料，符合工程所在地建设行政主管部门和(或)城市建设档案管理机构有关施工资料的要求，并立卷及归档。</w:t>
      </w:r>
    </w:p>
    <w:p w14:paraId="76C5A80A">
      <w:pPr>
        <w:pStyle w:val="82"/>
        <w:spacing w:line="360" w:lineRule="auto"/>
        <w:ind w:firstLine="420" w:firstLineChars="200"/>
        <w:jc w:val="left"/>
        <w:rPr>
          <w:rFonts w:hint="eastAsia"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一式陆套</w:t>
      </w:r>
      <w:r>
        <w:rPr>
          <w:rFonts w:hint="eastAsia" w:ascii="宋体" w:hAnsi="宋体" w:cs="宋体"/>
          <w:szCs w:val="21"/>
        </w:rPr>
        <w:t>。</w:t>
      </w:r>
    </w:p>
    <w:p w14:paraId="4613881D">
      <w:pPr>
        <w:pStyle w:val="82"/>
        <w:spacing w:line="360" w:lineRule="auto"/>
        <w:ind w:left="424" w:leftChars="202"/>
        <w:jc w:val="left"/>
        <w:rPr>
          <w:rFonts w:hint="eastAsia"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由承包人承担。</w:t>
      </w:r>
    </w:p>
    <w:p w14:paraId="077B8A7E">
      <w:pPr>
        <w:pStyle w:val="9"/>
        <w:spacing w:line="360" w:lineRule="auto"/>
        <w:ind w:firstLine="420" w:firstLineChars="200"/>
      </w:pPr>
      <w:r>
        <w:rPr>
          <w:rFonts w:hint="eastAsia" w:ascii="宋体" w:hAnsi="宋体" w:cs="宋体"/>
          <w:szCs w:val="21"/>
        </w:rPr>
        <w:t>承包人提交的竣工资料移交时间：</w:t>
      </w:r>
      <w:r>
        <w:rPr>
          <w:rFonts w:hint="eastAsia" w:ascii="宋体" w:hAnsi="宋体" w:cs="宋体"/>
          <w:szCs w:val="21"/>
          <w:u w:val="single"/>
        </w:rPr>
        <w:t>承包人应当在提供完整工程竣工验收材料并且提前不少于7个工作日书面通知发包人验收，发包人应当在收到承包人提供的完整工程竣工验收材料查验合格后进行验收。</w:t>
      </w:r>
    </w:p>
    <w:p w14:paraId="786FBC36">
      <w:pPr>
        <w:pStyle w:val="82"/>
        <w:spacing w:line="360" w:lineRule="auto"/>
        <w:ind w:firstLine="420" w:firstLineChars="200"/>
        <w:jc w:val="left"/>
        <w:rPr>
          <w:rFonts w:hint="eastAsia" w:ascii="宋体" w:hAnsi="宋体" w:cs="宋体"/>
          <w:szCs w:val="21"/>
        </w:rPr>
      </w:pPr>
      <w:r>
        <w:rPr>
          <w:rFonts w:hint="eastAsia" w:ascii="宋体" w:hAnsi="宋体" w:cs="宋体"/>
          <w:szCs w:val="21"/>
        </w:rPr>
        <w:t>承包人提交的竣工资料形式要求：</w:t>
      </w:r>
      <w:r>
        <w:rPr>
          <w:rFonts w:hint="eastAsia" w:ascii="宋体" w:hAnsi="宋体" w:cs="宋体"/>
          <w:szCs w:val="21"/>
          <w:u w:val="single"/>
        </w:rPr>
        <w:t>一式陆套，电子扫描文件1套并符合档案馆的要求</w:t>
      </w:r>
      <w:r>
        <w:rPr>
          <w:rFonts w:hint="eastAsia" w:ascii="宋体" w:hAnsi="宋体" w:cs="宋体"/>
          <w:szCs w:val="21"/>
        </w:rPr>
        <w:t>。</w:t>
      </w:r>
    </w:p>
    <w:p w14:paraId="299246AB">
      <w:pPr>
        <w:pStyle w:val="82"/>
        <w:spacing w:line="360" w:lineRule="auto"/>
        <w:ind w:left="424" w:leftChars="202"/>
        <w:jc w:val="left"/>
        <w:rPr>
          <w:rFonts w:hint="eastAsia" w:ascii="宋体" w:hAnsi="宋体" w:cs="宋体"/>
          <w:szCs w:val="21"/>
        </w:rPr>
      </w:pPr>
      <w:r>
        <w:rPr>
          <w:rFonts w:hint="eastAsia" w:ascii="宋体" w:hAnsi="宋体" w:cs="宋体"/>
          <w:kern w:val="0"/>
          <w:szCs w:val="21"/>
        </w:rPr>
        <w:t>（10）承包人应履行的其他义务：承包人除完成本合同规定的任务和履行合同约定的义务外，还应完成的工作和履行的义务（包括）。</w:t>
      </w:r>
    </w:p>
    <w:p w14:paraId="5F964F7F">
      <w:pPr>
        <w:pStyle w:val="83"/>
        <w:spacing w:line="360" w:lineRule="auto"/>
        <w:ind w:firstLine="420" w:firstLineChars="200"/>
        <w:rPr>
          <w:rFonts w:hint="eastAsia" w:ascii="宋体" w:hAnsi="宋体" w:cs="宋体"/>
          <w:szCs w:val="21"/>
          <w:u w:val="single"/>
        </w:rPr>
      </w:pPr>
      <w:r>
        <w:rPr>
          <w:rFonts w:hint="eastAsia" w:ascii="宋体" w:hAnsi="宋体" w:cs="宋体"/>
          <w:szCs w:val="21"/>
          <w:u w:val="single"/>
        </w:rPr>
        <w:t>1）配合发包人做好安全文明宣传、领导检查宣传等工作，相关费用由承包人承担。</w:t>
      </w:r>
    </w:p>
    <w:p w14:paraId="23758702">
      <w:pPr>
        <w:pStyle w:val="83"/>
        <w:spacing w:line="360" w:lineRule="auto"/>
        <w:ind w:firstLine="420" w:firstLineChars="200"/>
        <w:rPr>
          <w:rFonts w:hint="eastAsia" w:ascii="宋体" w:hAnsi="宋体" w:cs="宋体"/>
          <w:szCs w:val="21"/>
          <w:u w:val="single"/>
        </w:rPr>
      </w:pPr>
      <w:r>
        <w:rPr>
          <w:rFonts w:hint="eastAsia" w:ascii="宋体" w:hAnsi="宋体" w:cs="宋体"/>
          <w:szCs w:val="21"/>
          <w:u w:val="single"/>
        </w:rPr>
        <w:t>2）承包人生活设施及施工场地，应自费配备消防设备，防止火灾发生。</w:t>
      </w:r>
    </w:p>
    <w:p w14:paraId="5C21E149">
      <w:pPr>
        <w:pStyle w:val="83"/>
        <w:spacing w:line="360" w:lineRule="auto"/>
        <w:ind w:firstLine="420" w:firstLineChars="200"/>
        <w:rPr>
          <w:rFonts w:hint="eastAsia" w:ascii="宋体" w:hAnsi="宋体" w:cs="宋体"/>
          <w:szCs w:val="21"/>
          <w:u w:val="single"/>
        </w:rPr>
      </w:pPr>
      <w:r>
        <w:rPr>
          <w:rFonts w:hint="eastAsia" w:ascii="宋体" w:hAnsi="宋体" w:cs="宋体"/>
          <w:szCs w:val="21"/>
          <w:u w:val="single"/>
        </w:rPr>
        <w:t>3）承包人的临时用地（含项目部驻地等）租用费（含拆迁补偿）、临时用地的环保、恢复、临时用地的青苗补偿及地面附着物拆除等费用均由承包人负责，以上费用在投标报价中综合考虑。</w:t>
      </w:r>
    </w:p>
    <w:p w14:paraId="23C73454">
      <w:pPr>
        <w:pStyle w:val="83"/>
        <w:spacing w:line="360" w:lineRule="auto"/>
        <w:ind w:firstLine="420" w:firstLineChars="200"/>
        <w:rPr>
          <w:rFonts w:hint="eastAsia" w:ascii="宋体" w:hAnsi="宋体" w:cs="宋体"/>
          <w:szCs w:val="21"/>
          <w:u w:val="single"/>
        </w:rPr>
      </w:pPr>
      <w:r>
        <w:rPr>
          <w:rFonts w:hint="eastAsia" w:ascii="宋体" w:hAnsi="宋体" w:cs="宋体"/>
          <w:szCs w:val="21"/>
          <w:u w:val="single"/>
        </w:rPr>
        <w:t>4）取土场及弃土场由承包人自行解决，但不得违反相关管理规定，并承担相关费用。</w:t>
      </w:r>
    </w:p>
    <w:p w14:paraId="0756A115">
      <w:pPr>
        <w:pStyle w:val="83"/>
        <w:spacing w:line="360" w:lineRule="auto"/>
        <w:ind w:firstLine="420" w:firstLineChars="200"/>
        <w:rPr>
          <w:rFonts w:hint="eastAsia" w:ascii="宋体" w:hAnsi="宋体" w:cs="宋体"/>
          <w:szCs w:val="21"/>
          <w:u w:val="single"/>
        </w:rPr>
      </w:pPr>
      <w:r>
        <w:rPr>
          <w:rFonts w:hint="eastAsia" w:ascii="宋体" w:hAnsi="宋体" w:cs="宋体"/>
          <w:szCs w:val="21"/>
          <w:u w:val="single"/>
        </w:rPr>
        <w:t>5）经过城市道路的施工车辆，必须按交警、城管、运输等部门相关规定执行。由于施工车辆造成的道路、环境等污染，其责任和费用均由承包人承担。</w:t>
      </w:r>
    </w:p>
    <w:p w14:paraId="05D2661C">
      <w:pPr>
        <w:pStyle w:val="83"/>
        <w:spacing w:line="360" w:lineRule="auto"/>
        <w:ind w:firstLine="420" w:firstLineChars="200"/>
        <w:rPr>
          <w:rFonts w:hint="eastAsia" w:ascii="宋体" w:hAnsi="宋体" w:cs="宋体"/>
          <w:szCs w:val="21"/>
          <w:u w:val="single"/>
        </w:rPr>
      </w:pPr>
      <w:r>
        <w:rPr>
          <w:rFonts w:hint="eastAsia" w:ascii="宋体" w:hAnsi="宋体" w:cs="宋体"/>
          <w:szCs w:val="21"/>
          <w:u w:val="single"/>
        </w:rPr>
        <w:t>6）承包人负责合同实施期间其合同段内临时交通道路（含场内外连接公共交通道路）和交通设施的修建、维修、养护和交通管理工作，并承担一切费用。</w:t>
      </w:r>
    </w:p>
    <w:p w14:paraId="6A5A2BD3">
      <w:pPr>
        <w:pStyle w:val="83"/>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7）承包人修建的临时道路和交通设施，应免费提供给发包人、监理工程师和其他合同段的承包人使用，如共同使用的路基损坏严重，发包人或监理工程师将负责通知有关承包人共同出资修复，若使用频率相差悬殊，则按比例分摊。 </w:t>
      </w:r>
    </w:p>
    <w:p w14:paraId="01B42A37">
      <w:pPr>
        <w:pStyle w:val="82"/>
        <w:spacing w:line="360" w:lineRule="auto"/>
        <w:ind w:firstLine="315" w:firstLineChars="150"/>
        <w:rPr>
          <w:rFonts w:hint="eastAsia" w:ascii="宋体" w:hAnsi="宋体" w:cs="宋体"/>
          <w:kern w:val="0"/>
          <w:szCs w:val="21"/>
          <w:u w:val="single"/>
        </w:rPr>
      </w:pPr>
      <w:r>
        <w:rPr>
          <w:rFonts w:hint="eastAsia" w:ascii="宋体" w:hAnsi="宋体" w:cs="宋体"/>
          <w:szCs w:val="21"/>
          <w:u w:val="single"/>
        </w:rPr>
        <w:t>8）承包人应按时提供办理项目施工许可所需材料，如施工组织设计、安全文明施工费支付计划等，并配合发包人办理相关手续。</w:t>
      </w:r>
    </w:p>
    <w:p w14:paraId="499AAB88">
      <w:pPr>
        <w:pStyle w:val="82"/>
        <w:keepNext/>
        <w:keepLines/>
        <w:spacing w:line="360" w:lineRule="auto"/>
        <w:outlineLvl w:val="2"/>
        <w:rPr>
          <w:rFonts w:hint="eastAsia" w:ascii="宋体" w:hAnsi="宋体" w:cs="宋体"/>
          <w:b/>
          <w:bCs/>
          <w:szCs w:val="32"/>
        </w:rPr>
      </w:pPr>
      <w:bookmarkStart w:id="159" w:name="_Toc9376"/>
      <w:bookmarkStart w:id="160" w:name="_Toc13946"/>
      <w:r>
        <w:rPr>
          <w:rFonts w:hint="eastAsia" w:ascii="宋体" w:hAnsi="宋体" w:cs="宋体"/>
          <w:b/>
          <w:bCs/>
          <w:szCs w:val="32"/>
        </w:rPr>
        <w:t>3.2 项目经理</w:t>
      </w:r>
      <w:bookmarkEnd w:id="159"/>
      <w:bookmarkEnd w:id="160"/>
    </w:p>
    <w:p w14:paraId="27B99CE8">
      <w:pPr>
        <w:pStyle w:val="82"/>
        <w:spacing w:line="360" w:lineRule="auto"/>
        <w:ind w:firstLine="420" w:firstLineChars="200"/>
        <w:rPr>
          <w:rFonts w:hint="eastAsia"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73D33992">
      <w:pPr>
        <w:pStyle w:val="82"/>
        <w:spacing w:line="360" w:lineRule="auto"/>
        <w:ind w:firstLine="420" w:firstLineChars="200"/>
        <w:rPr>
          <w:rFonts w:hint="eastAsia" w:ascii="宋体" w:hAnsi="宋体" w:cs="宋体"/>
        </w:rPr>
      </w:pPr>
      <w:r>
        <w:rPr>
          <w:rFonts w:hint="eastAsia" w:ascii="宋体" w:hAnsi="宋体" w:cs="宋体"/>
        </w:rPr>
        <w:t>姓名：</w:t>
      </w:r>
      <w:r>
        <w:rPr>
          <w:rFonts w:hint="eastAsia" w:ascii="宋体" w:hAnsi="宋体" w:cs="宋体"/>
          <w:u w:val="single"/>
        </w:rPr>
        <w:t></w:t>
      </w:r>
      <w:r>
        <w:rPr>
          <w:rFonts w:hint="eastAsia" w:ascii="宋体" w:hAnsi="宋体" w:cs="宋体"/>
        </w:rPr>
        <w:t>；</w:t>
      </w:r>
    </w:p>
    <w:p w14:paraId="47CF835D">
      <w:pPr>
        <w:pStyle w:val="82"/>
        <w:spacing w:line="360" w:lineRule="auto"/>
        <w:ind w:firstLine="420" w:firstLineChars="200"/>
        <w:rPr>
          <w:rFonts w:hint="eastAsia" w:ascii="宋体" w:hAnsi="宋体" w:cs="宋体"/>
        </w:rPr>
      </w:pPr>
      <w:r>
        <w:rPr>
          <w:rFonts w:hint="eastAsia" w:ascii="宋体" w:hAnsi="宋体" w:cs="宋体"/>
        </w:rPr>
        <w:t>身份证号：</w:t>
      </w:r>
      <w:r>
        <w:rPr>
          <w:rFonts w:hint="eastAsia" w:ascii="宋体" w:hAnsi="宋体" w:cs="宋体"/>
          <w:u w:val="single"/>
        </w:rPr>
        <w:t></w:t>
      </w:r>
      <w:r>
        <w:rPr>
          <w:rFonts w:hint="eastAsia" w:ascii="宋体" w:hAnsi="宋体" w:cs="宋体"/>
        </w:rPr>
        <w:t>；</w:t>
      </w:r>
    </w:p>
    <w:p w14:paraId="6BAE5C3C">
      <w:pPr>
        <w:pStyle w:val="82"/>
        <w:spacing w:line="360" w:lineRule="auto"/>
        <w:ind w:firstLine="420" w:firstLineChars="200"/>
        <w:rPr>
          <w:rFonts w:hint="eastAsia" w:ascii="宋体" w:hAnsi="宋体" w:cs="宋体"/>
        </w:rPr>
      </w:pPr>
      <w:r>
        <w:rPr>
          <w:rFonts w:hint="eastAsia" w:ascii="宋体" w:hAnsi="宋体" w:cs="宋体"/>
        </w:rPr>
        <w:t>建造师执业资格等级：</w:t>
      </w:r>
      <w:r>
        <w:rPr>
          <w:rFonts w:hint="eastAsia" w:ascii="宋体" w:hAnsi="宋体" w:cs="宋体"/>
          <w:u w:val="single"/>
        </w:rPr>
        <w:t></w:t>
      </w:r>
      <w:r>
        <w:rPr>
          <w:rFonts w:hint="eastAsia" w:ascii="宋体" w:hAnsi="宋体" w:cs="宋体"/>
        </w:rPr>
        <w:t>；</w:t>
      </w:r>
    </w:p>
    <w:p w14:paraId="294D0620">
      <w:pPr>
        <w:pStyle w:val="82"/>
        <w:spacing w:line="360" w:lineRule="auto"/>
        <w:ind w:firstLine="420" w:firstLineChars="200"/>
        <w:rPr>
          <w:rFonts w:hint="eastAsia" w:ascii="宋体" w:hAnsi="宋体" w:cs="宋体"/>
        </w:rPr>
      </w:pPr>
      <w:r>
        <w:rPr>
          <w:rFonts w:hint="eastAsia" w:ascii="宋体" w:hAnsi="宋体" w:cs="宋体"/>
        </w:rPr>
        <w:t>建造师注册证书号：</w:t>
      </w:r>
      <w:r>
        <w:rPr>
          <w:rFonts w:hint="eastAsia" w:ascii="宋体" w:hAnsi="宋体" w:cs="宋体"/>
          <w:u w:val="single"/>
        </w:rPr>
        <w:t></w:t>
      </w:r>
      <w:r>
        <w:rPr>
          <w:rFonts w:hint="eastAsia" w:ascii="宋体" w:hAnsi="宋体" w:cs="宋体"/>
        </w:rPr>
        <w:t>；</w:t>
      </w:r>
    </w:p>
    <w:p w14:paraId="48A90C2A">
      <w:pPr>
        <w:pStyle w:val="82"/>
        <w:spacing w:line="360" w:lineRule="auto"/>
        <w:ind w:firstLine="420" w:firstLineChars="200"/>
        <w:rPr>
          <w:rFonts w:hint="eastAsia" w:ascii="宋体" w:hAnsi="宋体" w:cs="宋体"/>
        </w:rPr>
      </w:pPr>
      <w:r>
        <w:rPr>
          <w:rFonts w:hint="eastAsia" w:ascii="宋体" w:hAnsi="宋体" w:cs="宋体"/>
        </w:rPr>
        <w:t>建造师执业印章号：</w:t>
      </w:r>
      <w:r>
        <w:rPr>
          <w:rFonts w:hint="eastAsia" w:ascii="宋体" w:hAnsi="宋体" w:cs="宋体"/>
          <w:u w:val="single"/>
        </w:rPr>
        <w:t></w:t>
      </w:r>
      <w:r>
        <w:rPr>
          <w:rFonts w:hint="eastAsia" w:ascii="宋体" w:hAnsi="宋体" w:cs="宋体"/>
        </w:rPr>
        <w:t>；</w:t>
      </w:r>
    </w:p>
    <w:p w14:paraId="1339695D">
      <w:pPr>
        <w:pStyle w:val="82"/>
        <w:spacing w:line="360" w:lineRule="auto"/>
        <w:ind w:firstLine="420" w:firstLineChars="200"/>
        <w:rPr>
          <w:rFonts w:hint="eastAsia" w:ascii="宋体" w:hAnsi="宋体" w:cs="宋体"/>
        </w:rPr>
      </w:pPr>
      <w:r>
        <w:rPr>
          <w:rFonts w:hint="eastAsia" w:ascii="宋体" w:hAnsi="宋体" w:cs="宋体"/>
        </w:rPr>
        <w:t>安全生产考核合格证书号：</w:t>
      </w:r>
      <w:r>
        <w:rPr>
          <w:rFonts w:hint="eastAsia" w:ascii="宋体" w:hAnsi="宋体" w:cs="宋体"/>
          <w:u w:val="single"/>
        </w:rPr>
        <w:t></w:t>
      </w:r>
      <w:r>
        <w:rPr>
          <w:rFonts w:hint="eastAsia" w:ascii="宋体" w:hAnsi="宋体" w:cs="宋体"/>
        </w:rPr>
        <w:t>；</w:t>
      </w:r>
    </w:p>
    <w:p w14:paraId="70FEA456">
      <w:pPr>
        <w:pStyle w:val="82"/>
        <w:spacing w:line="360" w:lineRule="auto"/>
        <w:ind w:firstLine="420" w:firstLineChars="200"/>
        <w:rPr>
          <w:rFonts w:hint="eastAsia" w:ascii="宋体" w:hAnsi="宋体" w:cs="宋体"/>
        </w:rPr>
      </w:pPr>
      <w:r>
        <w:rPr>
          <w:rFonts w:hint="eastAsia" w:ascii="宋体" w:hAnsi="宋体" w:cs="宋体"/>
        </w:rPr>
        <w:t>联系电话：</w:t>
      </w:r>
      <w:r>
        <w:rPr>
          <w:rFonts w:hint="eastAsia" w:ascii="宋体" w:hAnsi="宋体" w:cs="宋体"/>
          <w:u w:val="single"/>
        </w:rPr>
        <w:t></w:t>
      </w:r>
      <w:r>
        <w:rPr>
          <w:rFonts w:hint="eastAsia" w:ascii="宋体" w:hAnsi="宋体" w:cs="宋体"/>
        </w:rPr>
        <w:t>；</w:t>
      </w:r>
    </w:p>
    <w:p w14:paraId="27E3BE73">
      <w:pPr>
        <w:pStyle w:val="82"/>
        <w:spacing w:line="360" w:lineRule="auto"/>
        <w:ind w:firstLine="420" w:firstLineChars="200"/>
        <w:rPr>
          <w:rFonts w:hint="eastAsia" w:ascii="宋体" w:hAnsi="宋体" w:cs="宋体"/>
        </w:rPr>
      </w:pPr>
      <w:r>
        <w:rPr>
          <w:rFonts w:hint="eastAsia" w:ascii="宋体" w:hAnsi="宋体" w:cs="宋体"/>
        </w:rPr>
        <w:t>电子信箱：</w:t>
      </w:r>
      <w:r>
        <w:rPr>
          <w:rFonts w:hint="eastAsia" w:ascii="宋体" w:hAnsi="宋体" w:cs="宋体"/>
          <w:u w:val="single"/>
        </w:rPr>
        <w:t></w:t>
      </w:r>
      <w:r>
        <w:rPr>
          <w:rFonts w:hint="eastAsia" w:ascii="宋体" w:hAnsi="宋体" w:cs="宋体"/>
        </w:rPr>
        <w:t>；</w:t>
      </w:r>
    </w:p>
    <w:p w14:paraId="3F46F79D">
      <w:pPr>
        <w:pStyle w:val="82"/>
        <w:spacing w:line="360" w:lineRule="auto"/>
        <w:ind w:firstLine="420" w:firstLineChars="200"/>
        <w:rPr>
          <w:rFonts w:hint="eastAsia" w:ascii="宋体" w:hAnsi="宋体" w:cs="宋体"/>
        </w:rPr>
      </w:pPr>
      <w:r>
        <w:rPr>
          <w:rFonts w:hint="eastAsia" w:ascii="宋体" w:hAnsi="宋体" w:cs="宋体"/>
        </w:rPr>
        <w:t>通信地址：</w:t>
      </w:r>
      <w:r>
        <w:rPr>
          <w:rFonts w:hint="eastAsia" w:ascii="宋体" w:hAnsi="宋体" w:cs="宋体"/>
          <w:u w:val="single"/>
        </w:rPr>
        <w:t></w:t>
      </w:r>
      <w:r>
        <w:rPr>
          <w:rFonts w:hint="eastAsia" w:ascii="宋体" w:hAnsi="宋体" w:cs="宋体"/>
        </w:rPr>
        <w:t>；</w:t>
      </w:r>
    </w:p>
    <w:p w14:paraId="6689C3F2">
      <w:pPr>
        <w:pStyle w:val="82"/>
        <w:spacing w:line="360" w:lineRule="auto"/>
        <w:ind w:firstLine="420" w:firstLineChars="200"/>
        <w:rPr>
          <w:rFonts w:hint="eastAsia" w:ascii="宋体" w:hAnsi="宋体" w:cs="宋体"/>
          <w:szCs w:val="21"/>
        </w:rPr>
      </w:pPr>
      <w:r>
        <w:rPr>
          <w:rFonts w:hint="eastAsia" w:ascii="宋体" w:hAnsi="宋体" w:cs="宋体"/>
          <w:szCs w:val="21"/>
        </w:rPr>
        <w:t>承包人对项目经理的授权范围如下：</w:t>
      </w:r>
      <w:r>
        <w:rPr>
          <w:rFonts w:hint="eastAsia" w:ascii="宋体" w:hAnsi="宋体" w:cs="宋体"/>
          <w:szCs w:val="21"/>
          <w:u w:val="single"/>
        </w:rPr>
        <w:t>项目经理为承包人法定代表人在该项目上的代表人，负责本工程现场施工管理的一切事务，项目经理仅限于本工程的现场施工管理，未经承包人签字盖章同意不得以承包人名义代收工程款、变更合同约定、向外采购材料设备、租用建筑周围材料、雇佣劳动力、签订分包合同等一切为承包人设立义务或责任的行为</w:t>
      </w:r>
      <w:r>
        <w:rPr>
          <w:rFonts w:hint="eastAsia" w:ascii="宋体" w:hAnsi="宋体" w:cs="宋体"/>
          <w:szCs w:val="21"/>
        </w:rPr>
        <w:t>。</w:t>
      </w:r>
    </w:p>
    <w:p w14:paraId="2916BAB4">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关于项目经理每月在施工现场的时间要求：</w:t>
      </w:r>
      <w:r>
        <w:rPr>
          <w:rFonts w:hint="eastAsia" w:ascii="宋体" w:hAnsi="宋体" w:cs="宋体"/>
          <w:kern w:val="0"/>
          <w:szCs w:val="21"/>
          <w:u w:val="single"/>
        </w:rPr>
        <w:t>项目经理每月在岗带班时间不得少于当月施工时间的80%，未达到的每少一天罚2000元，按月考核，发包人可从应向承包人支付的款项中扣除此项违约金或其他方式回收此款。项目经理当月不到位累计达5天的，发包人及监理人给予警告，累计达10天及以上的，发包人有权终止合同，发包人有权向承包人提出索赔，由此引起的损失由承包人承担</w:t>
      </w:r>
      <w:r>
        <w:rPr>
          <w:rFonts w:hint="eastAsia" w:ascii="宋体" w:hAnsi="宋体" w:cs="宋体"/>
          <w:szCs w:val="21"/>
        </w:rPr>
        <w:t>。</w:t>
      </w:r>
    </w:p>
    <w:p w14:paraId="3508C770">
      <w:pPr>
        <w:pStyle w:val="82"/>
        <w:spacing w:line="360" w:lineRule="auto"/>
        <w:ind w:firstLine="420" w:firstLineChars="200"/>
        <w:rPr>
          <w:rFonts w:hint="eastAsia" w:ascii="宋体" w:hAnsi="宋体" w:cs="宋体"/>
          <w:kern w:val="0"/>
          <w:szCs w:val="21"/>
        </w:rPr>
      </w:pPr>
      <w:r>
        <w:rPr>
          <w:rFonts w:hint="eastAsia" w:ascii="宋体" w:hAnsi="宋体" w:cs="宋体"/>
          <w:kern w:val="0"/>
          <w:szCs w:val="21"/>
        </w:rPr>
        <w:t>承包人未提交劳动合同，以及没有为项目经理缴纳社会保险证明的违约责任：</w:t>
      </w:r>
      <w:r>
        <w:rPr>
          <w:rFonts w:hint="eastAsia" w:ascii="宋体" w:hAnsi="宋体" w:cs="宋体"/>
          <w:szCs w:val="21"/>
          <w:u w:val="single"/>
        </w:rPr>
        <w:t>由承包人自行承担相关责任</w:t>
      </w:r>
      <w:r>
        <w:rPr>
          <w:rFonts w:hint="eastAsia" w:ascii="宋体" w:hAnsi="宋体" w:cs="宋体"/>
          <w:szCs w:val="21"/>
        </w:rPr>
        <w:t>。</w:t>
      </w:r>
    </w:p>
    <w:p w14:paraId="005E30F6">
      <w:pPr>
        <w:pStyle w:val="82"/>
        <w:spacing w:line="360" w:lineRule="auto"/>
        <w:ind w:firstLine="420" w:firstLineChars="200"/>
        <w:rPr>
          <w:rFonts w:hint="eastAsia" w:ascii="宋体" w:hAnsi="宋体" w:cs="宋体"/>
          <w:szCs w:val="21"/>
          <w:u w:val="single"/>
        </w:rPr>
      </w:pPr>
      <w:r>
        <w:rPr>
          <w:rFonts w:hint="eastAsia" w:ascii="宋体" w:hAnsi="宋体" w:cs="宋体"/>
          <w:kern w:val="0"/>
          <w:szCs w:val="21"/>
        </w:rPr>
        <w:t>项目经理未经批准，擅自离开施工现场的违约责任：</w:t>
      </w:r>
      <w:r>
        <w:rPr>
          <w:rFonts w:hint="eastAsia" w:ascii="宋体" w:hAnsi="宋体" w:cs="宋体"/>
          <w:kern w:val="0"/>
          <w:szCs w:val="21"/>
          <w:u w:val="single"/>
        </w:rPr>
        <w:t>项目经理每月在岗带班时间不得少于当月施工时间的80%。未经发包人同意或正当理由，项目经理每月在岗带班时间少于当月施工时间80%的，少在岗带班一天，发包人有权处违约金2000元/日（人民币）</w:t>
      </w:r>
      <w:r>
        <w:rPr>
          <w:rFonts w:hint="eastAsia" w:ascii="宋体" w:hAnsi="宋体" w:cs="宋体"/>
          <w:kern w:val="0"/>
          <w:szCs w:val="21"/>
        </w:rPr>
        <w:t xml:space="preserve"> </w:t>
      </w:r>
      <w:r>
        <w:rPr>
          <w:rFonts w:hint="eastAsia" w:ascii="宋体" w:hAnsi="宋体" w:cs="宋体"/>
          <w:szCs w:val="21"/>
        </w:rPr>
        <w:t>。</w:t>
      </w:r>
    </w:p>
    <w:p w14:paraId="168393DD">
      <w:pPr>
        <w:pStyle w:val="82"/>
        <w:spacing w:line="360" w:lineRule="auto"/>
        <w:ind w:firstLine="420" w:firstLineChars="200"/>
        <w:rPr>
          <w:rFonts w:hint="eastAsia" w:ascii="宋体" w:hAnsi="宋体" w:cs="宋体"/>
          <w:szCs w:val="21"/>
        </w:rPr>
      </w:pPr>
      <w:r>
        <w:rPr>
          <w:rFonts w:hint="eastAsia" w:ascii="宋体" w:hAnsi="宋体" w:cs="宋体"/>
          <w:szCs w:val="21"/>
        </w:rPr>
        <w:t>3.2.3 承包人擅自更换项目经理的违约责任：</w:t>
      </w:r>
      <w:r>
        <w:rPr>
          <w:rFonts w:hint="eastAsia" w:ascii="宋体" w:hAnsi="宋体" w:cs="宋体"/>
          <w:szCs w:val="21"/>
          <w:u w:val="single"/>
        </w:rPr>
        <w:t>承包人项目经理必须与承包人投标时所承诺的人员一致，并在  （开工日期）  前到任。在监理人向承包人颁发（竣工证明材料名称）前，项目经理不得同时兼任其他任何项目的项目经理（符合桂建管﹝2013﹞17号和桂建管﹝2014﹞25号文除外）。未经发包人书面同意，承包人擅自更换项目经理的视为违约，违约金处2000元/人•次（人民币）</w:t>
      </w:r>
      <w:r>
        <w:rPr>
          <w:rFonts w:hint="eastAsia" w:ascii="宋体" w:hAnsi="宋体" w:cs="宋体"/>
          <w:szCs w:val="21"/>
        </w:rPr>
        <w:t>。</w:t>
      </w:r>
    </w:p>
    <w:p w14:paraId="72982E54">
      <w:pPr>
        <w:pStyle w:val="82"/>
        <w:spacing w:line="360" w:lineRule="auto"/>
        <w:ind w:firstLine="420" w:firstLineChars="200"/>
        <w:rPr>
          <w:rFonts w:hint="eastAsia" w:ascii="宋体" w:hAnsi="宋体" w:cs="宋体"/>
          <w:szCs w:val="21"/>
        </w:rPr>
      </w:pPr>
      <w:r>
        <w:rPr>
          <w:rFonts w:hint="eastAsia" w:ascii="宋体" w:hAnsi="宋体" w:cs="宋体"/>
          <w:szCs w:val="21"/>
        </w:rPr>
        <w:t>3.2.4 承包人无正当理由拒绝更换项目经理的违约责任：</w:t>
      </w:r>
      <w:r>
        <w:rPr>
          <w:rFonts w:hint="eastAsia" w:ascii="宋体" w:hAnsi="宋体" w:cs="宋体"/>
          <w:szCs w:val="21"/>
          <w:u w:val="single"/>
        </w:rPr>
        <w:t>因承包人项目经理不称职，发包人要求调换而未及时调换的，视为承包人违约，必须向发包人交纳处罚金2000元/人•次（人民币）</w:t>
      </w:r>
      <w:r>
        <w:rPr>
          <w:rFonts w:hint="eastAsia" w:ascii="宋体" w:hAnsi="宋体" w:cs="宋体"/>
          <w:szCs w:val="21"/>
        </w:rPr>
        <w:t>。</w:t>
      </w:r>
    </w:p>
    <w:p w14:paraId="505C2750">
      <w:pPr>
        <w:pStyle w:val="82"/>
        <w:keepNext/>
        <w:keepLines/>
        <w:spacing w:line="360" w:lineRule="auto"/>
        <w:outlineLvl w:val="2"/>
        <w:rPr>
          <w:rFonts w:hint="eastAsia" w:ascii="宋体" w:hAnsi="宋体" w:cs="宋体"/>
          <w:b/>
          <w:bCs/>
          <w:szCs w:val="32"/>
        </w:rPr>
      </w:pPr>
      <w:bookmarkStart w:id="161" w:name="_Toc13187"/>
      <w:bookmarkStart w:id="162" w:name="_Toc20293"/>
      <w:r>
        <w:rPr>
          <w:rFonts w:hint="eastAsia" w:ascii="宋体" w:hAnsi="宋体" w:cs="宋体"/>
          <w:b/>
          <w:bCs/>
          <w:szCs w:val="32"/>
        </w:rPr>
        <w:t>3.3 承包人人员</w:t>
      </w:r>
      <w:bookmarkEnd w:id="161"/>
      <w:bookmarkEnd w:id="162"/>
    </w:p>
    <w:p w14:paraId="2087231D">
      <w:pPr>
        <w:pStyle w:val="82"/>
        <w:spacing w:line="360" w:lineRule="auto"/>
        <w:ind w:firstLine="420" w:firstLineChars="200"/>
        <w:rPr>
          <w:rFonts w:hint="eastAsia" w:ascii="宋体" w:hAnsi="宋体" w:cs="宋体"/>
          <w:szCs w:val="21"/>
        </w:rPr>
      </w:pPr>
      <w:r>
        <w:rPr>
          <w:rFonts w:hint="eastAsia" w:ascii="宋体" w:hAnsi="宋体" w:cs="宋体"/>
          <w:szCs w:val="21"/>
        </w:rPr>
        <w:t>3.3.1 承包人提交项目管理机构及施工现场管理人员安排报告的期限：</w:t>
      </w:r>
      <w:r>
        <w:rPr>
          <w:rFonts w:hint="eastAsia" w:ascii="宋体" w:hAnsi="宋体" w:cs="宋体"/>
          <w:szCs w:val="21"/>
          <w:u w:val="single"/>
        </w:rPr>
        <w:t>接到开工通知后7天内</w:t>
      </w:r>
      <w:r>
        <w:rPr>
          <w:rFonts w:hint="eastAsia" w:ascii="宋体" w:hAnsi="宋体" w:cs="宋体"/>
          <w:szCs w:val="21"/>
        </w:rPr>
        <w:t>。</w:t>
      </w:r>
    </w:p>
    <w:p w14:paraId="36E17B73">
      <w:pPr>
        <w:pStyle w:val="82"/>
        <w:spacing w:line="360" w:lineRule="auto"/>
        <w:ind w:firstLine="420" w:firstLineChars="200"/>
        <w:rPr>
          <w:rFonts w:hint="eastAsia" w:ascii="宋体" w:hAnsi="宋体" w:cs="宋体"/>
          <w:szCs w:val="21"/>
        </w:rPr>
      </w:pPr>
      <w:r>
        <w:rPr>
          <w:rFonts w:hint="eastAsia" w:ascii="宋体" w:hAnsi="宋体" w:cs="宋体"/>
          <w:szCs w:val="21"/>
        </w:rPr>
        <w:t>3.3.3 承包人无正当理由拒绝撤换主要施工管理人员的违约责任：</w:t>
      </w:r>
      <w:r>
        <w:rPr>
          <w:rFonts w:hint="eastAsia" w:ascii="宋体" w:hAnsi="宋体" w:cs="宋体"/>
          <w:szCs w:val="21"/>
          <w:u w:val="single"/>
        </w:rPr>
        <w:t>因承包人主要施工管理人员不称职，发包人要求调换而无正当理由拒绝撤换或未及时调换的，视为承包人违约，必须向发包人交纳处罚金，处罚标准：技术负责人1000元/人•次（人民币）；专业工程师1000元/人•次（人民币）</w:t>
      </w:r>
      <w:r>
        <w:rPr>
          <w:rFonts w:hint="eastAsia" w:ascii="宋体" w:hAnsi="宋体" w:cs="宋体"/>
          <w:szCs w:val="21"/>
        </w:rPr>
        <w:t>。</w:t>
      </w:r>
    </w:p>
    <w:p w14:paraId="0E339EC0">
      <w:pPr>
        <w:pStyle w:val="82"/>
        <w:spacing w:line="360" w:lineRule="auto"/>
        <w:ind w:firstLine="420" w:firstLineChars="200"/>
        <w:rPr>
          <w:rFonts w:hint="eastAsia" w:ascii="宋体" w:hAnsi="宋体" w:cs="宋体"/>
          <w:szCs w:val="21"/>
          <w:u w:val="single"/>
        </w:rPr>
      </w:pPr>
      <w:r>
        <w:rPr>
          <w:rFonts w:hint="eastAsia" w:ascii="宋体" w:hAnsi="宋体" w:cs="宋体"/>
          <w:szCs w:val="21"/>
        </w:rPr>
        <w:t>3.3.4 承包人主要施工管理人员离开施工现场的批准要求：</w:t>
      </w:r>
      <w:r>
        <w:rPr>
          <w:rFonts w:hint="eastAsia" w:ascii="宋体" w:hAnsi="宋体" w:cs="宋体"/>
          <w:szCs w:val="21"/>
          <w:u w:val="single"/>
        </w:rPr>
        <w:t>由总监理工程师批准，发包人认可后方可离开</w:t>
      </w:r>
      <w:r>
        <w:rPr>
          <w:rFonts w:hint="eastAsia" w:ascii="宋体" w:hAnsi="宋体" w:cs="宋体"/>
          <w:szCs w:val="21"/>
        </w:rPr>
        <w:t>。</w:t>
      </w:r>
    </w:p>
    <w:p w14:paraId="2FE19145">
      <w:pPr>
        <w:pStyle w:val="82"/>
        <w:spacing w:line="360" w:lineRule="auto"/>
        <w:ind w:firstLine="420" w:firstLineChars="200"/>
        <w:rPr>
          <w:rFonts w:hint="eastAsia" w:ascii="宋体" w:hAnsi="宋体" w:cs="宋体"/>
          <w:szCs w:val="21"/>
        </w:rPr>
      </w:pPr>
      <w:r>
        <w:rPr>
          <w:rFonts w:hint="eastAsia" w:ascii="宋体" w:hAnsi="宋体" w:cs="宋体"/>
          <w:szCs w:val="21"/>
        </w:rPr>
        <w:t>3.3.5 承包人擅自更换主要施工管理人员的违约责任：</w:t>
      </w:r>
      <w:r>
        <w:rPr>
          <w:rFonts w:hint="eastAsia" w:ascii="宋体" w:hAnsi="宋体" w:cs="宋体"/>
          <w:szCs w:val="21"/>
          <w:u w:val="single"/>
        </w:rPr>
        <w:t>项目技术负责人、专职安全员及其承诺的其它在场管理人员未经发包人书面同意不准擅自更换，擅自更换项目技术负责人处2000元/人•次（人民币）违约金；擅自更换专职安全员处2000元/人•次（人民币）违约金；擅自更换其它在场管理人员处2000元/人•次（人民币）违约金</w:t>
      </w:r>
      <w:r>
        <w:rPr>
          <w:rFonts w:hint="eastAsia" w:ascii="宋体" w:hAnsi="宋体" w:cs="宋体"/>
          <w:szCs w:val="21"/>
        </w:rPr>
        <w:t>。</w:t>
      </w:r>
    </w:p>
    <w:p w14:paraId="57E41B9D">
      <w:pPr>
        <w:pStyle w:val="82"/>
        <w:spacing w:line="360" w:lineRule="auto"/>
        <w:ind w:firstLine="420" w:firstLineChars="200"/>
        <w:rPr>
          <w:rFonts w:hint="eastAsia" w:ascii="宋体" w:hAnsi="宋体" w:cs="宋体"/>
          <w:szCs w:val="21"/>
        </w:rPr>
      </w:pPr>
      <w:r>
        <w:rPr>
          <w:rFonts w:hint="eastAsia" w:ascii="宋体" w:hAnsi="宋体" w:cs="宋体"/>
          <w:szCs w:val="21"/>
        </w:rPr>
        <w:t>承包人主要施工管理人员擅自离开施工现场的违约责任：</w:t>
      </w:r>
      <w:r>
        <w:rPr>
          <w:rFonts w:hint="eastAsia" w:ascii="宋体" w:hAnsi="宋体" w:cs="宋体"/>
          <w:szCs w:val="21"/>
          <w:u w:val="single"/>
        </w:rPr>
        <w:t>未经发包人同意，项目技术负责人擅自离岗的，视为承包人违约，发包人有权处违约金 2000 元/人•次（人民币）；未经发包人同意，专职安全员擅自离岗的，视为承包人违约，发包人有权处违约金 2000元/人•次（人民币）；其它在场管理人员擅自离岗的，视为承包人违约，发包人有权处违约金 2000元/人•次（人民币）</w:t>
      </w:r>
      <w:r>
        <w:rPr>
          <w:rFonts w:hint="eastAsia" w:ascii="宋体" w:hAnsi="宋体" w:cs="宋体"/>
          <w:szCs w:val="21"/>
        </w:rPr>
        <w:t>。</w:t>
      </w:r>
    </w:p>
    <w:p w14:paraId="62144D38">
      <w:pPr>
        <w:pStyle w:val="82"/>
        <w:keepNext/>
        <w:keepLines/>
        <w:spacing w:line="360" w:lineRule="auto"/>
        <w:outlineLvl w:val="2"/>
        <w:rPr>
          <w:rFonts w:hint="eastAsia" w:ascii="宋体" w:hAnsi="宋体" w:cs="宋体"/>
          <w:b/>
          <w:bCs/>
          <w:szCs w:val="32"/>
        </w:rPr>
      </w:pPr>
      <w:bookmarkStart w:id="163" w:name="_Toc15061"/>
      <w:bookmarkStart w:id="164" w:name="_Toc5573"/>
      <w:r>
        <w:rPr>
          <w:rFonts w:hint="eastAsia" w:ascii="宋体" w:hAnsi="宋体" w:cs="宋体"/>
          <w:b/>
          <w:bCs/>
          <w:szCs w:val="32"/>
        </w:rPr>
        <w:t>3.5 分包</w:t>
      </w:r>
      <w:bookmarkEnd w:id="163"/>
      <w:bookmarkEnd w:id="164"/>
    </w:p>
    <w:p w14:paraId="2EB73DDD">
      <w:pPr>
        <w:pStyle w:val="82"/>
        <w:spacing w:line="360" w:lineRule="auto"/>
        <w:ind w:firstLine="420" w:firstLineChars="200"/>
        <w:rPr>
          <w:rFonts w:hint="eastAsia" w:ascii="宋体" w:hAnsi="宋体" w:cs="宋体"/>
          <w:szCs w:val="21"/>
        </w:rPr>
      </w:pPr>
      <w:r>
        <w:rPr>
          <w:rFonts w:hint="eastAsia" w:ascii="宋体" w:hAnsi="宋体" w:cs="宋体"/>
          <w:szCs w:val="21"/>
        </w:rPr>
        <w:t>3.5.1 分包的一般约定</w:t>
      </w:r>
    </w:p>
    <w:p w14:paraId="2BFDDD55">
      <w:pPr>
        <w:pStyle w:val="82"/>
        <w:spacing w:line="360" w:lineRule="auto"/>
        <w:ind w:firstLine="420" w:firstLineChars="200"/>
        <w:jc w:val="left"/>
        <w:rPr>
          <w:rFonts w:hint="eastAsia" w:ascii="宋体" w:hAnsi="宋体" w:cs="宋体"/>
          <w:szCs w:val="21"/>
        </w:rPr>
      </w:pPr>
      <w:r>
        <w:rPr>
          <w:rFonts w:hint="eastAsia" w:ascii="宋体" w:hAnsi="宋体" w:cs="宋体"/>
          <w:szCs w:val="21"/>
        </w:rPr>
        <w:t>禁止分包的工程包括：</w:t>
      </w:r>
      <w:r>
        <w:rPr>
          <w:rFonts w:hint="eastAsia" w:ascii="宋体" w:hAnsi="宋体" w:cs="宋体"/>
          <w:szCs w:val="21"/>
          <w:u w:val="single"/>
        </w:rPr>
        <w:t>本工程不允许分包</w:t>
      </w:r>
      <w:r>
        <w:rPr>
          <w:rFonts w:hint="eastAsia" w:ascii="宋体" w:hAnsi="宋体" w:cs="宋体"/>
          <w:szCs w:val="21"/>
        </w:rPr>
        <w:t>。</w:t>
      </w:r>
    </w:p>
    <w:p w14:paraId="7235D92E">
      <w:pPr>
        <w:pStyle w:val="82"/>
        <w:spacing w:line="360" w:lineRule="auto"/>
        <w:ind w:firstLine="420" w:firstLineChars="200"/>
        <w:jc w:val="left"/>
        <w:rPr>
          <w:rFonts w:hint="eastAsia" w:ascii="宋体" w:hAnsi="宋体" w:cs="宋体"/>
          <w:szCs w:val="21"/>
        </w:rPr>
      </w:pPr>
      <w:r>
        <w:rPr>
          <w:rFonts w:hint="eastAsia" w:ascii="宋体" w:hAnsi="宋体" w:cs="宋体"/>
          <w:szCs w:val="21"/>
        </w:rPr>
        <w:t>主体结构、关键性工作的范围：</w:t>
      </w:r>
      <w:r>
        <w:rPr>
          <w:rFonts w:hint="eastAsia" w:ascii="宋体" w:hAnsi="宋体" w:cs="宋体"/>
          <w:szCs w:val="21"/>
          <w:u w:val="single"/>
        </w:rPr>
        <w:t>/</w:t>
      </w:r>
      <w:r>
        <w:rPr>
          <w:rFonts w:hint="eastAsia" w:ascii="宋体" w:hAnsi="宋体" w:cs="宋体"/>
          <w:szCs w:val="21"/>
        </w:rPr>
        <w:t>。</w:t>
      </w:r>
    </w:p>
    <w:p w14:paraId="4CD1D50E">
      <w:pPr>
        <w:pStyle w:val="82"/>
        <w:spacing w:line="360" w:lineRule="auto"/>
        <w:ind w:firstLine="420" w:firstLineChars="200"/>
        <w:jc w:val="left"/>
        <w:rPr>
          <w:rFonts w:hint="eastAsia" w:ascii="宋体" w:hAnsi="宋体" w:cs="宋体"/>
          <w:szCs w:val="21"/>
        </w:rPr>
      </w:pPr>
      <w:r>
        <w:rPr>
          <w:rFonts w:hint="eastAsia" w:ascii="宋体" w:hAnsi="宋体" w:cs="宋体"/>
          <w:szCs w:val="21"/>
        </w:rPr>
        <w:t>3.5.2 分包的确定</w:t>
      </w:r>
    </w:p>
    <w:p w14:paraId="37F7D44E">
      <w:pPr>
        <w:pStyle w:val="82"/>
        <w:spacing w:line="360" w:lineRule="auto"/>
        <w:ind w:firstLine="420" w:firstLineChars="200"/>
        <w:rPr>
          <w:rFonts w:hint="eastAsia" w:ascii="宋体" w:hAnsi="宋体" w:cs="宋体"/>
          <w:szCs w:val="21"/>
          <w:u w:val="single"/>
        </w:rPr>
      </w:pPr>
      <w:r>
        <w:rPr>
          <w:rFonts w:hint="eastAsia" w:ascii="宋体" w:hAnsi="宋体" w:cs="宋体"/>
          <w:szCs w:val="21"/>
        </w:rPr>
        <w:t>允许分包的专业工程包括：</w:t>
      </w:r>
      <w:r>
        <w:rPr>
          <w:rFonts w:hint="eastAsia" w:ascii="宋体" w:hAnsi="宋体" w:cs="宋体"/>
          <w:szCs w:val="21"/>
          <w:u w:val="single"/>
        </w:rPr>
        <w:t>本项目不允许分包</w:t>
      </w:r>
      <w:r>
        <w:rPr>
          <w:rFonts w:hint="eastAsia" w:ascii="宋体" w:hAnsi="宋体" w:cs="宋体"/>
          <w:szCs w:val="21"/>
        </w:rPr>
        <w:t>。</w:t>
      </w:r>
    </w:p>
    <w:p w14:paraId="2B44DD5C">
      <w:pPr>
        <w:pStyle w:val="82"/>
        <w:spacing w:line="360" w:lineRule="auto"/>
        <w:ind w:firstLine="420" w:firstLineChars="200"/>
        <w:rPr>
          <w:rFonts w:hint="eastAsia" w:ascii="宋体" w:hAnsi="宋体" w:cs="宋体"/>
          <w:szCs w:val="21"/>
        </w:rPr>
      </w:pPr>
      <w:r>
        <w:rPr>
          <w:rFonts w:hint="eastAsia" w:ascii="宋体" w:hAnsi="宋体" w:cs="宋体"/>
          <w:szCs w:val="21"/>
        </w:rPr>
        <w:t>3.5.4 分包合同价款</w:t>
      </w:r>
    </w:p>
    <w:p w14:paraId="01FF3365">
      <w:pPr>
        <w:pStyle w:val="82"/>
        <w:spacing w:line="360" w:lineRule="auto"/>
        <w:ind w:firstLine="420" w:firstLineChars="200"/>
        <w:rPr>
          <w:rFonts w:hint="eastAsia" w:ascii="宋体" w:hAnsi="宋体" w:cs="宋体"/>
          <w:szCs w:val="21"/>
        </w:rPr>
      </w:pPr>
      <w:r>
        <w:rPr>
          <w:rFonts w:hint="eastAsia" w:ascii="宋体" w:hAnsi="宋体" w:cs="宋体"/>
          <w:szCs w:val="21"/>
        </w:rPr>
        <w:t>关于分包合同价款支付的约定：</w:t>
      </w:r>
      <w:r>
        <w:rPr>
          <w:rFonts w:hint="eastAsia" w:ascii="宋体" w:hAnsi="宋体" w:cs="宋体"/>
          <w:szCs w:val="21"/>
          <w:u w:val="single"/>
        </w:rPr>
        <w:t>/。</w:t>
      </w:r>
    </w:p>
    <w:p w14:paraId="6D6FE681">
      <w:pPr>
        <w:pStyle w:val="82"/>
        <w:keepNext/>
        <w:keepLines/>
        <w:spacing w:line="360" w:lineRule="auto"/>
        <w:outlineLvl w:val="2"/>
        <w:rPr>
          <w:rFonts w:hint="eastAsia" w:ascii="宋体" w:hAnsi="宋体" w:cs="宋体"/>
          <w:b/>
          <w:bCs/>
          <w:szCs w:val="32"/>
        </w:rPr>
      </w:pPr>
      <w:bookmarkStart w:id="165" w:name="_Toc31166"/>
      <w:bookmarkStart w:id="166" w:name="_Toc5807"/>
      <w:r>
        <w:rPr>
          <w:rFonts w:hint="eastAsia" w:ascii="宋体" w:hAnsi="宋体" w:cs="宋体"/>
          <w:b/>
          <w:bCs/>
          <w:szCs w:val="32"/>
        </w:rPr>
        <w:t>3.6 工程照管与成品、半成品保护</w:t>
      </w:r>
      <w:bookmarkEnd w:id="165"/>
      <w:bookmarkEnd w:id="166"/>
    </w:p>
    <w:p w14:paraId="0A1F2890">
      <w:pPr>
        <w:pStyle w:val="82"/>
        <w:spacing w:line="360" w:lineRule="auto"/>
        <w:ind w:firstLine="420" w:firstLineChars="200"/>
        <w:rPr>
          <w:rFonts w:hint="eastAsia" w:ascii="宋体" w:hAnsi="宋体" w:cs="宋体"/>
          <w:kern w:val="0"/>
          <w:szCs w:val="21"/>
          <w:u w:val="single"/>
        </w:rPr>
      </w:pPr>
      <w:r>
        <w:rPr>
          <w:rFonts w:hint="eastAsia" w:ascii="宋体" w:hAnsi="宋体" w:cs="宋体"/>
          <w:kern w:val="0"/>
          <w:szCs w:val="21"/>
        </w:rPr>
        <w:t>承包人负责照管工程及工程相关的材料、工程设备的起始时间：</w:t>
      </w:r>
      <w:r>
        <w:rPr>
          <w:rFonts w:hint="eastAsia" w:ascii="宋体" w:hAnsi="宋体" w:cs="宋体"/>
          <w:kern w:val="0"/>
          <w:szCs w:val="21"/>
          <w:u w:val="single"/>
        </w:rPr>
        <w:t xml:space="preserve">自发包人向承包人移交施工现场之日起，承包人应负责照管工程及工程相关的材料、工程设备 </w:t>
      </w:r>
      <w:r>
        <w:rPr>
          <w:rFonts w:hint="eastAsia" w:ascii="宋体" w:hAnsi="宋体" w:cs="宋体"/>
          <w:kern w:val="0"/>
          <w:szCs w:val="21"/>
        </w:rPr>
        <w:t>。</w:t>
      </w:r>
    </w:p>
    <w:p w14:paraId="61B29FDA">
      <w:pPr>
        <w:pStyle w:val="82"/>
        <w:keepNext/>
        <w:keepLines/>
        <w:spacing w:line="360" w:lineRule="auto"/>
        <w:outlineLvl w:val="2"/>
        <w:rPr>
          <w:rFonts w:hint="eastAsia" w:ascii="宋体" w:hAnsi="宋体" w:cs="宋体"/>
          <w:b/>
          <w:bCs/>
          <w:szCs w:val="32"/>
        </w:rPr>
      </w:pPr>
      <w:bookmarkStart w:id="167" w:name="_Toc24464"/>
      <w:bookmarkStart w:id="168" w:name="_Toc3559"/>
      <w:r>
        <w:rPr>
          <w:rFonts w:hint="eastAsia" w:ascii="宋体" w:hAnsi="宋体" w:cs="宋体"/>
          <w:b/>
          <w:bCs/>
          <w:szCs w:val="32"/>
        </w:rPr>
        <w:t>3.7 履约保证金</w:t>
      </w:r>
      <w:bookmarkEnd w:id="167"/>
      <w:bookmarkEnd w:id="168"/>
    </w:p>
    <w:p w14:paraId="64BDE3FF">
      <w:pPr>
        <w:pStyle w:val="82"/>
        <w:keepNext/>
        <w:keepLines/>
        <w:spacing w:before="60" w:after="60" w:line="413" w:lineRule="auto"/>
        <w:ind w:firstLine="420" w:firstLineChars="200"/>
        <w:outlineLvl w:val="1"/>
        <w:rPr>
          <w:rFonts w:hint="eastAsia" w:ascii="宋体" w:hAnsi="宋体" w:cs="宋体"/>
          <w:szCs w:val="21"/>
        </w:rPr>
      </w:pPr>
      <w:bookmarkStart w:id="169" w:name="_Toc6661"/>
      <w:bookmarkStart w:id="170" w:name="_Toc7602"/>
      <w:r>
        <w:rPr>
          <w:rFonts w:hint="eastAsia" w:ascii="宋体" w:hAnsi="宋体" w:cs="宋体"/>
          <w:szCs w:val="21"/>
        </w:rPr>
        <w:t>承包人提供履约担保的形式、金额及期限的：本项目不收取履约保证金。</w:t>
      </w:r>
      <w:bookmarkEnd w:id="169"/>
      <w:bookmarkEnd w:id="170"/>
    </w:p>
    <w:p w14:paraId="274E2756">
      <w:pPr>
        <w:pStyle w:val="82"/>
        <w:keepNext/>
        <w:keepLines/>
        <w:spacing w:before="60" w:after="60" w:line="413" w:lineRule="auto"/>
        <w:outlineLvl w:val="1"/>
        <w:rPr>
          <w:rFonts w:hint="eastAsia" w:ascii="宋体" w:hAnsi="宋体" w:cs="宋体"/>
          <w:b/>
          <w:bCs/>
          <w:szCs w:val="32"/>
        </w:rPr>
      </w:pPr>
      <w:bookmarkStart w:id="171" w:name="_Toc3244"/>
      <w:bookmarkStart w:id="172" w:name="_Toc908"/>
      <w:r>
        <w:rPr>
          <w:rFonts w:hint="eastAsia" w:ascii="宋体" w:hAnsi="宋体" w:cs="宋体"/>
          <w:b/>
          <w:bCs/>
          <w:szCs w:val="32"/>
        </w:rPr>
        <w:t>4. 监理人</w:t>
      </w:r>
      <w:bookmarkEnd w:id="171"/>
      <w:bookmarkEnd w:id="172"/>
    </w:p>
    <w:p w14:paraId="2D36FCBC">
      <w:pPr>
        <w:pStyle w:val="82"/>
        <w:keepNext/>
        <w:keepLines/>
        <w:spacing w:line="360" w:lineRule="auto"/>
        <w:outlineLvl w:val="2"/>
        <w:rPr>
          <w:rFonts w:hint="eastAsia" w:ascii="宋体" w:hAnsi="宋体" w:cs="宋体"/>
          <w:b/>
          <w:bCs/>
          <w:szCs w:val="32"/>
        </w:rPr>
      </w:pPr>
      <w:bookmarkStart w:id="173" w:name="_Toc6940"/>
      <w:bookmarkStart w:id="174" w:name="_Toc13234"/>
      <w:r>
        <w:rPr>
          <w:rFonts w:hint="eastAsia" w:ascii="宋体" w:hAnsi="宋体" w:cs="宋体"/>
          <w:b/>
          <w:bCs/>
          <w:szCs w:val="32"/>
        </w:rPr>
        <w:t>4.1 监理人的一般规定</w:t>
      </w:r>
      <w:bookmarkEnd w:id="173"/>
      <w:bookmarkEnd w:id="174"/>
    </w:p>
    <w:p w14:paraId="4C1F5EEF">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施工合同和设计文件及采购文件所有工程内容</w:t>
      </w:r>
      <w:r>
        <w:rPr>
          <w:rFonts w:hint="eastAsia" w:ascii="宋体" w:hAnsi="宋体" w:cs="宋体"/>
          <w:szCs w:val="21"/>
        </w:rPr>
        <w:t>。</w:t>
      </w:r>
    </w:p>
    <w:p w14:paraId="4D71D72C">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全面控制施工阶段的质量、进度、安全、文明施工及相关监管工作, 具体详见监理合同 </w:t>
      </w:r>
      <w:r>
        <w:rPr>
          <w:rFonts w:hint="eastAsia" w:ascii="宋体" w:hAnsi="宋体" w:cs="宋体"/>
          <w:szCs w:val="21"/>
        </w:rPr>
        <w:t>。</w:t>
      </w:r>
    </w:p>
    <w:p w14:paraId="2D0773A6">
      <w:pPr>
        <w:pStyle w:val="82"/>
        <w:spacing w:line="360" w:lineRule="auto"/>
        <w:ind w:firstLine="420" w:firstLineChars="200"/>
        <w:rPr>
          <w:rFonts w:hint="eastAsia" w:ascii="宋体" w:hAnsi="宋体" w:cs="宋体"/>
          <w:szCs w:val="21"/>
          <w:u w:val="single"/>
        </w:rPr>
      </w:pPr>
      <w:r>
        <w:rPr>
          <w:rFonts w:hint="eastAsia" w:ascii="宋体" w:hAnsi="宋体" w:cs="宋体"/>
          <w:szCs w:val="21"/>
        </w:rPr>
        <w:t>关于监理人在施工现场的办公场所、生活场所的提供和费用承担的约定：</w:t>
      </w:r>
      <w:r>
        <w:rPr>
          <w:rFonts w:hint="eastAsia" w:ascii="宋体" w:hAnsi="宋体" w:cs="宋体"/>
          <w:szCs w:val="21"/>
          <w:u w:val="single"/>
        </w:rPr>
        <w:t xml:space="preserve">由监理人自行解决 </w:t>
      </w:r>
      <w:r>
        <w:rPr>
          <w:rFonts w:hint="eastAsia" w:ascii="宋体" w:hAnsi="宋体" w:cs="宋体"/>
          <w:szCs w:val="21"/>
        </w:rPr>
        <w:t>。</w:t>
      </w:r>
    </w:p>
    <w:p w14:paraId="0134DA79">
      <w:pPr>
        <w:pStyle w:val="82"/>
        <w:keepNext/>
        <w:keepLines/>
        <w:spacing w:line="360" w:lineRule="auto"/>
        <w:outlineLvl w:val="2"/>
        <w:rPr>
          <w:rFonts w:hint="eastAsia" w:ascii="宋体" w:hAnsi="宋体" w:cs="宋体"/>
          <w:b/>
          <w:bCs/>
          <w:szCs w:val="32"/>
        </w:rPr>
      </w:pPr>
      <w:bookmarkStart w:id="175" w:name="_Toc30399"/>
      <w:bookmarkStart w:id="176" w:name="_Toc31327"/>
      <w:r>
        <w:rPr>
          <w:rFonts w:hint="eastAsia" w:ascii="宋体" w:hAnsi="宋体" w:cs="宋体"/>
          <w:b/>
          <w:bCs/>
          <w:szCs w:val="32"/>
        </w:rPr>
        <w:t>4.2 监理人员</w:t>
      </w:r>
      <w:bookmarkEnd w:id="175"/>
      <w:bookmarkEnd w:id="176"/>
    </w:p>
    <w:p w14:paraId="76BBB46F">
      <w:pPr>
        <w:pStyle w:val="82"/>
        <w:spacing w:line="360" w:lineRule="auto"/>
        <w:ind w:firstLine="420" w:firstLineChars="200"/>
        <w:rPr>
          <w:rFonts w:hint="eastAsia" w:ascii="宋体" w:hAnsi="宋体" w:cs="宋体"/>
          <w:szCs w:val="21"/>
        </w:rPr>
      </w:pPr>
      <w:r>
        <w:rPr>
          <w:rFonts w:hint="eastAsia" w:ascii="宋体" w:hAnsi="宋体" w:cs="宋体"/>
          <w:szCs w:val="21"/>
        </w:rPr>
        <w:t>总监理工程师：</w:t>
      </w:r>
    </w:p>
    <w:p w14:paraId="51910DFC">
      <w:pPr>
        <w:pStyle w:val="82"/>
        <w:spacing w:line="360" w:lineRule="auto"/>
        <w:ind w:firstLine="420" w:firstLineChars="200"/>
        <w:rPr>
          <w:rFonts w:hint="eastAsia" w:ascii="宋体" w:hAnsi="宋体" w:cs="宋体"/>
          <w:szCs w:val="21"/>
        </w:rPr>
      </w:pPr>
      <w:r>
        <w:rPr>
          <w:rFonts w:hint="eastAsia" w:ascii="宋体" w:hAnsi="宋体" w:cs="宋体"/>
          <w:szCs w:val="21"/>
        </w:rPr>
        <w:t>姓名：</w:t>
      </w:r>
      <w:r>
        <w:rPr>
          <w:rFonts w:hint="eastAsia" w:ascii="宋体" w:hAnsi="宋体" w:cs="宋体"/>
          <w:szCs w:val="21"/>
          <w:u w:val="single"/>
        </w:rPr>
        <w:t></w:t>
      </w:r>
      <w:r>
        <w:rPr>
          <w:rFonts w:hint="eastAsia" w:ascii="宋体" w:hAnsi="宋体" w:cs="宋体"/>
          <w:szCs w:val="21"/>
        </w:rPr>
        <w:t>；</w:t>
      </w:r>
    </w:p>
    <w:p w14:paraId="2E512FE8">
      <w:pPr>
        <w:pStyle w:val="82"/>
        <w:spacing w:line="360" w:lineRule="auto"/>
        <w:ind w:firstLine="420" w:firstLineChars="200"/>
        <w:rPr>
          <w:rFonts w:hint="eastAsia" w:ascii="宋体" w:hAnsi="宋体" w:cs="宋体"/>
          <w:szCs w:val="21"/>
        </w:rPr>
      </w:pPr>
      <w:r>
        <w:rPr>
          <w:rFonts w:hint="eastAsia" w:ascii="宋体" w:hAnsi="宋体" w:cs="宋体"/>
          <w:szCs w:val="21"/>
        </w:rPr>
        <w:t>职务：</w:t>
      </w:r>
      <w:r>
        <w:rPr>
          <w:rFonts w:hint="eastAsia" w:ascii="宋体" w:hAnsi="宋体" w:cs="宋体"/>
          <w:szCs w:val="21"/>
          <w:u w:val="single"/>
        </w:rPr>
        <w:t></w:t>
      </w:r>
      <w:r>
        <w:rPr>
          <w:rFonts w:hint="eastAsia" w:ascii="宋体" w:hAnsi="宋体" w:cs="宋体"/>
          <w:szCs w:val="21"/>
        </w:rPr>
        <w:t>；</w:t>
      </w:r>
    </w:p>
    <w:p w14:paraId="7E3828D2">
      <w:pPr>
        <w:pStyle w:val="82"/>
        <w:spacing w:line="360" w:lineRule="auto"/>
        <w:ind w:firstLine="420" w:firstLineChars="200"/>
        <w:rPr>
          <w:rFonts w:hint="eastAsia"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w:t>
      </w:r>
      <w:r>
        <w:rPr>
          <w:rFonts w:hint="eastAsia" w:ascii="宋体" w:hAnsi="宋体" w:cs="宋体"/>
          <w:szCs w:val="21"/>
        </w:rPr>
        <w:t>；</w:t>
      </w:r>
    </w:p>
    <w:p w14:paraId="564BFD1D">
      <w:pPr>
        <w:pStyle w:val="82"/>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w:t>
      </w:r>
      <w:r>
        <w:rPr>
          <w:rFonts w:hint="eastAsia" w:ascii="宋体" w:hAnsi="宋体" w:cs="宋体"/>
          <w:szCs w:val="21"/>
        </w:rPr>
        <w:t>；</w:t>
      </w:r>
    </w:p>
    <w:p w14:paraId="2D347614">
      <w:pPr>
        <w:pStyle w:val="82"/>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w:t>
      </w:r>
      <w:r>
        <w:rPr>
          <w:rFonts w:hint="eastAsia" w:ascii="宋体" w:hAnsi="宋体" w:cs="宋体"/>
          <w:szCs w:val="21"/>
        </w:rPr>
        <w:t>；</w:t>
      </w:r>
    </w:p>
    <w:p w14:paraId="6AD289EB">
      <w:pPr>
        <w:pStyle w:val="82"/>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w:t>
      </w:r>
      <w:r>
        <w:rPr>
          <w:rFonts w:hint="eastAsia" w:ascii="宋体" w:hAnsi="宋体" w:cs="宋体"/>
          <w:szCs w:val="21"/>
        </w:rPr>
        <w:t>；</w:t>
      </w:r>
    </w:p>
    <w:p w14:paraId="54C3184D">
      <w:pPr>
        <w:pStyle w:val="82"/>
        <w:spacing w:line="360" w:lineRule="auto"/>
        <w:ind w:firstLine="420" w:firstLineChars="200"/>
        <w:rPr>
          <w:rFonts w:hint="eastAsia" w:ascii="宋体" w:hAnsi="宋体" w:cs="宋体"/>
          <w:szCs w:val="21"/>
        </w:rPr>
      </w:pPr>
      <w:r>
        <w:rPr>
          <w:rFonts w:hint="eastAsia" w:ascii="宋体" w:hAnsi="宋体" w:cs="宋体"/>
          <w:szCs w:val="21"/>
        </w:rPr>
        <w:t>关于监理人的其他约定：</w:t>
      </w:r>
      <w:r>
        <w:rPr>
          <w:rFonts w:hint="eastAsia" w:ascii="宋体" w:hAnsi="宋体" w:cs="宋体"/>
          <w:szCs w:val="21"/>
          <w:u w:val="single"/>
        </w:rPr>
        <w:t></w:t>
      </w:r>
      <w:r>
        <w:rPr>
          <w:rFonts w:hint="eastAsia" w:ascii="宋体" w:hAnsi="宋体" w:cs="宋体"/>
          <w:szCs w:val="21"/>
        </w:rPr>
        <w:t>。</w:t>
      </w:r>
    </w:p>
    <w:p w14:paraId="6D3B1386">
      <w:pPr>
        <w:pStyle w:val="82"/>
        <w:keepNext/>
        <w:keepLines/>
        <w:spacing w:line="360" w:lineRule="auto"/>
        <w:outlineLvl w:val="2"/>
        <w:rPr>
          <w:rFonts w:hint="eastAsia" w:ascii="宋体" w:hAnsi="宋体" w:cs="宋体"/>
          <w:b/>
          <w:bCs/>
          <w:szCs w:val="32"/>
        </w:rPr>
      </w:pPr>
      <w:bookmarkStart w:id="177" w:name="_Toc9937"/>
      <w:bookmarkStart w:id="178" w:name="_Toc9738"/>
      <w:r>
        <w:rPr>
          <w:rFonts w:hint="eastAsia" w:ascii="宋体" w:hAnsi="宋体" w:cs="宋体"/>
          <w:b/>
          <w:bCs/>
          <w:szCs w:val="32"/>
        </w:rPr>
        <w:t>4.4 商定或确定</w:t>
      </w:r>
      <w:bookmarkEnd w:id="177"/>
      <w:bookmarkEnd w:id="178"/>
    </w:p>
    <w:p w14:paraId="63425EDD">
      <w:pPr>
        <w:pStyle w:val="82"/>
        <w:spacing w:line="360" w:lineRule="auto"/>
        <w:ind w:firstLine="420" w:firstLineChars="200"/>
        <w:rPr>
          <w:rFonts w:hint="eastAsia" w:ascii="宋体" w:hAnsi="宋体" w:cs="宋体"/>
          <w:szCs w:val="21"/>
        </w:rPr>
      </w:pPr>
      <w:r>
        <w:rPr>
          <w:rFonts w:hint="eastAsia" w:ascii="宋体" w:hAnsi="宋体" w:cs="宋体"/>
          <w:szCs w:val="21"/>
        </w:rPr>
        <w:t>在发包人和承包人不能通过协商达成一致意见时，发包人授权监理人对以下事项进行确定：</w:t>
      </w:r>
    </w:p>
    <w:p w14:paraId="442C3871">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w:t>
      </w:r>
      <w:r>
        <w:rPr>
          <w:rFonts w:hint="eastAsia" w:ascii="宋体" w:hAnsi="宋体" w:cs="宋体"/>
          <w:szCs w:val="21"/>
          <w:u w:val="single"/>
        </w:rPr>
        <w:t>按照“通用条款” 执行</w:t>
      </w:r>
      <w:r>
        <w:rPr>
          <w:rFonts w:hint="eastAsia" w:ascii="宋体" w:hAnsi="宋体" w:cs="宋体"/>
          <w:szCs w:val="21"/>
        </w:rPr>
        <w:t>；</w:t>
      </w:r>
    </w:p>
    <w:p w14:paraId="73050F72">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                   </w:t>
      </w:r>
      <w:r>
        <w:rPr>
          <w:rFonts w:hint="eastAsia" w:ascii="宋体" w:hAnsi="宋体" w:cs="宋体"/>
          <w:szCs w:val="21"/>
        </w:rPr>
        <w:t>；</w:t>
      </w:r>
    </w:p>
    <w:p w14:paraId="3459DA23">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                     </w:t>
      </w:r>
      <w:r>
        <w:rPr>
          <w:rFonts w:hint="eastAsia" w:ascii="宋体" w:hAnsi="宋体" w:cs="宋体"/>
          <w:szCs w:val="21"/>
        </w:rPr>
        <w:t>。</w:t>
      </w:r>
    </w:p>
    <w:p w14:paraId="14D182AB">
      <w:pPr>
        <w:pStyle w:val="82"/>
        <w:keepNext/>
        <w:keepLines/>
        <w:spacing w:before="60" w:after="60" w:line="413" w:lineRule="auto"/>
        <w:outlineLvl w:val="1"/>
        <w:rPr>
          <w:rFonts w:hint="eastAsia" w:ascii="宋体" w:hAnsi="宋体" w:cs="宋体"/>
          <w:b/>
          <w:bCs/>
          <w:szCs w:val="32"/>
        </w:rPr>
      </w:pPr>
      <w:bookmarkStart w:id="179" w:name="_Toc17658"/>
      <w:bookmarkStart w:id="180" w:name="_Toc5641"/>
      <w:r>
        <w:rPr>
          <w:rFonts w:hint="eastAsia" w:ascii="宋体" w:hAnsi="宋体" w:cs="宋体"/>
          <w:b/>
          <w:bCs/>
          <w:szCs w:val="32"/>
        </w:rPr>
        <w:t>5. 工程质量</w:t>
      </w:r>
      <w:bookmarkEnd w:id="179"/>
      <w:bookmarkEnd w:id="180"/>
    </w:p>
    <w:p w14:paraId="5587BC82">
      <w:pPr>
        <w:pStyle w:val="82"/>
        <w:keepNext/>
        <w:keepLines/>
        <w:spacing w:line="360" w:lineRule="auto"/>
        <w:outlineLvl w:val="2"/>
        <w:rPr>
          <w:rFonts w:hint="eastAsia" w:ascii="宋体" w:hAnsi="宋体" w:cs="宋体"/>
          <w:b/>
          <w:bCs/>
          <w:szCs w:val="32"/>
        </w:rPr>
      </w:pPr>
      <w:bookmarkStart w:id="181" w:name="_Toc22236"/>
      <w:bookmarkStart w:id="182" w:name="_Toc14705"/>
      <w:r>
        <w:rPr>
          <w:rFonts w:hint="eastAsia" w:ascii="宋体" w:hAnsi="宋体" w:cs="宋体"/>
          <w:b/>
          <w:bCs/>
          <w:szCs w:val="32"/>
        </w:rPr>
        <w:t>5.1 质量要求</w:t>
      </w:r>
      <w:bookmarkEnd w:id="181"/>
      <w:bookmarkEnd w:id="182"/>
    </w:p>
    <w:p w14:paraId="4B3E2F84">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5.1.1 特殊质量标准和要求：</w:t>
      </w:r>
      <w:r>
        <w:rPr>
          <w:rFonts w:hint="eastAsia" w:ascii="宋体" w:hAnsi="宋体" w:cs="宋体"/>
          <w:szCs w:val="21"/>
          <w:u w:val="single"/>
        </w:rPr>
        <w:t>特殊要求：严格执行广西壮族自治区住房和城乡建设厅《关于严格实行房屋建筑和市政基础设施工程质量终身责任承诺、永久性质量责任标牌、终身责任信息档案等制度的通知》(桂建管[2014]96号)和南宁市城乡建设委员会《关于落实建设工程质量终身责任，加强工程质量管理的通知》（南建质安[2014]155号）要求，落实建设工程质量终身责任。</w:t>
      </w:r>
    </w:p>
    <w:p w14:paraId="3CE7CFA5">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关于工程奖项的约定：</w:t>
      </w:r>
      <w:r>
        <w:rPr>
          <w:rFonts w:hint="eastAsia" w:ascii="宋体" w:hAnsi="宋体" w:cs="宋体"/>
          <w:szCs w:val="21"/>
          <w:u w:val="single"/>
        </w:rPr>
        <w:t xml:space="preserve">              /                    </w:t>
      </w:r>
      <w:r>
        <w:rPr>
          <w:rFonts w:hint="eastAsia" w:ascii="宋体" w:hAnsi="宋体" w:cs="宋体"/>
          <w:szCs w:val="21"/>
        </w:rPr>
        <w:t>。</w:t>
      </w:r>
    </w:p>
    <w:p w14:paraId="0365FD16">
      <w:pPr>
        <w:pStyle w:val="82"/>
        <w:spacing w:line="360" w:lineRule="auto"/>
        <w:ind w:firstLine="420" w:firstLineChars="200"/>
        <w:jc w:val="left"/>
        <w:rPr>
          <w:rFonts w:hint="eastAsia" w:ascii="宋体" w:hAnsi="宋体" w:cs="宋体"/>
          <w:szCs w:val="21"/>
        </w:rPr>
      </w:pPr>
      <w:r>
        <w:rPr>
          <w:rFonts w:hint="eastAsia" w:ascii="宋体" w:hAnsi="宋体" w:cs="宋体"/>
          <w:szCs w:val="21"/>
        </w:rPr>
        <w:t>5.3 隐蔽工程检查</w:t>
      </w:r>
    </w:p>
    <w:p w14:paraId="3E831FD4">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5.3.2承包人提前通知监理人隐蔽工程检查的期限的约定：</w:t>
      </w:r>
      <w:r>
        <w:rPr>
          <w:rFonts w:hint="eastAsia" w:ascii="宋体" w:hAnsi="宋体" w:cs="宋体"/>
          <w:bCs/>
          <w:szCs w:val="21"/>
        </w:rPr>
        <w:t>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2B34DDF3">
      <w:pPr>
        <w:pStyle w:val="82"/>
        <w:spacing w:line="360" w:lineRule="auto"/>
        <w:ind w:firstLine="420" w:firstLineChars="200"/>
        <w:jc w:val="left"/>
        <w:rPr>
          <w:rFonts w:hint="eastAsia"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24    </w:t>
      </w:r>
      <w:r>
        <w:rPr>
          <w:rFonts w:hint="eastAsia" w:ascii="宋体" w:hAnsi="宋体" w:cs="宋体"/>
          <w:szCs w:val="21"/>
        </w:rPr>
        <w:t>小时提交书面延期要求。</w:t>
      </w:r>
    </w:p>
    <w:p w14:paraId="4E6A4AD9">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24      </w:t>
      </w:r>
      <w:r>
        <w:rPr>
          <w:rFonts w:hint="eastAsia" w:ascii="宋体" w:hAnsi="宋体" w:cs="宋体"/>
          <w:szCs w:val="21"/>
        </w:rPr>
        <w:t>小时。</w:t>
      </w:r>
    </w:p>
    <w:p w14:paraId="77E0D769">
      <w:pPr>
        <w:pStyle w:val="82"/>
        <w:keepNext/>
        <w:keepLines/>
        <w:spacing w:before="60" w:after="60" w:line="413" w:lineRule="auto"/>
        <w:outlineLvl w:val="1"/>
        <w:rPr>
          <w:rFonts w:hint="eastAsia" w:ascii="宋体" w:hAnsi="宋体" w:cs="宋体"/>
          <w:b/>
          <w:bCs/>
          <w:szCs w:val="32"/>
        </w:rPr>
      </w:pPr>
      <w:bookmarkStart w:id="183" w:name="_Toc674"/>
      <w:bookmarkStart w:id="184" w:name="_Toc745"/>
      <w:r>
        <w:rPr>
          <w:rFonts w:hint="eastAsia" w:ascii="宋体" w:hAnsi="宋体" w:cs="宋体"/>
          <w:b/>
          <w:bCs/>
          <w:szCs w:val="32"/>
        </w:rPr>
        <w:t>6. 安全文明施工与环境保护</w:t>
      </w:r>
      <w:bookmarkEnd w:id="183"/>
      <w:bookmarkEnd w:id="184"/>
    </w:p>
    <w:p w14:paraId="594211B9">
      <w:pPr>
        <w:pStyle w:val="82"/>
        <w:keepNext/>
        <w:keepLines/>
        <w:spacing w:line="360" w:lineRule="auto"/>
        <w:outlineLvl w:val="2"/>
        <w:rPr>
          <w:rFonts w:hint="eastAsia" w:ascii="宋体" w:hAnsi="宋体" w:cs="宋体"/>
          <w:b/>
          <w:bCs/>
          <w:szCs w:val="32"/>
        </w:rPr>
      </w:pPr>
      <w:bookmarkStart w:id="185" w:name="_Toc14043"/>
      <w:bookmarkStart w:id="186" w:name="_Toc4738"/>
      <w:r>
        <w:rPr>
          <w:rFonts w:hint="eastAsia" w:ascii="宋体" w:hAnsi="宋体" w:cs="宋体"/>
          <w:b/>
          <w:bCs/>
          <w:szCs w:val="32"/>
        </w:rPr>
        <w:t>6.1 安全文明施工</w:t>
      </w:r>
      <w:bookmarkEnd w:id="185"/>
      <w:bookmarkEnd w:id="186"/>
    </w:p>
    <w:p w14:paraId="77CC94A4">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6.1.1 项目安全生产的达标目标及相应事项的约定：</w:t>
      </w:r>
      <w:r>
        <w:rPr>
          <w:rFonts w:hint="eastAsia" w:ascii="宋体" w:hAnsi="宋体" w:cs="宋体"/>
          <w:szCs w:val="21"/>
          <w:u w:val="single"/>
        </w:rPr>
        <w:t>承包人应遵守安全生产法律、法规的规定及国家和工程所在地工程建设安全生产有关管理规定，严格按现行安全标准组织施工，并随时接受行业安全检查人员依法实施的监督检查，采取必要的安全防护措施，消除事故隐患。其安全施工防护费用已经含在合同价款内。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如经政府相关部门调查发现因承包人过失造成事故的发生，发包人有权解除合同，由此造成的一切经济损失和法律责任由承包人承担。</w:t>
      </w:r>
    </w:p>
    <w:p w14:paraId="7E44CD6B">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关于安全文明施工奖项的约定：</w:t>
      </w:r>
      <w:r>
        <w:rPr>
          <w:rFonts w:hint="eastAsia" w:ascii="宋体" w:hAnsi="宋体" w:cs="宋体"/>
          <w:szCs w:val="21"/>
          <w:u w:val="single"/>
        </w:rPr>
        <w:t xml:space="preserve">     /                            </w:t>
      </w:r>
      <w:r>
        <w:rPr>
          <w:rFonts w:hint="eastAsia" w:ascii="宋体" w:hAnsi="宋体" w:cs="宋体"/>
          <w:szCs w:val="21"/>
        </w:rPr>
        <w:t>。</w:t>
      </w:r>
    </w:p>
    <w:p w14:paraId="7FE3DD96">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6.1.4 关于治安保卫的特别约定：</w:t>
      </w:r>
      <w:r>
        <w:rPr>
          <w:rFonts w:hint="eastAsia" w:ascii="宋体" w:hAnsi="宋体" w:cs="宋体"/>
          <w:szCs w:val="21"/>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如造成施工人员因作业伤亡或第三方（人）损害导致发包人承担责任的，发包人有权向承包人请求赔偿。</w:t>
      </w:r>
    </w:p>
    <w:p w14:paraId="481AF88D">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关于编制施工场地治安管理计划的约定：</w:t>
      </w:r>
      <w:r>
        <w:rPr>
          <w:rFonts w:hint="eastAsia" w:ascii="宋体" w:hAnsi="宋体" w:cs="宋体"/>
          <w:szCs w:val="21"/>
          <w:u w:val="single"/>
        </w:rPr>
        <w:t>承包人应在工程开工后 7天内严格按照《中华人民共和国治安管理法》及 《广西壮族自治区社会治安综合治理条例》要求编制施工场地治安管理计划，并制定应对突发治安事件的紧急预案。在工程施工过程中，发生暴乱、爆炸等恐 怖事件，以及群殴、械斗等群体性突发治安事件的，发包人和承包人应立即向当地政府报告。发包人和承包人应积极协助当地有关部门采取措施平息事态， 防止事态扩大，尽量避免人员伤亡和财产损失</w:t>
      </w:r>
      <w:r>
        <w:rPr>
          <w:rFonts w:hint="eastAsia" w:ascii="宋体" w:hAnsi="宋体" w:cs="宋体"/>
          <w:szCs w:val="21"/>
        </w:rPr>
        <w:t>。</w:t>
      </w:r>
    </w:p>
    <w:p w14:paraId="245B741D">
      <w:pPr>
        <w:pStyle w:val="82"/>
        <w:spacing w:line="360" w:lineRule="auto"/>
        <w:ind w:firstLine="420" w:firstLineChars="200"/>
        <w:jc w:val="left"/>
        <w:rPr>
          <w:rFonts w:hint="eastAsia" w:ascii="宋体" w:hAnsi="宋体" w:cs="宋体"/>
          <w:szCs w:val="21"/>
        </w:rPr>
      </w:pPr>
      <w:r>
        <w:rPr>
          <w:rFonts w:hint="eastAsia" w:ascii="宋体" w:hAnsi="宋体" w:cs="宋体"/>
          <w:szCs w:val="21"/>
        </w:rPr>
        <w:t>6.1.5 文明施工</w:t>
      </w:r>
    </w:p>
    <w:p w14:paraId="74B319C4">
      <w:pPr>
        <w:pStyle w:val="82"/>
        <w:spacing w:line="360" w:lineRule="auto"/>
        <w:ind w:firstLine="420" w:firstLineChars="200"/>
        <w:jc w:val="left"/>
        <w:rPr>
          <w:rFonts w:hint="eastAsia" w:ascii="宋体" w:hAnsi="宋体" w:cs="宋体"/>
          <w:bCs/>
          <w:szCs w:val="21"/>
        </w:rPr>
      </w:pPr>
      <w:r>
        <w:rPr>
          <w:rFonts w:hint="eastAsia" w:ascii="宋体" w:hAnsi="宋体" w:cs="宋体"/>
          <w:szCs w:val="21"/>
        </w:rPr>
        <w:t>合同当事人对文明施工的要求：</w:t>
      </w:r>
      <w:r>
        <w:rPr>
          <w:rFonts w:hint="eastAsia" w:ascii="宋体" w:hAnsi="宋体" w:cs="宋体"/>
          <w:szCs w:val="21"/>
          <w:u w:val="single"/>
        </w:rPr>
        <w:t>要求达到《建筑施工安全检查标准》（JGJ59-2011）的标准，</w:t>
      </w:r>
      <w:r>
        <w:rPr>
          <w:rFonts w:hint="eastAsia" w:ascii="宋体" w:hAnsi="宋体" w:cs="宋体"/>
          <w:bCs/>
          <w:szCs w:val="21"/>
          <w:u w:val="single"/>
        </w:rPr>
        <w:t>严格执行《大气污染防治法》（主席令第三十一号）、《南宁市建设工程质量和安全生产管理办法》（南宁市人民政府令 第46号）、《南宁市建设工程质量安全标准化图集》、《南宁市建设工程施工现场管理若干规定》（南宁市人民政府令 第8号）、</w:t>
      </w:r>
      <w:r>
        <w:rPr>
          <w:rFonts w:hint="eastAsia" w:ascii="宋体" w:hAnsi="宋体" w:cs="宋体"/>
          <w:szCs w:val="21"/>
          <w:u w:val="single"/>
          <w:lang w:bidi="ar"/>
        </w:rPr>
        <w:t>《关于推进建筑业改革发展提升工程治理水平的若干意见》（南府规[2016]24 号）、《南宁市土方作业文明施工工作导则》、《南宁市建设工程质量安全标准化图集》、《广西壮族自治区建设工程安全文明施工费使用管理细则》（桂建质[2015]16 号）、《南宁市建设工程安全防护、文明施工措施费用管理规定》的有关规定，必须与经城管部门及行业协会核查建立的合法合规运输企业名录当中的企业签订运输合同，保证车辆受管控、服务够专业、利益分配较合理；使用符合密闭规定的合法车辆进行散体物料（建筑渣土、垃圾、砂石等）的运输，</w:t>
      </w:r>
      <w:r>
        <w:rPr>
          <w:rFonts w:hint="eastAsia" w:ascii="宋体" w:hAnsi="宋体" w:cs="宋体"/>
          <w:bCs/>
          <w:szCs w:val="21"/>
          <w:u w:val="single"/>
        </w:rPr>
        <w:t>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p>
    <w:p w14:paraId="449FBD5F">
      <w:pPr>
        <w:pStyle w:val="82"/>
        <w:spacing w:line="360" w:lineRule="auto"/>
        <w:ind w:firstLine="420" w:firstLineChars="200"/>
        <w:jc w:val="left"/>
        <w:rPr>
          <w:rFonts w:hint="eastAsia" w:ascii="宋体" w:hAnsi="宋体" w:cs="宋体"/>
          <w:szCs w:val="21"/>
        </w:rPr>
      </w:pPr>
      <w:r>
        <w:rPr>
          <w:rFonts w:hint="eastAsia" w:ascii="宋体" w:hAnsi="宋体" w:cs="宋体"/>
          <w:szCs w:val="21"/>
        </w:rPr>
        <w:t>6.1.6 关于安全文明施工费支付比例和支付期限的约定：</w:t>
      </w:r>
    </w:p>
    <w:p w14:paraId="030D6830">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（1）使用要求：专款专用。具体按</w:t>
      </w:r>
      <w:r>
        <w:rPr>
          <w:rFonts w:hint="eastAsia" w:ascii="宋体" w:hAnsi="宋体" w:cs="宋体"/>
          <w:kern w:val="0"/>
          <w:szCs w:val="21"/>
          <w:u w:val="single"/>
        </w:rPr>
        <w:t>《广西壮族自治区建设工程安全文明施工费使用管理细则》（桂建质〔2015〕16号）</w:t>
      </w:r>
      <w:r>
        <w:rPr>
          <w:rFonts w:hint="eastAsia" w:ascii="宋体" w:hAnsi="宋体" w:cs="宋体"/>
          <w:kern w:val="0"/>
          <w:szCs w:val="21"/>
        </w:rPr>
        <w:t>和</w:t>
      </w:r>
      <w:r>
        <w:rPr>
          <w:rFonts w:hint="eastAsia" w:ascii="宋体" w:hAnsi="宋体" w:cs="宋体"/>
          <w:kern w:val="0"/>
          <w:szCs w:val="21"/>
          <w:u w:val="single"/>
        </w:rPr>
        <w:t>《关于印发&lt;南宁市建设工程安全防护、文明施工措施费用管理规定&gt;的通知》（南建质安〔2013〕22号）</w:t>
      </w:r>
      <w:r>
        <w:rPr>
          <w:rFonts w:hint="eastAsia" w:ascii="宋体" w:hAnsi="宋体" w:cs="宋体"/>
          <w:kern w:val="0"/>
          <w:szCs w:val="21"/>
        </w:rPr>
        <w:t>相关规定执行。</w:t>
      </w:r>
    </w:p>
    <w:p w14:paraId="643BC587">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（2）支付方式：</w:t>
      </w:r>
      <w:r>
        <w:rPr>
          <w:rFonts w:hint="eastAsia" w:ascii="宋体" w:hAnsi="宋体" w:cs="宋体"/>
          <w:kern w:val="0"/>
          <w:szCs w:val="21"/>
          <w:u w:val="single"/>
        </w:rPr>
        <w:t>本合同价款已包含安全文明施工费，由承包人自行支付，发包人不再单独支付</w:t>
      </w:r>
      <w:r>
        <w:rPr>
          <w:rFonts w:hint="eastAsia" w:ascii="宋体" w:hAnsi="宋体" w:cs="宋体"/>
          <w:kern w:val="0"/>
          <w:szCs w:val="21"/>
        </w:rPr>
        <w:t>。</w:t>
      </w:r>
    </w:p>
    <w:p w14:paraId="798F4C5D">
      <w:pPr>
        <w:pStyle w:val="82"/>
        <w:autoSpaceDE w:val="0"/>
        <w:autoSpaceDN w:val="0"/>
        <w:adjustRightInd w:val="0"/>
        <w:spacing w:line="360" w:lineRule="auto"/>
        <w:ind w:firstLine="422" w:firstLineChars="200"/>
        <w:jc w:val="left"/>
        <w:rPr>
          <w:rFonts w:hint="eastAsia" w:ascii="宋体" w:hAnsi="宋体" w:cs="宋体"/>
          <w:kern w:val="0"/>
        </w:rPr>
      </w:pPr>
      <w:r>
        <w:rPr>
          <w:rFonts w:hint="eastAsia" w:ascii="宋体" w:hAnsi="宋体" w:cs="宋体"/>
          <w:b/>
          <w:bCs/>
          <w:szCs w:val="32"/>
        </w:rPr>
        <w:t xml:space="preserve">6.3 </w:t>
      </w:r>
      <w:r>
        <w:rPr>
          <w:rFonts w:hint="eastAsia" w:ascii="宋体" w:hAnsi="宋体" w:cs="宋体"/>
          <w:kern w:val="0"/>
        </w:rPr>
        <w:t>环境保护</w:t>
      </w:r>
    </w:p>
    <w:p w14:paraId="3F97EF3B">
      <w:pPr>
        <w:pStyle w:val="82"/>
        <w:spacing w:line="360" w:lineRule="auto"/>
        <w:ind w:firstLine="420" w:firstLineChars="200"/>
        <w:jc w:val="left"/>
        <w:rPr>
          <w:rFonts w:hint="eastAsia" w:ascii="宋体" w:hAnsi="宋体" w:cs="宋体"/>
          <w:kern w:val="0"/>
        </w:rPr>
      </w:pPr>
      <w:r>
        <w:rPr>
          <w:rFonts w:hint="eastAsia" w:ascii="宋体" w:hAnsi="宋体" w:cs="宋体"/>
          <w:kern w:val="0"/>
        </w:rPr>
        <w:t>因施工需要，经发包人批准，由承包人办理有关施工场地交通、环卫和施工噪音管理等手续，费用由承包人负责。</w:t>
      </w:r>
    </w:p>
    <w:p w14:paraId="641E9FEF">
      <w:pPr>
        <w:pStyle w:val="82"/>
        <w:spacing w:line="360" w:lineRule="auto"/>
        <w:ind w:firstLine="420" w:firstLineChars="200"/>
        <w:jc w:val="left"/>
        <w:rPr>
          <w:rFonts w:hint="eastAsia" w:ascii="宋体" w:hAnsi="宋体" w:cs="宋体"/>
          <w:kern w:val="0"/>
        </w:rPr>
      </w:pPr>
      <w:r>
        <w:rPr>
          <w:rFonts w:hint="eastAsia" w:ascii="宋体" w:hAnsi="宋体" w:cs="宋体"/>
          <w:kern w:val="0"/>
        </w:rPr>
        <w:t>经过城市道路的施工车辆，必须按交警、城管、运输等部门相关规定执行。由于施工车辆造成的道路、环境等污染，其责任和费用均由承包人承担。</w:t>
      </w:r>
    </w:p>
    <w:p w14:paraId="6B5B24F5">
      <w:pPr>
        <w:pStyle w:val="82"/>
        <w:keepNext/>
        <w:keepLines/>
        <w:spacing w:before="60" w:after="60" w:line="413" w:lineRule="auto"/>
        <w:outlineLvl w:val="1"/>
        <w:rPr>
          <w:rFonts w:hint="eastAsia" w:ascii="宋体" w:hAnsi="宋体" w:cs="宋体"/>
          <w:b/>
          <w:bCs/>
          <w:szCs w:val="32"/>
        </w:rPr>
      </w:pPr>
      <w:bookmarkStart w:id="187" w:name="_Toc6951"/>
      <w:bookmarkStart w:id="188" w:name="_Toc20344"/>
      <w:r>
        <w:rPr>
          <w:rFonts w:hint="eastAsia" w:ascii="宋体" w:hAnsi="宋体" w:cs="宋体"/>
          <w:b/>
          <w:bCs/>
          <w:szCs w:val="32"/>
        </w:rPr>
        <w:t>7. 工期和进度</w:t>
      </w:r>
      <w:bookmarkEnd w:id="187"/>
      <w:bookmarkEnd w:id="188"/>
    </w:p>
    <w:p w14:paraId="03F67E06">
      <w:pPr>
        <w:pStyle w:val="82"/>
        <w:keepNext/>
        <w:keepLines/>
        <w:spacing w:line="360" w:lineRule="auto"/>
        <w:outlineLvl w:val="2"/>
        <w:rPr>
          <w:rFonts w:hint="eastAsia" w:ascii="宋体" w:hAnsi="宋体" w:cs="宋体"/>
          <w:b/>
          <w:bCs/>
          <w:szCs w:val="32"/>
        </w:rPr>
      </w:pPr>
      <w:bookmarkStart w:id="189" w:name="_Toc6737"/>
      <w:bookmarkStart w:id="190" w:name="_Toc8264"/>
      <w:r>
        <w:rPr>
          <w:rFonts w:hint="eastAsia" w:ascii="宋体" w:hAnsi="宋体" w:cs="宋体"/>
          <w:b/>
          <w:bCs/>
          <w:szCs w:val="32"/>
        </w:rPr>
        <w:t>7.1 施工组织设计</w:t>
      </w:r>
      <w:bookmarkEnd w:id="189"/>
      <w:bookmarkEnd w:id="190"/>
    </w:p>
    <w:p w14:paraId="551F4682">
      <w:pPr>
        <w:pStyle w:val="82"/>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szCs w:val="21"/>
        </w:rPr>
        <w:t>7.1.1 合</w:t>
      </w:r>
      <w:r>
        <w:rPr>
          <w:rFonts w:hint="eastAsia" w:ascii="宋体" w:hAnsi="宋体" w:cs="宋体"/>
          <w:kern w:val="0"/>
          <w:szCs w:val="21"/>
        </w:rPr>
        <w:t>同当事人约定的施工组织设计应包括的其他内容：</w:t>
      </w:r>
      <w:r>
        <w:rPr>
          <w:rFonts w:hint="eastAsia" w:ascii="宋体" w:hAnsi="宋体" w:cs="宋体"/>
          <w:kern w:val="0"/>
          <w:szCs w:val="21"/>
          <w:u w:val="single"/>
        </w:rPr>
        <w:t>按国家或广西区内的相关规定执行</w:t>
      </w:r>
      <w:r>
        <w:rPr>
          <w:rFonts w:hint="eastAsia" w:ascii="宋体" w:hAnsi="宋体" w:cs="宋体"/>
          <w:szCs w:val="21"/>
          <w:u w:val="single"/>
        </w:rPr>
        <w:t>。</w:t>
      </w:r>
    </w:p>
    <w:p w14:paraId="25E9A68B">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6B0A656D">
      <w:pPr>
        <w:pStyle w:val="82"/>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承包人提交详细施工组织设计的期限的约定：</w:t>
      </w:r>
      <w:r>
        <w:rPr>
          <w:rFonts w:hint="eastAsia" w:ascii="宋体" w:hAnsi="宋体" w:cs="宋体"/>
          <w:szCs w:val="21"/>
          <w:u w:val="single"/>
        </w:rPr>
        <w:t xml:space="preserve">开工前7天 </w:t>
      </w:r>
      <w:r>
        <w:rPr>
          <w:rFonts w:hint="eastAsia" w:ascii="宋体" w:hAnsi="宋体" w:cs="宋体"/>
          <w:szCs w:val="21"/>
        </w:rPr>
        <w:t>。</w:t>
      </w:r>
    </w:p>
    <w:p w14:paraId="6A308DC5">
      <w:pPr>
        <w:pStyle w:val="82"/>
        <w:spacing w:line="360" w:lineRule="auto"/>
        <w:ind w:firstLine="420" w:firstLineChars="200"/>
        <w:jc w:val="left"/>
        <w:rPr>
          <w:rFonts w:hint="eastAsia" w:ascii="宋体" w:hAnsi="宋体" w:cs="宋体"/>
          <w:szCs w:val="21"/>
        </w:rPr>
      </w:pPr>
      <w:r>
        <w:rPr>
          <w:rFonts w:hint="eastAsia" w:ascii="宋体" w:hAnsi="宋体" w:cs="宋体"/>
          <w:szCs w:val="21"/>
        </w:rPr>
        <w:t>发包人和监理人在收到详细的施工组织设计后确认或提出修改意见的期限：</w:t>
      </w:r>
      <w:r>
        <w:rPr>
          <w:rFonts w:hint="eastAsia" w:ascii="宋体" w:hAnsi="宋体" w:cs="宋体"/>
          <w:szCs w:val="21"/>
          <w:u w:val="single"/>
        </w:rPr>
        <w:t>收到施工组织设计后5天内确认或提出修改意见。</w:t>
      </w:r>
    </w:p>
    <w:p w14:paraId="7128A81C">
      <w:pPr>
        <w:pStyle w:val="82"/>
        <w:keepNext/>
        <w:keepLines/>
        <w:spacing w:line="360" w:lineRule="auto"/>
        <w:outlineLvl w:val="2"/>
        <w:rPr>
          <w:rFonts w:hint="eastAsia" w:ascii="宋体" w:hAnsi="宋体" w:cs="宋体"/>
          <w:b/>
          <w:bCs/>
          <w:szCs w:val="32"/>
        </w:rPr>
      </w:pPr>
      <w:bookmarkStart w:id="191" w:name="_Toc21332"/>
      <w:bookmarkStart w:id="192" w:name="_Toc28273"/>
      <w:r>
        <w:rPr>
          <w:rFonts w:hint="eastAsia" w:ascii="宋体" w:hAnsi="宋体" w:cs="宋体"/>
          <w:b/>
          <w:bCs/>
          <w:szCs w:val="32"/>
        </w:rPr>
        <w:t>7.2 施工进度计划</w:t>
      </w:r>
      <w:bookmarkEnd w:id="191"/>
      <w:bookmarkEnd w:id="192"/>
    </w:p>
    <w:p w14:paraId="32DCCD4D">
      <w:pPr>
        <w:pStyle w:val="82"/>
        <w:spacing w:line="360" w:lineRule="auto"/>
        <w:ind w:firstLine="420" w:firstLineChars="200"/>
        <w:jc w:val="left"/>
        <w:rPr>
          <w:rFonts w:hint="eastAsia" w:ascii="宋体" w:hAnsi="宋体" w:cs="宋体"/>
          <w:szCs w:val="21"/>
        </w:rPr>
      </w:pPr>
      <w:r>
        <w:rPr>
          <w:rFonts w:hint="eastAsia" w:ascii="宋体" w:hAnsi="宋体" w:cs="宋体"/>
          <w:szCs w:val="21"/>
        </w:rPr>
        <w:t>7.2.2 施工进度计划的修订</w:t>
      </w:r>
    </w:p>
    <w:p w14:paraId="5CF8083F">
      <w:pPr>
        <w:pStyle w:val="82"/>
        <w:spacing w:line="360" w:lineRule="auto"/>
        <w:ind w:firstLine="420" w:firstLineChars="200"/>
        <w:jc w:val="left"/>
        <w:rPr>
          <w:rFonts w:hint="eastAsia" w:ascii="宋体" w:hAnsi="宋体" w:cs="宋体"/>
          <w:szCs w:val="21"/>
        </w:rPr>
      </w:pPr>
      <w:r>
        <w:rPr>
          <w:rFonts w:hint="eastAsia" w:ascii="宋体" w:hAnsi="宋体" w:cs="宋体"/>
          <w:szCs w:val="21"/>
        </w:rPr>
        <w:t>发包人和监理人在收到修订的施工进度计划后确认或提出修改意见的期限：</w:t>
      </w:r>
      <w:r>
        <w:rPr>
          <w:rFonts w:hint="eastAsia" w:ascii="宋体" w:hAnsi="宋体" w:cs="宋体"/>
          <w:szCs w:val="21"/>
          <w:u w:val="single"/>
        </w:rPr>
        <w:t>收到修订的施工进度计划后5天内确认或提出修改意见</w:t>
      </w:r>
      <w:r>
        <w:rPr>
          <w:rFonts w:hint="eastAsia" w:ascii="宋体" w:hAnsi="宋体" w:cs="宋体"/>
          <w:szCs w:val="21"/>
        </w:rPr>
        <w:t>。</w:t>
      </w:r>
    </w:p>
    <w:p w14:paraId="03DAA22C">
      <w:pPr>
        <w:pStyle w:val="82"/>
        <w:keepNext/>
        <w:keepLines/>
        <w:spacing w:line="360" w:lineRule="auto"/>
        <w:outlineLvl w:val="2"/>
        <w:rPr>
          <w:rFonts w:hint="eastAsia" w:ascii="宋体" w:hAnsi="宋体" w:cs="宋体"/>
          <w:b/>
          <w:bCs/>
          <w:szCs w:val="32"/>
        </w:rPr>
      </w:pPr>
      <w:bookmarkStart w:id="193" w:name="_Toc5299"/>
      <w:bookmarkStart w:id="194" w:name="_Toc31512"/>
      <w:r>
        <w:rPr>
          <w:rFonts w:hint="eastAsia" w:ascii="宋体" w:hAnsi="宋体" w:cs="宋体"/>
          <w:b/>
          <w:bCs/>
          <w:szCs w:val="32"/>
        </w:rPr>
        <w:t>7.3 开工</w:t>
      </w:r>
      <w:bookmarkEnd w:id="193"/>
      <w:bookmarkEnd w:id="194"/>
    </w:p>
    <w:p w14:paraId="6B1E56F6">
      <w:pPr>
        <w:pStyle w:val="82"/>
        <w:spacing w:line="360" w:lineRule="auto"/>
        <w:ind w:firstLine="420" w:firstLineChars="200"/>
        <w:jc w:val="left"/>
        <w:rPr>
          <w:rFonts w:hint="eastAsia" w:ascii="宋体" w:hAnsi="宋体" w:cs="宋体"/>
          <w:szCs w:val="21"/>
        </w:rPr>
      </w:pPr>
      <w:r>
        <w:rPr>
          <w:rFonts w:hint="eastAsia" w:ascii="宋体" w:hAnsi="宋体" w:cs="宋体"/>
          <w:szCs w:val="21"/>
        </w:rPr>
        <w:t>7.3.1 开工准备</w:t>
      </w:r>
    </w:p>
    <w:p w14:paraId="1A44BA27">
      <w:pPr>
        <w:pStyle w:val="82"/>
        <w:spacing w:line="360" w:lineRule="auto"/>
        <w:ind w:firstLine="426"/>
        <w:jc w:val="left"/>
        <w:rPr>
          <w:rFonts w:hint="eastAsia"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承包人应当于计划开工日前15天内提交开工报审表，详细说明按施工进度计划正常施工所需的施工道路、临时设施、材料、工程设备、施工设备、施工人员等落实情况以及工程的进度安排 </w:t>
      </w:r>
      <w:r>
        <w:rPr>
          <w:rFonts w:hint="eastAsia" w:ascii="宋体" w:hAnsi="宋体" w:cs="宋体"/>
          <w:szCs w:val="21"/>
        </w:rPr>
        <w:t>。</w:t>
      </w:r>
    </w:p>
    <w:p w14:paraId="1941946F">
      <w:pPr>
        <w:pStyle w:val="82"/>
        <w:spacing w:line="360" w:lineRule="auto"/>
        <w:ind w:firstLine="426"/>
        <w:jc w:val="left"/>
        <w:rPr>
          <w:rFonts w:hint="eastAsia" w:ascii="宋体" w:hAnsi="宋体" w:cs="宋体"/>
          <w:szCs w:val="21"/>
          <w:u w:val="single"/>
        </w:rPr>
      </w:pPr>
      <w:r>
        <w:rPr>
          <w:rFonts w:hint="eastAsia" w:ascii="宋体" w:hAnsi="宋体" w:cs="宋体"/>
          <w:szCs w:val="21"/>
        </w:rPr>
        <w:t>关于发包人应完成的其他开工准备工作及期限：</w:t>
      </w:r>
      <w:r>
        <w:rPr>
          <w:rFonts w:hint="eastAsia" w:ascii="宋体" w:hAnsi="宋体" w:cs="宋体"/>
          <w:szCs w:val="21"/>
          <w:u w:val="single"/>
        </w:rPr>
        <w:t>计划开工日前3天内</w:t>
      </w:r>
      <w:r>
        <w:rPr>
          <w:rFonts w:hint="eastAsia" w:ascii="宋体" w:hAnsi="宋体" w:cs="宋体"/>
          <w:szCs w:val="21"/>
        </w:rPr>
        <w:t>。</w:t>
      </w:r>
    </w:p>
    <w:p w14:paraId="1F6F9709">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关于承包人应完成的其他开工准备工作及期限：</w:t>
      </w:r>
      <w:r>
        <w:rPr>
          <w:rFonts w:hint="eastAsia" w:ascii="宋体" w:hAnsi="宋体" w:cs="宋体"/>
          <w:szCs w:val="21"/>
          <w:u w:val="single"/>
        </w:rPr>
        <w:t>计划开工日前7天内完成其他开工准备</w:t>
      </w:r>
      <w:r>
        <w:rPr>
          <w:rFonts w:hint="eastAsia" w:ascii="宋体" w:hAnsi="宋体" w:cs="宋体"/>
          <w:szCs w:val="21"/>
        </w:rPr>
        <w:t>。</w:t>
      </w:r>
    </w:p>
    <w:p w14:paraId="6B8AE9FC">
      <w:pPr>
        <w:pStyle w:val="82"/>
        <w:spacing w:line="360" w:lineRule="auto"/>
        <w:ind w:firstLine="420" w:firstLineChars="200"/>
        <w:jc w:val="left"/>
        <w:rPr>
          <w:rFonts w:hint="eastAsia" w:ascii="宋体" w:hAnsi="宋体" w:cs="宋体"/>
          <w:szCs w:val="21"/>
        </w:rPr>
      </w:pPr>
      <w:r>
        <w:rPr>
          <w:rFonts w:hint="eastAsia" w:ascii="宋体" w:hAnsi="宋体" w:cs="宋体"/>
          <w:szCs w:val="21"/>
        </w:rPr>
        <w:t>7.3.2 开工通知</w:t>
      </w:r>
    </w:p>
    <w:p w14:paraId="7B8B6E14">
      <w:pPr>
        <w:pStyle w:val="82"/>
        <w:spacing w:line="360" w:lineRule="auto"/>
        <w:ind w:firstLine="420" w:firstLineChars="200"/>
        <w:jc w:val="left"/>
        <w:rPr>
          <w:rFonts w:hint="eastAsia"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90   </w:t>
      </w:r>
      <w:r>
        <w:rPr>
          <w:rFonts w:hint="eastAsia" w:ascii="宋体" w:hAnsi="宋体" w:cs="宋体"/>
          <w:szCs w:val="21"/>
        </w:rPr>
        <w:t>天内发出开工通知的，承包人有权提出价格调整要求，或者解除合同。</w:t>
      </w:r>
    </w:p>
    <w:p w14:paraId="0B330849">
      <w:pPr>
        <w:pStyle w:val="82"/>
        <w:keepNext/>
        <w:keepLines/>
        <w:spacing w:line="360" w:lineRule="auto"/>
        <w:outlineLvl w:val="2"/>
        <w:rPr>
          <w:rFonts w:hint="eastAsia" w:ascii="宋体" w:hAnsi="宋体" w:cs="宋体"/>
          <w:b/>
          <w:bCs/>
          <w:szCs w:val="32"/>
        </w:rPr>
      </w:pPr>
      <w:bookmarkStart w:id="195" w:name="_Toc7059"/>
      <w:bookmarkStart w:id="196" w:name="_Toc1257"/>
      <w:r>
        <w:rPr>
          <w:rFonts w:hint="eastAsia" w:ascii="宋体" w:hAnsi="宋体" w:cs="宋体"/>
          <w:b/>
          <w:bCs/>
          <w:szCs w:val="32"/>
        </w:rPr>
        <w:t>7.4 测量放线</w:t>
      </w:r>
      <w:bookmarkEnd w:id="195"/>
      <w:bookmarkEnd w:id="196"/>
    </w:p>
    <w:p w14:paraId="4F50429A">
      <w:pPr>
        <w:pStyle w:val="82"/>
        <w:spacing w:line="360" w:lineRule="auto"/>
        <w:ind w:firstLine="420" w:firstLineChars="200"/>
        <w:jc w:val="left"/>
        <w:rPr>
          <w:rFonts w:hint="eastAsia" w:ascii="宋体" w:hAnsi="宋体" w:cs="宋体"/>
          <w:szCs w:val="21"/>
        </w:rPr>
      </w:pPr>
      <w:r>
        <w:rPr>
          <w:rFonts w:hint="eastAsia" w:ascii="宋体" w:hAnsi="宋体" w:cs="宋体"/>
          <w:szCs w:val="21"/>
        </w:rPr>
        <w:t>7.4.1发包人通过监理人向承包人提供测量基准点、基准线和水准点及其书面资料的期限：</w:t>
      </w:r>
    </w:p>
    <w:p w14:paraId="75A59189">
      <w:pPr>
        <w:pStyle w:val="82"/>
        <w:spacing w:line="360" w:lineRule="auto"/>
        <w:jc w:val="left"/>
        <w:rPr>
          <w:rFonts w:hint="eastAsia" w:ascii="宋体" w:hAnsi="宋体" w:cs="宋体"/>
          <w:szCs w:val="21"/>
          <w:u w:val="single"/>
        </w:rPr>
      </w:pPr>
      <w:r>
        <w:rPr>
          <w:rFonts w:hint="eastAsia" w:ascii="宋体" w:hAnsi="宋体" w:cs="宋体"/>
          <w:szCs w:val="21"/>
          <w:u w:val="single"/>
        </w:rPr>
        <w:t>开工日期前7天通过监理人向承包人提供测量基准点、基准线和水准点及其书面资料</w:t>
      </w:r>
      <w:r>
        <w:rPr>
          <w:rFonts w:hint="eastAsia" w:ascii="宋体" w:hAnsi="宋体" w:cs="宋体"/>
          <w:szCs w:val="21"/>
        </w:rPr>
        <w:t>。</w:t>
      </w:r>
    </w:p>
    <w:p w14:paraId="05612B99">
      <w:pPr>
        <w:pStyle w:val="82"/>
        <w:keepNext/>
        <w:keepLines/>
        <w:spacing w:line="360" w:lineRule="auto"/>
        <w:outlineLvl w:val="2"/>
        <w:rPr>
          <w:rFonts w:hint="eastAsia" w:ascii="宋体" w:hAnsi="宋体" w:cs="宋体"/>
          <w:b/>
          <w:bCs/>
          <w:szCs w:val="32"/>
        </w:rPr>
      </w:pPr>
      <w:bookmarkStart w:id="197" w:name="_Toc13675"/>
      <w:bookmarkStart w:id="198" w:name="_Toc22680"/>
      <w:r>
        <w:rPr>
          <w:rFonts w:hint="eastAsia" w:ascii="宋体" w:hAnsi="宋体" w:cs="宋体"/>
          <w:b/>
          <w:bCs/>
          <w:szCs w:val="32"/>
        </w:rPr>
        <w:t>7.5 工期延误</w:t>
      </w:r>
      <w:bookmarkEnd w:id="197"/>
      <w:bookmarkEnd w:id="198"/>
    </w:p>
    <w:p w14:paraId="430B2B06">
      <w:pPr>
        <w:pStyle w:val="82"/>
        <w:spacing w:line="360" w:lineRule="auto"/>
        <w:ind w:firstLine="420" w:firstLineChars="200"/>
        <w:jc w:val="left"/>
        <w:rPr>
          <w:rFonts w:hint="eastAsia" w:ascii="宋体" w:hAnsi="宋体" w:cs="宋体"/>
          <w:szCs w:val="21"/>
        </w:rPr>
      </w:pPr>
      <w:r>
        <w:rPr>
          <w:rFonts w:hint="eastAsia" w:ascii="宋体" w:hAnsi="宋体" w:cs="宋体"/>
          <w:szCs w:val="21"/>
        </w:rPr>
        <w:t>7.5.1 因发包人原因导致工期延误</w:t>
      </w:r>
    </w:p>
    <w:p w14:paraId="549B8AF3">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（7）因发包人原因导致工期延误的其他情形：</w:t>
      </w:r>
      <w:r>
        <w:rPr>
          <w:rFonts w:hint="eastAsia" w:ascii="宋体" w:hAnsi="宋体" w:cs="宋体"/>
          <w:szCs w:val="21"/>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cs="宋体"/>
          <w:szCs w:val="21"/>
        </w:rPr>
        <w:t>。</w:t>
      </w:r>
    </w:p>
    <w:p w14:paraId="3974BBB1">
      <w:pPr>
        <w:pStyle w:val="82"/>
        <w:spacing w:line="360" w:lineRule="auto"/>
        <w:ind w:firstLine="420" w:firstLineChars="200"/>
        <w:jc w:val="left"/>
        <w:rPr>
          <w:rFonts w:hint="eastAsia" w:ascii="宋体" w:hAnsi="宋体" w:cs="宋体"/>
          <w:szCs w:val="21"/>
        </w:rPr>
      </w:pPr>
      <w:r>
        <w:rPr>
          <w:rFonts w:hint="eastAsia" w:ascii="宋体" w:hAnsi="宋体" w:cs="宋体"/>
          <w:szCs w:val="21"/>
        </w:rPr>
        <w:t>7.5.2 因承包人原因导致工期延误</w:t>
      </w:r>
    </w:p>
    <w:p w14:paraId="5CAEA15A">
      <w:pPr>
        <w:pStyle w:val="82"/>
        <w:spacing w:line="360" w:lineRule="auto"/>
        <w:ind w:firstLine="420" w:firstLineChars="200"/>
        <w:jc w:val="left"/>
        <w:rPr>
          <w:rFonts w:hint="eastAsia" w:ascii="宋体" w:hAnsi="宋体" w:cs="宋体"/>
          <w:szCs w:val="21"/>
        </w:rPr>
      </w:pPr>
      <w:r>
        <w:rPr>
          <w:rFonts w:hint="eastAsia" w:ascii="宋体" w:hAnsi="宋体" w:cs="宋体"/>
          <w:szCs w:val="21"/>
        </w:rPr>
        <w:t>双方约定经监理工程师确认，工期相应顺延的情况：</w:t>
      </w:r>
      <w:r>
        <w:rPr>
          <w:rFonts w:hint="eastAsia" w:ascii="宋体" w:hAnsi="宋体" w:cs="宋体"/>
          <w:szCs w:val="21"/>
          <w:u w:val="single"/>
        </w:rPr>
        <w:t>因不可抗力和发包人原因导致</w:t>
      </w:r>
      <w:r>
        <w:rPr>
          <w:rFonts w:hint="eastAsia" w:ascii="宋体" w:hAnsi="宋体" w:cs="宋体"/>
          <w:szCs w:val="21"/>
        </w:rPr>
        <w:t>。</w:t>
      </w:r>
    </w:p>
    <w:p w14:paraId="351EE5F8">
      <w:pPr>
        <w:pStyle w:val="82"/>
        <w:spacing w:line="360" w:lineRule="auto"/>
        <w:ind w:firstLine="420" w:firstLineChars="200"/>
        <w:jc w:val="left"/>
        <w:rPr>
          <w:rFonts w:hint="eastAsia" w:ascii="宋体" w:hAnsi="宋体" w:cs="宋体"/>
          <w:u w:val="single"/>
        </w:rPr>
      </w:pPr>
      <w:r>
        <w:rPr>
          <w:rFonts w:hint="eastAsia" w:ascii="宋体" w:hAnsi="宋体" w:cs="宋体"/>
          <w:szCs w:val="21"/>
        </w:rPr>
        <w:t>因承包人原因造成工期延误，逾期竣工违约金的计算方法为：</w:t>
      </w:r>
      <w:r>
        <w:rPr>
          <w:rFonts w:hint="eastAsia" w:ascii="宋体" w:hAnsi="宋体" w:cs="宋体"/>
          <w:u w:val="single"/>
        </w:rPr>
        <w:t>工期延迟按合同总价的万分之四/天</w:t>
      </w:r>
    </w:p>
    <w:p w14:paraId="4321E00D">
      <w:pPr>
        <w:pStyle w:val="82"/>
        <w:spacing w:line="360" w:lineRule="auto"/>
        <w:ind w:firstLine="420" w:firstLineChars="200"/>
        <w:jc w:val="left"/>
        <w:rPr>
          <w:rFonts w:hint="eastAsia" w:ascii="宋体" w:hAnsi="宋体" w:cs="宋体"/>
        </w:rPr>
      </w:pPr>
      <w:r>
        <w:rPr>
          <w:rFonts w:hint="eastAsia" w:ascii="宋体" w:hAnsi="宋体" w:cs="宋体"/>
        </w:rPr>
        <w:t>因承包人原因造成工期延误，逾期竣工违约金的上限：</w:t>
      </w:r>
      <w:r>
        <w:rPr>
          <w:rFonts w:hint="eastAsia" w:ascii="宋体" w:hAnsi="宋体" w:cs="宋体"/>
          <w:u w:val="single"/>
        </w:rPr>
        <w:t>结算价的5%</w:t>
      </w:r>
      <w:r>
        <w:rPr>
          <w:rFonts w:hint="eastAsia" w:ascii="宋体" w:hAnsi="宋体" w:cs="宋体"/>
        </w:rPr>
        <w:t>。</w:t>
      </w:r>
    </w:p>
    <w:p w14:paraId="3B76C92A">
      <w:pPr>
        <w:pStyle w:val="82"/>
        <w:spacing w:line="360" w:lineRule="auto"/>
        <w:ind w:firstLine="420" w:firstLineChars="200"/>
        <w:jc w:val="left"/>
        <w:rPr>
          <w:rFonts w:hint="eastAsia" w:ascii="宋体" w:hAnsi="宋体" w:cs="宋体"/>
          <w:szCs w:val="21"/>
        </w:rPr>
      </w:pPr>
      <w:r>
        <w:rPr>
          <w:rFonts w:hint="eastAsia" w:ascii="宋体" w:hAnsi="宋体" w:cs="宋体"/>
          <w:szCs w:val="21"/>
        </w:rPr>
        <w:t>7.5.3  承包人必须在规定时间内完成，如不能按期完成工期或达不到国家验收合格标准因此造成延误，由承包方负责赔偿所造成的一切经济损失。</w:t>
      </w:r>
    </w:p>
    <w:p w14:paraId="3B7D8484">
      <w:pPr>
        <w:pStyle w:val="82"/>
        <w:keepNext/>
        <w:keepLines/>
        <w:spacing w:line="360" w:lineRule="auto"/>
        <w:outlineLvl w:val="2"/>
        <w:rPr>
          <w:rFonts w:hint="eastAsia" w:ascii="宋体" w:hAnsi="宋体" w:cs="宋体"/>
          <w:b/>
          <w:bCs/>
          <w:szCs w:val="32"/>
        </w:rPr>
      </w:pPr>
      <w:bookmarkStart w:id="199" w:name="_Toc28200"/>
      <w:bookmarkStart w:id="200" w:name="_Toc18649"/>
      <w:r>
        <w:rPr>
          <w:rFonts w:hint="eastAsia" w:ascii="宋体" w:hAnsi="宋体" w:cs="宋体"/>
          <w:b/>
          <w:bCs/>
          <w:szCs w:val="32"/>
        </w:rPr>
        <w:t>7.6 不利物质条件</w:t>
      </w:r>
      <w:bookmarkEnd w:id="199"/>
      <w:bookmarkEnd w:id="200"/>
    </w:p>
    <w:p w14:paraId="3107D91F">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不利物质条件的其他情形和有关约定：</w:t>
      </w:r>
      <w:r>
        <w:rPr>
          <w:rFonts w:hint="eastAsia" w:ascii="宋体" w:hAnsi="宋体" w:cs="宋体"/>
          <w:szCs w:val="21"/>
          <w:u w:val="single"/>
        </w:rPr>
        <w:t xml:space="preserve">        /            </w:t>
      </w:r>
      <w:r>
        <w:rPr>
          <w:rFonts w:hint="eastAsia" w:ascii="宋体" w:hAnsi="宋体" w:cs="宋体"/>
          <w:szCs w:val="21"/>
        </w:rPr>
        <w:t>。</w:t>
      </w:r>
    </w:p>
    <w:p w14:paraId="54041747">
      <w:pPr>
        <w:pStyle w:val="82"/>
        <w:keepNext/>
        <w:keepLines/>
        <w:spacing w:line="360" w:lineRule="auto"/>
        <w:outlineLvl w:val="2"/>
        <w:rPr>
          <w:rFonts w:hint="eastAsia" w:ascii="宋体" w:hAnsi="宋体" w:cs="宋体"/>
          <w:b/>
          <w:bCs/>
          <w:szCs w:val="32"/>
        </w:rPr>
      </w:pPr>
      <w:bookmarkStart w:id="201" w:name="_Toc14870"/>
      <w:bookmarkStart w:id="202" w:name="_Toc15377"/>
      <w:r>
        <w:rPr>
          <w:rFonts w:hint="eastAsia" w:ascii="宋体" w:hAnsi="宋体" w:cs="宋体"/>
          <w:b/>
          <w:bCs/>
          <w:szCs w:val="32"/>
        </w:rPr>
        <w:t>7.7 异常恶劣的气候条件</w:t>
      </w:r>
      <w:bookmarkEnd w:id="201"/>
      <w:bookmarkEnd w:id="202"/>
    </w:p>
    <w:p w14:paraId="6669BBE6">
      <w:pPr>
        <w:pStyle w:val="82"/>
        <w:spacing w:line="360" w:lineRule="auto"/>
        <w:ind w:firstLine="420" w:firstLineChars="200"/>
        <w:jc w:val="left"/>
        <w:rPr>
          <w:rFonts w:hint="eastAsia" w:ascii="宋体" w:hAnsi="宋体" w:cs="宋体"/>
          <w:szCs w:val="21"/>
        </w:rPr>
      </w:pPr>
      <w:r>
        <w:rPr>
          <w:rFonts w:hint="eastAsia" w:ascii="宋体" w:hAnsi="宋体" w:cs="宋体"/>
          <w:szCs w:val="21"/>
        </w:rPr>
        <w:t>发包人和承包人同意以下情形视为异常恶劣的气候条件：</w:t>
      </w:r>
    </w:p>
    <w:p w14:paraId="33FDB266">
      <w:pPr>
        <w:pStyle w:val="83"/>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（1）超过40摄氏度的高温天气连续大于3天；</w:t>
      </w:r>
    </w:p>
    <w:p w14:paraId="0C03EC7D">
      <w:pPr>
        <w:pStyle w:val="83"/>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（2）8级以上（含）大风及六级以上的地震；</w:t>
      </w:r>
    </w:p>
    <w:p w14:paraId="3895B570">
      <w:pPr>
        <w:pStyle w:val="83"/>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（3）特大的洪水灾害；</w:t>
      </w:r>
    </w:p>
    <w:p w14:paraId="18289297">
      <w:pPr>
        <w:pStyle w:val="83"/>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（4）一日内降雨达200mm的暴雨（以气象部门公布为准）。</w:t>
      </w:r>
    </w:p>
    <w:p w14:paraId="555D8E9A">
      <w:pPr>
        <w:pStyle w:val="82"/>
        <w:keepNext/>
        <w:keepLines/>
        <w:spacing w:line="360" w:lineRule="auto"/>
        <w:outlineLvl w:val="2"/>
        <w:rPr>
          <w:rFonts w:hint="eastAsia" w:ascii="宋体" w:hAnsi="宋体" w:cs="宋体"/>
          <w:b/>
          <w:bCs/>
          <w:szCs w:val="32"/>
        </w:rPr>
      </w:pPr>
      <w:bookmarkStart w:id="203" w:name="_Toc2349"/>
      <w:bookmarkStart w:id="204" w:name="_Toc21651"/>
      <w:r>
        <w:rPr>
          <w:rFonts w:hint="eastAsia" w:ascii="宋体" w:hAnsi="宋体" w:cs="宋体"/>
          <w:b/>
          <w:bCs/>
          <w:szCs w:val="32"/>
        </w:rPr>
        <w:t>7.9 提前竣工</w:t>
      </w:r>
      <w:bookmarkEnd w:id="203"/>
      <w:bookmarkEnd w:id="204"/>
    </w:p>
    <w:p w14:paraId="210AC6F2">
      <w:pPr>
        <w:pStyle w:val="82"/>
        <w:spacing w:line="360" w:lineRule="auto"/>
        <w:ind w:firstLine="420" w:firstLineChars="200"/>
        <w:jc w:val="left"/>
        <w:rPr>
          <w:rFonts w:hint="eastAsia" w:ascii="宋体" w:hAnsi="宋体" w:cs="宋体"/>
          <w:szCs w:val="21"/>
        </w:rPr>
      </w:pPr>
      <w:r>
        <w:rPr>
          <w:rFonts w:hint="eastAsia" w:ascii="宋体" w:hAnsi="宋体" w:cs="宋体"/>
          <w:szCs w:val="21"/>
        </w:rPr>
        <w:t>7.9.2提前竣工（赶工）增加费的计算方法：</w:t>
      </w:r>
      <w:r>
        <w:rPr>
          <w:rFonts w:hint="eastAsia" w:ascii="宋体" w:hAnsi="宋体" w:cs="宋体"/>
          <w:szCs w:val="21"/>
          <w:u w:val="single"/>
        </w:rPr>
        <w:t xml:space="preserve">             /                   </w:t>
      </w:r>
      <w:r>
        <w:rPr>
          <w:rFonts w:hint="eastAsia" w:ascii="宋体" w:hAnsi="宋体" w:cs="宋体"/>
          <w:szCs w:val="21"/>
        </w:rPr>
        <w:t>。</w:t>
      </w:r>
    </w:p>
    <w:p w14:paraId="39A25BD3">
      <w:pPr>
        <w:pStyle w:val="82"/>
        <w:keepNext/>
        <w:keepLines/>
        <w:spacing w:before="60" w:after="60" w:line="413" w:lineRule="auto"/>
        <w:outlineLvl w:val="1"/>
        <w:rPr>
          <w:rFonts w:hint="eastAsia" w:ascii="宋体" w:hAnsi="宋体" w:cs="宋体"/>
          <w:b/>
          <w:bCs/>
          <w:szCs w:val="32"/>
        </w:rPr>
      </w:pPr>
      <w:bookmarkStart w:id="205" w:name="_Toc24053"/>
      <w:bookmarkStart w:id="206" w:name="_Toc24519"/>
      <w:r>
        <w:rPr>
          <w:rFonts w:hint="eastAsia" w:ascii="宋体" w:hAnsi="宋体" w:cs="宋体"/>
          <w:b/>
          <w:bCs/>
          <w:szCs w:val="32"/>
        </w:rPr>
        <w:t>8. 材料与设备</w:t>
      </w:r>
      <w:bookmarkEnd w:id="205"/>
      <w:bookmarkEnd w:id="206"/>
    </w:p>
    <w:p w14:paraId="35354400">
      <w:pPr>
        <w:pStyle w:val="82"/>
        <w:keepNext/>
        <w:keepLines/>
        <w:spacing w:line="360" w:lineRule="auto"/>
        <w:outlineLvl w:val="2"/>
        <w:rPr>
          <w:rFonts w:hint="eastAsia" w:ascii="宋体" w:hAnsi="宋体" w:cs="宋体"/>
          <w:b/>
          <w:bCs/>
          <w:szCs w:val="32"/>
        </w:rPr>
      </w:pPr>
      <w:bookmarkStart w:id="207" w:name="_Toc15068"/>
      <w:bookmarkStart w:id="208" w:name="_Toc3314"/>
      <w:r>
        <w:rPr>
          <w:rFonts w:hint="eastAsia" w:ascii="宋体" w:hAnsi="宋体" w:cs="宋体"/>
          <w:b/>
          <w:bCs/>
          <w:szCs w:val="32"/>
        </w:rPr>
        <w:t>8.2 承包人采购材料与工程设备</w:t>
      </w:r>
      <w:bookmarkEnd w:id="207"/>
      <w:bookmarkEnd w:id="208"/>
    </w:p>
    <w:p w14:paraId="19F0FCA1">
      <w:pPr>
        <w:pStyle w:val="83"/>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除已标价工程量清单《发包人提供主要材料和工程设备一览表》（表-21）中明确的材料、工程设备外，由承包人负责材料和工程设备的采购、运输和保管。</w:t>
      </w:r>
    </w:p>
    <w:p w14:paraId="6A1ECF99">
      <w:pPr>
        <w:pStyle w:val="83"/>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1732A968">
      <w:pPr>
        <w:pStyle w:val="83"/>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 xml:space="preserve">满足南宁市城乡建设委员会南宁市工业和信息化委员会关于重新印发《南宁市城乡建设委员会和南宁市工业和信息化委员会关于推广应用高性能混凝土的通知》的通知（南建规【2016】1号）要求的，本工程必须使用高性能混凝土。 </w:t>
      </w:r>
    </w:p>
    <w:p w14:paraId="3134B400">
      <w:pPr>
        <w:pStyle w:val="83"/>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满足南宁市人民政府印发的《南宁市人民政府关于推广使用预拌砂浆的实施意见》（南府规〔2016〕12 号）要求的，本工程必须使用预拌砂浆。</w:t>
      </w:r>
    </w:p>
    <w:p w14:paraId="18B88803">
      <w:pPr>
        <w:pStyle w:val="83"/>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满足《南宁市松材线虫病防控工作领导小组工作制度》要求，要求涉木产品供货商对应施检疫的产品提供《植物检疫证书》；涉及松木质包装材料的，积极配合林业部门做好检疫工作。</w:t>
      </w:r>
    </w:p>
    <w:p w14:paraId="72FD9F0A">
      <w:pPr>
        <w:pStyle w:val="83"/>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发包人对承包人采购的材料、制品、构件的质量确认，均不减轻承包人对材料、制品、构件应承担的质量、工期责任。承包人在施工过程中所使用的设备、材料、制品无论是否履行了质量确认手续，发包人均可视需要进行抽查或送专业检验部门检验，如发现不合格的，由发包人承担全部责任和送检费用，并承担由此造成的一切损失。</w:t>
      </w:r>
    </w:p>
    <w:p w14:paraId="5FAF5F99">
      <w:pPr>
        <w:pStyle w:val="82"/>
        <w:keepNext/>
        <w:keepLines/>
        <w:spacing w:line="360" w:lineRule="auto"/>
        <w:outlineLvl w:val="2"/>
        <w:rPr>
          <w:rFonts w:hint="eastAsia" w:ascii="宋体" w:hAnsi="宋体" w:cs="宋体"/>
          <w:b/>
          <w:bCs/>
          <w:szCs w:val="32"/>
        </w:rPr>
      </w:pPr>
      <w:bookmarkStart w:id="209" w:name="_Toc735"/>
      <w:bookmarkStart w:id="210" w:name="_Toc23938"/>
      <w:r>
        <w:rPr>
          <w:rFonts w:hint="eastAsia" w:ascii="宋体" w:hAnsi="宋体" w:cs="宋体"/>
          <w:b/>
          <w:bCs/>
          <w:szCs w:val="32"/>
        </w:rPr>
        <w:t>8.4 材料与工程设备的保管与使用</w:t>
      </w:r>
      <w:bookmarkEnd w:id="209"/>
      <w:bookmarkEnd w:id="210"/>
    </w:p>
    <w:p w14:paraId="6E1C187C">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8.4.1发包人供应的材料设备的保管费用的承担：</w:t>
      </w:r>
      <w:r>
        <w:rPr>
          <w:rFonts w:hint="eastAsia" w:ascii="宋体" w:hAnsi="宋体" w:cs="宋体"/>
          <w:szCs w:val="21"/>
          <w:u w:val="single"/>
        </w:rPr>
        <w:t>发包人供应的材料设备，承包人清点后由承包人负责保管，保管费用由承包人承担。</w:t>
      </w:r>
    </w:p>
    <w:p w14:paraId="4754BBC9">
      <w:pPr>
        <w:pStyle w:val="82"/>
        <w:keepNext/>
        <w:keepLines/>
        <w:spacing w:line="360" w:lineRule="auto"/>
        <w:outlineLvl w:val="2"/>
        <w:rPr>
          <w:rFonts w:hint="eastAsia" w:ascii="宋体" w:hAnsi="宋体" w:cs="宋体"/>
          <w:b/>
          <w:bCs/>
          <w:szCs w:val="32"/>
        </w:rPr>
      </w:pPr>
      <w:bookmarkStart w:id="211" w:name="_Toc22123"/>
      <w:bookmarkStart w:id="212" w:name="_Toc32065"/>
      <w:r>
        <w:rPr>
          <w:rFonts w:hint="eastAsia" w:ascii="宋体" w:hAnsi="宋体" w:cs="宋体"/>
          <w:b/>
          <w:bCs/>
          <w:szCs w:val="32"/>
        </w:rPr>
        <w:t>8.6 样品</w:t>
      </w:r>
      <w:bookmarkEnd w:id="211"/>
      <w:bookmarkEnd w:id="212"/>
    </w:p>
    <w:p w14:paraId="49A5AD8A">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8.6.1 样品的报送与封存</w:t>
      </w:r>
    </w:p>
    <w:p w14:paraId="744E7BB9">
      <w:pPr>
        <w:pStyle w:val="82"/>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需要承包人报送样品的材料或工程设备，样品的种类、名称、规格、数量要求：</w:t>
      </w:r>
      <w:r>
        <w:rPr>
          <w:rFonts w:hint="eastAsia" w:ascii="宋体" w:hAnsi="宋体" w:cs="宋体"/>
          <w:kern w:val="0"/>
          <w:szCs w:val="21"/>
          <w:u w:val="single"/>
        </w:rPr>
        <w:t>主要材料涉及品种、款式、颜色等方面内容的，承包人应提交准备合格的材料样品送发包人选定</w:t>
      </w:r>
      <w:r>
        <w:rPr>
          <w:rFonts w:hint="eastAsia" w:ascii="宋体" w:hAnsi="宋体" w:cs="宋体"/>
          <w:szCs w:val="21"/>
          <w:u w:val="single"/>
        </w:rPr>
        <w:t>。</w:t>
      </w:r>
    </w:p>
    <w:p w14:paraId="3DC355FB">
      <w:pPr>
        <w:pStyle w:val="82"/>
        <w:keepNext/>
        <w:keepLines/>
        <w:spacing w:line="360" w:lineRule="auto"/>
        <w:outlineLvl w:val="2"/>
        <w:rPr>
          <w:rFonts w:hint="eastAsia" w:ascii="宋体" w:hAnsi="宋体" w:cs="宋体"/>
          <w:b/>
          <w:bCs/>
          <w:szCs w:val="32"/>
        </w:rPr>
      </w:pPr>
      <w:bookmarkStart w:id="213" w:name="_Toc25169"/>
      <w:bookmarkStart w:id="214" w:name="_Toc15436"/>
      <w:r>
        <w:rPr>
          <w:rFonts w:hint="eastAsia" w:ascii="宋体" w:hAnsi="宋体" w:cs="宋体"/>
          <w:b/>
          <w:bCs/>
          <w:szCs w:val="32"/>
        </w:rPr>
        <w:t>8.8 施工设备和临时设施</w:t>
      </w:r>
      <w:bookmarkEnd w:id="213"/>
      <w:bookmarkEnd w:id="214"/>
    </w:p>
    <w:p w14:paraId="09937AD9">
      <w:pPr>
        <w:pStyle w:val="82"/>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8.8.1 承包人提供的施工设备和临时设施</w:t>
      </w:r>
    </w:p>
    <w:p w14:paraId="226E15D7">
      <w:pPr>
        <w:pStyle w:val="82"/>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除专用合同条款另有约定的其他独立承包人和监理人指示的他人提供条件外，承包人运入施工场地的所有施工设备以及在施工场地建设的临时设施仅限于用于合同工程。</w:t>
      </w:r>
    </w:p>
    <w:p w14:paraId="375E3D7F">
      <w:pPr>
        <w:pStyle w:val="82"/>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关于修建临时设施费用承担的约定：</w:t>
      </w:r>
    </w:p>
    <w:p w14:paraId="687DF5F1">
      <w:pPr>
        <w:pStyle w:val="83"/>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①承包人的临时用地（含项目部驻地等）租用费、临时用地的环保、恢复、临时用地的青苗补偿及地面附着物拆除等费用均由承包人负责，以上费用在投标报价中综合考虑。</w:t>
      </w:r>
    </w:p>
    <w:p w14:paraId="3CE0E0E5">
      <w:pPr>
        <w:pStyle w:val="83"/>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②承包人负责合同实施期间其合同段内临时交通道路（含场内外连接公共交通道路）和交通设施的修建、维修、养护和交通管理工作，并承担一切费用。</w:t>
      </w:r>
    </w:p>
    <w:p w14:paraId="1C720F78">
      <w:pPr>
        <w:pStyle w:val="82"/>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1031080C">
      <w:pPr>
        <w:pStyle w:val="82"/>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8.8.2 发包人提供的施工设备和临时设施</w:t>
      </w:r>
    </w:p>
    <w:p w14:paraId="53B9ECAB">
      <w:pPr>
        <w:pStyle w:val="82"/>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发包人提供的施工设备和临时设施：</w:t>
      </w:r>
      <w:r>
        <w:rPr>
          <w:rFonts w:hint="eastAsia" w:ascii="宋体" w:hAnsi="宋体" w:cs="宋体"/>
          <w:szCs w:val="21"/>
          <w:u w:val="single"/>
        </w:rPr>
        <w:t xml:space="preserve">  /     </w:t>
      </w:r>
      <w:r>
        <w:rPr>
          <w:rFonts w:hint="eastAsia" w:ascii="宋体" w:hAnsi="宋体" w:cs="宋体"/>
          <w:szCs w:val="21"/>
        </w:rPr>
        <w:t>。</w:t>
      </w:r>
    </w:p>
    <w:p w14:paraId="4D0331A6">
      <w:pPr>
        <w:pStyle w:val="82"/>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发包人提供的施工设备和临时设施的运行、维护、拆除、清运费用的承担人：</w:t>
      </w:r>
      <w:r>
        <w:rPr>
          <w:rFonts w:hint="eastAsia" w:ascii="宋体" w:hAnsi="宋体" w:cs="宋体"/>
          <w:szCs w:val="21"/>
          <w:u w:val="single"/>
        </w:rPr>
        <w:t>承包人</w:t>
      </w:r>
      <w:r>
        <w:rPr>
          <w:rFonts w:hint="eastAsia" w:ascii="宋体" w:hAnsi="宋体" w:cs="宋体"/>
          <w:szCs w:val="21"/>
        </w:rPr>
        <w:t>。</w:t>
      </w:r>
    </w:p>
    <w:p w14:paraId="10310002">
      <w:pPr>
        <w:pStyle w:val="82"/>
        <w:keepNext/>
        <w:keepLines/>
        <w:spacing w:before="60" w:after="60" w:line="413" w:lineRule="auto"/>
        <w:outlineLvl w:val="1"/>
        <w:rPr>
          <w:rFonts w:hint="eastAsia" w:ascii="宋体" w:hAnsi="宋体" w:cs="宋体"/>
          <w:b/>
          <w:bCs/>
          <w:szCs w:val="32"/>
        </w:rPr>
      </w:pPr>
      <w:bookmarkStart w:id="215" w:name="_Toc17481"/>
      <w:bookmarkStart w:id="216" w:name="_Toc30576"/>
      <w:r>
        <w:rPr>
          <w:rFonts w:hint="eastAsia" w:ascii="宋体" w:hAnsi="宋体" w:cs="宋体"/>
          <w:b/>
          <w:bCs/>
          <w:szCs w:val="32"/>
        </w:rPr>
        <w:t>9. 试验与检验</w:t>
      </w:r>
      <w:bookmarkEnd w:id="215"/>
      <w:bookmarkEnd w:id="216"/>
    </w:p>
    <w:p w14:paraId="3D84466F">
      <w:pPr>
        <w:pStyle w:val="82"/>
        <w:keepNext/>
        <w:keepLines/>
        <w:spacing w:line="360" w:lineRule="auto"/>
        <w:outlineLvl w:val="2"/>
        <w:rPr>
          <w:rFonts w:hint="eastAsia" w:ascii="宋体" w:hAnsi="宋体" w:cs="宋体"/>
          <w:b/>
          <w:bCs/>
          <w:szCs w:val="32"/>
        </w:rPr>
      </w:pPr>
      <w:bookmarkStart w:id="217" w:name="_Toc30605"/>
      <w:bookmarkStart w:id="218" w:name="_Toc11747"/>
      <w:r>
        <w:rPr>
          <w:rFonts w:hint="eastAsia" w:ascii="宋体" w:hAnsi="宋体" w:cs="宋体"/>
          <w:b/>
          <w:bCs/>
          <w:szCs w:val="32"/>
        </w:rPr>
        <w:t>9.1 试验设备与试验人员</w:t>
      </w:r>
      <w:bookmarkEnd w:id="217"/>
      <w:bookmarkEnd w:id="218"/>
    </w:p>
    <w:p w14:paraId="465BD870">
      <w:pPr>
        <w:pStyle w:val="82"/>
        <w:spacing w:line="360" w:lineRule="auto"/>
        <w:ind w:firstLine="420" w:firstLineChars="200"/>
        <w:jc w:val="left"/>
        <w:rPr>
          <w:rFonts w:hint="eastAsia" w:ascii="宋体" w:hAnsi="宋体" w:cs="宋体"/>
          <w:szCs w:val="21"/>
        </w:rPr>
      </w:pPr>
      <w:r>
        <w:rPr>
          <w:rFonts w:hint="eastAsia" w:ascii="宋体" w:hAnsi="宋体" w:cs="宋体"/>
          <w:szCs w:val="21"/>
        </w:rPr>
        <w:t>9.1.2 试验设备</w:t>
      </w:r>
    </w:p>
    <w:p w14:paraId="64FFD06F">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施工现场需要配置的试验场所：</w:t>
      </w:r>
      <w:r>
        <w:rPr>
          <w:rFonts w:hint="eastAsia" w:ascii="宋体" w:hAnsi="宋体" w:cs="宋体"/>
          <w:szCs w:val="21"/>
          <w:u w:val="single"/>
        </w:rPr>
        <w:t>由承包人根据工程情况自行设置建设</w:t>
      </w:r>
      <w:r>
        <w:rPr>
          <w:rFonts w:hint="eastAsia" w:ascii="宋体" w:hAnsi="宋体" w:cs="宋体"/>
          <w:szCs w:val="21"/>
        </w:rPr>
        <w:t>。</w:t>
      </w:r>
    </w:p>
    <w:p w14:paraId="68EAE2FB">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施工现场需要配备的试验设备：</w:t>
      </w:r>
      <w:r>
        <w:rPr>
          <w:rFonts w:hint="eastAsia" w:ascii="宋体" w:hAnsi="宋体" w:cs="宋体"/>
          <w:szCs w:val="21"/>
          <w:u w:val="single"/>
        </w:rPr>
        <w:t>由承包人自行承担，并包含在合同总价内</w:t>
      </w:r>
      <w:r>
        <w:rPr>
          <w:rFonts w:hint="eastAsia" w:ascii="宋体" w:hAnsi="宋体" w:cs="宋体"/>
          <w:szCs w:val="21"/>
        </w:rPr>
        <w:t>。</w:t>
      </w:r>
    </w:p>
    <w:p w14:paraId="709C3DE8">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施工现场需要具备的其他试验条件：</w:t>
      </w:r>
      <w:r>
        <w:rPr>
          <w:rFonts w:hint="eastAsia" w:ascii="宋体" w:hAnsi="宋体" w:cs="宋体"/>
          <w:szCs w:val="21"/>
          <w:u w:val="single"/>
        </w:rPr>
        <w:t>由承包人自行承担，并包含在合同总价内</w:t>
      </w:r>
      <w:r>
        <w:rPr>
          <w:rFonts w:hint="eastAsia" w:ascii="宋体" w:hAnsi="宋体" w:cs="宋体"/>
          <w:szCs w:val="21"/>
        </w:rPr>
        <w:t>。</w:t>
      </w:r>
    </w:p>
    <w:p w14:paraId="7B97E7EA">
      <w:pPr>
        <w:pStyle w:val="82"/>
        <w:keepNext/>
        <w:keepLines/>
        <w:spacing w:line="360" w:lineRule="auto"/>
        <w:outlineLvl w:val="2"/>
        <w:rPr>
          <w:rFonts w:hint="eastAsia" w:ascii="宋体" w:hAnsi="宋体" w:cs="宋体"/>
          <w:b/>
          <w:bCs/>
          <w:szCs w:val="32"/>
        </w:rPr>
      </w:pPr>
      <w:bookmarkStart w:id="219" w:name="_Toc14737"/>
      <w:bookmarkStart w:id="220" w:name="_Toc15093"/>
      <w:r>
        <w:rPr>
          <w:rFonts w:hint="eastAsia" w:ascii="宋体" w:hAnsi="宋体" w:cs="宋体"/>
          <w:b/>
          <w:bCs/>
          <w:szCs w:val="32"/>
        </w:rPr>
        <w:t>9.4 现场工艺试验</w:t>
      </w:r>
      <w:bookmarkEnd w:id="219"/>
      <w:bookmarkEnd w:id="220"/>
    </w:p>
    <w:p w14:paraId="0D4B0A82">
      <w:pPr>
        <w:pStyle w:val="82"/>
        <w:spacing w:line="360" w:lineRule="auto"/>
        <w:ind w:firstLine="420" w:firstLineChars="200"/>
        <w:jc w:val="left"/>
        <w:rPr>
          <w:rFonts w:hint="eastAsia" w:ascii="宋体" w:hAnsi="宋体" w:cs="宋体"/>
          <w:szCs w:val="21"/>
        </w:rPr>
      </w:pPr>
      <w:r>
        <w:rPr>
          <w:rFonts w:hint="eastAsia" w:ascii="宋体" w:hAnsi="宋体" w:cs="宋体"/>
          <w:szCs w:val="21"/>
        </w:rPr>
        <w:t>现场工艺试验的有关约定：</w:t>
      </w:r>
      <w:r>
        <w:rPr>
          <w:rFonts w:hint="eastAsia" w:ascii="宋体" w:hAnsi="宋体" w:cs="宋体"/>
          <w:szCs w:val="21"/>
          <w:u w:val="single"/>
        </w:rPr>
        <w:t xml:space="preserve">            /                  </w:t>
      </w:r>
      <w:r>
        <w:rPr>
          <w:rFonts w:hint="eastAsia" w:ascii="宋体" w:hAnsi="宋体" w:cs="宋体"/>
          <w:szCs w:val="21"/>
        </w:rPr>
        <w:t>。</w:t>
      </w:r>
    </w:p>
    <w:p w14:paraId="2314D9A4">
      <w:pPr>
        <w:pStyle w:val="82"/>
        <w:keepNext/>
        <w:keepLines/>
        <w:spacing w:line="360" w:lineRule="auto"/>
        <w:outlineLvl w:val="2"/>
        <w:rPr>
          <w:rFonts w:hint="eastAsia" w:ascii="宋体" w:hAnsi="宋体" w:cs="宋体"/>
          <w:b/>
          <w:bCs/>
          <w:szCs w:val="32"/>
        </w:rPr>
      </w:pPr>
      <w:bookmarkStart w:id="221" w:name="_Toc24303"/>
      <w:bookmarkStart w:id="222" w:name="_Toc5509"/>
      <w:r>
        <w:rPr>
          <w:rFonts w:hint="eastAsia" w:ascii="宋体" w:hAnsi="宋体" w:cs="宋体"/>
          <w:b/>
          <w:bCs/>
          <w:szCs w:val="32"/>
        </w:rPr>
        <w:t>9.5 检验费用</w:t>
      </w:r>
      <w:bookmarkEnd w:id="221"/>
      <w:bookmarkEnd w:id="222"/>
    </w:p>
    <w:p w14:paraId="77A3DE29">
      <w:pPr>
        <w:pStyle w:val="82"/>
        <w:spacing w:line="360" w:lineRule="auto"/>
        <w:ind w:firstLine="411" w:firstLineChars="196"/>
        <w:rPr>
          <w:rFonts w:hint="eastAsia" w:ascii="宋体" w:hAnsi="宋体" w:cs="宋体"/>
          <w:szCs w:val="21"/>
        </w:rPr>
      </w:pPr>
      <w:r>
        <w:rPr>
          <w:rFonts w:hint="eastAsia" w:ascii="宋体" w:hAnsi="宋体" w:cs="宋体"/>
          <w:szCs w:val="21"/>
        </w:rPr>
        <w:t>根据《建设工程质量检测管理办法》（建设部令第141号）以及《广西壮族自治区建设工程质量检测管理规定》（桂建管〔2013〕11号）规定，工程质量检测业务由发包人委托有相应资质的检测机构检测。费用由发包人直接支付给检测机构，不计入合同价款内。</w:t>
      </w:r>
    </w:p>
    <w:p w14:paraId="74FCDA0C">
      <w:pPr>
        <w:pStyle w:val="82"/>
        <w:keepNext/>
        <w:keepLines/>
        <w:spacing w:before="60" w:after="60" w:line="413" w:lineRule="auto"/>
        <w:outlineLvl w:val="1"/>
        <w:rPr>
          <w:rFonts w:hint="eastAsia" w:ascii="宋体" w:hAnsi="宋体" w:cs="宋体"/>
          <w:b/>
          <w:bCs/>
          <w:szCs w:val="32"/>
        </w:rPr>
      </w:pPr>
      <w:bookmarkStart w:id="223" w:name="_Toc15199"/>
      <w:bookmarkStart w:id="224" w:name="_Toc15389"/>
      <w:r>
        <w:rPr>
          <w:rFonts w:hint="eastAsia" w:ascii="宋体" w:hAnsi="宋体" w:cs="宋体"/>
          <w:b/>
          <w:bCs/>
          <w:szCs w:val="32"/>
        </w:rPr>
        <w:t>10. 变更</w:t>
      </w:r>
      <w:bookmarkEnd w:id="223"/>
      <w:bookmarkEnd w:id="224"/>
    </w:p>
    <w:p w14:paraId="2EC48D95">
      <w:pPr>
        <w:pStyle w:val="82"/>
        <w:keepNext/>
        <w:keepLines/>
        <w:spacing w:line="360" w:lineRule="auto"/>
        <w:outlineLvl w:val="2"/>
        <w:rPr>
          <w:rFonts w:hint="eastAsia" w:ascii="宋体" w:hAnsi="宋体" w:cs="宋体"/>
          <w:b/>
          <w:bCs/>
          <w:szCs w:val="32"/>
        </w:rPr>
      </w:pPr>
      <w:bookmarkStart w:id="225" w:name="_Toc20015"/>
      <w:bookmarkStart w:id="226" w:name="_Toc14495"/>
      <w:r>
        <w:rPr>
          <w:rFonts w:hint="eastAsia" w:ascii="宋体" w:hAnsi="宋体" w:cs="宋体"/>
          <w:b/>
          <w:bCs/>
          <w:szCs w:val="32"/>
        </w:rPr>
        <w:t>10.1 变更的范围</w:t>
      </w:r>
      <w:bookmarkEnd w:id="225"/>
      <w:bookmarkEnd w:id="226"/>
    </w:p>
    <w:p w14:paraId="42C7587E">
      <w:pPr>
        <w:pStyle w:val="83"/>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szCs w:val="21"/>
        </w:rPr>
        <w:t>关于变更的范围的约定：</w:t>
      </w:r>
      <w:r>
        <w:rPr>
          <w:rFonts w:hint="eastAsia" w:ascii="宋体" w:hAnsi="宋体" w:cs="宋体"/>
          <w:kern w:val="0"/>
          <w:szCs w:val="21"/>
        </w:rPr>
        <w:t>除专用合同条款另有约定外，合同履行过程中发生以下情形的，应按照本条约定进行变更：</w:t>
      </w:r>
    </w:p>
    <w:p w14:paraId="130B1293">
      <w:pPr>
        <w:pStyle w:val="83"/>
        <w:autoSpaceDE w:val="0"/>
        <w:autoSpaceDN w:val="0"/>
        <w:adjustRightInd w:val="0"/>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u w:val="single"/>
        </w:rPr>
        <w:t>（1）增加或减少合同中任何工作，或追加额外的工作；</w:t>
      </w:r>
    </w:p>
    <w:p w14:paraId="4748A69E">
      <w:pPr>
        <w:pStyle w:val="83"/>
        <w:autoSpaceDE w:val="0"/>
        <w:autoSpaceDN w:val="0"/>
        <w:adjustRightInd w:val="0"/>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u w:val="single"/>
        </w:rPr>
        <w:t>（2）取消合同中任何工作，但转由他人实施的工作除外；</w:t>
      </w:r>
    </w:p>
    <w:p w14:paraId="57C7F33F">
      <w:pPr>
        <w:pStyle w:val="83"/>
        <w:autoSpaceDE w:val="0"/>
        <w:autoSpaceDN w:val="0"/>
        <w:adjustRightInd w:val="0"/>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u w:val="single"/>
        </w:rPr>
        <w:t>（3）改变合同中任何工作的质量标准或其他特性；</w:t>
      </w:r>
    </w:p>
    <w:p w14:paraId="1033077E">
      <w:pPr>
        <w:pStyle w:val="83"/>
        <w:autoSpaceDE w:val="0"/>
        <w:autoSpaceDN w:val="0"/>
        <w:adjustRightInd w:val="0"/>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u w:val="single"/>
        </w:rPr>
        <w:t>（4）改变工程的基线、标高、位置和尺寸；</w:t>
      </w:r>
    </w:p>
    <w:p w14:paraId="56A4AA62">
      <w:pPr>
        <w:pStyle w:val="82"/>
        <w:spacing w:line="360" w:lineRule="auto"/>
        <w:ind w:firstLine="426"/>
        <w:jc w:val="left"/>
        <w:rPr>
          <w:rFonts w:hint="eastAsia" w:ascii="宋体" w:hAnsi="宋体" w:cs="宋体"/>
          <w:szCs w:val="21"/>
          <w:u w:val="single"/>
        </w:rPr>
      </w:pPr>
      <w:r>
        <w:rPr>
          <w:rFonts w:hint="eastAsia" w:ascii="宋体" w:hAnsi="宋体" w:cs="宋体"/>
          <w:kern w:val="0"/>
          <w:szCs w:val="21"/>
          <w:u w:val="single"/>
        </w:rPr>
        <w:t>（5）改变工程的时间安排或实施顺序</w:t>
      </w:r>
      <w:r>
        <w:rPr>
          <w:rFonts w:hint="eastAsia" w:ascii="宋体" w:hAnsi="宋体" w:cs="宋体"/>
          <w:szCs w:val="21"/>
          <w:u w:val="single"/>
        </w:rPr>
        <w:t>。</w:t>
      </w:r>
    </w:p>
    <w:p w14:paraId="3AA041B1">
      <w:pPr>
        <w:pStyle w:val="82"/>
        <w:keepNext/>
        <w:keepLines/>
        <w:spacing w:line="360" w:lineRule="auto"/>
        <w:outlineLvl w:val="2"/>
        <w:rPr>
          <w:rFonts w:hint="eastAsia" w:ascii="宋体" w:hAnsi="宋体" w:cs="宋体"/>
          <w:b/>
          <w:bCs/>
          <w:szCs w:val="32"/>
        </w:rPr>
      </w:pPr>
      <w:bookmarkStart w:id="227" w:name="_Toc19546"/>
      <w:bookmarkStart w:id="228" w:name="_Toc24744"/>
      <w:r>
        <w:rPr>
          <w:rFonts w:hint="eastAsia" w:ascii="宋体" w:hAnsi="宋体" w:cs="宋体"/>
          <w:b/>
          <w:bCs/>
          <w:szCs w:val="32"/>
        </w:rPr>
        <w:t>10.3 变更程序</w:t>
      </w:r>
      <w:bookmarkEnd w:id="227"/>
      <w:bookmarkEnd w:id="228"/>
    </w:p>
    <w:p w14:paraId="56BFA8AE">
      <w:pPr>
        <w:pStyle w:val="83"/>
        <w:tabs>
          <w:tab w:val="left" w:pos="550"/>
        </w:tabs>
        <w:spacing w:before="1" w:line="360" w:lineRule="auto"/>
        <w:ind w:left="21" w:firstLine="410"/>
        <w:rPr>
          <w:rFonts w:hint="eastAsia" w:ascii="宋体" w:hAnsi="宋体" w:cs="宋体"/>
          <w:szCs w:val="21"/>
          <w:highlight w:val="none"/>
          <w:u w:val="single"/>
        </w:rPr>
      </w:pPr>
      <w:r>
        <w:rPr>
          <w:rFonts w:hint="eastAsia" w:ascii="宋体" w:hAnsi="宋体" w:cs="宋体"/>
          <w:b/>
          <w:bCs/>
          <w:szCs w:val="21"/>
          <w:highlight w:val="none"/>
        </w:rPr>
        <w:t xml:space="preserve"> </w:t>
      </w:r>
      <w:r>
        <w:rPr>
          <w:rFonts w:hint="eastAsia" w:ascii="宋体" w:hAnsi="宋体" w:cs="宋体"/>
          <w:szCs w:val="21"/>
          <w:highlight w:val="none"/>
          <w:u w:val="single"/>
        </w:rPr>
        <w:t>1.施工中发包人需对原工程设计进行变更，应提前14天以书面形式向承包人发出变更通知，并由原设计单位提供变更的相应图纸和说明；</w:t>
      </w:r>
    </w:p>
    <w:p w14:paraId="1D10B0D3">
      <w:pPr>
        <w:pStyle w:val="83"/>
        <w:tabs>
          <w:tab w:val="left" w:pos="550"/>
        </w:tabs>
        <w:spacing w:before="1" w:line="360" w:lineRule="auto"/>
        <w:ind w:left="21" w:firstLine="410"/>
        <w:rPr>
          <w:rFonts w:hint="eastAsia" w:ascii="宋体" w:hAnsi="宋体" w:cs="宋体"/>
          <w:szCs w:val="21"/>
          <w:highlight w:val="none"/>
          <w:u w:val="single"/>
        </w:rPr>
      </w:pPr>
      <w:r>
        <w:rPr>
          <w:rFonts w:hint="eastAsia" w:ascii="宋体" w:hAnsi="宋体" w:cs="宋体"/>
          <w:szCs w:val="21"/>
          <w:highlight w:val="none"/>
          <w:u w:val="single"/>
        </w:rPr>
        <w:t>2.施工中承包人原则上不得对原工程设计进行变更，但是在施工中承包人提出的合理化建议涉及到对设计图纸或施工组织涉及的更改及对材料、设备的换用，须经发包人书面同意，并由原设计单位提供变更的相应图纸和说明；由监理单位下达书面变更通知；</w:t>
      </w:r>
    </w:p>
    <w:p w14:paraId="79035EA5">
      <w:pPr>
        <w:pStyle w:val="83"/>
        <w:tabs>
          <w:tab w:val="left" w:pos="550"/>
        </w:tabs>
        <w:spacing w:before="1" w:line="360" w:lineRule="auto"/>
        <w:ind w:left="21" w:firstLine="410"/>
        <w:rPr>
          <w:rFonts w:hint="eastAsia" w:ascii="宋体" w:hAnsi="宋体" w:cs="宋体"/>
          <w:szCs w:val="21"/>
          <w:highlight w:val="none"/>
          <w:u w:val="single"/>
        </w:rPr>
      </w:pPr>
      <w:r>
        <w:rPr>
          <w:rFonts w:hint="eastAsia" w:ascii="宋体" w:hAnsi="宋体" w:cs="宋体"/>
          <w:szCs w:val="21"/>
          <w:highlight w:val="none"/>
          <w:u w:val="single"/>
          <w:lang w:val="en-US" w:eastAsia="zh-CN"/>
        </w:rPr>
        <w:t>3</w:t>
      </w:r>
      <w:r>
        <w:rPr>
          <w:rFonts w:hint="eastAsia" w:ascii="宋体" w:hAnsi="宋体" w:cs="宋体"/>
          <w:szCs w:val="21"/>
          <w:highlight w:val="none"/>
          <w:u w:val="single"/>
        </w:rPr>
        <w:t>.设计变更后确有影响进度的，由承包人提出，经监理人及发包人核准，工期相应顺延；</w:t>
      </w:r>
    </w:p>
    <w:p w14:paraId="0203176C">
      <w:pPr>
        <w:pStyle w:val="83"/>
        <w:tabs>
          <w:tab w:val="left" w:pos="550"/>
        </w:tabs>
        <w:spacing w:before="1" w:line="360" w:lineRule="auto"/>
        <w:ind w:left="21" w:firstLine="410"/>
        <w:rPr>
          <w:rFonts w:hint="eastAsia" w:ascii="宋体" w:hAnsi="宋体" w:cs="宋体"/>
          <w:szCs w:val="21"/>
          <w:highlight w:val="none"/>
          <w:u w:val="single"/>
        </w:rPr>
      </w:pPr>
      <w:r>
        <w:rPr>
          <w:rFonts w:hint="eastAsia" w:ascii="宋体" w:hAnsi="宋体" w:cs="宋体"/>
          <w:szCs w:val="21"/>
          <w:highlight w:val="none"/>
          <w:u w:val="single"/>
          <w:lang w:val="en-US" w:eastAsia="zh-CN"/>
        </w:rPr>
        <w:t>4</w:t>
      </w:r>
      <w:r>
        <w:rPr>
          <w:rFonts w:hint="eastAsia" w:ascii="宋体" w:hAnsi="宋体" w:cs="宋体"/>
          <w:szCs w:val="21"/>
          <w:highlight w:val="none"/>
          <w:u w:val="single"/>
        </w:rPr>
        <w:t>.在施工中如发生地质、地形情况与施工设计不符时，承包人应及时书面通知设计、监理单位及有关工程师现场核对，共同研究决定，并以书面形式确认是否需要变更以及变更的处理办法；</w:t>
      </w:r>
    </w:p>
    <w:p w14:paraId="0B8F76F2">
      <w:pPr>
        <w:pStyle w:val="83"/>
        <w:tabs>
          <w:tab w:val="left" w:pos="550"/>
        </w:tabs>
        <w:spacing w:before="1" w:line="360" w:lineRule="auto"/>
        <w:ind w:left="21" w:firstLine="410"/>
        <w:rPr>
          <w:rFonts w:hint="eastAsia" w:ascii="宋体" w:hAnsi="宋体" w:cs="宋体"/>
          <w:szCs w:val="21"/>
          <w:highlight w:val="none"/>
          <w:u w:val="single"/>
        </w:rPr>
      </w:pPr>
      <w:r>
        <w:rPr>
          <w:rFonts w:hint="eastAsia" w:ascii="宋体" w:hAnsi="宋体" w:cs="宋体"/>
          <w:szCs w:val="21"/>
          <w:highlight w:val="none"/>
          <w:u w:val="single"/>
          <w:lang w:val="en-US" w:eastAsia="zh-CN"/>
        </w:rPr>
        <w:t>5</w:t>
      </w:r>
      <w:r>
        <w:rPr>
          <w:rFonts w:hint="eastAsia" w:ascii="宋体" w:hAnsi="宋体" w:cs="宋体"/>
          <w:szCs w:val="21"/>
          <w:highlight w:val="none"/>
          <w:u w:val="single"/>
        </w:rPr>
        <w:t>.承包人须按发包人工程变更审批管理规定办理有关变更手续。未按规定完成审批的工程变更，按无效变更处理，发包人不予认可，由此产生的后果由承包人自负。</w:t>
      </w:r>
    </w:p>
    <w:p w14:paraId="15F88412">
      <w:pPr>
        <w:pStyle w:val="83"/>
        <w:tabs>
          <w:tab w:val="left" w:pos="550"/>
        </w:tabs>
        <w:spacing w:before="1" w:line="360" w:lineRule="auto"/>
        <w:ind w:left="21" w:firstLine="410"/>
        <w:rPr>
          <w:rFonts w:hint="eastAsia" w:ascii="宋体" w:hAnsi="宋体" w:cs="宋体"/>
          <w:szCs w:val="21"/>
          <w:highlight w:val="none"/>
          <w:u w:val="single"/>
        </w:rPr>
      </w:pPr>
      <w:r>
        <w:rPr>
          <w:rFonts w:hint="eastAsia" w:ascii="宋体" w:hAnsi="宋体" w:cs="宋体"/>
          <w:szCs w:val="21"/>
          <w:highlight w:val="none"/>
          <w:u w:val="single"/>
          <w:lang w:val="en-US" w:eastAsia="zh-CN"/>
        </w:rPr>
        <w:t>6</w:t>
      </w:r>
      <w:r>
        <w:rPr>
          <w:rFonts w:hint="eastAsia" w:ascii="宋体" w:hAnsi="宋体" w:cs="宋体"/>
          <w:szCs w:val="21"/>
          <w:highlight w:val="none"/>
          <w:u w:val="single"/>
        </w:rPr>
        <w:t>.工程量清单与图纸不一致时，施工前承包人需与发包人履行确认手续，否则，产生的费用由承包人承担。</w:t>
      </w:r>
    </w:p>
    <w:p w14:paraId="6E66638A">
      <w:pPr>
        <w:pStyle w:val="83"/>
        <w:tabs>
          <w:tab w:val="left" w:pos="550"/>
        </w:tabs>
        <w:spacing w:line="360" w:lineRule="auto"/>
        <w:ind w:firstLine="410"/>
        <w:rPr>
          <w:rFonts w:hint="eastAsia" w:ascii="宋体" w:hAnsi="宋体" w:cs="宋体"/>
          <w:bCs/>
          <w:szCs w:val="21"/>
          <w:highlight w:val="none"/>
        </w:rPr>
      </w:pPr>
      <w:r>
        <w:rPr>
          <w:rFonts w:hint="eastAsia" w:ascii="宋体" w:hAnsi="宋体" w:cs="宋体"/>
          <w:szCs w:val="21"/>
          <w:highlight w:val="none"/>
          <w:u w:val="single"/>
          <w:lang w:val="en-US" w:eastAsia="zh-CN"/>
        </w:rPr>
        <w:t>7</w:t>
      </w:r>
      <w:r>
        <w:rPr>
          <w:rFonts w:hint="eastAsia" w:ascii="宋体" w:hAnsi="宋体" w:cs="宋体"/>
          <w:szCs w:val="21"/>
          <w:highlight w:val="none"/>
          <w:u w:val="single"/>
        </w:rPr>
        <w:t>.承包人提交工程结算后，发包人不再补办承包人提出的任何变更审批手续。</w:t>
      </w:r>
    </w:p>
    <w:p w14:paraId="6E26213E">
      <w:pPr>
        <w:pStyle w:val="82"/>
        <w:keepNext/>
        <w:keepLines/>
        <w:spacing w:line="360" w:lineRule="auto"/>
        <w:outlineLvl w:val="2"/>
        <w:rPr>
          <w:rFonts w:hint="eastAsia" w:ascii="宋体" w:hAnsi="宋体" w:cs="宋体"/>
          <w:b/>
          <w:bCs/>
          <w:szCs w:val="32"/>
          <w:highlight w:val="none"/>
        </w:rPr>
      </w:pPr>
      <w:bookmarkStart w:id="229" w:name="_Toc1189"/>
      <w:bookmarkStart w:id="230" w:name="_Toc24870"/>
      <w:r>
        <w:rPr>
          <w:rFonts w:hint="eastAsia" w:ascii="宋体" w:hAnsi="宋体" w:cs="宋体"/>
          <w:b/>
          <w:bCs/>
          <w:szCs w:val="32"/>
          <w:highlight w:val="none"/>
        </w:rPr>
        <w:t>10.4 变更估价</w:t>
      </w:r>
      <w:bookmarkEnd w:id="229"/>
      <w:bookmarkEnd w:id="230"/>
    </w:p>
    <w:p w14:paraId="23631772">
      <w:pPr>
        <w:pStyle w:val="82"/>
        <w:bidi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10.4.1 变更估价原则</w:t>
      </w:r>
    </w:p>
    <w:p w14:paraId="63D075A4">
      <w:pPr>
        <w:pStyle w:val="82"/>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single"/>
          <w:lang w:eastAsia="zh-CN"/>
        </w:rPr>
      </w:pPr>
      <w:r>
        <w:rPr>
          <w:rStyle w:val="31"/>
          <w:rFonts w:hint="eastAsia" w:ascii="宋体" w:hAnsi="宋体" w:eastAsia="宋体" w:cs="宋体"/>
          <w:color w:val="auto"/>
          <w:sz w:val="21"/>
          <w:szCs w:val="21"/>
          <w:highlight w:val="none"/>
        </w:rPr>
        <w:t xml:space="preserve">关于变更估价的约定: </w:t>
      </w:r>
      <w:r>
        <w:rPr>
          <w:rFonts w:hint="eastAsia" w:ascii="宋体" w:hAnsi="宋体" w:eastAsia="宋体" w:cs="宋体"/>
          <w:color w:val="auto"/>
          <w:szCs w:val="21"/>
          <w:highlight w:val="none"/>
          <w:u w:val="single"/>
        </w:rPr>
        <w:t>因工程量清单漏项、设计变更、相关签证引起工程项目价格变化的，不变更合同价款，由承包人自行承担。</w:t>
      </w:r>
    </w:p>
    <w:p w14:paraId="5BAB42C7">
      <w:pPr>
        <w:pStyle w:val="82"/>
        <w:spacing w:line="360" w:lineRule="auto"/>
        <w:jc w:val="left"/>
        <w:rPr>
          <w:rFonts w:hint="eastAsia" w:ascii="宋体" w:hAnsi="宋体" w:cs="宋体"/>
          <w:b/>
          <w:bCs/>
          <w:szCs w:val="32"/>
        </w:rPr>
      </w:pPr>
      <w:r>
        <w:rPr>
          <w:rFonts w:hint="eastAsia" w:ascii="宋体" w:hAnsi="宋体" w:cs="宋体"/>
          <w:b/>
          <w:bCs/>
          <w:szCs w:val="32"/>
        </w:rPr>
        <w:t>10.5 承包人的合理化建议</w:t>
      </w:r>
    </w:p>
    <w:p w14:paraId="21A18875">
      <w:pPr>
        <w:pStyle w:val="82"/>
        <w:spacing w:line="360" w:lineRule="auto"/>
        <w:ind w:firstLine="420" w:firstLineChars="200"/>
        <w:jc w:val="left"/>
        <w:rPr>
          <w:rFonts w:hint="eastAsia"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监理人应在收到承包人提交的合理化建议后7天内审查完毕并报送发包人 </w:t>
      </w:r>
      <w:r>
        <w:rPr>
          <w:rFonts w:hint="eastAsia" w:ascii="宋体" w:hAnsi="宋体" w:cs="宋体"/>
          <w:szCs w:val="21"/>
        </w:rPr>
        <w:t>。</w:t>
      </w:r>
    </w:p>
    <w:p w14:paraId="62200511">
      <w:pPr>
        <w:pStyle w:val="82"/>
        <w:spacing w:line="360" w:lineRule="auto"/>
        <w:ind w:firstLine="420" w:firstLineChars="200"/>
        <w:jc w:val="left"/>
        <w:rPr>
          <w:rFonts w:hint="eastAsia"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发包人应在收到监理人报送的合理化建议后7天内审批完毕  </w:t>
      </w:r>
      <w:r>
        <w:rPr>
          <w:rFonts w:hint="eastAsia" w:ascii="宋体" w:hAnsi="宋体" w:cs="宋体"/>
          <w:szCs w:val="21"/>
        </w:rPr>
        <w:t>。</w:t>
      </w:r>
    </w:p>
    <w:p w14:paraId="13ECCB2A">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承包人提出的合理化建议降低了合同价格或者提高了工程经济效益的奖励的方法和金额为：</w:t>
      </w:r>
      <w:r>
        <w:rPr>
          <w:rFonts w:hint="eastAsia" w:ascii="宋体" w:hAnsi="宋体" w:cs="宋体"/>
          <w:szCs w:val="21"/>
          <w:u w:val="single"/>
        </w:rPr>
        <w:t xml:space="preserve"> / </w:t>
      </w:r>
      <w:r>
        <w:rPr>
          <w:rFonts w:hint="eastAsia" w:ascii="宋体" w:hAnsi="宋体" w:cs="宋体"/>
          <w:szCs w:val="21"/>
        </w:rPr>
        <w:t>。</w:t>
      </w:r>
    </w:p>
    <w:p w14:paraId="4044DB08">
      <w:pPr>
        <w:pStyle w:val="82"/>
        <w:keepNext/>
        <w:keepLines/>
        <w:spacing w:line="360" w:lineRule="auto"/>
        <w:outlineLvl w:val="2"/>
        <w:rPr>
          <w:rFonts w:hint="eastAsia" w:ascii="宋体" w:hAnsi="宋体" w:cs="宋体"/>
          <w:b/>
          <w:bCs/>
          <w:szCs w:val="32"/>
        </w:rPr>
      </w:pPr>
      <w:bookmarkStart w:id="231" w:name="_Toc4631"/>
      <w:bookmarkStart w:id="232" w:name="_Toc12167"/>
      <w:r>
        <w:rPr>
          <w:rFonts w:hint="eastAsia" w:ascii="宋体" w:hAnsi="宋体" w:cs="宋体"/>
          <w:b/>
          <w:bCs/>
          <w:szCs w:val="32"/>
        </w:rPr>
        <w:t>10.7 暂估价</w:t>
      </w:r>
      <w:bookmarkEnd w:id="231"/>
      <w:bookmarkEnd w:id="232"/>
    </w:p>
    <w:p w14:paraId="0D01848E">
      <w:pPr>
        <w:pStyle w:val="82"/>
        <w:spacing w:line="360" w:lineRule="auto"/>
        <w:ind w:firstLine="420" w:firstLineChars="200"/>
        <w:jc w:val="left"/>
        <w:rPr>
          <w:rFonts w:hint="eastAsia" w:ascii="宋体" w:hAnsi="宋体" w:cs="宋体"/>
          <w:szCs w:val="21"/>
        </w:rPr>
      </w:pPr>
      <w:r>
        <w:rPr>
          <w:rFonts w:hint="eastAsia" w:ascii="宋体" w:hAnsi="宋体" w:cs="宋体"/>
          <w:kern w:val="0"/>
          <w:szCs w:val="21"/>
        </w:rPr>
        <w:t>暂估价材料和工程设备的明细详见已标价工程量清单《</w:t>
      </w:r>
      <w:r>
        <w:rPr>
          <w:rFonts w:hint="eastAsia" w:ascii="宋体" w:hAnsi="宋体" w:cs="宋体"/>
          <w:szCs w:val="21"/>
        </w:rPr>
        <w:t>材料（工程设备）暂估价格及调整表》</w:t>
      </w:r>
      <w:r>
        <w:rPr>
          <w:rFonts w:hint="eastAsia" w:ascii="宋体" w:hAnsi="宋体" w:cs="宋体"/>
          <w:kern w:val="0"/>
          <w:szCs w:val="21"/>
        </w:rPr>
        <w:t>（表12-2）和《</w:t>
      </w:r>
      <w:r>
        <w:rPr>
          <w:rFonts w:hint="eastAsia" w:ascii="宋体" w:hAnsi="宋体" w:cs="宋体"/>
          <w:szCs w:val="21"/>
        </w:rPr>
        <w:t>专业工程暂估价表》（</w:t>
      </w:r>
      <w:r>
        <w:rPr>
          <w:rFonts w:hint="eastAsia" w:ascii="宋体" w:hAnsi="宋体" w:cs="宋体"/>
          <w:kern w:val="0"/>
          <w:szCs w:val="21"/>
        </w:rPr>
        <w:t>表12-3）。</w:t>
      </w:r>
    </w:p>
    <w:p w14:paraId="01FDC0BC">
      <w:pPr>
        <w:pStyle w:val="82"/>
        <w:spacing w:line="360" w:lineRule="auto"/>
        <w:ind w:firstLine="420" w:firstLineChars="200"/>
        <w:jc w:val="left"/>
        <w:rPr>
          <w:rFonts w:hint="eastAsia" w:ascii="宋体" w:hAnsi="宋体" w:cs="宋体"/>
          <w:szCs w:val="21"/>
        </w:rPr>
      </w:pPr>
      <w:r>
        <w:rPr>
          <w:rFonts w:hint="eastAsia" w:ascii="宋体" w:hAnsi="宋体" w:cs="宋体"/>
          <w:szCs w:val="21"/>
        </w:rPr>
        <w:t>10.7.1 依法必须招标的暂估价项目</w:t>
      </w:r>
    </w:p>
    <w:p w14:paraId="3FAF2427">
      <w:pPr>
        <w:pStyle w:val="82"/>
        <w:spacing w:line="360" w:lineRule="auto"/>
        <w:ind w:firstLine="420" w:firstLineChars="200"/>
        <w:jc w:val="left"/>
        <w:rPr>
          <w:rFonts w:hint="eastAsia"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2 </w:t>
      </w:r>
      <w:r>
        <w:rPr>
          <w:rFonts w:hint="eastAsia" w:ascii="宋体" w:hAnsi="宋体" w:cs="宋体"/>
          <w:szCs w:val="21"/>
        </w:rPr>
        <w:t>种方式确定。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成交供应商后，由发包人、承包人与成交供应商共同签订暂估价合同。</w:t>
      </w:r>
    </w:p>
    <w:p w14:paraId="1E9D0E92">
      <w:pPr>
        <w:pStyle w:val="82"/>
        <w:spacing w:line="360" w:lineRule="auto"/>
        <w:ind w:firstLine="420" w:firstLineChars="200"/>
        <w:jc w:val="left"/>
        <w:rPr>
          <w:rFonts w:hint="eastAsia" w:ascii="宋体" w:hAnsi="宋体" w:cs="宋体"/>
          <w:szCs w:val="21"/>
        </w:rPr>
      </w:pPr>
      <w:r>
        <w:rPr>
          <w:rFonts w:hint="eastAsia" w:ascii="宋体" w:hAnsi="宋体" w:cs="宋体"/>
          <w:szCs w:val="21"/>
        </w:rPr>
        <w:t>10.7.2 不属于依法必须招标的暂估价项目</w:t>
      </w:r>
    </w:p>
    <w:p w14:paraId="6282529F">
      <w:pPr>
        <w:pStyle w:val="82"/>
        <w:spacing w:line="360" w:lineRule="auto"/>
        <w:ind w:firstLine="420" w:firstLineChars="200"/>
        <w:jc w:val="left"/>
        <w:rPr>
          <w:rFonts w:hint="eastAsia" w:ascii="宋体" w:hAnsi="宋体" w:cs="宋体"/>
          <w:szCs w:val="21"/>
        </w:rPr>
      </w:pPr>
      <w:r>
        <w:rPr>
          <w:rFonts w:hint="eastAsia" w:ascii="宋体" w:hAnsi="宋体" w:cs="宋体"/>
          <w:szCs w:val="21"/>
        </w:rPr>
        <w:t>对于不属于依法必须招标的暂估价项目的确认和批准</w:t>
      </w:r>
      <w:r>
        <w:rPr>
          <w:rFonts w:hint="eastAsia" w:ascii="宋体" w:hAnsi="宋体" w:cs="宋体"/>
          <w:szCs w:val="21"/>
          <w:u w:val="single"/>
        </w:rPr>
        <w:t>需发包人书面加盖公章确认</w:t>
      </w:r>
      <w:r>
        <w:rPr>
          <w:rFonts w:hint="eastAsia" w:ascii="宋体" w:hAnsi="宋体" w:cs="宋体"/>
          <w:szCs w:val="21"/>
        </w:rPr>
        <w:t>。</w:t>
      </w:r>
    </w:p>
    <w:p w14:paraId="310ED632">
      <w:pPr>
        <w:pStyle w:val="82"/>
        <w:keepNext/>
        <w:keepLines/>
        <w:spacing w:line="360" w:lineRule="auto"/>
        <w:outlineLvl w:val="2"/>
        <w:rPr>
          <w:rFonts w:hint="eastAsia" w:ascii="宋体" w:hAnsi="宋体" w:cs="宋体"/>
          <w:b/>
          <w:bCs/>
          <w:szCs w:val="32"/>
        </w:rPr>
      </w:pPr>
      <w:bookmarkStart w:id="233" w:name="_Toc11787"/>
      <w:bookmarkStart w:id="234" w:name="_Toc21621"/>
      <w:r>
        <w:rPr>
          <w:rFonts w:hint="eastAsia" w:ascii="宋体" w:hAnsi="宋体" w:cs="宋体"/>
          <w:b/>
          <w:bCs/>
          <w:szCs w:val="32"/>
        </w:rPr>
        <w:t>10.8 暂列金额</w:t>
      </w:r>
      <w:bookmarkEnd w:id="233"/>
      <w:bookmarkEnd w:id="234"/>
    </w:p>
    <w:p w14:paraId="056EA35A">
      <w:pPr>
        <w:pStyle w:val="82"/>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合同当事人关于暂列金额使用的约定：</w:t>
      </w:r>
      <w:r>
        <w:rPr>
          <w:rFonts w:hint="eastAsia" w:ascii="宋体" w:hAnsi="宋体" w:cs="宋体"/>
          <w:kern w:val="0"/>
          <w:szCs w:val="21"/>
          <w:u w:val="single"/>
        </w:rPr>
        <w:t>(1)已签约合同价中的暂列金额由发包人掌握使用； (2) 发包人按照规定所作支付后，暂列金额如有余额归发包人。</w:t>
      </w:r>
    </w:p>
    <w:p w14:paraId="72451241">
      <w:pPr>
        <w:pStyle w:val="82"/>
        <w:keepNext/>
        <w:keepLines/>
        <w:numPr>
          <w:ilvl w:val="0"/>
          <w:numId w:val="3"/>
        </w:numPr>
        <w:spacing w:before="60" w:after="60" w:line="413" w:lineRule="auto"/>
        <w:outlineLvl w:val="1"/>
        <w:rPr>
          <w:rFonts w:hint="eastAsia" w:ascii="宋体" w:hAnsi="宋体" w:cs="宋体"/>
          <w:b/>
          <w:bCs/>
          <w:szCs w:val="32"/>
        </w:rPr>
      </w:pPr>
      <w:bookmarkStart w:id="235" w:name="_Toc2155"/>
      <w:bookmarkStart w:id="236" w:name="_Toc1468"/>
      <w:r>
        <w:rPr>
          <w:rFonts w:hint="eastAsia" w:ascii="宋体" w:hAnsi="宋体" w:cs="宋体"/>
          <w:b/>
          <w:bCs/>
          <w:szCs w:val="32"/>
        </w:rPr>
        <w:t>价格调整</w:t>
      </w:r>
      <w:bookmarkEnd w:id="235"/>
      <w:bookmarkEnd w:id="236"/>
    </w:p>
    <w:p w14:paraId="27852B36">
      <w:pPr>
        <w:pStyle w:val="82"/>
        <w:keepNext/>
        <w:keepLines/>
        <w:spacing w:line="360" w:lineRule="auto"/>
        <w:outlineLvl w:val="2"/>
        <w:rPr>
          <w:rFonts w:hint="eastAsia" w:ascii="宋体" w:hAnsi="宋体" w:cs="宋体"/>
          <w:b/>
          <w:bCs/>
          <w:szCs w:val="32"/>
          <w:highlight w:val="none"/>
        </w:rPr>
      </w:pPr>
      <w:bookmarkStart w:id="237" w:name="_Toc2504"/>
      <w:bookmarkStart w:id="238" w:name="_Toc5218"/>
      <w:r>
        <w:rPr>
          <w:rFonts w:hint="eastAsia" w:ascii="宋体" w:hAnsi="宋体" w:cs="宋体"/>
          <w:b/>
          <w:bCs/>
          <w:szCs w:val="32"/>
          <w:highlight w:val="none"/>
        </w:rPr>
        <w:t>11.1 市场价格波动引起的调整</w:t>
      </w:r>
      <w:bookmarkEnd w:id="237"/>
      <w:bookmarkEnd w:id="238"/>
    </w:p>
    <w:p w14:paraId="0FEDE75F">
      <w:pPr>
        <w:spacing w:line="360" w:lineRule="auto"/>
        <w:ind w:firstLine="420" w:firstLineChars="200"/>
        <w:jc w:val="left"/>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市场价格波动是否调整合同价格的约定：市场价格波动是否调整合同价格的约定：</w:t>
      </w:r>
      <w:r>
        <w:rPr>
          <w:rFonts w:hint="eastAsia" w:ascii="宋体" w:hAnsi="宋体" w:eastAsia="宋体" w:cs="宋体"/>
          <w:color w:val="auto"/>
          <w:kern w:val="0"/>
          <w:sz w:val="21"/>
          <w:szCs w:val="21"/>
          <w:highlight w:val="none"/>
          <w:u w:val="single"/>
          <w:shd w:val="clear" w:color="auto" w:fill="auto"/>
        </w:rPr>
        <w:t xml:space="preserve">  否  </w:t>
      </w:r>
      <w:r>
        <w:rPr>
          <w:rFonts w:hint="eastAsia" w:ascii="宋体" w:hAnsi="宋体" w:eastAsia="宋体" w:cs="宋体"/>
          <w:color w:val="auto"/>
          <w:kern w:val="0"/>
          <w:sz w:val="21"/>
          <w:szCs w:val="21"/>
          <w:highlight w:val="none"/>
          <w:shd w:val="clear" w:color="auto" w:fill="auto"/>
        </w:rPr>
        <w:t>。</w:t>
      </w:r>
    </w:p>
    <w:p w14:paraId="2613E7C4">
      <w:pPr>
        <w:spacing w:line="360" w:lineRule="auto"/>
        <w:ind w:firstLine="420" w:firstLineChars="200"/>
        <w:jc w:val="left"/>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因市场价格波动调整合同价格，采用以下第</w:t>
      </w:r>
      <w:r>
        <w:rPr>
          <w:rFonts w:hint="eastAsia" w:ascii="宋体" w:hAnsi="宋体" w:eastAsia="宋体" w:cs="宋体"/>
          <w:color w:val="auto"/>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u w:val="single"/>
          <w:shd w:val="clear" w:color="auto" w:fill="auto"/>
          <w:lang w:val="en-US" w:eastAsia="zh-CN"/>
        </w:rPr>
        <w:t>3</w:t>
      </w:r>
      <w:r>
        <w:rPr>
          <w:rFonts w:hint="eastAsia" w:ascii="宋体" w:hAnsi="宋体" w:eastAsia="宋体" w:cs="宋体"/>
          <w:color w:val="auto"/>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shd w:val="clear" w:color="auto" w:fill="auto"/>
        </w:rPr>
        <w:t>种方式对合同价格进行调整：</w:t>
      </w:r>
    </w:p>
    <w:p w14:paraId="2DFAAEEE">
      <w:pPr>
        <w:spacing w:line="360" w:lineRule="auto"/>
        <w:ind w:firstLine="420" w:firstLineChars="200"/>
        <w:jc w:val="left"/>
        <w:rPr>
          <w:rFonts w:hint="eastAsia" w:ascii="宋体" w:hAnsi="宋体" w:eastAsia="宋体" w:cs="宋体"/>
          <w:color w:val="auto"/>
          <w:kern w:val="0"/>
          <w:sz w:val="21"/>
          <w:szCs w:val="21"/>
          <w:highlight w:val="none"/>
          <w:shd w:val="clear" w:color="auto" w:fill="auto"/>
        </w:rPr>
      </w:pPr>
      <w:bookmarkStart w:id="239" w:name="_Toc17064"/>
      <w:bookmarkStart w:id="240" w:name="_Toc14581"/>
      <w:r>
        <w:rPr>
          <w:rFonts w:hint="eastAsia" w:ascii="宋体" w:hAnsi="宋体" w:eastAsia="宋体" w:cs="宋体"/>
          <w:color w:val="auto"/>
          <w:kern w:val="0"/>
          <w:sz w:val="21"/>
          <w:szCs w:val="21"/>
          <w:highlight w:val="none"/>
          <w:shd w:val="clear" w:color="auto" w:fill="auto"/>
        </w:rPr>
        <w:t>第3种方式：</w:t>
      </w:r>
      <w:r>
        <w:rPr>
          <w:rFonts w:hint="eastAsia" w:ascii="宋体" w:hAnsi="宋体" w:eastAsia="宋体" w:cs="宋体"/>
          <w:color w:val="auto"/>
          <w:kern w:val="0"/>
          <w:sz w:val="21"/>
          <w:szCs w:val="21"/>
          <w:highlight w:val="none"/>
          <w:u w:val="single"/>
          <w:shd w:val="clear" w:color="auto" w:fill="auto"/>
        </w:rPr>
        <w:t xml:space="preserve">除有政策性文件要求调整的材料外，其余材料设备一律不给调整 </w:t>
      </w:r>
      <w:r>
        <w:rPr>
          <w:rFonts w:hint="eastAsia" w:ascii="宋体" w:hAnsi="宋体" w:eastAsia="宋体" w:cs="宋体"/>
          <w:color w:val="auto"/>
          <w:kern w:val="0"/>
          <w:sz w:val="21"/>
          <w:szCs w:val="21"/>
          <w:highlight w:val="none"/>
          <w:shd w:val="clear" w:color="auto" w:fill="auto"/>
        </w:rPr>
        <w:t>。</w:t>
      </w:r>
    </w:p>
    <w:p w14:paraId="3DF38CFA">
      <w:pPr>
        <w:pStyle w:val="82"/>
        <w:keepNext/>
        <w:keepLines/>
        <w:spacing w:before="60" w:after="60" w:line="413" w:lineRule="auto"/>
        <w:outlineLvl w:val="1"/>
        <w:rPr>
          <w:rFonts w:hint="eastAsia" w:ascii="宋体" w:hAnsi="宋体" w:cs="宋体"/>
          <w:b/>
          <w:bCs/>
          <w:szCs w:val="32"/>
          <w:highlight w:val="none"/>
        </w:rPr>
      </w:pPr>
      <w:r>
        <w:rPr>
          <w:rFonts w:hint="eastAsia" w:ascii="宋体" w:hAnsi="宋体" w:cs="宋体"/>
          <w:b/>
          <w:bCs/>
          <w:szCs w:val="32"/>
          <w:highlight w:val="none"/>
        </w:rPr>
        <w:t>12. 合同价格、计量与支付</w:t>
      </w:r>
      <w:bookmarkEnd w:id="239"/>
      <w:bookmarkEnd w:id="240"/>
    </w:p>
    <w:p w14:paraId="3C8D4618">
      <w:pPr>
        <w:pStyle w:val="82"/>
        <w:keepNext/>
        <w:keepLines/>
        <w:spacing w:line="360" w:lineRule="auto"/>
        <w:outlineLvl w:val="2"/>
        <w:rPr>
          <w:rFonts w:hint="eastAsia" w:ascii="宋体" w:hAnsi="宋体" w:cs="宋体"/>
          <w:b/>
          <w:bCs/>
          <w:szCs w:val="32"/>
          <w:highlight w:val="none"/>
        </w:rPr>
      </w:pPr>
      <w:bookmarkStart w:id="241" w:name="_Toc25359"/>
      <w:bookmarkStart w:id="242" w:name="_Toc25752"/>
      <w:r>
        <w:rPr>
          <w:rFonts w:hint="eastAsia" w:ascii="宋体" w:hAnsi="宋体" w:cs="宋体"/>
          <w:b/>
          <w:bCs/>
          <w:szCs w:val="32"/>
          <w:highlight w:val="none"/>
        </w:rPr>
        <w:t>12.1 合同价格形式</w:t>
      </w:r>
      <w:bookmarkEnd w:id="241"/>
      <w:bookmarkEnd w:id="242"/>
    </w:p>
    <w:p w14:paraId="44FDAF45">
      <w:pPr>
        <w:spacing w:after="120" w:line="360" w:lineRule="auto"/>
        <w:ind w:firstLine="420" w:firstLineChars="200"/>
        <w:outlineLvl w:val="0"/>
        <w:rPr>
          <w:rFonts w:hint="eastAsia" w:ascii="宋体" w:hAnsi="宋体" w:cs="宋体"/>
          <w:szCs w:val="22"/>
          <w:highlight w:val="none"/>
        </w:rPr>
      </w:pPr>
      <w:bookmarkStart w:id="243" w:name="_Toc13510"/>
      <w:bookmarkStart w:id="244" w:name="_Toc23281"/>
      <w:r>
        <w:rPr>
          <w:rFonts w:hint="eastAsia" w:ascii="宋体" w:hAnsi="宋体" w:cs="宋体"/>
          <w:highlight w:val="none"/>
        </w:rPr>
        <w:t>12.1 合同价格形式</w:t>
      </w:r>
      <w:bookmarkEnd w:id="243"/>
      <w:bookmarkEnd w:id="244"/>
    </w:p>
    <w:p w14:paraId="44E7588B">
      <w:pPr>
        <w:pStyle w:val="83"/>
        <w:spacing w:line="360" w:lineRule="auto"/>
        <w:ind w:firstLine="420" w:firstLineChars="200"/>
        <w:jc w:val="left"/>
        <w:rPr>
          <w:rFonts w:hint="eastAsia" w:ascii="宋体" w:hAnsi="宋体" w:cs="宋体"/>
          <w:bCs/>
          <w:szCs w:val="21"/>
          <w:highlight w:val="none"/>
        </w:rPr>
      </w:pPr>
      <w:r>
        <w:rPr>
          <w:rFonts w:hint="eastAsia" w:ascii="宋体" w:hAnsi="宋体" w:cs="宋体"/>
          <w:bCs/>
          <w:szCs w:val="21"/>
          <w:highlight w:val="none"/>
        </w:rPr>
        <w:t>本工程采用</w:t>
      </w:r>
      <w:r>
        <w:rPr>
          <w:rFonts w:hint="eastAsia" w:ascii="宋体" w:hAnsi="宋体" w:cs="宋体"/>
          <w:bCs/>
          <w:szCs w:val="21"/>
          <w:highlight w:val="none"/>
          <w:u w:val="single"/>
        </w:rPr>
        <w:t xml:space="preserve"> （</w:t>
      </w:r>
      <w:r>
        <w:rPr>
          <w:rFonts w:hint="eastAsia" w:ascii="宋体" w:hAnsi="宋体" w:cs="宋体"/>
          <w:bCs/>
          <w:szCs w:val="21"/>
          <w:highlight w:val="none"/>
          <w:u w:val="single"/>
          <w:lang w:val="en-US" w:eastAsia="zh-CN"/>
        </w:rPr>
        <w:t>2</w:t>
      </w:r>
      <w:r>
        <w:rPr>
          <w:rFonts w:hint="eastAsia" w:ascii="宋体" w:hAnsi="宋体" w:cs="宋体"/>
          <w:bCs/>
          <w:szCs w:val="21"/>
          <w:highlight w:val="none"/>
          <w:u w:val="single"/>
        </w:rPr>
        <w:t xml:space="preserve">） </w:t>
      </w:r>
      <w:r>
        <w:rPr>
          <w:rFonts w:hint="eastAsia" w:ascii="宋体" w:hAnsi="宋体" w:cs="宋体"/>
          <w:bCs/>
          <w:szCs w:val="21"/>
          <w:highlight w:val="none"/>
        </w:rPr>
        <w:t>合同价格形式，合同价格包含增值税，本工程计价时采用的增值税计税方法为：</w:t>
      </w:r>
      <w:r>
        <w:rPr>
          <w:rFonts w:hint="eastAsia" w:ascii="宋体" w:hAnsi="宋体" w:cs="宋体"/>
          <w:b/>
          <w:szCs w:val="21"/>
          <w:highlight w:val="none"/>
        </w:rPr>
        <w:fldChar w:fldCharType="begin"/>
      </w:r>
      <w:r>
        <w:rPr>
          <w:rFonts w:hint="eastAsia" w:ascii="宋体" w:hAnsi="宋体" w:cs="宋体"/>
          <w:b/>
          <w:szCs w:val="21"/>
          <w:highlight w:val="none"/>
        </w:rPr>
        <w:instrText xml:space="preserve"> eq \o\ac(</w:instrText>
      </w:r>
      <w:r>
        <w:rPr>
          <w:rFonts w:hint="eastAsia" w:ascii="宋体" w:hAnsi="宋体" w:cs="宋体"/>
          <w:b/>
          <w:position w:val="-4"/>
          <w:sz w:val="31"/>
          <w:szCs w:val="21"/>
          <w:highlight w:val="none"/>
        </w:rPr>
        <w:instrText xml:space="preserve">□,</w:instrText>
      </w:r>
      <w:r>
        <w:rPr>
          <w:rFonts w:hint="eastAsia" w:ascii="宋体" w:hAnsi="宋体" w:cs="宋体"/>
          <w:b/>
          <w:szCs w:val="21"/>
          <w:highlight w:val="none"/>
        </w:rPr>
        <w:instrText xml:space="preserve">√)</w:instrText>
      </w:r>
      <w:r>
        <w:rPr>
          <w:rFonts w:hint="eastAsia" w:ascii="宋体" w:hAnsi="宋体" w:cs="宋体"/>
          <w:b/>
          <w:szCs w:val="21"/>
          <w:highlight w:val="none"/>
        </w:rPr>
        <w:fldChar w:fldCharType="end"/>
      </w:r>
      <w:r>
        <w:rPr>
          <w:rFonts w:hint="eastAsia" w:ascii="宋体" w:hAnsi="宋体" w:cs="宋体"/>
          <w:b/>
          <w:szCs w:val="21"/>
          <w:highlight w:val="none"/>
        </w:rPr>
        <w:t>一般计税法</w:t>
      </w:r>
      <w:r>
        <w:rPr>
          <w:rFonts w:hint="eastAsia" w:ascii="宋体" w:hAnsi="宋体" w:cs="宋体"/>
          <w:bCs/>
          <w:szCs w:val="21"/>
          <w:highlight w:val="none"/>
        </w:rPr>
        <w:t xml:space="preserve">   □简易计税法。</w:t>
      </w:r>
    </w:p>
    <w:p w14:paraId="7DA7215F">
      <w:pPr>
        <w:spacing w:line="360" w:lineRule="auto"/>
        <w:ind w:firstLine="420" w:firstLineChars="200"/>
        <w:jc w:val="left"/>
        <w:rPr>
          <w:rFonts w:hint="eastAsia" w:ascii="宋体" w:hAnsi="宋体" w:cs="宋体"/>
          <w:szCs w:val="22"/>
          <w:highlight w:val="none"/>
        </w:rPr>
      </w:pPr>
      <w:r>
        <w:rPr>
          <w:rFonts w:hint="eastAsia" w:ascii="宋体" w:hAnsi="宋体" w:cs="宋体"/>
          <w:highlight w:val="none"/>
        </w:rPr>
        <w:t>1、单价合同。</w:t>
      </w:r>
    </w:p>
    <w:p w14:paraId="716CD878">
      <w:pPr>
        <w:spacing w:line="360" w:lineRule="auto"/>
        <w:ind w:firstLine="420" w:firstLineChars="200"/>
        <w:jc w:val="left"/>
        <w:rPr>
          <w:rFonts w:hint="eastAsia" w:ascii="宋体" w:hAnsi="宋体" w:cs="宋体"/>
          <w:szCs w:val="22"/>
          <w:highlight w:val="none"/>
          <w:u w:val="single"/>
        </w:rPr>
      </w:pPr>
      <w:r>
        <w:rPr>
          <w:rFonts w:hint="eastAsia" w:ascii="宋体" w:hAnsi="宋体" w:cs="宋体"/>
          <w:highlight w:val="none"/>
        </w:rPr>
        <w:t>综合单价包含的风险范围：</w:t>
      </w:r>
      <w:r>
        <w:rPr>
          <w:rFonts w:hint="eastAsia" w:ascii="宋体" w:hAnsi="宋体" w:cs="宋体"/>
          <w:highlight w:val="none"/>
          <w:u w:val="single"/>
        </w:rPr>
        <w:t>除工程变更、项目特征不符、工程量清单缺项、工程量偏差、政策性调整、市场价格波动。</w:t>
      </w:r>
    </w:p>
    <w:p w14:paraId="67DB96D2">
      <w:pPr>
        <w:pStyle w:val="85"/>
        <w:spacing w:line="360" w:lineRule="auto"/>
        <w:ind w:firstLine="441" w:firstLineChars="210"/>
        <w:rPr>
          <w:rFonts w:hint="eastAsia" w:hAnsi="宋体" w:cs="宋体"/>
          <w:highlight w:val="none"/>
        </w:rPr>
      </w:pPr>
      <w:r>
        <w:rPr>
          <w:rFonts w:hint="eastAsia" w:hAnsi="宋体" w:cs="宋体"/>
          <w:highlight w:val="none"/>
        </w:rPr>
        <w:t>风险范围以外合同价格的调整方法：</w:t>
      </w:r>
    </w:p>
    <w:p w14:paraId="36430B00">
      <w:pPr>
        <w:pStyle w:val="85"/>
        <w:spacing w:line="360" w:lineRule="auto"/>
        <w:ind w:firstLine="441" w:firstLineChars="210"/>
        <w:rPr>
          <w:rFonts w:hint="eastAsia" w:hAnsi="宋体" w:cs="宋体"/>
          <w:highlight w:val="none"/>
        </w:rPr>
      </w:pPr>
      <w:r>
        <w:rPr>
          <w:rFonts w:hint="eastAsia" w:hAnsi="宋体" w:cs="宋体"/>
          <w:highlight w:val="none"/>
        </w:rPr>
        <w:t>①工程变更、项目特征不符、工程量清单缺项：按10.4.1变更估价原则的约定调整。</w:t>
      </w:r>
    </w:p>
    <w:p w14:paraId="4B260823">
      <w:pPr>
        <w:pStyle w:val="85"/>
        <w:spacing w:line="360" w:lineRule="auto"/>
        <w:ind w:firstLine="441" w:firstLineChars="210"/>
        <w:rPr>
          <w:rFonts w:hint="eastAsia" w:hAnsi="宋体" w:cs="宋体"/>
          <w:highlight w:val="none"/>
        </w:rPr>
      </w:pPr>
      <w:r>
        <w:rPr>
          <w:rFonts w:hint="eastAsia" w:hAnsi="宋体" w:cs="宋体"/>
          <w:highlight w:val="none"/>
        </w:rPr>
        <w:t>②工程量偏差：按1.13工程量清单错误修正的约定调整。</w:t>
      </w:r>
    </w:p>
    <w:p w14:paraId="25E02018">
      <w:pPr>
        <w:pStyle w:val="85"/>
        <w:spacing w:line="360" w:lineRule="auto"/>
        <w:ind w:firstLine="441" w:firstLineChars="210"/>
        <w:rPr>
          <w:rFonts w:hint="eastAsia" w:hAnsi="宋体" w:cs="宋体"/>
          <w:highlight w:val="none"/>
        </w:rPr>
      </w:pPr>
      <w:r>
        <w:rPr>
          <w:rFonts w:hint="eastAsia" w:hAnsi="宋体" w:cs="宋体"/>
          <w:highlight w:val="none"/>
        </w:rPr>
        <w:t>③政策性调整：按国家、自治区住房城乡建设厅或工程所在地市级住房城乡建设主管部门颁布的文件执行。</w:t>
      </w:r>
    </w:p>
    <w:p w14:paraId="7B65FBA2">
      <w:pPr>
        <w:pStyle w:val="85"/>
        <w:spacing w:line="360" w:lineRule="auto"/>
        <w:ind w:firstLine="441" w:firstLineChars="210"/>
        <w:rPr>
          <w:rFonts w:hint="eastAsia" w:hAnsi="宋体" w:cs="宋体"/>
          <w:highlight w:val="none"/>
          <w:u w:val="single"/>
        </w:rPr>
      </w:pPr>
      <w:r>
        <w:rPr>
          <w:rFonts w:hint="eastAsia" w:hAnsi="宋体" w:cs="宋体"/>
          <w:highlight w:val="none"/>
        </w:rPr>
        <w:t>④市场波动引起的调整：按11.1的约定调整。</w:t>
      </w:r>
    </w:p>
    <w:p w14:paraId="4DCAF47E">
      <w:pPr>
        <w:spacing w:line="360" w:lineRule="auto"/>
        <w:ind w:firstLine="420" w:firstLineChars="200"/>
        <w:jc w:val="left"/>
        <w:rPr>
          <w:rFonts w:hint="eastAsia" w:ascii="宋体" w:hAnsi="宋体" w:cs="宋体"/>
          <w:szCs w:val="22"/>
          <w:highlight w:val="none"/>
        </w:rPr>
      </w:pPr>
      <w:r>
        <w:rPr>
          <w:rFonts w:hint="eastAsia" w:ascii="宋体" w:hAnsi="宋体" w:cs="宋体"/>
          <w:highlight w:val="none"/>
        </w:rPr>
        <w:t>2、总价合同。</w:t>
      </w:r>
    </w:p>
    <w:p w14:paraId="29EE88FD">
      <w:pPr>
        <w:pStyle w:val="83"/>
        <w:spacing w:line="360" w:lineRule="auto"/>
        <w:ind w:firstLine="420" w:firstLineChars="200"/>
        <w:jc w:val="left"/>
        <w:rPr>
          <w:rFonts w:hint="eastAsia" w:ascii="宋体" w:hAnsi="宋体" w:cs="宋体"/>
          <w:bCs/>
          <w:szCs w:val="21"/>
          <w:highlight w:val="none"/>
        </w:rPr>
      </w:pPr>
      <w:r>
        <w:rPr>
          <w:rFonts w:hint="eastAsia" w:ascii="宋体" w:hAnsi="宋体" w:cs="宋体"/>
          <w:bCs/>
          <w:szCs w:val="21"/>
          <w:highlight w:val="none"/>
        </w:rPr>
        <w:t>总价包含的风险范围：</w:t>
      </w:r>
      <w:r>
        <w:rPr>
          <w:rFonts w:hint="eastAsia" w:ascii="宋体" w:hAnsi="宋体" w:cs="宋体"/>
          <w:szCs w:val="21"/>
          <w:highlight w:val="none"/>
          <w:u w:val="single"/>
        </w:rPr>
        <w:t>本工程《承包人提供主要材料和设备一览表》中约定的材料和设备价格变动风险以外的其他风险。除工程变更外，结算时不再对招标施工图对应的工程量重新计量</w:t>
      </w:r>
      <w:r>
        <w:rPr>
          <w:rFonts w:hint="eastAsia" w:ascii="宋体" w:hAnsi="宋体" w:cs="宋体"/>
          <w:szCs w:val="21"/>
          <w:highlight w:val="none"/>
        </w:rPr>
        <w:t>。</w:t>
      </w:r>
    </w:p>
    <w:p w14:paraId="778F8FB5">
      <w:pPr>
        <w:pStyle w:val="83"/>
        <w:spacing w:line="360" w:lineRule="auto"/>
        <w:ind w:firstLine="420" w:firstLineChars="200"/>
        <w:jc w:val="left"/>
        <w:rPr>
          <w:rFonts w:hint="eastAsia" w:ascii="宋体" w:hAnsi="宋体" w:cs="宋体"/>
          <w:bCs/>
          <w:szCs w:val="21"/>
          <w:highlight w:val="none"/>
        </w:rPr>
      </w:pPr>
      <w:r>
        <w:rPr>
          <w:rFonts w:hint="eastAsia" w:ascii="宋体" w:hAnsi="宋体" w:cs="宋体"/>
          <w:bCs/>
          <w:szCs w:val="21"/>
          <w:highlight w:val="none"/>
        </w:rPr>
        <w:t>风险范围以外合同价格的调整方法：</w:t>
      </w:r>
    </w:p>
    <w:p w14:paraId="5A443769">
      <w:pPr>
        <w:pStyle w:val="83"/>
        <w:spacing w:line="360" w:lineRule="auto"/>
        <w:ind w:firstLine="420" w:firstLineChars="200"/>
        <w:jc w:val="left"/>
        <w:rPr>
          <w:rFonts w:hint="eastAsia" w:ascii="宋体" w:hAnsi="宋体" w:cs="宋体"/>
          <w:bCs/>
          <w:szCs w:val="21"/>
          <w:highlight w:val="none"/>
        </w:rPr>
      </w:pPr>
      <w:r>
        <w:rPr>
          <w:rFonts w:hint="eastAsia" w:ascii="宋体" w:hAnsi="宋体" w:cs="宋体"/>
          <w:bCs/>
          <w:szCs w:val="21"/>
          <w:highlight w:val="none"/>
        </w:rPr>
        <w:t>①工程变更：</w:t>
      </w:r>
      <w:r>
        <w:rPr>
          <w:rFonts w:hint="eastAsia" w:ascii="宋体" w:hAnsi="宋体" w:cs="宋体"/>
          <w:bCs/>
          <w:szCs w:val="21"/>
          <w:highlight w:val="none"/>
          <w:u w:val="single"/>
        </w:rPr>
        <w:t>按10.4.1变更估价原则的约定调整</w:t>
      </w:r>
      <w:r>
        <w:rPr>
          <w:rFonts w:hint="eastAsia" w:ascii="宋体" w:hAnsi="宋体" w:cs="宋体"/>
          <w:bCs/>
          <w:szCs w:val="21"/>
          <w:highlight w:val="none"/>
        </w:rPr>
        <w:t>。</w:t>
      </w:r>
    </w:p>
    <w:p w14:paraId="30844ABD">
      <w:pPr>
        <w:pStyle w:val="83"/>
        <w:spacing w:line="360" w:lineRule="auto"/>
        <w:ind w:firstLine="420" w:firstLineChars="200"/>
        <w:jc w:val="left"/>
        <w:rPr>
          <w:rFonts w:hint="eastAsia" w:ascii="宋体" w:hAnsi="宋体" w:cs="宋体"/>
          <w:bCs/>
          <w:szCs w:val="21"/>
          <w:highlight w:val="none"/>
        </w:rPr>
      </w:pPr>
      <w:r>
        <w:rPr>
          <w:rFonts w:hint="eastAsia" w:ascii="宋体" w:hAnsi="宋体" w:cs="宋体"/>
          <w:bCs/>
          <w:szCs w:val="21"/>
          <w:highlight w:val="none"/>
        </w:rPr>
        <w:t>②政策性调整：</w:t>
      </w:r>
      <w:r>
        <w:rPr>
          <w:rFonts w:hint="eastAsia" w:ascii="宋体" w:hAnsi="宋体" w:cs="宋体"/>
          <w:bCs/>
          <w:szCs w:val="21"/>
          <w:highlight w:val="none"/>
          <w:u w:val="single"/>
        </w:rPr>
        <w:t>按自治区住房城乡建设厅或工程所在地住房城乡建设主管部门颁布的文件执行。</w:t>
      </w:r>
    </w:p>
    <w:p w14:paraId="0A599CBD">
      <w:pPr>
        <w:spacing w:line="360" w:lineRule="auto"/>
        <w:ind w:firstLine="420" w:firstLineChars="200"/>
        <w:jc w:val="left"/>
        <w:rPr>
          <w:rFonts w:hint="eastAsia" w:ascii="宋体" w:hAnsi="宋体" w:cs="宋体"/>
          <w:bCs/>
          <w:szCs w:val="22"/>
          <w:highlight w:val="none"/>
        </w:rPr>
      </w:pPr>
      <w:r>
        <w:rPr>
          <w:rFonts w:hint="eastAsia" w:ascii="宋体" w:hAnsi="宋体" w:cs="宋体"/>
          <w:bCs/>
          <w:szCs w:val="21"/>
          <w:highlight w:val="none"/>
        </w:rPr>
        <w:t>③材料价格风险：</w:t>
      </w:r>
      <w:r>
        <w:rPr>
          <w:rFonts w:hint="eastAsia" w:ascii="宋体" w:hAnsi="宋体" w:cs="宋体"/>
          <w:bCs/>
          <w:szCs w:val="21"/>
          <w:highlight w:val="none"/>
          <w:u w:val="single"/>
        </w:rPr>
        <w:t>按11.1的约定调整。</w:t>
      </w:r>
    </w:p>
    <w:p w14:paraId="71FA3E05">
      <w:pPr>
        <w:numPr>
          <w:ilvl w:val="0"/>
          <w:numId w:val="4"/>
        </w:numPr>
        <w:spacing w:line="360" w:lineRule="auto"/>
        <w:jc w:val="left"/>
        <w:rPr>
          <w:rFonts w:hint="eastAsia" w:ascii="宋体" w:hAnsi="宋体" w:cs="宋体"/>
          <w:highlight w:val="none"/>
        </w:rPr>
      </w:pPr>
      <w:r>
        <w:rPr>
          <w:rFonts w:hint="eastAsia" w:ascii="宋体" w:hAnsi="宋体" w:cs="宋体"/>
          <w:highlight w:val="none"/>
        </w:rPr>
        <w:t>其他价格方式：</w:t>
      </w:r>
      <w:r>
        <w:rPr>
          <w:rFonts w:hint="eastAsia" w:ascii="宋体" w:hAnsi="宋体" w:cs="宋体"/>
          <w:highlight w:val="none"/>
          <w:u w:val="single"/>
        </w:rPr>
        <w:t xml:space="preserve">        /       </w:t>
      </w:r>
      <w:r>
        <w:rPr>
          <w:rFonts w:hint="eastAsia" w:ascii="宋体" w:hAnsi="宋体" w:cs="宋体"/>
          <w:highlight w:val="none"/>
        </w:rPr>
        <w:t>。</w:t>
      </w:r>
    </w:p>
    <w:p w14:paraId="4A827D34">
      <w:pPr>
        <w:numPr>
          <w:ilvl w:val="0"/>
          <w:numId w:val="4"/>
        </w:numPr>
        <w:spacing w:line="360" w:lineRule="auto"/>
        <w:jc w:val="left"/>
        <w:rPr>
          <w:rFonts w:hint="eastAsia" w:ascii="宋体" w:hAnsi="宋体" w:cs="宋体"/>
          <w:b/>
          <w:bCs/>
          <w:highlight w:val="none"/>
        </w:rPr>
      </w:pPr>
      <w:r>
        <w:rPr>
          <w:rFonts w:hint="eastAsia" w:ascii="宋体" w:hAnsi="宋体" w:cs="宋体"/>
          <w:b/>
          <w:bCs/>
          <w:highlight w:val="none"/>
          <w:lang w:val="en-US" w:eastAsia="zh-CN"/>
        </w:rPr>
        <w:t>承包人</w:t>
      </w:r>
      <w:r>
        <w:rPr>
          <w:rFonts w:hint="eastAsia" w:ascii="宋体" w:hAnsi="宋体" w:cs="宋体"/>
          <w:b/>
          <w:bCs/>
          <w:highlight w:val="none"/>
        </w:rPr>
        <w:t>不得以未踏勘现场为由提出合同变更。</w:t>
      </w:r>
    </w:p>
    <w:p w14:paraId="6957D73B">
      <w:pPr>
        <w:spacing w:after="120" w:line="360" w:lineRule="auto"/>
        <w:ind w:firstLine="420" w:firstLineChars="200"/>
        <w:outlineLvl w:val="0"/>
        <w:rPr>
          <w:rFonts w:hint="eastAsia" w:ascii="宋体" w:hAnsi="宋体" w:cs="宋体"/>
          <w:szCs w:val="22"/>
          <w:highlight w:val="none"/>
        </w:rPr>
      </w:pPr>
      <w:bookmarkStart w:id="245" w:name="_Toc11627"/>
      <w:bookmarkStart w:id="246" w:name="_Toc31099"/>
      <w:r>
        <w:rPr>
          <w:rFonts w:hint="eastAsia" w:ascii="宋体" w:hAnsi="宋体" w:cs="宋体"/>
          <w:highlight w:val="none"/>
        </w:rPr>
        <w:t>12.2 预付款</w:t>
      </w:r>
      <w:bookmarkEnd w:id="245"/>
      <w:bookmarkEnd w:id="246"/>
    </w:p>
    <w:p w14:paraId="11187DFB">
      <w:pPr>
        <w:spacing w:line="360" w:lineRule="auto"/>
        <w:ind w:firstLine="420" w:firstLineChars="200"/>
        <w:jc w:val="left"/>
        <w:rPr>
          <w:rFonts w:hint="eastAsia" w:ascii="宋体" w:hAnsi="宋体" w:cs="宋体"/>
          <w:szCs w:val="22"/>
          <w:highlight w:val="none"/>
        </w:rPr>
      </w:pPr>
      <w:r>
        <w:rPr>
          <w:rFonts w:hint="eastAsia" w:ascii="宋体" w:hAnsi="宋体" w:cs="宋体"/>
          <w:highlight w:val="none"/>
        </w:rPr>
        <w:t>12.2.1 预付款的支付</w:t>
      </w:r>
    </w:p>
    <w:p w14:paraId="6D2D016C">
      <w:pPr>
        <w:spacing w:line="360" w:lineRule="auto"/>
        <w:ind w:firstLine="420" w:firstLineChars="200"/>
        <w:jc w:val="left"/>
        <w:rPr>
          <w:rFonts w:hint="eastAsia" w:ascii="宋体" w:hAnsi="宋体" w:cs="宋体"/>
          <w:szCs w:val="22"/>
          <w:highlight w:val="none"/>
        </w:rPr>
      </w:pPr>
      <w:r>
        <w:rPr>
          <w:rFonts w:hint="eastAsia" w:ascii="宋体" w:hAnsi="宋体" w:cs="宋体"/>
          <w:highlight w:val="none"/>
        </w:rPr>
        <w:t>预付款支付比例或金额：</w:t>
      </w:r>
      <w:r>
        <w:rPr>
          <w:rFonts w:hint="eastAsia" w:ascii="宋体" w:hAnsi="宋体" w:cs="宋体"/>
          <w:highlight w:val="none"/>
          <w:u w:val="single"/>
        </w:rPr>
        <w:t>合同款的20%</w:t>
      </w:r>
      <w:r>
        <w:rPr>
          <w:rFonts w:hint="eastAsia" w:ascii="宋体" w:hAnsi="宋体" w:cs="宋体"/>
          <w:highlight w:val="none"/>
        </w:rPr>
        <w:t>。</w:t>
      </w:r>
    </w:p>
    <w:p w14:paraId="4C56E39C">
      <w:pPr>
        <w:spacing w:line="360" w:lineRule="auto"/>
        <w:ind w:firstLine="420" w:firstLineChars="200"/>
        <w:jc w:val="left"/>
        <w:rPr>
          <w:rFonts w:hint="eastAsia" w:ascii="宋体" w:hAnsi="宋体" w:cs="宋体"/>
          <w:szCs w:val="22"/>
          <w:highlight w:val="none"/>
        </w:rPr>
      </w:pPr>
      <w:r>
        <w:rPr>
          <w:rFonts w:hint="eastAsia" w:ascii="宋体" w:hAnsi="宋体" w:cs="宋体"/>
          <w:highlight w:val="none"/>
        </w:rPr>
        <w:t xml:space="preserve">预付款支付期限： </w:t>
      </w:r>
      <w:r>
        <w:rPr>
          <w:rFonts w:hint="eastAsia" w:ascii="宋体" w:hAnsi="宋体" w:cs="宋体"/>
          <w:highlight w:val="none"/>
          <w:u w:val="single"/>
        </w:rPr>
        <w:t>双方签订合同后10个工作日内支付总合同价的20% 。</w:t>
      </w:r>
    </w:p>
    <w:p w14:paraId="025CA4EA">
      <w:pPr>
        <w:spacing w:line="360" w:lineRule="auto"/>
        <w:ind w:firstLine="420" w:firstLineChars="200"/>
        <w:jc w:val="left"/>
        <w:rPr>
          <w:rFonts w:hint="eastAsia" w:ascii="宋体" w:hAnsi="宋体" w:cs="宋体"/>
          <w:szCs w:val="22"/>
          <w:highlight w:val="none"/>
          <w:u w:val="single"/>
        </w:rPr>
      </w:pPr>
      <w:r>
        <w:rPr>
          <w:rFonts w:hint="eastAsia" w:ascii="宋体" w:hAnsi="宋体" w:cs="宋体"/>
          <w:highlight w:val="none"/>
        </w:rPr>
        <w:t>预付款扣回的方式：</w:t>
      </w:r>
      <w:r>
        <w:rPr>
          <w:rFonts w:hint="eastAsia" w:ascii="宋体" w:hAnsi="宋体" w:cs="宋体"/>
          <w:highlight w:val="none"/>
          <w:u w:val="single"/>
        </w:rPr>
        <w:t>工程进度完成至90%以上工程量，在申请进度款时一次性扣回所有预付款。</w:t>
      </w:r>
    </w:p>
    <w:p w14:paraId="38DBAA2D">
      <w:pPr>
        <w:pStyle w:val="82"/>
        <w:keepNext/>
        <w:keepLines/>
        <w:spacing w:line="360" w:lineRule="auto"/>
        <w:outlineLvl w:val="2"/>
        <w:rPr>
          <w:rFonts w:hint="eastAsia" w:ascii="宋体" w:hAnsi="宋体" w:cs="宋体"/>
          <w:b/>
          <w:bCs/>
          <w:szCs w:val="32"/>
          <w:highlight w:val="none"/>
        </w:rPr>
      </w:pPr>
      <w:bookmarkStart w:id="247" w:name="_Toc5886"/>
      <w:bookmarkStart w:id="248" w:name="_Toc8352"/>
      <w:r>
        <w:rPr>
          <w:rFonts w:hint="eastAsia" w:ascii="宋体" w:hAnsi="宋体" w:cs="宋体"/>
          <w:b/>
          <w:bCs/>
          <w:szCs w:val="32"/>
          <w:highlight w:val="none"/>
        </w:rPr>
        <w:t>12.3 计量</w:t>
      </w:r>
      <w:bookmarkEnd w:id="247"/>
      <w:bookmarkEnd w:id="248"/>
    </w:p>
    <w:p w14:paraId="3D19F53B">
      <w:pPr>
        <w:pStyle w:val="82"/>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12.3.1 计量原则</w:t>
      </w:r>
    </w:p>
    <w:p w14:paraId="3DFEA31E">
      <w:pPr>
        <w:pStyle w:val="82"/>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工程量计算规则：</w:t>
      </w:r>
      <w:r>
        <w:rPr>
          <w:rFonts w:hint="eastAsia" w:ascii="宋体" w:hAnsi="宋体" w:cs="宋体"/>
          <w:szCs w:val="21"/>
          <w:highlight w:val="none"/>
          <w:u w:val="single"/>
        </w:rPr>
        <w:t>工程的计量均以《建设工程工程量清单计价规范》（GB50500－2013）和及其广西壮族自治区实施细则、《建设工程工程量清单计算规范》（GB50854~50862－2013）及其广西实施细则、本工程补充项目清单为准。</w:t>
      </w:r>
    </w:p>
    <w:p w14:paraId="3583ACC1">
      <w:pPr>
        <w:pStyle w:val="82"/>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12.3.2 计量周期</w:t>
      </w:r>
    </w:p>
    <w:p w14:paraId="44CB3416">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关于计量周期的约定：</w:t>
      </w:r>
      <w:r>
        <w:rPr>
          <w:rFonts w:hint="eastAsia" w:ascii="宋体" w:hAnsi="宋体" w:cs="宋体"/>
          <w:szCs w:val="21"/>
          <w:u w:val="single"/>
        </w:rPr>
        <w:t>每月25日前</w:t>
      </w:r>
      <w:r>
        <w:rPr>
          <w:rFonts w:hint="eastAsia" w:ascii="宋体" w:hAnsi="宋体" w:cs="宋体"/>
          <w:szCs w:val="21"/>
        </w:rPr>
        <w:t>。</w:t>
      </w:r>
    </w:p>
    <w:p w14:paraId="02182B97">
      <w:pPr>
        <w:spacing w:line="360" w:lineRule="auto"/>
        <w:ind w:firstLine="420" w:firstLineChars="200"/>
        <w:jc w:val="left"/>
        <w:outlineLvl w:val="0"/>
        <w:rPr>
          <w:rFonts w:hint="eastAsia" w:ascii="宋体" w:hAnsi="宋体" w:cs="宋体"/>
          <w:szCs w:val="22"/>
        </w:rPr>
      </w:pPr>
      <w:bookmarkStart w:id="249" w:name="_Toc28670"/>
      <w:bookmarkStart w:id="250" w:name="_Toc9602"/>
      <w:r>
        <w:rPr>
          <w:rFonts w:hint="eastAsia" w:ascii="宋体" w:hAnsi="宋体" w:cs="宋体"/>
        </w:rPr>
        <w:t>12.3.3 单价合同的计量</w:t>
      </w:r>
      <w:bookmarkEnd w:id="249"/>
      <w:bookmarkEnd w:id="250"/>
    </w:p>
    <w:p w14:paraId="23A78A5E">
      <w:pPr>
        <w:pStyle w:val="78"/>
        <w:spacing w:after="0" w:line="360" w:lineRule="auto"/>
        <w:ind w:left="0" w:leftChars="0"/>
        <w:rPr>
          <w:rFonts w:hint="eastAsia" w:ascii="宋体" w:hAnsi="宋体" w:cs="宋体"/>
          <w:szCs w:val="24"/>
          <w:u w:val="single"/>
        </w:rPr>
      </w:pPr>
      <w:r>
        <w:rPr>
          <w:rFonts w:hint="eastAsia" w:ascii="宋体" w:hAnsi="宋体" w:cs="宋体"/>
          <w:szCs w:val="24"/>
        </w:rPr>
        <w:t>关于单价合同计量的约定：</w:t>
      </w:r>
      <w:r>
        <w:rPr>
          <w:rFonts w:hint="eastAsia" w:ascii="宋体" w:hAnsi="宋体" w:cs="宋体"/>
          <w:szCs w:val="24"/>
          <w:u w:val="single"/>
        </w:rPr>
        <w:t>(1) 工程量清单所列的工程量，不能作为承包人按合同履行其责任依据，实际施工中发生的工程量增加或减少并不影响承包人履行合同的责任，工程结算以完成的实际工程量为准。</w:t>
      </w:r>
    </w:p>
    <w:p w14:paraId="4D953D8C">
      <w:pPr>
        <w:pStyle w:val="78"/>
        <w:spacing w:after="0" w:line="360" w:lineRule="auto"/>
        <w:ind w:left="0" w:leftChars="0"/>
        <w:rPr>
          <w:rFonts w:hint="eastAsia" w:ascii="宋体" w:hAnsi="宋体" w:cs="宋体"/>
          <w:szCs w:val="24"/>
          <w:u w:val="single"/>
        </w:rPr>
      </w:pPr>
      <w:r>
        <w:rPr>
          <w:rFonts w:hint="eastAsia" w:ascii="宋体" w:hAnsi="宋体" w:cs="宋体"/>
          <w:szCs w:val="24"/>
          <w:u w:val="single"/>
        </w:rPr>
        <w:t>(2) 除另有规定外，工程师应按照合同通过计量来核实确定已完成的工程量和价款，承包人应得到该价款扣除保留金后的金额。当工程师要对已完工的工程量进行计量时，应适时地通知承包人参加。</w:t>
      </w:r>
    </w:p>
    <w:p w14:paraId="1E202952">
      <w:pPr>
        <w:spacing w:line="360" w:lineRule="auto"/>
        <w:ind w:firstLine="420" w:firstLineChars="200"/>
        <w:jc w:val="left"/>
        <w:rPr>
          <w:rFonts w:hint="eastAsia" w:ascii="宋体" w:hAnsi="宋体" w:cs="宋体"/>
          <w:szCs w:val="22"/>
        </w:rPr>
      </w:pPr>
      <w:r>
        <w:rPr>
          <w:rFonts w:hint="eastAsia" w:ascii="宋体" w:hAnsi="宋体" w:cs="宋体"/>
        </w:rPr>
        <w:t>12.3.4 总价合同的计量</w:t>
      </w:r>
    </w:p>
    <w:p w14:paraId="6006066B">
      <w:pPr>
        <w:spacing w:line="360" w:lineRule="auto"/>
        <w:ind w:firstLine="420" w:firstLineChars="200"/>
        <w:jc w:val="left"/>
        <w:rPr>
          <w:rFonts w:hint="eastAsia" w:ascii="宋体" w:hAnsi="宋体" w:cs="宋体"/>
        </w:rPr>
      </w:pPr>
      <w:r>
        <w:rPr>
          <w:rFonts w:hint="eastAsia" w:ascii="宋体" w:hAnsi="宋体" w:cs="宋体"/>
        </w:rPr>
        <w:t>关于总价合同计量的约定：</w:t>
      </w:r>
    </w:p>
    <w:p w14:paraId="1BDD8EBF">
      <w:pPr>
        <w:pStyle w:val="78"/>
        <w:spacing w:after="0" w:line="360" w:lineRule="auto"/>
        <w:ind w:left="0" w:leftChars="0"/>
        <w:rPr>
          <w:rFonts w:hint="eastAsia" w:ascii="宋体" w:hAnsi="宋体" w:cs="宋体"/>
          <w:szCs w:val="24"/>
          <w:u w:val="single"/>
        </w:rPr>
      </w:pPr>
      <w:bookmarkStart w:id="251" w:name="_Toc14740"/>
      <w:r>
        <w:rPr>
          <w:rFonts w:hint="eastAsia" w:ascii="宋体" w:hAnsi="宋体" w:cs="宋体"/>
          <w:szCs w:val="24"/>
          <w:u w:val="single"/>
        </w:rPr>
        <w:t>进度款按支付分解表支付，支付分解表在招标完成后签合同之前制定。总价项目不采用支付分解表的方式计算，而按《建设工程工程量清单计价规范（GB50500-2013）广西壮族自治区实施细则》的规定执行。</w:t>
      </w:r>
    </w:p>
    <w:p w14:paraId="55D70149">
      <w:pPr>
        <w:pStyle w:val="82"/>
        <w:keepNext/>
        <w:keepLines/>
        <w:spacing w:line="360" w:lineRule="auto"/>
        <w:outlineLvl w:val="2"/>
        <w:rPr>
          <w:rFonts w:hint="eastAsia" w:ascii="宋体" w:hAnsi="宋体" w:cs="宋体"/>
          <w:b/>
          <w:bCs/>
          <w:szCs w:val="32"/>
        </w:rPr>
      </w:pPr>
      <w:bookmarkStart w:id="252" w:name="_Toc22919"/>
      <w:r>
        <w:rPr>
          <w:rFonts w:hint="eastAsia" w:ascii="宋体" w:hAnsi="宋体" w:cs="宋体"/>
          <w:b/>
          <w:bCs/>
          <w:szCs w:val="32"/>
        </w:rPr>
        <w:t>12.4 工程进度款支付</w:t>
      </w:r>
      <w:bookmarkEnd w:id="251"/>
      <w:bookmarkEnd w:id="252"/>
    </w:p>
    <w:p w14:paraId="3379034C">
      <w:pPr>
        <w:pStyle w:val="82"/>
        <w:spacing w:line="360" w:lineRule="auto"/>
        <w:ind w:firstLine="420" w:firstLineChars="200"/>
        <w:jc w:val="left"/>
        <w:rPr>
          <w:rFonts w:hint="eastAsia" w:ascii="宋体" w:hAnsi="宋体" w:cs="宋体"/>
          <w:szCs w:val="21"/>
        </w:rPr>
      </w:pPr>
      <w:r>
        <w:rPr>
          <w:rFonts w:hint="eastAsia" w:ascii="宋体" w:hAnsi="宋体" w:cs="宋体"/>
          <w:szCs w:val="21"/>
        </w:rPr>
        <w:t>12.4.1 付款周期</w:t>
      </w:r>
    </w:p>
    <w:p w14:paraId="0C6F60A2">
      <w:pPr>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关于付款周期的约定：</w:t>
      </w:r>
      <w:r>
        <w:rPr>
          <w:rFonts w:hint="eastAsia" w:ascii="宋体" w:hAnsi="宋体" w:cs="宋体"/>
          <w:spacing w:val="-8"/>
          <w:szCs w:val="21"/>
        </w:rPr>
        <w:t>双方签订合同后10个工作日内发包人向承包人支付总合同价的20%作为预付款；期中支付：按工程进度完成至90%以上工程量支付进度款至总合同价的</w:t>
      </w:r>
      <w:r>
        <w:rPr>
          <w:rFonts w:ascii="宋体" w:hAnsi="宋体" w:cs="宋体"/>
          <w:spacing w:val="-8"/>
          <w:szCs w:val="21"/>
        </w:rPr>
        <w:t>80</w:t>
      </w:r>
      <w:r>
        <w:rPr>
          <w:rFonts w:hint="eastAsia" w:ascii="宋体" w:hAnsi="宋体" w:cs="宋体"/>
          <w:spacing w:val="-8"/>
          <w:szCs w:val="21"/>
        </w:rPr>
        <w:t>%止，发包人收到工程进度计量表、请款函、支付证书等材料后10个工作日内支付；期终支付：本工程竣工验收合格，10个工作日内支付至97%合同价；合同价款的3%转为质量保证金，于工程质量缺陷责任期满后30个工作日内支付(无息)。按照“总包负总责”的原则，发包人在工程建设过程中按工程进度或合同约定及时拨付工程款，不拖欠工程款，承包人保证按时足额支付农民工工资，不拖欠农民工工资，如果承包方发生违反规定拖欠或克扣农民工工资行为，造成农民工上访，由承包人负全责。</w:t>
      </w:r>
    </w:p>
    <w:p w14:paraId="121671AD">
      <w:pPr>
        <w:spacing w:line="360" w:lineRule="auto"/>
        <w:ind w:firstLine="420" w:firstLineChars="200"/>
        <w:jc w:val="left"/>
        <w:rPr>
          <w:rFonts w:hint="eastAsia" w:ascii="宋体" w:hAnsi="宋体" w:cs="宋体"/>
          <w:szCs w:val="21"/>
        </w:rPr>
      </w:pPr>
      <w:r>
        <w:rPr>
          <w:rFonts w:hint="eastAsia" w:ascii="宋体" w:hAnsi="宋体" w:cs="宋体"/>
          <w:szCs w:val="21"/>
        </w:rPr>
        <w:t>合同约定的工程质量缺陷责任期满后由承包人向发包人提出返还质量保证金的申请，发包人在接到承包人返还质量保证金申请后，会同承包人按照合同约定的内容进行核实。如无异议，发包人在核实后30个工作日内将质量保证金返还承包人。</w:t>
      </w:r>
    </w:p>
    <w:p w14:paraId="4EE68F93">
      <w:pPr>
        <w:spacing w:line="360" w:lineRule="auto"/>
        <w:ind w:firstLine="420" w:firstLineChars="200"/>
        <w:jc w:val="left"/>
        <w:rPr>
          <w:rFonts w:hint="eastAsia" w:ascii="宋体" w:hAnsi="宋体" w:cs="宋体"/>
          <w:szCs w:val="21"/>
        </w:rPr>
      </w:pPr>
      <w:r>
        <w:rPr>
          <w:rFonts w:hint="eastAsia" w:ascii="宋体" w:hAnsi="宋体" w:cs="宋体"/>
          <w:szCs w:val="21"/>
        </w:rPr>
        <w:t>合同约定的工程质量缺陷责任期（最长不超过2年）满后由承包人向发包人提出书面返还保证金的申请，发包人在接到承包人返还保证金申请后，于14天内会同承包人按照合同约定的内容进行核实。如无异议，发包人在核实后30个工作日内将质量保证金返还承包人，逾期未返还的，依法承担违约责任。发包人在接到承包人返还保证金申请后14天内不予答复，经催告后14天内仍不予答复，视同认可承包人的返还保证金申请。</w:t>
      </w:r>
    </w:p>
    <w:p w14:paraId="4428EBE1">
      <w:pPr>
        <w:pStyle w:val="82"/>
        <w:spacing w:line="360" w:lineRule="auto"/>
        <w:ind w:firstLine="420" w:firstLineChars="200"/>
        <w:jc w:val="left"/>
        <w:rPr>
          <w:rFonts w:hint="eastAsia" w:ascii="宋体" w:hAnsi="宋体" w:cs="宋体"/>
          <w:szCs w:val="21"/>
        </w:rPr>
      </w:pPr>
      <w:r>
        <w:rPr>
          <w:rFonts w:hint="eastAsia" w:ascii="宋体" w:hAnsi="宋体" w:cs="宋体"/>
          <w:szCs w:val="21"/>
        </w:rPr>
        <w:t>12.4.2 进度付款申请单的编制</w:t>
      </w:r>
    </w:p>
    <w:p w14:paraId="726DD9D7">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关于进度付款申请单编制的约定：</w:t>
      </w:r>
      <w:r>
        <w:rPr>
          <w:rFonts w:hint="eastAsia" w:ascii="宋体" w:hAnsi="宋体" w:cs="宋体"/>
          <w:szCs w:val="21"/>
          <w:u w:val="single"/>
        </w:rPr>
        <w:t>按发包人要求。</w:t>
      </w:r>
    </w:p>
    <w:p w14:paraId="7A29FC20">
      <w:pPr>
        <w:pStyle w:val="82"/>
        <w:spacing w:line="360" w:lineRule="auto"/>
        <w:ind w:firstLine="420" w:firstLineChars="200"/>
        <w:jc w:val="left"/>
        <w:rPr>
          <w:rFonts w:hint="eastAsia" w:ascii="宋体" w:hAnsi="宋体" w:cs="宋体"/>
          <w:szCs w:val="21"/>
        </w:rPr>
      </w:pPr>
      <w:r>
        <w:rPr>
          <w:rFonts w:hint="eastAsia" w:ascii="宋体" w:hAnsi="宋体" w:cs="宋体"/>
          <w:szCs w:val="21"/>
        </w:rPr>
        <w:t>12.4.3 进度付款申请单的提交</w:t>
      </w:r>
    </w:p>
    <w:p w14:paraId="1BAC0194">
      <w:pPr>
        <w:pStyle w:val="82"/>
        <w:spacing w:line="360" w:lineRule="auto"/>
        <w:ind w:firstLine="420" w:firstLineChars="200"/>
        <w:jc w:val="left"/>
        <w:rPr>
          <w:rFonts w:hint="eastAsia" w:ascii="宋体" w:hAnsi="宋体" w:cs="宋体"/>
          <w:b/>
          <w:bCs/>
          <w:szCs w:val="21"/>
          <w:u w:val="single"/>
        </w:rPr>
      </w:pPr>
      <w:r>
        <w:rPr>
          <w:rFonts w:hint="eastAsia" w:ascii="宋体" w:hAnsi="宋体" w:cs="宋体"/>
          <w:szCs w:val="21"/>
        </w:rPr>
        <w:t>（1）单价合同进度付款申请单提交的约定：</w:t>
      </w:r>
      <w:r>
        <w:rPr>
          <w:rFonts w:hint="eastAsia" w:ascii="宋体" w:hAnsi="宋体" w:cs="宋体"/>
          <w:szCs w:val="21"/>
          <w:u w:val="single"/>
        </w:rPr>
        <w:t>承包人每月25 日，向发包人递交当月已完工程量工程进度款申请，并附已完成工程量报表</w:t>
      </w:r>
      <w:r>
        <w:rPr>
          <w:rFonts w:hint="eastAsia" w:ascii="宋体" w:hAnsi="宋体" w:cs="宋体"/>
          <w:szCs w:val="21"/>
        </w:rPr>
        <w:t>。</w:t>
      </w:r>
    </w:p>
    <w:p w14:paraId="72B8CD8F">
      <w:pPr>
        <w:pStyle w:val="82"/>
        <w:spacing w:line="360" w:lineRule="auto"/>
        <w:ind w:firstLine="420" w:firstLineChars="200"/>
        <w:jc w:val="left"/>
        <w:rPr>
          <w:rFonts w:hint="eastAsia"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承包人每月25 日，向发包人递交当月已完工程量工程进度款申请，并附已完成工程量报表</w:t>
      </w:r>
      <w:r>
        <w:rPr>
          <w:rFonts w:hint="eastAsia" w:ascii="宋体" w:hAnsi="宋体" w:cs="宋体"/>
          <w:szCs w:val="21"/>
        </w:rPr>
        <w:t>。</w:t>
      </w:r>
    </w:p>
    <w:p w14:paraId="5E3D3DFF">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（3）其他价格形式合同进度付款申请单提交的约定：</w:t>
      </w:r>
      <w:r>
        <w:rPr>
          <w:rFonts w:hint="eastAsia" w:ascii="宋体" w:hAnsi="宋体" w:cs="宋体"/>
          <w:szCs w:val="21"/>
          <w:u w:val="single"/>
        </w:rPr>
        <w:t>每月25前</w:t>
      </w:r>
      <w:r>
        <w:rPr>
          <w:rFonts w:hint="eastAsia" w:ascii="宋体" w:hAnsi="宋体" w:cs="宋体"/>
          <w:szCs w:val="21"/>
        </w:rPr>
        <w:t>。</w:t>
      </w:r>
    </w:p>
    <w:p w14:paraId="6481B1F6">
      <w:pPr>
        <w:pStyle w:val="82"/>
        <w:spacing w:line="360" w:lineRule="auto"/>
        <w:ind w:firstLine="420" w:firstLineChars="200"/>
        <w:jc w:val="left"/>
        <w:rPr>
          <w:rFonts w:hint="eastAsia" w:ascii="宋体" w:hAnsi="宋体" w:cs="宋体"/>
          <w:szCs w:val="21"/>
        </w:rPr>
      </w:pPr>
      <w:r>
        <w:rPr>
          <w:rFonts w:hint="eastAsia" w:ascii="宋体" w:hAnsi="宋体" w:cs="宋体"/>
          <w:szCs w:val="21"/>
        </w:rPr>
        <w:t>12.4.4 进度款审核和支付</w:t>
      </w:r>
    </w:p>
    <w:p w14:paraId="1EC4D1E4">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（1）监理人审查并报送发包人的期限：</w:t>
      </w:r>
      <w:r>
        <w:rPr>
          <w:rFonts w:hint="eastAsia" w:ascii="宋体" w:hAnsi="宋体" w:cs="宋体"/>
          <w:szCs w:val="21"/>
          <w:u w:val="single"/>
        </w:rPr>
        <w:t>5日内</w:t>
      </w:r>
      <w:r>
        <w:rPr>
          <w:rFonts w:hint="eastAsia" w:ascii="宋体" w:hAnsi="宋体" w:cs="宋体"/>
          <w:szCs w:val="21"/>
        </w:rPr>
        <w:t>。</w:t>
      </w:r>
    </w:p>
    <w:p w14:paraId="5174E85B">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发包人完成审批并签发进度款支付证书的期限：</w:t>
      </w:r>
      <w:r>
        <w:rPr>
          <w:rFonts w:hint="eastAsia" w:ascii="宋体" w:hAnsi="宋体" w:cs="宋体"/>
          <w:szCs w:val="21"/>
          <w:u w:val="single"/>
        </w:rPr>
        <w:t>5日内</w:t>
      </w:r>
      <w:r>
        <w:rPr>
          <w:rFonts w:hint="eastAsia" w:ascii="宋体" w:hAnsi="宋体" w:cs="宋体"/>
          <w:szCs w:val="21"/>
        </w:rPr>
        <w:t>。</w:t>
      </w:r>
    </w:p>
    <w:p w14:paraId="3C104999">
      <w:pPr>
        <w:pStyle w:val="82"/>
        <w:keepNext/>
        <w:keepLines/>
        <w:spacing w:before="60" w:after="60" w:line="413" w:lineRule="auto"/>
        <w:outlineLvl w:val="1"/>
        <w:rPr>
          <w:rFonts w:hint="eastAsia" w:ascii="宋体" w:hAnsi="宋体" w:cs="宋体"/>
          <w:b/>
          <w:bCs/>
          <w:szCs w:val="32"/>
        </w:rPr>
      </w:pPr>
      <w:bookmarkStart w:id="253" w:name="_Toc25471"/>
      <w:bookmarkStart w:id="254" w:name="_Toc6890"/>
      <w:r>
        <w:rPr>
          <w:rFonts w:hint="eastAsia" w:ascii="宋体" w:hAnsi="宋体" w:cs="宋体"/>
          <w:b/>
          <w:bCs/>
          <w:szCs w:val="32"/>
        </w:rPr>
        <w:t>13. 验收和工程试车</w:t>
      </w:r>
      <w:bookmarkEnd w:id="253"/>
      <w:bookmarkEnd w:id="254"/>
    </w:p>
    <w:p w14:paraId="05EB0491">
      <w:pPr>
        <w:pStyle w:val="82"/>
        <w:keepNext/>
        <w:keepLines/>
        <w:spacing w:line="360" w:lineRule="auto"/>
        <w:outlineLvl w:val="2"/>
        <w:rPr>
          <w:rFonts w:hint="eastAsia" w:ascii="宋体" w:hAnsi="宋体" w:cs="宋体"/>
          <w:b/>
          <w:bCs/>
          <w:szCs w:val="32"/>
        </w:rPr>
      </w:pPr>
      <w:bookmarkStart w:id="255" w:name="_Toc1128"/>
      <w:bookmarkStart w:id="256" w:name="_Toc3616"/>
      <w:r>
        <w:rPr>
          <w:rFonts w:hint="eastAsia" w:ascii="宋体" w:hAnsi="宋体" w:cs="宋体"/>
          <w:b/>
          <w:bCs/>
          <w:szCs w:val="32"/>
        </w:rPr>
        <w:t>13.1 分部分项工程验收</w:t>
      </w:r>
      <w:bookmarkEnd w:id="255"/>
      <w:bookmarkEnd w:id="256"/>
    </w:p>
    <w:p w14:paraId="43D883CE">
      <w:pPr>
        <w:pStyle w:val="82"/>
        <w:spacing w:line="360" w:lineRule="auto"/>
        <w:ind w:firstLine="420" w:firstLineChars="200"/>
        <w:jc w:val="left"/>
        <w:rPr>
          <w:rFonts w:hint="eastAsia"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24   </w:t>
      </w:r>
      <w:r>
        <w:rPr>
          <w:rFonts w:hint="eastAsia" w:ascii="宋体" w:hAnsi="宋体" w:cs="宋体"/>
          <w:szCs w:val="21"/>
        </w:rPr>
        <w:t>小时提交书面延期要求。</w:t>
      </w:r>
    </w:p>
    <w:p w14:paraId="4FA1A636">
      <w:pPr>
        <w:pStyle w:val="82"/>
        <w:spacing w:line="360" w:lineRule="auto"/>
        <w:ind w:firstLine="420" w:firstLineChars="200"/>
        <w:jc w:val="left"/>
        <w:rPr>
          <w:rFonts w:hint="eastAsia" w:ascii="宋体" w:hAnsi="宋体" w:cs="宋体"/>
          <w:b/>
          <w:szCs w:val="21"/>
        </w:rPr>
      </w:pPr>
      <w:r>
        <w:rPr>
          <w:rFonts w:hint="eastAsia" w:ascii="宋体" w:hAnsi="宋体" w:cs="宋体"/>
          <w:szCs w:val="21"/>
        </w:rPr>
        <w:t>关于延期最长不得超过：</w:t>
      </w:r>
      <w:r>
        <w:rPr>
          <w:rFonts w:hint="eastAsia" w:ascii="宋体" w:hAnsi="宋体" w:cs="宋体"/>
          <w:szCs w:val="21"/>
          <w:u w:val="single"/>
        </w:rPr>
        <w:t xml:space="preserve">    48     </w:t>
      </w:r>
      <w:r>
        <w:rPr>
          <w:rFonts w:hint="eastAsia" w:ascii="宋体" w:hAnsi="宋体" w:cs="宋体"/>
          <w:szCs w:val="21"/>
        </w:rPr>
        <w:t>小时。</w:t>
      </w:r>
    </w:p>
    <w:p w14:paraId="5511C0A9">
      <w:pPr>
        <w:pStyle w:val="82"/>
        <w:keepNext/>
        <w:keepLines/>
        <w:spacing w:line="360" w:lineRule="auto"/>
        <w:outlineLvl w:val="2"/>
        <w:rPr>
          <w:rFonts w:hint="eastAsia" w:ascii="宋体" w:hAnsi="宋体" w:cs="宋体"/>
          <w:b/>
          <w:bCs/>
          <w:szCs w:val="32"/>
        </w:rPr>
      </w:pPr>
      <w:bookmarkStart w:id="257" w:name="_Toc24398"/>
      <w:bookmarkStart w:id="258" w:name="_Toc28065"/>
      <w:r>
        <w:rPr>
          <w:rFonts w:hint="eastAsia" w:ascii="宋体" w:hAnsi="宋体" w:cs="宋体"/>
          <w:b/>
          <w:bCs/>
          <w:szCs w:val="32"/>
        </w:rPr>
        <w:t>13.2 竣工验收</w:t>
      </w:r>
      <w:bookmarkEnd w:id="257"/>
      <w:bookmarkEnd w:id="258"/>
    </w:p>
    <w:p w14:paraId="5EEC666E">
      <w:pPr>
        <w:pStyle w:val="82"/>
        <w:spacing w:line="360" w:lineRule="auto"/>
        <w:ind w:firstLine="420" w:firstLineChars="200"/>
        <w:jc w:val="left"/>
        <w:rPr>
          <w:rFonts w:hint="eastAsia" w:ascii="宋体" w:hAnsi="宋体" w:cs="宋体"/>
          <w:szCs w:val="21"/>
        </w:rPr>
      </w:pPr>
      <w:r>
        <w:rPr>
          <w:rFonts w:hint="eastAsia" w:ascii="宋体" w:hAnsi="宋体" w:cs="宋体"/>
          <w:szCs w:val="21"/>
        </w:rPr>
        <w:t>13.2.1竣工验收条件</w:t>
      </w:r>
    </w:p>
    <w:p w14:paraId="6360C90C">
      <w:pPr>
        <w:pStyle w:val="82"/>
        <w:spacing w:line="360" w:lineRule="auto"/>
        <w:ind w:firstLine="420" w:firstLineChars="200"/>
        <w:rPr>
          <w:rFonts w:hint="eastAsia" w:ascii="宋体" w:hAnsi="宋体" w:cs="宋体"/>
          <w:szCs w:val="21"/>
        </w:rPr>
      </w:pPr>
      <w:r>
        <w:rPr>
          <w:rFonts w:hint="eastAsia" w:ascii="宋体" w:hAnsi="宋体" w:cs="宋体"/>
          <w:szCs w:val="21"/>
        </w:rPr>
        <w:t>（3）承包人负责整理和提交的竣工验收资料应当符合工程所在地建设行政主管部门和(或)城市建设档案管理机构有关施工资料的要求，具体内容包括：</w:t>
      </w:r>
      <w:r>
        <w:rPr>
          <w:rFonts w:hint="eastAsia" w:ascii="宋体" w:hAnsi="宋体" w:cs="宋体"/>
          <w:szCs w:val="21"/>
          <w:u w:val="single"/>
        </w:rPr>
        <w:t>工程前期审批资料、竣工验收资料、 竣工图、结算材料等相关本项目的所有材料</w:t>
      </w:r>
      <w:r>
        <w:rPr>
          <w:rFonts w:hint="eastAsia" w:ascii="宋体" w:hAnsi="宋体" w:cs="宋体"/>
          <w:szCs w:val="21"/>
        </w:rPr>
        <w:t>。</w:t>
      </w:r>
    </w:p>
    <w:p w14:paraId="64F7A102">
      <w:pPr>
        <w:pStyle w:val="82"/>
        <w:spacing w:line="360" w:lineRule="auto"/>
        <w:ind w:firstLine="420" w:firstLineChars="200"/>
        <w:rPr>
          <w:rFonts w:hint="eastAsia" w:ascii="宋体" w:hAnsi="宋体" w:cs="宋体"/>
          <w:szCs w:val="21"/>
        </w:rPr>
      </w:pPr>
      <w:r>
        <w:rPr>
          <w:rFonts w:hint="eastAsia" w:ascii="宋体" w:hAnsi="宋体" w:cs="宋体"/>
          <w:szCs w:val="21"/>
        </w:rPr>
        <w:t>竣工验收资料的份数：</w:t>
      </w:r>
      <w:r>
        <w:rPr>
          <w:rFonts w:hint="eastAsia" w:ascii="宋体" w:hAnsi="宋体" w:cs="宋体"/>
          <w:szCs w:val="21"/>
          <w:u w:val="single"/>
        </w:rPr>
        <w:t>一式陆套</w:t>
      </w:r>
      <w:r>
        <w:rPr>
          <w:rFonts w:hint="eastAsia" w:ascii="宋体" w:hAnsi="宋体" w:cs="宋体"/>
          <w:szCs w:val="21"/>
        </w:rPr>
        <w:t>。</w:t>
      </w:r>
    </w:p>
    <w:p w14:paraId="0486EB77">
      <w:pPr>
        <w:pStyle w:val="82"/>
        <w:spacing w:line="360" w:lineRule="auto"/>
        <w:ind w:firstLine="420" w:firstLineChars="200"/>
        <w:jc w:val="left"/>
        <w:rPr>
          <w:rFonts w:hint="eastAsia" w:ascii="宋体" w:hAnsi="宋体" w:cs="宋体"/>
          <w:szCs w:val="21"/>
        </w:rPr>
      </w:pPr>
      <w:r>
        <w:rPr>
          <w:rFonts w:hint="eastAsia" w:ascii="宋体" w:hAnsi="宋体" w:cs="宋体"/>
          <w:bCs/>
          <w:szCs w:val="21"/>
        </w:rPr>
        <w:t>承包人提供竣工图的约定：</w:t>
      </w:r>
      <w:r>
        <w:rPr>
          <w:rFonts w:hint="eastAsia" w:ascii="宋体" w:hAnsi="宋体" w:cs="宋体"/>
          <w:bCs/>
          <w:szCs w:val="21"/>
          <w:u w:val="single"/>
        </w:rPr>
        <w:t>竣工验收正式通过后5天（工程造价在500万元以下含500万元）、10天（工程造价在500万元至1000万元之间含1000万元）、15天（工程造价在1000万元以上），提供竣工图的数量分别为2套、4套、6套。</w:t>
      </w:r>
    </w:p>
    <w:p w14:paraId="27F50D26">
      <w:pPr>
        <w:pStyle w:val="82"/>
        <w:spacing w:line="360" w:lineRule="auto"/>
        <w:ind w:firstLine="420" w:firstLineChars="200"/>
        <w:jc w:val="left"/>
        <w:rPr>
          <w:rFonts w:hint="eastAsia" w:ascii="宋体" w:hAnsi="宋体" w:cs="宋体"/>
          <w:szCs w:val="21"/>
        </w:rPr>
      </w:pPr>
      <w:r>
        <w:rPr>
          <w:rFonts w:hint="eastAsia" w:ascii="宋体" w:hAnsi="宋体" w:cs="宋体"/>
          <w:szCs w:val="21"/>
        </w:rPr>
        <w:t>13.2.2竣工验收程序</w:t>
      </w:r>
    </w:p>
    <w:p w14:paraId="12969271">
      <w:pPr>
        <w:pStyle w:val="82"/>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关于竣工验收程序的约定：</w:t>
      </w:r>
      <w:r>
        <w:rPr>
          <w:rFonts w:hint="eastAsia" w:ascii="宋体" w:hAnsi="宋体" w:cs="宋体"/>
          <w:szCs w:val="21"/>
          <w:u w:val="single"/>
        </w:rPr>
        <w:t>按现行国家验收规范及广西区实施细则进行</w:t>
      </w:r>
      <w:r>
        <w:rPr>
          <w:rFonts w:hint="eastAsia" w:ascii="宋体" w:hAnsi="宋体" w:cs="宋体"/>
          <w:szCs w:val="21"/>
        </w:rPr>
        <w:t>。</w:t>
      </w:r>
    </w:p>
    <w:p w14:paraId="6F931C57">
      <w:pPr>
        <w:pStyle w:val="82"/>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发包人不按照本项约定组织竣工验收、颁发工程接收证书的违约金的计算方法：</w:t>
      </w:r>
      <w:r>
        <w:rPr>
          <w:rFonts w:hint="eastAsia" w:ascii="宋体" w:hAnsi="宋体" w:cs="宋体"/>
          <w:szCs w:val="21"/>
          <w:u w:val="single"/>
        </w:rPr>
        <w:t>每逾期一天，以签约合同价为基数，按照中国人民银行发布的同期同类贷款基准利率支付违约金</w:t>
      </w:r>
      <w:r>
        <w:rPr>
          <w:rFonts w:hint="eastAsia" w:ascii="宋体" w:hAnsi="宋体" w:cs="宋体"/>
          <w:szCs w:val="21"/>
        </w:rPr>
        <w:t>。</w:t>
      </w:r>
    </w:p>
    <w:p w14:paraId="409ADD49">
      <w:pPr>
        <w:pStyle w:val="82"/>
        <w:spacing w:line="360" w:lineRule="auto"/>
        <w:ind w:firstLine="420" w:firstLineChars="200"/>
        <w:jc w:val="left"/>
        <w:rPr>
          <w:rFonts w:hint="eastAsia" w:ascii="宋体" w:hAnsi="宋体" w:cs="宋体"/>
          <w:szCs w:val="21"/>
        </w:rPr>
      </w:pPr>
      <w:r>
        <w:rPr>
          <w:rFonts w:hint="eastAsia" w:ascii="宋体" w:hAnsi="宋体" w:cs="宋体"/>
          <w:szCs w:val="21"/>
        </w:rPr>
        <w:t>13.2.5移交、接收全部与部分工程</w:t>
      </w:r>
    </w:p>
    <w:p w14:paraId="6225F7A8">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在颁发工程接收证书后7天内完成工程的移交</w:t>
      </w:r>
      <w:r>
        <w:rPr>
          <w:rFonts w:hint="eastAsia" w:ascii="宋体" w:hAnsi="宋体" w:cs="宋体"/>
          <w:szCs w:val="21"/>
        </w:rPr>
        <w:t>。</w:t>
      </w:r>
    </w:p>
    <w:p w14:paraId="11024278">
      <w:pPr>
        <w:pStyle w:val="82"/>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发包人未按本合同约定接收全部或部分工程的，违约金的计算方法为：</w:t>
      </w:r>
      <w:r>
        <w:rPr>
          <w:rFonts w:hint="eastAsia" w:ascii="宋体" w:hAnsi="宋体" w:cs="宋体"/>
          <w:szCs w:val="21"/>
          <w:u w:val="single"/>
        </w:rPr>
        <w:t>按通用条款竣工验收条款执行</w:t>
      </w:r>
      <w:r>
        <w:rPr>
          <w:rFonts w:hint="eastAsia" w:ascii="宋体" w:hAnsi="宋体" w:cs="宋体"/>
          <w:szCs w:val="21"/>
        </w:rPr>
        <w:t>。</w:t>
      </w:r>
    </w:p>
    <w:p w14:paraId="79ED83CA">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承包人未按时移交工程的，违约金的计算方法为：</w:t>
      </w:r>
      <w:r>
        <w:rPr>
          <w:rFonts w:hint="eastAsia" w:ascii="宋体" w:hAnsi="宋体" w:cs="宋体"/>
          <w:szCs w:val="21"/>
          <w:u w:val="single"/>
        </w:rPr>
        <w:t>以签约合同价为基数，按照中国人民银行发布的同期同类贷款基准利率支付违约金</w:t>
      </w:r>
      <w:r>
        <w:rPr>
          <w:rFonts w:hint="eastAsia" w:ascii="宋体" w:hAnsi="宋体" w:cs="宋体"/>
          <w:szCs w:val="21"/>
        </w:rPr>
        <w:t>。</w:t>
      </w:r>
    </w:p>
    <w:p w14:paraId="4275940C">
      <w:pPr>
        <w:pStyle w:val="82"/>
        <w:keepNext/>
        <w:keepLines/>
        <w:spacing w:line="360" w:lineRule="auto"/>
        <w:outlineLvl w:val="2"/>
        <w:rPr>
          <w:rFonts w:hint="eastAsia" w:ascii="宋体" w:hAnsi="宋体" w:cs="宋体"/>
          <w:b/>
          <w:bCs/>
          <w:szCs w:val="32"/>
        </w:rPr>
      </w:pPr>
      <w:bookmarkStart w:id="259" w:name="_Toc14464"/>
      <w:bookmarkStart w:id="260" w:name="_Toc5704"/>
      <w:r>
        <w:rPr>
          <w:rFonts w:hint="eastAsia" w:ascii="宋体" w:hAnsi="宋体" w:cs="宋体"/>
          <w:b/>
          <w:bCs/>
          <w:szCs w:val="32"/>
        </w:rPr>
        <w:t>13.3 工程试车</w:t>
      </w:r>
      <w:bookmarkEnd w:id="259"/>
      <w:bookmarkEnd w:id="260"/>
    </w:p>
    <w:p w14:paraId="3B798360">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13.3.1 试车程序</w:t>
      </w:r>
    </w:p>
    <w:p w14:paraId="6F4716CD">
      <w:pPr>
        <w:pStyle w:val="82"/>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工程试车内容：</w:t>
      </w:r>
      <w:r>
        <w:rPr>
          <w:rFonts w:hint="eastAsia" w:ascii="宋体" w:hAnsi="宋体" w:cs="宋体"/>
          <w:kern w:val="0"/>
          <w:szCs w:val="21"/>
          <w:u w:val="single"/>
        </w:rPr>
        <w:t xml:space="preserve">按《通用合同条款》 13.3.1  条执行 </w:t>
      </w:r>
      <w:r>
        <w:rPr>
          <w:rFonts w:hint="eastAsia" w:ascii="宋体" w:hAnsi="宋体" w:cs="宋体"/>
          <w:szCs w:val="21"/>
        </w:rPr>
        <w:t>。</w:t>
      </w:r>
    </w:p>
    <w:p w14:paraId="22BB8013">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（1）单机无负荷试车费用由</w:t>
      </w:r>
      <w:r>
        <w:rPr>
          <w:rFonts w:hint="eastAsia" w:ascii="宋体" w:hAnsi="宋体" w:cs="宋体"/>
          <w:kern w:val="0"/>
          <w:szCs w:val="21"/>
          <w:u w:val="single"/>
        </w:rPr>
        <w:t>按《通用合同条款》 13.3.1  条执行</w:t>
      </w:r>
      <w:r>
        <w:rPr>
          <w:rFonts w:hint="eastAsia" w:ascii="宋体" w:hAnsi="宋体" w:cs="宋体"/>
          <w:kern w:val="0"/>
          <w:szCs w:val="21"/>
        </w:rPr>
        <w:t>承担；</w:t>
      </w:r>
    </w:p>
    <w:p w14:paraId="6E4D9503">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（2）无负荷联动试车费用由</w:t>
      </w:r>
      <w:r>
        <w:rPr>
          <w:rFonts w:hint="eastAsia" w:ascii="宋体" w:hAnsi="宋体" w:cs="宋体"/>
          <w:kern w:val="0"/>
          <w:szCs w:val="21"/>
          <w:u w:val="single"/>
        </w:rPr>
        <w:t>按《通用合同条款》 13.3.1  条执行</w:t>
      </w:r>
      <w:r>
        <w:rPr>
          <w:rFonts w:hint="eastAsia" w:ascii="宋体" w:hAnsi="宋体" w:cs="宋体"/>
          <w:kern w:val="0"/>
          <w:szCs w:val="21"/>
        </w:rPr>
        <w:t>承担。</w:t>
      </w:r>
    </w:p>
    <w:p w14:paraId="653DCE13">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13.3.3 投料试车</w:t>
      </w:r>
    </w:p>
    <w:p w14:paraId="24D5C37C">
      <w:pPr>
        <w:pStyle w:val="82"/>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关于投料试车相关事项的约定：</w:t>
      </w:r>
      <w:r>
        <w:rPr>
          <w:rFonts w:hint="eastAsia" w:ascii="宋体" w:hAnsi="宋体" w:cs="宋体"/>
          <w:kern w:val="0"/>
          <w:szCs w:val="21"/>
          <w:u w:val="single"/>
        </w:rPr>
        <w:t>按《通用合同条款》 13.3.1  条执行</w:t>
      </w:r>
      <w:r>
        <w:rPr>
          <w:rFonts w:hint="eastAsia" w:ascii="宋体" w:hAnsi="宋体" w:cs="宋体"/>
          <w:szCs w:val="21"/>
        </w:rPr>
        <w:t>。</w:t>
      </w:r>
    </w:p>
    <w:p w14:paraId="3C0422E0">
      <w:pPr>
        <w:pStyle w:val="82"/>
        <w:keepNext/>
        <w:keepLines/>
        <w:spacing w:line="360" w:lineRule="auto"/>
        <w:outlineLvl w:val="2"/>
        <w:rPr>
          <w:rFonts w:hint="eastAsia" w:ascii="宋体" w:hAnsi="宋体" w:cs="宋体"/>
          <w:b/>
          <w:bCs/>
          <w:szCs w:val="32"/>
        </w:rPr>
      </w:pPr>
      <w:bookmarkStart w:id="261" w:name="_Toc7977"/>
      <w:bookmarkStart w:id="262" w:name="_Toc22218"/>
      <w:r>
        <w:rPr>
          <w:rFonts w:hint="eastAsia" w:ascii="宋体" w:hAnsi="宋体" w:cs="宋体"/>
          <w:b/>
          <w:bCs/>
          <w:szCs w:val="32"/>
        </w:rPr>
        <w:t>13.6 竣工退场</w:t>
      </w:r>
      <w:bookmarkEnd w:id="261"/>
      <w:bookmarkEnd w:id="262"/>
    </w:p>
    <w:p w14:paraId="43C8E41F">
      <w:pPr>
        <w:pStyle w:val="82"/>
        <w:spacing w:line="360" w:lineRule="auto"/>
        <w:ind w:firstLine="420" w:firstLineChars="200"/>
        <w:jc w:val="left"/>
        <w:outlineLvl w:val="0"/>
        <w:rPr>
          <w:rFonts w:hint="eastAsia" w:ascii="宋体" w:hAnsi="宋体" w:cs="宋体"/>
          <w:kern w:val="0"/>
          <w:szCs w:val="21"/>
        </w:rPr>
      </w:pPr>
      <w:bookmarkStart w:id="263" w:name="_Toc28561"/>
      <w:bookmarkStart w:id="264" w:name="_Toc19237"/>
      <w:r>
        <w:rPr>
          <w:rFonts w:hint="eastAsia" w:ascii="宋体" w:hAnsi="宋体" w:cs="宋体"/>
          <w:kern w:val="0"/>
          <w:szCs w:val="21"/>
        </w:rPr>
        <w:t>13.6.1 竣工退场</w:t>
      </w:r>
      <w:bookmarkEnd w:id="263"/>
      <w:bookmarkEnd w:id="264"/>
    </w:p>
    <w:p w14:paraId="699BA837">
      <w:pPr>
        <w:pStyle w:val="86"/>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承包人完成竣工退场的期限：</w:t>
      </w:r>
      <w:r>
        <w:rPr>
          <w:rFonts w:hint="eastAsia" w:ascii="宋体" w:hAnsi="宋体" w:eastAsia="宋体" w:cs="宋体"/>
          <w:sz w:val="21"/>
          <w:szCs w:val="21"/>
          <w:u w:val="single"/>
        </w:rPr>
        <w:t>应于项目竣工验收合格后 15 个工作日内退场、清偿完毕，否则发包人有权聘请第三方进行清场，由此造成承包人损失发包人不承担赔偿责任，清偿产生的费用由承包人承担。</w:t>
      </w:r>
    </w:p>
    <w:p w14:paraId="112B87F4">
      <w:pPr>
        <w:pStyle w:val="82"/>
        <w:keepNext/>
        <w:keepLines/>
        <w:spacing w:before="60" w:after="60" w:line="413" w:lineRule="auto"/>
        <w:outlineLvl w:val="1"/>
        <w:rPr>
          <w:rFonts w:hint="eastAsia" w:ascii="宋体" w:hAnsi="宋体" w:cs="宋体"/>
          <w:b/>
          <w:bCs/>
          <w:szCs w:val="32"/>
        </w:rPr>
      </w:pPr>
      <w:bookmarkStart w:id="265" w:name="_Toc14665"/>
      <w:bookmarkStart w:id="266" w:name="_Toc17214"/>
      <w:r>
        <w:rPr>
          <w:rFonts w:hint="eastAsia" w:ascii="宋体" w:hAnsi="宋体" w:cs="宋体"/>
          <w:b/>
          <w:bCs/>
          <w:szCs w:val="32"/>
        </w:rPr>
        <w:t>14. 竣工结算</w:t>
      </w:r>
      <w:bookmarkEnd w:id="265"/>
      <w:bookmarkEnd w:id="266"/>
    </w:p>
    <w:p w14:paraId="067262D4">
      <w:pPr>
        <w:pStyle w:val="82"/>
        <w:keepNext/>
        <w:keepLines/>
        <w:spacing w:line="360" w:lineRule="auto"/>
        <w:outlineLvl w:val="2"/>
        <w:rPr>
          <w:rFonts w:hint="eastAsia" w:ascii="宋体" w:hAnsi="宋体" w:cs="宋体"/>
          <w:b/>
          <w:bCs/>
          <w:szCs w:val="32"/>
        </w:rPr>
      </w:pPr>
      <w:bookmarkStart w:id="267" w:name="_Toc30508"/>
      <w:bookmarkStart w:id="268" w:name="_Toc21243"/>
      <w:r>
        <w:rPr>
          <w:rFonts w:hint="eastAsia" w:ascii="宋体" w:hAnsi="宋体" w:cs="宋体"/>
          <w:b/>
          <w:bCs/>
          <w:szCs w:val="32"/>
        </w:rPr>
        <w:t>14.1 竣工付款申请</w:t>
      </w:r>
      <w:bookmarkEnd w:id="267"/>
      <w:bookmarkEnd w:id="268"/>
    </w:p>
    <w:p w14:paraId="6F67F0C8">
      <w:pPr>
        <w:pStyle w:val="83"/>
        <w:spacing w:line="360" w:lineRule="auto"/>
        <w:ind w:firstLine="420" w:firstLineChars="200"/>
        <w:jc w:val="left"/>
        <w:rPr>
          <w:rFonts w:hint="eastAsia" w:ascii="宋体" w:hAnsi="宋体" w:cs="宋体"/>
          <w:bCs/>
          <w:szCs w:val="21"/>
        </w:rPr>
      </w:pPr>
      <w:r>
        <w:rPr>
          <w:rFonts w:hint="eastAsia" w:ascii="宋体" w:hAnsi="宋体" w:cs="宋体"/>
          <w:bCs/>
          <w:szCs w:val="21"/>
        </w:rPr>
        <w:t>承包人提交竣工付款申请单的期限：</w:t>
      </w:r>
      <w:r>
        <w:rPr>
          <w:rFonts w:hint="eastAsia" w:ascii="宋体" w:hAnsi="宋体" w:cs="宋体"/>
          <w:bCs/>
          <w:szCs w:val="21"/>
          <w:u w:val="single"/>
        </w:rPr>
        <w:t>在工程竣工验收合格后28天内向发包人和监理人提交竣工结算申请单及相关材料。无正当理由延期或经发包人催促14天内仍未提供或明确答复的，发包人有权根据已有资料进行结算审核，责任由承包人自负。承包人应及时提供竣工结算过程中所需补充的资料</w:t>
      </w:r>
      <w:r>
        <w:rPr>
          <w:rFonts w:hint="eastAsia" w:ascii="宋体" w:hAnsi="宋体" w:cs="宋体"/>
          <w:bCs/>
          <w:szCs w:val="21"/>
        </w:rPr>
        <w:t>。</w:t>
      </w:r>
    </w:p>
    <w:p w14:paraId="171BBD43">
      <w:pPr>
        <w:pStyle w:val="83"/>
        <w:spacing w:line="360" w:lineRule="auto"/>
        <w:ind w:firstLine="420" w:firstLineChars="200"/>
        <w:jc w:val="left"/>
        <w:rPr>
          <w:rFonts w:hint="eastAsia" w:ascii="宋体" w:hAnsi="宋体" w:cs="宋体"/>
          <w:bCs/>
          <w:szCs w:val="21"/>
          <w:u w:val="single"/>
        </w:rPr>
      </w:pPr>
      <w:r>
        <w:rPr>
          <w:rFonts w:hint="eastAsia" w:ascii="宋体" w:hAnsi="宋体" w:cs="宋体"/>
          <w:bCs/>
          <w:szCs w:val="21"/>
        </w:rPr>
        <w:t>竣工付款申请单应包括的内容：</w:t>
      </w:r>
      <w:r>
        <w:rPr>
          <w:rFonts w:hint="eastAsia" w:ascii="宋体" w:hAnsi="宋体" w:cs="宋体"/>
          <w:bCs/>
          <w:spacing w:val="-4"/>
          <w:szCs w:val="21"/>
          <w:u w:val="single"/>
        </w:rPr>
        <w:t xml:space="preserve">按《通用合同条款》14.1 条执行 </w:t>
      </w:r>
      <w:r>
        <w:rPr>
          <w:rFonts w:hint="eastAsia" w:ascii="宋体" w:hAnsi="宋体" w:cs="宋体"/>
          <w:bCs/>
          <w:szCs w:val="21"/>
        </w:rPr>
        <w:t>。</w:t>
      </w:r>
    </w:p>
    <w:p w14:paraId="74C34084">
      <w:pPr>
        <w:pStyle w:val="82"/>
        <w:keepNext/>
        <w:keepLines/>
        <w:spacing w:line="360" w:lineRule="auto"/>
        <w:outlineLvl w:val="2"/>
        <w:rPr>
          <w:rFonts w:hint="eastAsia" w:ascii="宋体" w:hAnsi="宋体" w:cs="宋体"/>
          <w:b/>
          <w:bCs/>
          <w:szCs w:val="32"/>
        </w:rPr>
      </w:pPr>
      <w:bookmarkStart w:id="269" w:name="_Toc14106"/>
      <w:bookmarkStart w:id="270" w:name="_Toc9935"/>
      <w:r>
        <w:rPr>
          <w:rFonts w:hint="eastAsia" w:ascii="宋体" w:hAnsi="宋体" w:cs="宋体"/>
          <w:b/>
          <w:bCs/>
          <w:szCs w:val="32"/>
        </w:rPr>
        <w:t>14.2 竣工结算审核</w:t>
      </w:r>
      <w:bookmarkEnd w:id="269"/>
      <w:bookmarkEnd w:id="270"/>
    </w:p>
    <w:p w14:paraId="60ABC4ED">
      <w:pPr>
        <w:spacing w:line="360" w:lineRule="auto"/>
        <w:ind w:firstLine="420" w:firstLineChars="200"/>
        <w:jc w:val="left"/>
        <w:rPr>
          <w:rFonts w:hint="eastAsia" w:ascii="宋体" w:hAnsi="宋体" w:cs="宋体"/>
          <w:szCs w:val="22"/>
        </w:rPr>
      </w:pPr>
      <w:r>
        <w:rPr>
          <w:rFonts w:hint="eastAsia" w:ascii="宋体" w:hAnsi="宋体" w:cs="宋体"/>
        </w:rPr>
        <w:t>发包人审批竣工付款申请单的期限：</w:t>
      </w:r>
      <w:r>
        <w:rPr>
          <w:rFonts w:hint="eastAsia" w:ascii="宋体" w:hAnsi="宋体" w:cs="宋体"/>
          <w:u w:val="single"/>
        </w:rPr>
        <w:t xml:space="preserve">  按“通用条款”执行  </w:t>
      </w:r>
      <w:r>
        <w:rPr>
          <w:rFonts w:hint="eastAsia" w:ascii="宋体" w:hAnsi="宋体" w:cs="宋体"/>
        </w:rPr>
        <w:t>。</w:t>
      </w:r>
    </w:p>
    <w:p w14:paraId="72EBC2B5">
      <w:pPr>
        <w:pStyle w:val="83"/>
        <w:spacing w:line="360" w:lineRule="auto"/>
        <w:ind w:firstLine="480" w:firstLineChars="200"/>
        <w:jc w:val="left"/>
        <w:rPr>
          <w:rFonts w:hint="eastAsia" w:ascii="宋体" w:hAnsi="宋体" w:cs="宋体"/>
          <w:sz w:val="24"/>
          <w:szCs w:val="21"/>
        </w:rPr>
      </w:pPr>
      <w:r>
        <w:rPr>
          <w:rFonts w:hint="eastAsia" w:ascii="宋体" w:hAnsi="宋体" w:cs="宋体"/>
          <w:sz w:val="24"/>
          <w:szCs w:val="21"/>
        </w:rPr>
        <w:t>发包人审批竣工付款申请单的期限：</w:t>
      </w:r>
    </w:p>
    <w:tbl>
      <w:tblPr>
        <w:tblStyle w:val="29"/>
        <w:tblpPr w:leftFromText="180" w:rightFromText="180" w:vertAnchor="text" w:horzAnchor="page" w:tblpX="1634" w:tblpY="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471"/>
        <w:gridCol w:w="5981"/>
      </w:tblGrid>
      <w:tr w14:paraId="1D77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6" w:type="dxa"/>
            <w:vAlign w:val="center"/>
          </w:tcPr>
          <w:p w14:paraId="13C02C27">
            <w:pPr>
              <w:pStyle w:val="83"/>
              <w:spacing w:line="360" w:lineRule="auto"/>
              <w:rPr>
                <w:rFonts w:hint="eastAsia" w:ascii="宋体" w:hAnsi="宋体" w:cs="宋体"/>
                <w:szCs w:val="21"/>
              </w:rPr>
            </w:pPr>
          </w:p>
        </w:tc>
        <w:tc>
          <w:tcPr>
            <w:tcW w:w="2471" w:type="dxa"/>
            <w:vAlign w:val="center"/>
          </w:tcPr>
          <w:p w14:paraId="0AD55F5F">
            <w:pPr>
              <w:pStyle w:val="83"/>
              <w:spacing w:line="360" w:lineRule="auto"/>
              <w:ind w:firstLine="27" w:firstLineChars="13"/>
              <w:jc w:val="center"/>
              <w:rPr>
                <w:rFonts w:hint="eastAsia" w:ascii="宋体" w:hAnsi="宋体" w:cs="宋体"/>
                <w:szCs w:val="21"/>
              </w:rPr>
            </w:pPr>
            <w:r>
              <w:rPr>
                <w:rFonts w:hint="eastAsia" w:ascii="宋体" w:hAnsi="宋体" w:cs="宋体"/>
                <w:szCs w:val="21"/>
              </w:rPr>
              <w:t>工程竣工结算报告金额</w:t>
            </w:r>
          </w:p>
        </w:tc>
        <w:tc>
          <w:tcPr>
            <w:tcW w:w="5981" w:type="dxa"/>
            <w:vAlign w:val="center"/>
          </w:tcPr>
          <w:p w14:paraId="044DB104">
            <w:pPr>
              <w:pStyle w:val="83"/>
              <w:spacing w:line="360" w:lineRule="auto"/>
              <w:ind w:firstLine="441" w:firstLineChars="210"/>
              <w:jc w:val="center"/>
              <w:rPr>
                <w:rFonts w:hint="eastAsia" w:ascii="宋体" w:hAnsi="宋体" w:cs="宋体"/>
                <w:szCs w:val="21"/>
              </w:rPr>
            </w:pPr>
            <w:r>
              <w:rPr>
                <w:rFonts w:hint="eastAsia" w:ascii="宋体" w:hAnsi="宋体" w:cs="宋体"/>
                <w:szCs w:val="21"/>
              </w:rPr>
              <w:t>发包人审查时间</w:t>
            </w:r>
          </w:p>
        </w:tc>
      </w:tr>
      <w:tr w14:paraId="7314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6" w:type="dxa"/>
            <w:vAlign w:val="center"/>
          </w:tcPr>
          <w:p w14:paraId="2DA1C1D7">
            <w:pPr>
              <w:pStyle w:val="83"/>
              <w:spacing w:line="360" w:lineRule="auto"/>
              <w:jc w:val="center"/>
              <w:rPr>
                <w:rFonts w:hint="eastAsia" w:ascii="宋体" w:hAnsi="宋体" w:cs="宋体"/>
                <w:szCs w:val="21"/>
              </w:rPr>
            </w:pPr>
            <w:r>
              <w:rPr>
                <w:rFonts w:hint="eastAsia" w:ascii="宋体" w:hAnsi="宋体" w:cs="宋体"/>
                <w:szCs w:val="21"/>
              </w:rPr>
              <w:t>1</w:t>
            </w:r>
          </w:p>
        </w:tc>
        <w:tc>
          <w:tcPr>
            <w:tcW w:w="2471" w:type="dxa"/>
            <w:vAlign w:val="center"/>
          </w:tcPr>
          <w:p w14:paraId="4B41BF2E">
            <w:pPr>
              <w:pStyle w:val="83"/>
              <w:spacing w:line="360" w:lineRule="auto"/>
              <w:ind w:firstLine="27" w:firstLineChars="13"/>
              <w:jc w:val="center"/>
              <w:rPr>
                <w:rFonts w:hint="eastAsia" w:ascii="宋体" w:hAnsi="宋体" w:cs="宋体"/>
                <w:szCs w:val="21"/>
              </w:rPr>
            </w:pPr>
            <w:r>
              <w:rPr>
                <w:rFonts w:hint="eastAsia" w:ascii="宋体" w:hAnsi="宋体" w:cs="宋体"/>
                <w:szCs w:val="21"/>
              </w:rPr>
              <w:t>500万元以下</w:t>
            </w:r>
          </w:p>
        </w:tc>
        <w:tc>
          <w:tcPr>
            <w:tcW w:w="5981" w:type="dxa"/>
            <w:vAlign w:val="center"/>
          </w:tcPr>
          <w:p w14:paraId="07DF8C99">
            <w:pPr>
              <w:pStyle w:val="83"/>
              <w:spacing w:line="360" w:lineRule="auto"/>
              <w:ind w:firstLine="441" w:firstLineChars="210"/>
              <w:jc w:val="center"/>
              <w:rPr>
                <w:rFonts w:hint="eastAsia" w:ascii="宋体" w:hAnsi="宋体" w:cs="宋体"/>
                <w:szCs w:val="21"/>
              </w:rPr>
            </w:pPr>
            <w:r>
              <w:rPr>
                <w:rFonts w:hint="eastAsia" w:ascii="宋体" w:hAnsi="宋体" w:cs="宋体"/>
                <w:szCs w:val="21"/>
              </w:rPr>
              <w:t>从接到竣工结算报告和完整的竣工结算资料之日起20天</w:t>
            </w:r>
          </w:p>
        </w:tc>
      </w:tr>
      <w:tr w14:paraId="4032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6" w:type="dxa"/>
            <w:vAlign w:val="center"/>
          </w:tcPr>
          <w:p w14:paraId="48786F40">
            <w:pPr>
              <w:pStyle w:val="83"/>
              <w:spacing w:line="360" w:lineRule="auto"/>
              <w:jc w:val="center"/>
              <w:rPr>
                <w:rFonts w:hint="eastAsia" w:ascii="宋体" w:hAnsi="宋体" w:cs="宋体"/>
                <w:szCs w:val="21"/>
              </w:rPr>
            </w:pPr>
            <w:r>
              <w:rPr>
                <w:rFonts w:hint="eastAsia" w:ascii="宋体" w:hAnsi="宋体" w:cs="宋体"/>
                <w:szCs w:val="21"/>
              </w:rPr>
              <w:t>2</w:t>
            </w:r>
          </w:p>
        </w:tc>
        <w:tc>
          <w:tcPr>
            <w:tcW w:w="2471" w:type="dxa"/>
            <w:vAlign w:val="center"/>
          </w:tcPr>
          <w:p w14:paraId="386A090F">
            <w:pPr>
              <w:pStyle w:val="83"/>
              <w:spacing w:line="360" w:lineRule="auto"/>
              <w:ind w:firstLine="27" w:firstLineChars="13"/>
              <w:jc w:val="center"/>
              <w:rPr>
                <w:rFonts w:hint="eastAsia" w:ascii="宋体" w:hAnsi="宋体" w:cs="宋体"/>
                <w:szCs w:val="21"/>
              </w:rPr>
            </w:pPr>
            <w:r>
              <w:rPr>
                <w:rFonts w:hint="eastAsia" w:ascii="宋体" w:hAnsi="宋体" w:cs="宋体"/>
                <w:szCs w:val="21"/>
              </w:rPr>
              <w:t>500万元-2000万元</w:t>
            </w:r>
          </w:p>
        </w:tc>
        <w:tc>
          <w:tcPr>
            <w:tcW w:w="5981" w:type="dxa"/>
            <w:vAlign w:val="center"/>
          </w:tcPr>
          <w:p w14:paraId="1937D183">
            <w:pPr>
              <w:pStyle w:val="83"/>
              <w:spacing w:line="360" w:lineRule="auto"/>
              <w:ind w:firstLine="441" w:firstLineChars="210"/>
              <w:jc w:val="center"/>
              <w:rPr>
                <w:rFonts w:hint="eastAsia" w:ascii="宋体" w:hAnsi="宋体" w:cs="宋体"/>
                <w:szCs w:val="21"/>
              </w:rPr>
            </w:pPr>
            <w:r>
              <w:rPr>
                <w:rFonts w:hint="eastAsia" w:ascii="宋体" w:hAnsi="宋体" w:cs="宋体"/>
                <w:szCs w:val="21"/>
              </w:rPr>
              <w:t>从接到竣工结算报告和完整的竣工结算资料之日起30天</w:t>
            </w:r>
          </w:p>
        </w:tc>
      </w:tr>
      <w:tr w14:paraId="2130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6" w:type="dxa"/>
            <w:vAlign w:val="center"/>
          </w:tcPr>
          <w:p w14:paraId="0DED55B1">
            <w:pPr>
              <w:pStyle w:val="83"/>
              <w:spacing w:line="360" w:lineRule="auto"/>
              <w:jc w:val="center"/>
              <w:rPr>
                <w:rFonts w:hint="eastAsia" w:ascii="宋体" w:hAnsi="宋体" w:cs="宋体"/>
                <w:szCs w:val="21"/>
              </w:rPr>
            </w:pPr>
            <w:r>
              <w:rPr>
                <w:rFonts w:hint="eastAsia" w:ascii="宋体" w:hAnsi="宋体" w:cs="宋体"/>
                <w:szCs w:val="21"/>
              </w:rPr>
              <w:t>3</w:t>
            </w:r>
          </w:p>
        </w:tc>
        <w:tc>
          <w:tcPr>
            <w:tcW w:w="2471" w:type="dxa"/>
            <w:vAlign w:val="center"/>
          </w:tcPr>
          <w:p w14:paraId="2450C6AB">
            <w:pPr>
              <w:pStyle w:val="83"/>
              <w:spacing w:line="360" w:lineRule="auto"/>
              <w:ind w:firstLine="27" w:firstLineChars="13"/>
              <w:jc w:val="center"/>
              <w:rPr>
                <w:rFonts w:hint="eastAsia" w:ascii="宋体" w:hAnsi="宋体" w:cs="宋体"/>
                <w:szCs w:val="21"/>
              </w:rPr>
            </w:pPr>
            <w:r>
              <w:rPr>
                <w:rFonts w:hint="eastAsia" w:ascii="宋体" w:hAnsi="宋体" w:cs="宋体"/>
                <w:szCs w:val="21"/>
              </w:rPr>
              <w:t>2000万元-5000万元</w:t>
            </w:r>
          </w:p>
        </w:tc>
        <w:tc>
          <w:tcPr>
            <w:tcW w:w="5981" w:type="dxa"/>
            <w:vAlign w:val="center"/>
          </w:tcPr>
          <w:p w14:paraId="31DF19CE">
            <w:pPr>
              <w:pStyle w:val="83"/>
              <w:spacing w:line="360" w:lineRule="auto"/>
              <w:ind w:firstLine="441" w:firstLineChars="210"/>
              <w:jc w:val="center"/>
              <w:rPr>
                <w:rFonts w:hint="eastAsia" w:ascii="宋体" w:hAnsi="宋体" w:cs="宋体"/>
                <w:szCs w:val="21"/>
              </w:rPr>
            </w:pPr>
            <w:r>
              <w:rPr>
                <w:rFonts w:hint="eastAsia" w:ascii="宋体" w:hAnsi="宋体" w:cs="宋体"/>
                <w:szCs w:val="21"/>
              </w:rPr>
              <w:t>从接到竣工结算报告和完整的竣工结算资料之日起45天</w:t>
            </w:r>
          </w:p>
        </w:tc>
      </w:tr>
      <w:tr w14:paraId="073F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6" w:type="dxa"/>
            <w:vAlign w:val="center"/>
          </w:tcPr>
          <w:p w14:paraId="70B31CE4">
            <w:pPr>
              <w:pStyle w:val="83"/>
              <w:spacing w:line="360" w:lineRule="auto"/>
              <w:jc w:val="center"/>
              <w:rPr>
                <w:rFonts w:hint="eastAsia" w:ascii="宋体" w:hAnsi="宋体" w:cs="宋体"/>
                <w:szCs w:val="21"/>
              </w:rPr>
            </w:pPr>
            <w:r>
              <w:rPr>
                <w:rFonts w:hint="eastAsia" w:ascii="宋体" w:hAnsi="宋体" w:cs="宋体"/>
                <w:szCs w:val="21"/>
              </w:rPr>
              <w:t>4</w:t>
            </w:r>
          </w:p>
        </w:tc>
        <w:tc>
          <w:tcPr>
            <w:tcW w:w="2471" w:type="dxa"/>
            <w:vAlign w:val="center"/>
          </w:tcPr>
          <w:p w14:paraId="0575F849">
            <w:pPr>
              <w:pStyle w:val="83"/>
              <w:spacing w:line="360" w:lineRule="auto"/>
              <w:ind w:firstLine="27" w:firstLineChars="13"/>
              <w:jc w:val="center"/>
              <w:rPr>
                <w:rFonts w:hint="eastAsia" w:ascii="宋体" w:hAnsi="宋体" w:cs="宋体"/>
                <w:szCs w:val="21"/>
              </w:rPr>
            </w:pPr>
            <w:r>
              <w:rPr>
                <w:rFonts w:hint="eastAsia" w:ascii="宋体" w:hAnsi="宋体" w:cs="宋体"/>
                <w:szCs w:val="21"/>
              </w:rPr>
              <w:t>5000万元以上</w:t>
            </w:r>
          </w:p>
        </w:tc>
        <w:tc>
          <w:tcPr>
            <w:tcW w:w="5981" w:type="dxa"/>
            <w:vAlign w:val="center"/>
          </w:tcPr>
          <w:p w14:paraId="7555494B">
            <w:pPr>
              <w:pStyle w:val="83"/>
              <w:spacing w:line="360" w:lineRule="auto"/>
              <w:ind w:firstLine="441" w:firstLineChars="210"/>
              <w:jc w:val="center"/>
              <w:rPr>
                <w:rFonts w:hint="eastAsia" w:ascii="宋体" w:hAnsi="宋体" w:cs="宋体"/>
                <w:szCs w:val="21"/>
              </w:rPr>
            </w:pPr>
            <w:r>
              <w:rPr>
                <w:rFonts w:hint="eastAsia" w:ascii="宋体" w:hAnsi="宋体" w:cs="宋体"/>
                <w:szCs w:val="21"/>
              </w:rPr>
              <w:t>从接到竣工结算报告和完整的竣工结算资料之日起60天</w:t>
            </w:r>
          </w:p>
        </w:tc>
      </w:tr>
      <w:tr w14:paraId="5064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6" w:type="dxa"/>
            <w:vAlign w:val="center"/>
          </w:tcPr>
          <w:p w14:paraId="7F3D8FDC">
            <w:pPr>
              <w:pStyle w:val="83"/>
              <w:spacing w:line="360" w:lineRule="auto"/>
              <w:jc w:val="center"/>
              <w:rPr>
                <w:rFonts w:hint="eastAsia" w:ascii="宋体" w:hAnsi="宋体" w:cs="宋体"/>
                <w:szCs w:val="21"/>
              </w:rPr>
            </w:pPr>
            <w:r>
              <w:rPr>
                <w:rFonts w:hint="eastAsia" w:ascii="宋体" w:hAnsi="宋体" w:cs="宋体"/>
                <w:szCs w:val="21"/>
              </w:rPr>
              <w:t>5</w:t>
            </w:r>
          </w:p>
        </w:tc>
        <w:tc>
          <w:tcPr>
            <w:tcW w:w="2471" w:type="dxa"/>
            <w:vAlign w:val="center"/>
          </w:tcPr>
          <w:p w14:paraId="20E285A0">
            <w:pPr>
              <w:pStyle w:val="83"/>
              <w:spacing w:line="360" w:lineRule="auto"/>
              <w:ind w:firstLine="27" w:firstLineChars="13"/>
              <w:jc w:val="center"/>
              <w:rPr>
                <w:rFonts w:hint="eastAsia" w:ascii="宋体" w:hAnsi="宋体" w:cs="宋体"/>
                <w:szCs w:val="21"/>
              </w:rPr>
            </w:pPr>
            <w:r>
              <w:rPr>
                <w:rFonts w:hint="eastAsia" w:ascii="宋体" w:hAnsi="宋体" w:cs="宋体"/>
                <w:szCs w:val="21"/>
              </w:rPr>
              <w:t>5000万以上每增加0.5亿（不足0.5亿不增加）</w:t>
            </w:r>
          </w:p>
        </w:tc>
        <w:tc>
          <w:tcPr>
            <w:tcW w:w="5981" w:type="dxa"/>
            <w:vAlign w:val="center"/>
          </w:tcPr>
          <w:p w14:paraId="10072324">
            <w:pPr>
              <w:pStyle w:val="83"/>
              <w:spacing w:line="360" w:lineRule="auto"/>
              <w:ind w:firstLine="441" w:firstLineChars="210"/>
              <w:jc w:val="center"/>
              <w:rPr>
                <w:rFonts w:hint="eastAsia" w:ascii="宋体" w:hAnsi="宋体" w:cs="宋体"/>
                <w:szCs w:val="21"/>
              </w:rPr>
            </w:pPr>
            <w:r>
              <w:rPr>
                <w:rFonts w:hint="eastAsia" w:ascii="宋体" w:hAnsi="宋体" w:cs="宋体"/>
                <w:szCs w:val="21"/>
              </w:rPr>
              <w:t>增加10天</w:t>
            </w:r>
          </w:p>
        </w:tc>
      </w:tr>
    </w:tbl>
    <w:p w14:paraId="770E12AC">
      <w:pPr>
        <w:pStyle w:val="83"/>
        <w:spacing w:before="30" w:line="370" w:lineRule="auto"/>
        <w:ind w:left="277" w:right="324" w:firstLine="436"/>
        <w:rPr>
          <w:rFonts w:hint="eastAsia" w:ascii="宋体" w:hAnsi="宋体" w:cs="宋体"/>
          <w:szCs w:val="21"/>
        </w:rPr>
      </w:pPr>
      <w:r>
        <w:rPr>
          <w:rFonts w:hint="eastAsia" w:ascii="宋体" w:hAnsi="宋体" w:cs="宋体"/>
          <w:spacing w:val="-1"/>
          <w:szCs w:val="21"/>
        </w:rPr>
        <w:t>因承包人提供的结算资料不完整而需要补</w:t>
      </w:r>
      <w:r>
        <w:rPr>
          <w:rFonts w:hint="eastAsia" w:ascii="宋体" w:hAnsi="宋体" w:cs="宋体"/>
          <w:szCs w:val="21"/>
        </w:rPr>
        <w:t>充或承包人不按时对账耽误时间时，审查时间应</w:t>
      </w:r>
      <w:r>
        <w:rPr>
          <w:rFonts w:hint="eastAsia" w:ascii="宋体" w:hAnsi="宋体" w:cs="宋体"/>
          <w:spacing w:val="-5"/>
          <w:szCs w:val="21"/>
        </w:rPr>
        <w:t>相</w:t>
      </w:r>
      <w:r>
        <w:rPr>
          <w:rFonts w:hint="eastAsia" w:ascii="宋体" w:hAnsi="宋体" w:cs="宋体"/>
          <w:spacing w:val="-4"/>
          <w:szCs w:val="21"/>
        </w:rPr>
        <w:t>应顺延。</w:t>
      </w:r>
    </w:p>
    <w:p w14:paraId="437CA41E">
      <w:pPr>
        <w:pStyle w:val="83"/>
        <w:spacing w:before="72" w:line="338" w:lineRule="auto"/>
        <w:ind w:left="19" w:firstLine="412" w:firstLineChars="200"/>
        <w:rPr>
          <w:rFonts w:hint="eastAsia" w:ascii="宋体" w:hAnsi="宋体" w:cs="宋体"/>
          <w:spacing w:val="-1"/>
          <w:szCs w:val="21"/>
        </w:rPr>
      </w:pPr>
      <w:r>
        <w:rPr>
          <w:rFonts w:hint="eastAsia" w:ascii="宋体" w:hAnsi="宋体" w:cs="宋体"/>
          <w:spacing w:val="-2"/>
          <w:szCs w:val="21"/>
        </w:rPr>
        <w:t>竣工结</w:t>
      </w:r>
      <w:r>
        <w:rPr>
          <w:rFonts w:hint="eastAsia" w:ascii="宋体" w:hAnsi="宋体" w:cs="宋体"/>
          <w:spacing w:val="-1"/>
          <w:szCs w:val="21"/>
        </w:rPr>
        <w:t>算审核约定：发承包双方在合同中对施工过程结算的期限应有明确约定;没有约定的，可认定其约定期限均为 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75310D23">
      <w:pPr>
        <w:pStyle w:val="83"/>
        <w:spacing w:before="72" w:line="338" w:lineRule="auto"/>
        <w:ind w:left="19" w:firstLine="416" w:firstLineChars="200"/>
        <w:rPr>
          <w:rFonts w:hint="eastAsia" w:ascii="宋体" w:hAnsi="宋体" w:cs="宋体"/>
          <w:spacing w:val="-1"/>
          <w:szCs w:val="21"/>
        </w:rPr>
      </w:pPr>
      <w:r>
        <w:rPr>
          <w:rFonts w:hint="eastAsia" w:ascii="宋体" w:hAnsi="宋体" w:cs="宋体"/>
          <w:spacing w:val="-1"/>
          <w:szCs w:val="21"/>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经双方确认的过程结算文件作为竣工结算文件的组成部分，竣工后原则上不再重复审核。</w:t>
      </w:r>
    </w:p>
    <w:p w14:paraId="0DF2BB64">
      <w:pPr>
        <w:pStyle w:val="83"/>
        <w:spacing w:before="2" w:line="351" w:lineRule="auto"/>
        <w:ind w:left="22" w:right="92" w:firstLine="420"/>
        <w:rPr>
          <w:rFonts w:hint="eastAsia" w:ascii="宋体" w:hAnsi="宋体" w:cs="宋体"/>
          <w:szCs w:val="21"/>
        </w:rPr>
      </w:pPr>
      <w:r>
        <w:rPr>
          <w:rFonts w:hint="eastAsia" w:ascii="宋体" w:hAnsi="宋体" w:cs="宋体"/>
          <w:spacing w:val="-6"/>
          <w:szCs w:val="21"/>
          <w:u w:val="single"/>
        </w:rPr>
        <w:t>1、工程竣工</w:t>
      </w:r>
      <w:r>
        <w:rPr>
          <w:rFonts w:hint="eastAsia" w:ascii="宋体" w:hAnsi="宋体" w:cs="宋体"/>
          <w:spacing w:val="-4"/>
          <w:szCs w:val="21"/>
          <w:u w:val="single"/>
        </w:rPr>
        <w:t>验</w:t>
      </w:r>
      <w:r>
        <w:rPr>
          <w:rFonts w:hint="eastAsia" w:ascii="宋体" w:hAnsi="宋体" w:cs="宋体"/>
          <w:spacing w:val="-3"/>
          <w:szCs w:val="21"/>
          <w:u w:val="single"/>
        </w:rPr>
        <w:t>收报告经发包人认可后 28 天内， 承包人向发包人递交竣工验收合格资料及</w:t>
      </w:r>
      <w:r>
        <w:rPr>
          <w:rFonts w:hint="eastAsia" w:ascii="宋体" w:hAnsi="宋体" w:cs="宋体"/>
          <w:spacing w:val="2"/>
          <w:szCs w:val="21"/>
          <w:u w:val="single"/>
        </w:rPr>
        <w:t>完整的结算资料和</w:t>
      </w:r>
      <w:r>
        <w:rPr>
          <w:rFonts w:hint="eastAsia" w:ascii="宋体" w:hAnsi="宋体" w:cs="宋体"/>
          <w:spacing w:val="1"/>
          <w:szCs w:val="21"/>
          <w:u w:val="single"/>
        </w:rPr>
        <w:t xml:space="preserve">报告，双方按照本工程合同约定的价格形式及价款调整办法进行工程竣工结算。 </w:t>
      </w:r>
    </w:p>
    <w:p w14:paraId="05199FA9">
      <w:pPr>
        <w:pStyle w:val="83"/>
        <w:spacing w:before="4" w:line="351" w:lineRule="auto"/>
        <w:ind w:left="18" w:right="17" w:firstLine="418"/>
        <w:jc w:val="left"/>
        <w:rPr>
          <w:rFonts w:hint="eastAsia" w:ascii="宋体" w:hAnsi="宋体" w:cs="宋体"/>
          <w:spacing w:val="-1"/>
          <w:szCs w:val="21"/>
          <w:u w:val="single"/>
        </w:rPr>
      </w:pPr>
      <w:r>
        <w:rPr>
          <w:rFonts w:hint="eastAsia" w:ascii="宋体" w:hAnsi="宋体" w:cs="宋体"/>
          <w:spacing w:val="-6"/>
          <w:szCs w:val="21"/>
          <w:u w:val="single"/>
        </w:rPr>
        <w:t>2、发包</w:t>
      </w:r>
      <w:r>
        <w:rPr>
          <w:rFonts w:hint="eastAsia" w:ascii="宋体" w:hAnsi="宋体" w:cs="宋体"/>
          <w:spacing w:val="-3"/>
          <w:szCs w:val="21"/>
          <w:u w:val="single"/>
        </w:rPr>
        <w:t>人收到承包人递交的竣工结算报告及结算资料之日起 30 天内进行审核，并给予确</w:t>
      </w:r>
      <w:r>
        <w:rPr>
          <w:rFonts w:hint="eastAsia" w:ascii="宋体" w:hAnsi="宋体" w:cs="宋体"/>
          <w:spacing w:val="-2"/>
          <w:szCs w:val="21"/>
          <w:u w:val="single"/>
        </w:rPr>
        <w:t>认或者</w:t>
      </w:r>
      <w:r>
        <w:rPr>
          <w:rFonts w:hint="eastAsia" w:ascii="宋体" w:hAnsi="宋体" w:cs="宋体"/>
          <w:spacing w:val="-1"/>
          <w:szCs w:val="21"/>
          <w:u w:val="single"/>
        </w:rPr>
        <w:t>提出审核意见。发包人逾期未完成审核且未提出异议的视为发包人已同意承包人提交的</w:t>
      </w:r>
      <w:r>
        <w:rPr>
          <w:rFonts w:hint="eastAsia" w:ascii="宋体" w:hAnsi="宋体" w:cs="宋体"/>
          <w:spacing w:val="-2"/>
          <w:szCs w:val="21"/>
          <w:u w:val="single"/>
        </w:rPr>
        <w:t>竣工结算报</w:t>
      </w:r>
      <w:r>
        <w:rPr>
          <w:rFonts w:hint="eastAsia" w:ascii="宋体" w:hAnsi="宋体" w:cs="宋体"/>
          <w:spacing w:val="-1"/>
          <w:szCs w:val="21"/>
          <w:u w:val="single"/>
        </w:rPr>
        <w:t>告及结算价款，并以此作为竣工结算的依据。承包人对发包人确认的结算价款或审</w:t>
      </w:r>
      <w:r>
        <w:rPr>
          <w:rFonts w:hint="eastAsia" w:ascii="宋体" w:hAnsi="宋体" w:cs="宋体"/>
          <w:spacing w:val="-2"/>
          <w:szCs w:val="21"/>
          <w:u w:val="single"/>
        </w:rPr>
        <w:t>核意见有异议的，应在收到发包人确认的价款或审核意见之日起 7日内提出异议，必</w:t>
      </w:r>
      <w:r>
        <w:rPr>
          <w:rFonts w:hint="eastAsia" w:ascii="宋体" w:hAnsi="宋体" w:cs="宋体"/>
          <w:spacing w:val="-1"/>
          <w:szCs w:val="21"/>
          <w:u w:val="single"/>
        </w:rPr>
        <w:t>要</w:t>
      </w:r>
      <w:r>
        <w:rPr>
          <w:rFonts w:hint="eastAsia" w:ascii="宋体" w:hAnsi="宋体" w:cs="宋体"/>
          <w:szCs w:val="21"/>
          <w:u w:val="single"/>
        </w:rPr>
        <w:t>时合</w:t>
      </w:r>
      <w:r>
        <w:rPr>
          <w:rFonts w:hint="eastAsia" w:ascii="宋体" w:hAnsi="宋体" w:cs="宋体"/>
          <w:spacing w:val="-2"/>
          <w:szCs w:val="21"/>
          <w:u w:val="single"/>
        </w:rPr>
        <w:t>同当事人要当面</w:t>
      </w:r>
      <w:r>
        <w:rPr>
          <w:rFonts w:hint="eastAsia" w:ascii="宋体" w:hAnsi="宋体" w:cs="宋体"/>
          <w:spacing w:val="-1"/>
          <w:szCs w:val="21"/>
          <w:u w:val="single"/>
        </w:rPr>
        <w:t>核对直至完成工程竣工结算。除非有特殊情形，否则从承包人递交竣工结算</w:t>
      </w:r>
      <w:r>
        <w:rPr>
          <w:rFonts w:hint="eastAsia" w:ascii="宋体" w:hAnsi="宋体" w:cs="宋体"/>
          <w:spacing w:val="-8"/>
          <w:szCs w:val="21"/>
          <w:u w:val="single"/>
        </w:rPr>
        <w:t>报告</w:t>
      </w:r>
      <w:r>
        <w:rPr>
          <w:rFonts w:hint="eastAsia" w:ascii="宋体" w:hAnsi="宋体" w:cs="宋体"/>
          <w:spacing w:val="-7"/>
          <w:szCs w:val="21"/>
          <w:u w:val="single"/>
        </w:rPr>
        <w:t>到</w:t>
      </w:r>
      <w:r>
        <w:rPr>
          <w:rFonts w:hint="eastAsia" w:ascii="宋体" w:hAnsi="宋体" w:cs="宋体"/>
          <w:spacing w:val="-4"/>
          <w:szCs w:val="21"/>
          <w:u w:val="single"/>
        </w:rPr>
        <w:t>完成竣工结算的时间应控制在“发包人审核竣工付款申请单的期限”要求的时间范围内。</w:t>
      </w:r>
      <w:r>
        <w:rPr>
          <w:rFonts w:hint="eastAsia" w:ascii="宋体" w:hAnsi="宋体" w:cs="宋体"/>
          <w:szCs w:val="21"/>
        </w:rPr>
        <w:t xml:space="preserve"> </w:t>
      </w:r>
    </w:p>
    <w:p w14:paraId="2E01D657">
      <w:pPr>
        <w:pStyle w:val="83"/>
        <w:spacing w:before="4" w:line="351" w:lineRule="auto"/>
        <w:ind w:left="18" w:right="37" w:firstLine="418"/>
        <w:jc w:val="left"/>
        <w:rPr>
          <w:rFonts w:hint="eastAsia" w:ascii="宋体" w:hAnsi="宋体" w:cs="宋体"/>
          <w:spacing w:val="-6"/>
          <w:szCs w:val="21"/>
          <w:u w:val="single"/>
        </w:rPr>
      </w:pPr>
      <w:r>
        <w:rPr>
          <w:rFonts w:hint="eastAsia" w:ascii="宋体" w:hAnsi="宋体" w:cs="宋体"/>
          <w:spacing w:val="-12"/>
          <w:szCs w:val="21"/>
          <w:u w:val="single"/>
        </w:rPr>
        <w:t>3 、自</w:t>
      </w:r>
      <w:r>
        <w:rPr>
          <w:rFonts w:hint="eastAsia" w:ascii="宋体" w:hAnsi="宋体" w:cs="宋体"/>
          <w:spacing w:val="-8"/>
          <w:szCs w:val="21"/>
          <w:u w:val="single"/>
        </w:rPr>
        <w:t>竣</w:t>
      </w:r>
      <w:r>
        <w:rPr>
          <w:rFonts w:hint="eastAsia" w:ascii="宋体" w:hAnsi="宋体" w:cs="宋体"/>
          <w:spacing w:val="-6"/>
          <w:szCs w:val="21"/>
          <w:u w:val="single"/>
        </w:rPr>
        <w:t>工结算完毕之日起 30天内， 发包人按审定后的竣工结算价款， 通知经办银行向承</w:t>
      </w:r>
      <w:r>
        <w:rPr>
          <w:rFonts w:hint="eastAsia" w:ascii="宋体" w:hAnsi="宋体" w:cs="宋体"/>
          <w:spacing w:val="-9"/>
          <w:szCs w:val="21"/>
          <w:u w:val="single"/>
        </w:rPr>
        <w:t>包</w:t>
      </w:r>
      <w:r>
        <w:rPr>
          <w:rFonts w:hint="eastAsia" w:ascii="宋体" w:hAnsi="宋体" w:cs="宋体"/>
          <w:spacing w:val="-8"/>
          <w:szCs w:val="21"/>
          <w:u w:val="single"/>
        </w:rPr>
        <w:t>人支付结算价款。</w:t>
      </w:r>
      <w:r>
        <w:rPr>
          <w:rFonts w:hint="eastAsia" w:ascii="宋体" w:hAnsi="宋体" w:cs="宋体"/>
          <w:szCs w:val="21"/>
          <w:u w:val="single"/>
        </w:rPr>
        <w:t xml:space="preserve"> </w:t>
      </w:r>
    </w:p>
    <w:p w14:paraId="224FE8A3">
      <w:pPr>
        <w:spacing w:line="360" w:lineRule="auto"/>
        <w:ind w:firstLine="380" w:firstLineChars="200"/>
        <w:jc w:val="left"/>
        <w:rPr>
          <w:rFonts w:hint="eastAsia" w:ascii="宋体" w:hAnsi="宋体" w:cs="宋体"/>
          <w:szCs w:val="21"/>
        </w:rPr>
      </w:pPr>
      <w:r>
        <w:rPr>
          <w:rFonts w:hint="eastAsia" w:ascii="宋体" w:hAnsi="宋体" w:cs="宋体"/>
          <w:spacing w:val="-10"/>
          <w:szCs w:val="21"/>
        </w:rPr>
        <w:t>备</w:t>
      </w:r>
      <w:r>
        <w:rPr>
          <w:rFonts w:hint="eastAsia" w:ascii="宋体" w:hAnsi="宋体" w:cs="宋体"/>
          <w:spacing w:val="-9"/>
          <w:szCs w:val="21"/>
        </w:rPr>
        <w:t>注</w:t>
      </w:r>
      <w:r>
        <w:rPr>
          <w:rFonts w:hint="eastAsia" w:ascii="宋体" w:hAnsi="宋体" w:cs="宋体"/>
          <w:spacing w:val="-5"/>
          <w:szCs w:val="21"/>
        </w:rPr>
        <w:t>： 对于国有投资项目结算审核约定， 双方可结合各地政府或有关部门出台的管理规定</w:t>
      </w:r>
      <w:r>
        <w:rPr>
          <w:rFonts w:hint="eastAsia" w:ascii="宋体" w:hAnsi="宋体" w:cs="宋体"/>
          <w:spacing w:val="-1"/>
          <w:szCs w:val="21"/>
        </w:rPr>
        <w:t>进行局</w:t>
      </w:r>
      <w:r>
        <w:rPr>
          <w:rFonts w:hint="eastAsia" w:ascii="宋体" w:hAnsi="宋体" w:cs="宋体"/>
          <w:szCs w:val="21"/>
        </w:rPr>
        <w:t>部调整。</w:t>
      </w:r>
    </w:p>
    <w:p w14:paraId="4B51B9A9">
      <w:pPr>
        <w:pStyle w:val="82"/>
        <w:keepNext/>
        <w:keepLines/>
        <w:spacing w:line="360" w:lineRule="auto"/>
        <w:outlineLvl w:val="2"/>
        <w:rPr>
          <w:rFonts w:hint="eastAsia" w:ascii="宋体" w:hAnsi="宋体" w:cs="宋体"/>
          <w:b/>
          <w:bCs/>
          <w:szCs w:val="32"/>
        </w:rPr>
      </w:pPr>
      <w:bookmarkStart w:id="271" w:name="_Toc7783"/>
      <w:bookmarkStart w:id="272" w:name="_Toc27825"/>
      <w:r>
        <w:rPr>
          <w:rFonts w:hint="eastAsia" w:ascii="宋体" w:hAnsi="宋体" w:cs="宋体"/>
          <w:b/>
          <w:bCs/>
          <w:szCs w:val="32"/>
        </w:rPr>
        <w:t>14.4 最终结清</w:t>
      </w:r>
      <w:bookmarkEnd w:id="271"/>
      <w:bookmarkEnd w:id="272"/>
    </w:p>
    <w:p w14:paraId="7D6A7F67">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14.4.1 最终结清申请单</w:t>
      </w:r>
    </w:p>
    <w:p w14:paraId="78D377B6">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承包人提交最终结清申请单的份数：</w:t>
      </w:r>
      <w:r>
        <w:rPr>
          <w:rFonts w:hint="eastAsia" w:ascii="宋体" w:hAnsi="宋体" w:cs="宋体"/>
          <w:szCs w:val="21"/>
          <w:u w:val="single"/>
        </w:rPr>
        <w:t>四份</w:t>
      </w:r>
      <w:r>
        <w:rPr>
          <w:rFonts w:hint="eastAsia" w:ascii="宋体" w:hAnsi="宋体" w:cs="宋体"/>
          <w:szCs w:val="21"/>
        </w:rPr>
        <w:t>。</w:t>
      </w:r>
    </w:p>
    <w:p w14:paraId="406B1560">
      <w:pPr>
        <w:pStyle w:val="82"/>
        <w:spacing w:line="360" w:lineRule="auto"/>
        <w:ind w:firstLine="420" w:firstLineChars="200"/>
        <w:jc w:val="left"/>
        <w:rPr>
          <w:rFonts w:hint="eastAsia" w:ascii="宋体" w:hAnsi="宋体" w:cs="宋体"/>
          <w:szCs w:val="21"/>
        </w:rPr>
      </w:pPr>
      <w:r>
        <w:rPr>
          <w:rFonts w:hint="eastAsia" w:ascii="宋体" w:hAnsi="宋体" w:cs="宋体"/>
          <w:kern w:val="0"/>
          <w:szCs w:val="21"/>
        </w:rPr>
        <w:t>承包人提交最终结算申请单的期限：</w:t>
      </w:r>
      <w:r>
        <w:rPr>
          <w:rFonts w:hint="eastAsia" w:ascii="宋体" w:hAnsi="宋体" w:cs="宋体"/>
          <w:szCs w:val="21"/>
          <w:u w:val="single"/>
        </w:rPr>
        <w:t xml:space="preserve">缺陷责任期终止证书签发后14天内 </w:t>
      </w:r>
      <w:r>
        <w:rPr>
          <w:rFonts w:hint="eastAsia" w:ascii="宋体" w:hAnsi="宋体" w:cs="宋体"/>
          <w:szCs w:val="21"/>
        </w:rPr>
        <w:t>。</w:t>
      </w:r>
    </w:p>
    <w:p w14:paraId="5775EE48">
      <w:pPr>
        <w:pStyle w:val="82"/>
        <w:spacing w:line="360" w:lineRule="auto"/>
        <w:ind w:firstLine="420" w:firstLineChars="200"/>
        <w:jc w:val="left"/>
        <w:rPr>
          <w:rFonts w:hint="eastAsia" w:ascii="宋体" w:hAnsi="宋体" w:cs="宋体"/>
          <w:szCs w:val="21"/>
        </w:rPr>
      </w:pPr>
      <w:r>
        <w:rPr>
          <w:rFonts w:hint="eastAsia" w:ascii="宋体" w:hAnsi="宋体" w:cs="宋体"/>
          <w:szCs w:val="21"/>
        </w:rPr>
        <w:t>14.4.2 最终结清证书和支付</w:t>
      </w:r>
    </w:p>
    <w:p w14:paraId="7D559D86">
      <w:pPr>
        <w:pStyle w:val="82"/>
        <w:spacing w:line="360" w:lineRule="auto"/>
        <w:ind w:firstLine="420" w:firstLineChars="200"/>
        <w:jc w:val="left"/>
        <w:rPr>
          <w:rFonts w:hint="eastAsia" w:ascii="宋体" w:hAnsi="宋体" w:cs="宋体"/>
          <w:szCs w:val="21"/>
        </w:rPr>
      </w:pPr>
      <w:r>
        <w:rPr>
          <w:rFonts w:hint="eastAsia" w:ascii="宋体" w:hAnsi="宋体" w:cs="宋体"/>
          <w:szCs w:val="21"/>
        </w:rPr>
        <w:t>（1）发包人完成最终结清申请单的审批并颁发最终结清证书的期限：</w:t>
      </w:r>
      <w:r>
        <w:rPr>
          <w:rFonts w:hint="eastAsia" w:ascii="宋体" w:hAnsi="宋体" w:cs="宋体"/>
          <w:szCs w:val="21"/>
          <w:u w:val="single"/>
        </w:rPr>
        <w:t>按“通用条款”执行</w:t>
      </w:r>
      <w:r>
        <w:rPr>
          <w:rFonts w:hint="eastAsia" w:ascii="宋体" w:hAnsi="宋体" w:cs="宋体"/>
          <w:szCs w:val="21"/>
        </w:rPr>
        <w:t>。</w:t>
      </w:r>
    </w:p>
    <w:p w14:paraId="346F92FA">
      <w:pPr>
        <w:pStyle w:val="82"/>
        <w:spacing w:line="360" w:lineRule="auto"/>
        <w:ind w:firstLine="420" w:firstLineChars="200"/>
        <w:jc w:val="left"/>
        <w:rPr>
          <w:rFonts w:hint="eastAsia" w:ascii="宋体" w:hAnsi="宋体" w:cs="宋体"/>
          <w:szCs w:val="21"/>
        </w:rPr>
      </w:pPr>
      <w:r>
        <w:rPr>
          <w:rFonts w:hint="eastAsia" w:ascii="宋体" w:hAnsi="宋体" w:cs="宋体"/>
          <w:szCs w:val="21"/>
        </w:rPr>
        <w:t>（2）发包人完成支付的期限：</w:t>
      </w:r>
      <w:r>
        <w:rPr>
          <w:rFonts w:hint="eastAsia" w:ascii="宋体" w:hAnsi="宋体" w:cs="宋体"/>
          <w:szCs w:val="21"/>
          <w:u w:val="single"/>
        </w:rPr>
        <w:t>按“通用条款”执行</w:t>
      </w:r>
      <w:r>
        <w:rPr>
          <w:rFonts w:hint="eastAsia" w:ascii="宋体" w:hAnsi="宋体" w:cs="宋体"/>
          <w:szCs w:val="21"/>
        </w:rPr>
        <w:t>。</w:t>
      </w:r>
    </w:p>
    <w:p w14:paraId="7DCEFA2F">
      <w:pPr>
        <w:pStyle w:val="82"/>
        <w:keepNext/>
        <w:keepLines/>
        <w:spacing w:before="60" w:after="60" w:line="413" w:lineRule="auto"/>
        <w:outlineLvl w:val="1"/>
        <w:rPr>
          <w:rFonts w:hint="eastAsia" w:ascii="宋体" w:hAnsi="宋体" w:cs="宋体"/>
          <w:b/>
          <w:bCs/>
          <w:szCs w:val="32"/>
        </w:rPr>
      </w:pPr>
      <w:bookmarkStart w:id="273" w:name="_Toc1140"/>
      <w:bookmarkStart w:id="274" w:name="_Toc10906"/>
      <w:r>
        <w:rPr>
          <w:rFonts w:hint="eastAsia" w:ascii="宋体" w:hAnsi="宋体" w:cs="宋体"/>
          <w:b/>
          <w:bCs/>
          <w:szCs w:val="32"/>
        </w:rPr>
        <w:t>15. 缺陷责任期与保修</w:t>
      </w:r>
      <w:bookmarkEnd w:id="273"/>
      <w:bookmarkEnd w:id="274"/>
    </w:p>
    <w:p w14:paraId="6414A860">
      <w:pPr>
        <w:pStyle w:val="82"/>
        <w:keepNext/>
        <w:keepLines/>
        <w:spacing w:line="360" w:lineRule="auto"/>
        <w:outlineLvl w:val="2"/>
        <w:rPr>
          <w:rFonts w:hint="eastAsia" w:ascii="宋体" w:hAnsi="宋体" w:cs="宋体"/>
          <w:b/>
          <w:bCs/>
          <w:szCs w:val="32"/>
        </w:rPr>
      </w:pPr>
      <w:bookmarkStart w:id="275" w:name="_Toc14751"/>
      <w:bookmarkStart w:id="276" w:name="_Toc22623"/>
      <w:r>
        <w:rPr>
          <w:rFonts w:hint="eastAsia" w:ascii="宋体" w:hAnsi="宋体" w:cs="宋体"/>
          <w:b/>
          <w:bCs/>
          <w:szCs w:val="32"/>
        </w:rPr>
        <w:t>15.2 缺陷责任期</w:t>
      </w:r>
      <w:bookmarkEnd w:id="275"/>
      <w:bookmarkEnd w:id="276"/>
    </w:p>
    <w:p w14:paraId="0548F3D8">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缺陷责任期的具体期限：</w:t>
      </w:r>
      <w:r>
        <w:rPr>
          <w:rFonts w:hint="eastAsia" w:ascii="宋体" w:hAnsi="宋体" w:cs="宋体"/>
          <w:szCs w:val="21"/>
          <w:u w:val="single"/>
          <w:lang w:val="en-US" w:eastAsia="zh-CN"/>
        </w:rPr>
        <w:t>24</w:t>
      </w:r>
      <w:r>
        <w:rPr>
          <w:rFonts w:hint="eastAsia" w:ascii="宋体" w:hAnsi="宋体" w:cs="宋体"/>
          <w:szCs w:val="21"/>
          <w:u w:val="single"/>
        </w:rPr>
        <w:t>个月(从工程通过竣工验收之日计算)</w:t>
      </w:r>
      <w:r>
        <w:rPr>
          <w:rFonts w:hint="eastAsia" w:ascii="宋体" w:hAnsi="宋体" w:cs="宋体"/>
          <w:szCs w:val="21"/>
        </w:rPr>
        <w:t>。</w:t>
      </w:r>
    </w:p>
    <w:p w14:paraId="133C6775">
      <w:pPr>
        <w:pStyle w:val="82"/>
        <w:keepNext/>
        <w:keepLines/>
        <w:spacing w:line="360" w:lineRule="auto"/>
        <w:outlineLvl w:val="2"/>
        <w:rPr>
          <w:rFonts w:hint="eastAsia" w:ascii="宋体" w:hAnsi="宋体" w:cs="宋体"/>
          <w:b/>
          <w:bCs/>
          <w:szCs w:val="32"/>
        </w:rPr>
      </w:pPr>
      <w:bookmarkStart w:id="277" w:name="_Toc5631"/>
      <w:bookmarkStart w:id="278" w:name="_Toc29339"/>
      <w:r>
        <w:rPr>
          <w:rFonts w:hint="eastAsia" w:ascii="宋体" w:hAnsi="宋体" w:cs="宋体"/>
          <w:b/>
          <w:bCs/>
          <w:szCs w:val="32"/>
        </w:rPr>
        <w:t>15.3 工程质量保证金</w:t>
      </w:r>
      <w:bookmarkEnd w:id="277"/>
      <w:bookmarkEnd w:id="278"/>
    </w:p>
    <w:p w14:paraId="54B17E1D">
      <w:pPr>
        <w:pStyle w:val="82"/>
        <w:spacing w:line="360" w:lineRule="auto"/>
        <w:ind w:firstLine="420" w:firstLineChars="200"/>
        <w:jc w:val="left"/>
        <w:rPr>
          <w:rFonts w:hint="eastAsia" w:ascii="宋体" w:hAnsi="宋体" w:cs="宋体"/>
          <w:szCs w:val="21"/>
        </w:rPr>
      </w:pPr>
      <w:r>
        <w:rPr>
          <w:rFonts w:hint="eastAsia" w:ascii="宋体" w:hAnsi="宋体" w:cs="宋体"/>
          <w:szCs w:val="21"/>
        </w:rPr>
        <w:t>关于是否扣留工程质量保证金的约定：</w:t>
      </w:r>
      <w:r>
        <w:rPr>
          <w:rFonts w:hint="eastAsia" w:ascii="宋体" w:hAnsi="宋体" w:cs="宋体"/>
          <w:szCs w:val="21"/>
          <w:u w:val="single"/>
        </w:rPr>
        <w:t>是</w:t>
      </w:r>
      <w:r>
        <w:rPr>
          <w:rFonts w:hint="eastAsia" w:ascii="宋体" w:hAnsi="宋体" w:cs="宋体"/>
          <w:szCs w:val="21"/>
        </w:rPr>
        <w:t>。</w:t>
      </w:r>
    </w:p>
    <w:p w14:paraId="05152DA8">
      <w:pPr>
        <w:pStyle w:val="82"/>
        <w:spacing w:line="360" w:lineRule="auto"/>
        <w:ind w:firstLine="420" w:firstLineChars="200"/>
        <w:jc w:val="left"/>
        <w:outlineLvl w:val="0"/>
        <w:rPr>
          <w:rFonts w:hint="eastAsia" w:ascii="宋体" w:hAnsi="宋体" w:cs="宋体"/>
          <w:szCs w:val="21"/>
        </w:rPr>
      </w:pPr>
      <w:bookmarkStart w:id="279" w:name="_Toc20484"/>
      <w:bookmarkStart w:id="280" w:name="_Toc21216"/>
      <w:r>
        <w:rPr>
          <w:rFonts w:hint="eastAsia" w:ascii="宋体" w:hAnsi="宋体" w:cs="宋体"/>
          <w:szCs w:val="21"/>
        </w:rPr>
        <w:t>15.3.1 承包人提供工程质量保证金的方式</w:t>
      </w:r>
      <w:bookmarkEnd w:id="279"/>
      <w:bookmarkEnd w:id="280"/>
    </w:p>
    <w:p w14:paraId="13DFB7F2">
      <w:pPr>
        <w:pStyle w:val="82"/>
        <w:spacing w:line="360" w:lineRule="auto"/>
        <w:ind w:firstLine="420" w:firstLineChars="200"/>
        <w:jc w:val="left"/>
        <w:rPr>
          <w:rFonts w:hint="eastAsia" w:ascii="宋体" w:hAnsi="宋体" w:cs="宋体"/>
          <w:szCs w:val="21"/>
        </w:rPr>
      </w:pPr>
      <w:r>
        <w:rPr>
          <w:rFonts w:hint="eastAsia" w:ascii="宋体" w:hAnsi="宋体" w:cs="宋体"/>
          <w:szCs w:val="21"/>
        </w:rPr>
        <w:t>工程质量保证金采用以下第</w:t>
      </w:r>
      <w:r>
        <w:rPr>
          <w:rFonts w:hint="eastAsia" w:ascii="宋体" w:hAnsi="宋体" w:cs="宋体"/>
          <w:szCs w:val="21"/>
          <w:u w:val="single"/>
        </w:rPr>
        <w:t xml:space="preserve">  </w:t>
      </w:r>
      <w:r>
        <w:rPr>
          <w:rFonts w:hint="eastAsia" w:ascii="宋体" w:hAnsi="宋体" w:cs="宋体"/>
          <w:szCs w:val="21"/>
          <w:u w:val="single"/>
          <w:lang w:val="en-US" w:eastAsia="zh-CN"/>
        </w:rPr>
        <w:t>/</w:t>
      </w:r>
      <w:r>
        <w:rPr>
          <w:rFonts w:hint="eastAsia" w:ascii="宋体" w:hAnsi="宋体" w:cs="宋体"/>
          <w:szCs w:val="21"/>
          <w:u w:val="single"/>
        </w:rPr>
        <w:t xml:space="preserve">  </w:t>
      </w:r>
      <w:r>
        <w:rPr>
          <w:rFonts w:hint="eastAsia" w:ascii="宋体" w:hAnsi="宋体" w:cs="宋体"/>
          <w:szCs w:val="21"/>
        </w:rPr>
        <w:t>种方式：</w:t>
      </w:r>
    </w:p>
    <w:p w14:paraId="664C0EE7">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w:t>
      </w:r>
      <w:r>
        <w:rPr>
          <w:rFonts w:hint="eastAsia" w:ascii="宋体" w:hAnsi="宋体" w:cs="宋体"/>
          <w:szCs w:val="21"/>
        </w:rPr>
        <w:t>工程质量保证金</w:t>
      </w:r>
      <w:r>
        <w:rPr>
          <w:rFonts w:hint="eastAsia" w:ascii="宋体" w:hAnsi="宋体" w:cs="宋体"/>
          <w:kern w:val="0"/>
          <w:szCs w:val="21"/>
        </w:rPr>
        <w:t>保函，保证金额为：</w:t>
      </w:r>
      <w:r>
        <w:rPr>
          <w:rFonts w:hint="eastAsia" w:ascii="宋体" w:hAnsi="宋体" w:cs="宋体"/>
          <w:kern w:val="0"/>
          <w:szCs w:val="21"/>
          <w:u w:val="single"/>
        </w:rPr>
        <w:t xml:space="preserve">     /              </w:t>
      </w:r>
      <w:r>
        <w:rPr>
          <w:rFonts w:hint="eastAsia" w:ascii="宋体" w:hAnsi="宋体" w:cs="宋体"/>
          <w:kern w:val="0"/>
          <w:szCs w:val="21"/>
        </w:rPr>
        <w:t>；</w:t>
      </w:r>
    </w:p>
    <w:p w14:paraId="76D8BB66">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w:t>
      </w:r>
      <w:r>
        <w:rPr>
          <w:rFonts w:hint="eastAsia" w:ascii="宋体" w:hAnsi="宋体" w:cs="宋体"/>
          <w:szCs w:val="21"/>
        </w:rPr>
        <w:t>工程质量保证金转账，</w:t>
      </w:r>
      <w:r>
        <w:rPr>
          <w:rFonts w:hint="eastAsia" w:ascii="宋体" w:hAnsi="宋体" w:cs="宋体"/>
          <w:kern w:val="0"/>
          <w:szCs w:val="21"/>
        </w:rPr>
        <w:t>保证金额为：</w:t>
      </w:r>
      <w:r>
        <w:rPr>
          <w:rFonts w:hint="eastAsia" w:ascii="宋体" w:hAnsi="宋体" w:cs="宋体"/>
          <w:kern w:val="0"/>
          <w:szCs w:val="21"/>
          <w:u w:val="single"/>
        </w:rPr>
        <w:t xml:space="preserve">     /           </w:t>
      </w:r>
      <w:r>
        <w:rPr>
          <w:rFonts w:hint="eastAsia" w:ascii="宋体" w:hAnsi="宋体" w:cs="宋体"/>
          <w:kern w:val="0"/>
          <w:szCs w:val="21"/>
        </w:rPr>
        <w:t>；</w:t>
      </w:r>
    </w:p>
    <w:p w14:paraId="3467E4C7">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（3）其他方式：</w:t>
      </w:r>
      <w:r>
        <w:rPr>
          <w:rFonts w:hint="eastAsia" w:ascii="宋体" w:hAnsi="宋体" w:cs="宋体"/>
          <w:kern w:val="0"/>
          <w:szCs w:val="21"/>
          <w:lang w:val="en-US" w:eastAsia="zh-CN"/>
        </w:rPr>
        <w:t>/</w:t>
      </w:r>
      <w:r>
        <w:rPr>
          <w:rFonts w:hint="eastAsia" w:ascii="宋体" w:hAnsi="宋体" w:cs="宋体"/>
          <w:bCs/>
          <w:szCs w:val="21"/>
        </w:rPr>
        <w:t>。</w:t>
      </w:r>
    </w:p>
    <w:p w14:paraId="3DD9CC37">
      <w:pPr>
        <w:pStyle w:val="82"/>
        <w:spacing w:line="360" w:lineRule="auto"/>
        <w:ind w:firstLine="420" w:firstLineChars="200"/>
        <w:jc w:val="left"/>
        <w:rPr>
          <w:rFonts w:hint="eastAsia" w:ascii="宋体" w:hAnsi="宋体" w:cs="宋体"/>
          <w:szCs w:val="21"/>
        </w:rPr>
      </w:pPr>
      <w:r>
        <w:rPr>
          <w:rFonts w:hint="eastAsia" w:ascii="宋体" w:hAnsi="宋体" w:cs="宋体"/>
          <w:szCs w:val="21"/>
        </w:rPr>
        <w:t>15.3.2 工程质量保证金的扣留</w:t>
      </w:r>
    </w:p>
    <w:p w14:paraId="50E5337A">
      <w:pPr>
        <w:pStyle w:val="82"/>
        <w:spacing w:line="360" w:lineRule="auto"/>
        <w:ind w:firstLine="420" w:firstLineChars="200"/>
        <w:jc w:val="left"/>
        <w:rPr>
          <w:rFonts w:hint="eastAsia" w:ascii="宋体" w:hAnsi="宋体" w:cs="宋体"/>
          <w:szCs w:val="21"/>
        </w:rPr>
      </w:pPr>
      <w:r>
        <w:rPr>
          <w:rFonts w:hint="eastAsia" w:ascii="宋体" w:hAnsi="宋体" w:cs="宋体"/>
          <w:szCs w:val="21"/>
        </w:rPr>
        <w:t>工程质量保证金的扣留采取以下第</w:t>
      </w:r>
      <w:r>
        <w:rPr>
          <w:rFonts w:hint="eastAsia" w:ascii="宋体" w:hAnsi="宋体" w:cs="宋体"/>
          <w:szCs w:val="21"/>
          <w:u w:val="single"/>
        </w:rPr>
        <w:t xml:space="preserve">  </w:t>
      </w:r>
      <w:r>
        <w:rPr>
          <w:rFonts w:hint="eastAsia" w:ascii="宋体" w:hAnsi="宋体" w:cs="宋体"/>
          <w:szCs w:val="21"/>
          <w:u w:val="single"/>
          <w:lang w:val="en-US" w:eastAsia="zh-CN"/>
        </w:rPr>
        <w:t>(2)</w:t>
      </w:r>
      <w:r>
        <w:rPr>
          <w:rFonts w:hint="eastAsia" w:ascii="宋体" w:hAnsi="宋体" w:cs="宋体"/>
          <w:szCs w:val="21"/>
          <w:u w:val="single"/>
        </w:rPr>
        <w:t xml:space="preserve">  </w:t>
      </w:r>
      <w:r>
        <w:rPr>
          <w:rFonts w:hint="eastAsia" w:ascii="宋体" w:hAnsi="宋体" w:cs="宋体"/>
          <w:szCs w:val="21"/>
        </w:rPr>
        <w:t>种方式：</w:t>
      </w:r>
    </w:p>
    <w:p w14:paraId="6E389306">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（1）在支付工程进度款时逐次扣留，工程质量保证金的计算基数不包括预付款的支付、扣回以及价格调整的金额；</w:t>
      </w:r>
    </w:p>
    <w:p w14:paraId="226048E6">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w:t>
      </w:r>
      <w:r>
        <w:rPr>
          <w:rFonts w:hint="eastAsia" w:ascii="宋体" w:hAnsi="宋体" w:cs="宋体"/>
          <w:kern w:val="0"/>
        </w:rPr>
        <w:t>工程竣工结算时，</w:t>
      </w:r>
      <w:r>
        <w:rPr>
          <w:rFonts w:hint="eastAsia" w:ascii="宋体" w:hAnsi="宋体" w:cs="宋体"/>
          <w:kern w:val="0"/>
          <w:u w:val="single"/>
        </w:rPr>
        <w:t>一次性扣留</w:t>
      </w:r>
      <w:r>
        <w:rPr>
          <w:rFonts w:hint="eastAsia" w:ascii="宋体" w:hAnsi="宋体"/>
          <w:u w:val="single"/>
        </w:rPr>
        <w:t>结算总额</w:t>
      </w:r>
      <w:r>
        <w:rPr>
          <w:rFonts w:hint="eastAsia" w:ascii="宋体" w:hAnsi="宋体" w:cs="宋体"/>
          <w:kern w:val="0"/>
          <w:u w:val="single"/>
        </w:rPr>
        <w:t>的3%，作为</w:t>
      </w:r>
      <w:r>
        <w:rPr>
          <w:rFonts w:hint="eastAsia" w:ascii="宋体" w:hAnsi="宋体" w:cs="宋体"/>
          <w:szCs w:val="21"/>
          <w:u w:val="single"/>
        </w:rPr>
        <w:t>工程质量保证金</w:t>
      </w:r>
      <w:r>
        <w:rPr>
          <w:rFonts w:hint="eastAsia" w:ascii="宋体" w:hAnsi="宋体" w:cs="宋体"/>
          <w:kern w:val="0"/>
          <w:u w:val="single"/>
        </w:rPr>
        <w:t>，</w:t>
      </w:r>
      <w:r>
        <w:rPr>
          <w:rFonts w:hint="eastAsia" w:ascii="宋体" w:hAnsi="宋体" w:cs="宋体"/>
          <w:szCs w:val="21"/>
          <w:u w:val="single"/>
        </w:rPr>
        <w:t>工程质量保证金</w:t>
      </w:r>
      <w:r>
        <w:rPr>
          <w:rFonts w:hint="eastAsia" w:ascii="宋体" w:hAnsi="宋体" w:cs="宋体"/>
          <w:spacing w:val="-8"/>
          <w:szCs w:val="21"/>
          <w:u w:val="single"/>
        </w:rPr>
        <w:t>待工程缺陷责任期满后30个工作日内返还（无息）</w:t>
      </w:r>
      <w:r>
        <w:rPr>
          <w:rFonts w:hint="eastAsia" w:ascii="宋体" w:hAnsi="宋体" w:cs="宋体"/>
          <w:spacing w:val="-8"/>
          <w:szCs w:val="21"/>
        </w:rPr>
        <w:t>。</w:t>
      </w:r>
    </w:p>
    <w:p w14:paraId="2D736188">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lang w:val="en-US" w:eastAsia="zh-CN"/>
        </w:rPr>
        <w:t>/</w:t>
      </w:r>
      <w:r>
        <w:rPr>
          <w:rFonts w:hint="eastAsia" w:ascii="宋体" w:hAnsi="宋体" w:cs="宋体"/>
          <w:kern w:val="0"/>
          <w:szCs w:val="21"/>
        </w:rPr>
        <w:t>。</w:t>
      </w:r>
    </w:p>
    <w:p w14:paraId="08A4FA76">
      <w:pPr>
        <w:pStyle w:val="82"/>
        <w:spacing w:line="360" w:lineRule="auto"/>
        <w:ind w:firstLine="420" w:firstLineChars="200"/>
        <w:jc w:val="left"/>
        <w:rPr>
          <w:rFonts w:hint="eastAsia" w:ascii="宋体" w:hAnsi="宋体" w:cs="宋体"/>
          <w:kern w:val="0"/>
          <w:szCs w:val="21"/>
          <w:u w:val="single"/>
        </w:rPr>
      </w:pPr>
      <w:r>
        <w:rPr>
          <w:rFonts w:hint="eastAsia" w:ascii="宋体" w:hAnsi="宋体" w:cs="宋体"/>
          <w:szCs w:val="21"/>
        </w:rPr>
        <w:t>关于工程质量保证金的补充约定：</w:t>
      </w:r>
      <w:r>
        <w:rPr>
          <w:rFonts w:hint="eastAsia" w:ascii="宋体" w:hAnsi="宋体" w:cs="宋体"/>
          <w:szCs w:val="21"/>
          <w:u w:val="single"/>
        </w:rPr>
        <w:t>工程缺陷责任期满</w:t>
      </w:r>
      <w:r>
        <w:rPr>
          <w:rFonts w:hint="eastAsia" w:ascii="宋体" w:hAnsi="宋体" w:cs="宋体"/>
          <w:kern w:val="0"/>
          <w:szCs w:val="21"/>
          <w:u w:val="single"/>
        </w:rPr>
        <w:t>结束后如产生维修费，则应扣除相应的维修费后无息退还</w:t>
      </w:r>
      <w:r>
        <w:rPr>
          <w:rFonts w:hint="eastAsia" w:ascii="宋体" w:hAnsi="宋体" w:cs="宋体"/>
          <w:kern w:val="0"/>
          <w:szCs w:val="21"/>
        </w:rPr>
        <w:t>。</w:t>
      </w:r>
    </w:p>
    <w:p w14:paraId="447C9CB5">
      <w:pPr>
        <w:pStyle w:val="82"/>
        <w:keepNext/>
        <w:keepLines/>
        <w:spacing w:line="360" w:lineRule="auto"/>
        <w:outlineLvl w:val="2"/>
        <w:rPr>
          <w:rFonts w:hint="eastAsia" w:ascii="宋体" w:hAnsi="宋体" w:cs="宋体"/>
          <w:b/>
          <w:bCs/>
          <w:szCs w:val="32"/>
        </w:rPr>
      </w:pPr>
      <w:bookmarkStart w:id="281" w:name="_Toc12853"/>
      <w:bookmarkStart w:id="282" w:name="_Toc4697"/>
      <w:r>
        <w:rPr>
          <w:rFonts w:hint="eastAsia" w:ascii="宋体" w:hAnsi="宋体" w:cs="宋体"/>
          <w:b/>
          <w:bCs/>
          <w:szCs w:val="32"/>
        </w:rPr>
        <w:t>15.4 工程质量保修期</w:t>
      </w:r>
      <w:bookmarkEnd w:id="281"/>
      <w:bookmarkEnd w:id="282"/>
    </w:p>
    <w:p w14:paraId="2A0A992F">
      <w:pPr>
        <w:pStyle w:val="82"/>
        <w:spacing w:line="360" w:lineRule="auto"/>
        <w:ind w:firstLine="409" w:firstLineChars="195"/>
        <w:jc w:val="left"/>
        <w:outlineLvl w:val="0"/>
        <w:rPr>
          <w:rFonts w:hint="eastAsia" w:ascii="宋体" w:hAnsi="宋体" w:cs="宋体"/>
          <w:szCs w:val="21"/>
        </w:rPr>
      </w:pPr>
      <w:bookmarkStart w:id="283" w:name="_Toc24597"/>
      <w:bookmarkStart w:id="284" w:name="_Toc27970"/>
      <w:r>
        <w:rPr>
          <w:rFonts w:hint="eastAsia" w:ascii="宋体" w:hAnsi="宋体" w:cs="宋体"/>
          <w:szCs w:val="21"/>
        </w:rPr>
        <w:t>15.4.1 保修责任</w:t>
      </w:r>
      <w:bookmarkEnd w:id="283"/>
      <w:bookmarkEnd w:id="284"/>
    </w:p>
    <w:p w14:paraId="4A43183B">
      <w:pPr>
        <w:pStyle w:val="82"/>
        <w:spacing w:line="360" w:lineRule="auto"/>
        <w:ind w:firstLine="409" w:firstLineChars="195"/>
        <w:jc w:val="left"/>
        <w:rPr>
          <w:rFonts w:hint="eastAsia" w:ascii="宋体" w:hAnsi="宋体" w:cs="宋体"/>
          <w:kern w:val="0"/>
          <w:szCs w:val="21"/>
        </w:rPr>
      </w:pPr>
      <w:r>
        <w:rPr>
          <w:rFonts w:hint="eastAsia" w:ascii="宋体" w:hAnsi="宋体" w:cs="宋体"/>
          <w:szCs w:val="21"/>
        </w:rPr>
        <w:t>工程质量保修期为：</w:t>
      </w:r>
      <w:r>
        <w:rPr>
          <w:rFonts w:hint="eastAsia" w:ascii="宋体" w:hAnsi="宋体" w:cs="宋体"/>
          <w:kern w:val="0"/>
          <w:szCs w:val="21"/>
          <w:u w:val="single"/>
        </w:rPr>
        <w:t>按《工程质量保修书》</w:t>
      </w:r>
      <w:r>
        <w:rPr>
          <w:rFonts w:hint="eastAsia" w:ascii="宋体" w:hAnsi="宋体" w:cs="宋体"/>
          <w:kern w:val="0"/>
          <w:szCs w:val="21"/>
        </w:rPr>
        <w:t>。</w:t>
      </w:r>
    </w:p>
    <w:p w14:paraId="53F3D8B3">
      <w:pPr>
        <w:pStyle w:val="82"/>
        <w:spacing w:line="360" w:lineRule="auto"/>
        <w:ind w:firstLine="409" w:firstLineChars="195"/>
        <w:jc w:val="left"/>
        <w:rPr>
          <w:rFonts w:hint="eastAsia" w:ascii="宋体" w:hAnsi="宋体" w:cs="宋体"/>
          <w:kern w:val="0"/>
          <w:szCs w:val="21"/>
          <w:u w:val="single"/>
        </w:rPr>
      </w:pPr>
      <w:r>
        <w:rPr>
          <w:rFonts w:hint="eastAsia" w:ascii="宋体" w:hAnsi="宋体" w:cs="宋体"/>
          <w:szCs w:val="21"/>
        </w:rPr>
        <w:t>工程质量保修书具体内容见合同附件3。</w:t>
      </w:r>
    </w:p>
    <w:p w14:paraId="29CA41F9">
      <w:pPr>
        <w:pStyle w:val="82"/>
        <w:spacing w:line="360" w:lineRule="auto"/>
        <w:ind w:firstLine="409" w:firstLineChars="195"/>
        <w:jc w:val="left"/>
        <w:rPr>
          <w:rFonts w:hint="eastAsia" w:ascii="宋体" w:hAnsi="宋体" w:cs="宋体"/>
          <w:szCs w:val="21"/>
        </w:rPr>
      </w:pPr>
      <w:r>
        <w:rPr>
          <w:rFonts w:hint="eastAsia" w:ascii="宋体" w:hAnsi="宋体" w:cs="宋体"/>
          <w:szCs w:val="21"/>
        </w:rPr>
        <w:t>15.4.3 修复通知</w:t>
      </w:r>
    </w:p>
    <w:p w14:paraId="5681C3EF">
      <w:pPr>
        <w:pStyle w:val="82"/>
        <w:spacing w:line="360" w:lineRule="auto"/>
        <w:ind w:firstLine="409" w:firstLineChars="195"/>
        <w:jc w:val="left"/>
        <w:rPr>
          <w:rFonts w:hint="eastAsia"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按《工程质量保修书》第四条质量保修责任的规定执行 </w:t>
      </w:r>
      <w:r>
        <w:rPr>
          <w:rFonts w:hint="eastAsia" w:ascii="宋体" w:hAnsi="宋体" w:cs="宋体"/>
          <w:kern w:val="0"/>
          <w:szCs w:val="21"/>
        </w:rPr>
        <w:t>。</w:t>
      </w:r>
    </w:p>
    <w:p w14:paraId="7A77D01B">
      <w:pPr>
        <w:pStyle w:val="82"/>
        <w:keepNext/>
        <w:keepLines/>
        <w:spacing w:before="60" w:after="60" w:line="413" w:lineRule="auto"/>
        <w:outlineLvl w:val="1"/>
        <w:rPr>
          <w:rFonts w:hint="eastAsia" w:ascii="宋体" w:hAnsi="宋体" w:cs="宋体"/>
          <w:b/>
          <w:bCs/>
          <w:szCs w:val="32"/>
        </w:rPr>
      </w:pPr>
      <w:bookmarkStart w:id="285" w:name="_Toc8696"/>
      <w:bookmarkStart w:id="286" w:name="_Toc2448"/>
      <w:r>
        <w:rPr>
          <w:rFonts w:hint="eastAsia" w:ascii="宋体" w:hAnsi="宋体" w:cs="宋体"/>
          <w:b/>
          <w:bCs/>
          <w:szCs w:val="32"/>
        </w:rPr>
        <w:t>16. 违约</w:t>
      </w:r>
      <w:bookmarkEnd w:id="285"/>
      <w:bookmarkEnd w:id="286"/>
    </w:p>
    <w:p w14:paraId="72DAA0B4">
      <w:pPr>
        <w:pStyle w:val="82"/>
        <w:keepNext/>
        <w:keepLines/>
        <w:spacing w:line="360" w:lineRule="auto"/>
        <w:outlineLvl w:val="2"/>
        <w:rPr>
          <w:rFonts w:hint="eastAsia" w:ascii="宋体" w:hAnsi="宋体" w:cs="宋体"/>
          <w:b/>
          <w:bCs/>
          <w:szCs w:val="32"/>
        </w:rPr>
      </w:pPr>
      <w:bookmarkStart w:id="287" w:name="_Toc16184"/>
      <w:bookmarkStart w:id="288" w:name="_Toc8828"/>
      <w:r>
        <w:rPr>
          <w:rFonts w:hint="eastAsia" w:ascii="宋体" w:hAnsi="宋体" w:cs="宋体"/>
          <w:b/>
          <w:bCs/>
          <w:szCs w:val="32"/>
        </w:rPr>
        <w:t>16.2 承包人违约</w:t>
      </w:r>
      <w:bookmarkEnd w:id="287"/>
      <w:bookmarkEnd w:id="288"/>
    </w:p>
    <w:p w14:paraId="62A7E844">
      <w:pPr>
        <w:pStyle w:val="82"/>
        <w:tabs>
          <w:tab w:val="left" w:pos="7140"/>
        </w:tabs>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16.2.1 承包人违约的情形</w:t>
      </w:r>
      <w:r>
        <w:rPr>
          <w:rFonts w:hint="eastAsia" w:ascii="宋体" w:hAnsi="宋体" w:cs="宋体"/>
          <w:kern w:val="0"/>
          <w:szCs w:val="21"/>
        </w:rPr>
        <w:tab/>
      </w:r>
    </w:p>
    <w:p w14:paraId="0C372D23">
      <w:pPr>
        <w:pStyle w:val="82"/>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rPr>
        <w:t>承包人违约的其他情形：</w:t>
      </w:r>
      <w:r>
        <w:rPr>
          <w:rFonts w:hint="eastAsia" w:ascii="宋体" w:hAnsi="宋体" w:cs="宋体"/>
          <w:kern w:val="0"/>
          <w:szCs w:val="21"/>
          <w:u w:val="single"/>
        </w:rPr>
        <w:t>按“通用条款”执行</w:t>
      </w:r>
      <w:r>
        <w:rPr>
          <w:rFonts w:hint="eastAsia" w:ascii="宋体" w:hAnsi="宋体" w:cs="宋体"/>
          <w:kern w:val="0"/>
          <w:szCs w:val="21"/>
        </w:rPr>
        <w:t>。</w:t>
      </w:r>
    </w:p>
    <w:p w14:paraId="1F8921A5">
      <w:pPr>
        <w:pStyle w:val="82"/>
        <w:spacing w:line="360" w:lineRule="auto"/>
        <w:ind w:firstLine="420" w:firstLineChars="200"/>
        <w:jc w:val="left"/>
        <w:outlineLvl w:val="0"/>
        <w:rPr>
          <w:rFonts w:hint="eastAsia" w:ascii="宋体" w:hAnsi="宋体" w:cs="宋体"/>
          <w:kern w:val="0"/>
          <w:szCs w:val="21"/>
        </w:rPr>
      </w:pPr>
      <w:bookmarkStart w:id="289" w:name="_Toc21056"/>
      <w:bookmarkStart w:id="290" w:name="_Toc19348"/>
      <w:r>
        <w:rPr>
          <w:rFonts w:hint="eastAsia" w:ascii="宋体" w:hAnsi="宋体" w:cs="宋体"/>
          <w:kern w:val="0"/>
          <w:szCs w:val="21"/>
        </w:rPr>
        <w:t>16.2.2承包人违约的责任</w:t>
      </w:r>
      <w:bookmarkEnd w:id="289"/>
      <w:bookmarkEnd w:id="290"/>
    </w:p>
    <w:p w14:paraId="46CFF356">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承包人违约责任的承担方式和计算方法：</w:t>
      </w:r>
    </w:p>
    <w:p w14:paraId="3BE783AF">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承包人未按本合同通用条款第16.2.1（2）、（3）条内容完成的，承包人无条件返工处理，修复至工程质量要求并承担相关费用，并在发包人规定的时间内完成返工，否则发包人有权扣罚该分项工程10%的工程款作为处罚。</w:t>
      </w:r>
    </w:p>
    <w:p w14:paraId="33D3ED6D">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（2）承包人有本合同通用条款第16.2.1（6）条情形的，或经监理人检验认为修复质量不合格而承包人拒绝再进行修补的，发包人将扣除承包人全部质量保证金。</w:t>
      </w:r>
    </w:p>
    <w:p w14:paraId="121E5F1B">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承包人有本专用合同条款3.2、3.3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5B597CBF">
      <w:pPr>
        <w:pStyle w:val="82"/>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（4）承包人未能按合同约定时间且因承包人自身原因导致工程延期竣工或无法验收时，每日延误的赔偿金额为合同协议书的合同价格的 万分之四/天 ；累计最高赔偿金额为合同协议书的合同价格的5%，发包人的损失按实际发生计。当承包人拒不支付时，发包人可按专用条款20.4条的规定进入争议解决程序。</w:t>
      </w:r>
    </w:p>
    <w:p w14:paraId="294B3FA8">
      <w:pPr>
        <w:pStyle w:val="82"/>
        <w:spacing w:line="360" w:lineRule="auto"/>
        <w:ind w:firstLine="420" w:firstLineChars="200"/>
        <w:jc w:val="left"/>
        <w:rPr>
          <w:rFonts w:hint="eastAsia" w:ascii="宋体" w:hAnsi="宋体" w:cs="宋体"/>
          <w:szCs w:val="21"/>
        </w:rPr>
      </w:pPr>
      <w:r>
        <w:rPr>
          <w:rFonts w:hint="eastAsia" w:ascii="宋体" w:hAnsi="宋体" w:cs="宋体"/>
          <w:szCs w:val="21"/>
        </w:rPr>
        <w:t>16.2.3 因承包人违约解除合同</w:t>
      </w:r>
    </w:p>
    <w:p w14:paraId="1FCCFC0F">
      <w:pPr>
        <w:spacing w:before="120" w:after="120" w:line="360" w:lineRule="auto"/>
        <w:ind w:firstLine="420" w:firstLineChars="200"/>
        <w:rPr>
          <w:rFonts w:hint="eastAsia" w:ascii="宋体" w:hAnsi="宋体" w:cs="宋体"/>
          <w:kern w:val="0"/>
          <w:szCs w:val="22"/>
        </w:rPr>
      </w:pPr>
      <w:r>
        <w:rPr>
          <w:rFonts w:hint="eastAsia" w:ascii="宋体" w:hAnsi="宋体" w:cs="宋体"/>
          <w:kern w:val="0"/>
        </w:rPr>
        <w:t>关于承包人违约解除合同的特别约定：</w:t>
      </w:r>
      <w:r>
        <w:rPr>
          <w:rFonts w:hint="eastAsia" w:ascii="宋体" w:hAnsi="宋体" w:cs="宋体"/>
          <w:kern w:val="0"/>
          <w:u w:val="single"/>
        </w:rPr>
        <w:t xml:space="preserve">按“通用条款”执行 </w:t>
      </w:r>
      <w:r>
        <w:rPr>
          <w:rFonts w:hint="eastAsia" w:ascii="宋体" w:hAnsi="宋体" w:cs="宋体"/>
          <w:kern w:val="0"/>
        </w:rPr>
        <w:t>。</w:t>
      </w:r>
    </w:p>
    <w:p w14:paraId="26392DD7">
      <w:pPr>
        <w:spacing w:before="120" w:after="120" w:line="360" w:lineRule="auto"/>
        <w:ind w:firstLine="420" w:firstLineChars="200"/>
        <w:rPr>
          <w:rFonts w:hint="eastAsia" w:ascii="宋体" w:hAnsi="宋体" w:cs="宋体"/>
          <w:kern w:val="0"/>
          <w:szCs w:val="22"/>
        </w:rPr>
      </w:pPr>
      <w:r>
        <w:rPr>
          <w:rFonts w:hint="eastAsia" w:ascii="宋体" w:hAnsi="宋体" w:cs="宋体"/>
          <w:kern w:val="0"/>
        </w:rPr>
        <w:t>发包人继续使用承包人在施工现场的材料、设备、临时工程、承包人文件和由承包人或以其名义编制的其他文件的费用承担方式：</w:t>
      </w:r>
      <w:r>
        <w:rPr>
          <w:rFonts w:hint="eastAsia" w:ascii="宋体" w:hAnsi="宋体" w:cs="宋体"/>
          <w:kern w:val="0"/>
          <w:u w:val="single"/>
        </w:rPr>
        <w:t xml:space="preserve">按“通用条款”执行  </w:t>
      </w:r>
      <w:r>
        <w:rPr>
          <w:rFonts w:hint="eastAsia" w:ascii="宋体" w:hAnsi="宋体" w:cs="宋体"/>
          <w:kern w:val="0"/>
        </w:rPr>
        <w:t>。</w:t>
      </w:r>
    </w:p>
    <w:p w14:paraId="79E875D4">
      <w:pPr>
        <w:pStyle w:val="82"/>
        <w:keepNext/>
        <w:keepLines/>
        <w:spacing w:before="60" w:after="60" w:line="413" w:lineRule="auto"/>
        <w:outlineLvl w:val="1"/>
        <w:rPr>
          <w:rFonts w:hint="eastAsia" w:ascii="宋体" w:hAnsi="宋体" w:cs="宋体"/>
          <w:b/>
          <w:bCs/>
          <w:szCs w:val="32"/>
        </w:rPr>
      </w:pPr>
      <w:bookmarkStart w:id="291" w:name="_Toc6378"/>
      <w:bookmarkStart w:id="292" w:name="_Toc16894"/>
      <w:r>
        <w:rPr>
          <w:rFonts w:hint="eastAsia" w:ascii="宋体" w:hAnsi="宋体" w:cs="宋体"/>
          <w:b/>
          <w:bCs/>
          <w:szCs w:val="32"/>
        </w:rPr>
        <w:t>17. 不可抗力</w:t>
      </w:r>
      <w:bookmarkEnd w:id="291"/>
      <w:bookmarkEnd w:id="292"/>
    </w:p>
    <w:p w14:paraId="70ADB851">
      <w:pPr>
        <w:pStyle w:val="82"/>
        <w:keepNext/>
        <w:keepLines/>
        <w:spacing w:line="360" w:lineRule="auto"/>
        <w:outlineLvl w:val="2"/>
        <w:rPr>
          <w:rFonts w:hint="eastAsia" w:ascii="宋体" w:hAnsi="宋体" w:cs="宋体"/>
          <w:b/>
          <w:bCs/>
          <w:szCs w:val="32"/>
        </w:rPr>
      </w:pPr>
      <w:bookmarkStart w:id="293" w:name="_Toc10877"/>
      <w:bookmarkStart w:id="294" w:name="_Toc31921"/>
      <w:r>
        <w:rPr>
          <w:rFonts w:hint="eastAsia" w:ascii="宋体" w:hAnsi="宋体" w:cs="宋体"/>
          <w:b/>
          <w:bCs/>
          <w:szCs w:val="32"/>
        </w:rPr>
        <w:t>17.1 不可抗力的确认</w:t>
      </w:r>
      <w:bookmarkEnd w:id="293"/>
      <w:bookmarkEnd w:id="294"/>
    </w:p>
    <w:p w14:paraId="1669B2CA">
      <w:pPr>
        <w:pStyle w:val="82"/>
        <w:spacing w:line="360" w:lineRule="auto"/>
        <w:ind w:firstLine="420" w:firstLineChars="200"/>
        <w:jc w:val="left"/>
        <w:rPr>
          <w:rFonts w:hint="eastAsia"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bCs/>
          <w:kern w:val="0"/>
          <w:szCs w:val="21"/>
          <w:u w:val="single"/>
        </w:rPr>
        <w:t>不可抗力是指合同当事人在签订合同时不可预见，在合同履行过程中不可避免且不能克服的自然灾害和社会性突发事件，如地震、海啸、瘟疫、骚乱、戒严、暴动、战争和专用合同条款中约定的其他情形。</w:t>
      </w:r>
    </w:p>
    <w:p w14:paraId="2F722F2A">
      <w:pPr>
        <w:pStyle w:val="82"/>
        <w:keepNext/>
        <w:keepLines/>
        <w:spacing w:line="360" w:lineRule="auto"/>
        <w:outlineLvl w:val="2"/>
        <w:rPr>
          <w:rFonts w:hint="eastAsia" w:ascii="宋体" w:hAnsi="宋体" w:cs="宋体"/>
          <w:b/>
          <w:bCs/>
          <w:szCs w:val="32"/>
        </w:rPr>
      </w:pPr>
      <w:bookmarkStart w:id="295" w:name="_Toc20147"/>
      <w:bookmarkStart w:id="296" w:name="_Toc24961"/>
      <w:r>
        <w:rPr>
          <w:rFonts w:hint="eastAsia" w:ascii="宋体" w:hAnsi="宋体" w:cs="宋体"/>
          <w:b/>
          <w:bCs/>
          <w:szCs w:val="32"/>
        </w:rPr>
        <w:t>17.4 因不可抗力解除合同</w:t>
      </w:r>
      <w:bookmarkEnd w:id="295"/>
      <w:bookmarkEnd w:id="296"/>
    </w:p>
    <w:p w14:paraId="45641DC1">
      <w:pPr>
        <w:pStyle w:val="82"/>
        <w:spacing w:line="360" w:lineRule="auto"/>
        <w:ind w:firstLine="420" w:firstLineChars="200"/>
        <w:jc w:val="left"/>
        <w:rPr>
          <w:rFonts w:hint="eastAsia"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60  </w:t>
      </w:r>
      <w:r>
        <w:rPr>
          <w:rFonts w:hint="eastAsia" w:ascii="宋体" w:hAnsi="宋体" w:cs="宋体"/>
          <w:szCs w:val="21"/>
        </w:rPr>
        <w:t>天内完成款项的支付。</w:t>
      </w:r>
    </w:p>
    <w:p w14:paraId="687C5E0C">
      <w:pPr>
        <w:pStyle w:val="82"/>
        <w:keepNext/>
        <w:keepLines/>
        <w:spacing w:before="60" w:after="60" w:line="413" w:lineRule="auto"/>
        <w:outlineLvl w:val="1"/>
        <w:rPr>
          <w:rFonts w:hint="eastAsia" w:ascii="宋体" w:hAnsi="宋体" w:cs="宋体"/>
          <w:b/>
          <w:bCs/>
          <w:szCs w:val="32"/>
        </w:rPr>
      </w:pPr>
      <w:bookmarkStart w:id="297" w:name="_Toc7239"/>
      <w:bookmarkStart w:id="298" w:name="_Toc17972"/>
      <w:r>
        <w:rPr>
          <w:rFonts w:hint="eastAsia" w:ascii="宋体" w:hAnsi="宋体" w:cs="宋体"/>
          <w:b/>
          <w:bCs/>
          <w:szCs w:val="32"/>
        </w:rPr>
        <w:t>18. 保险</w:t>
      </w:r>
      <w:bookmarkEnd w:id="297"/>
      <w:bookmarkEnd w:id="298"/>
    </w:p>
    <w:p w14:paraId="1CD10D17">
      <w:pPr>
        <w:pStyle w:val="82"/>
        <w:keepNext/>
        <w:keepLines/>
        <w:spacing w:line="360" w:lineRule="auto"/>
        <w:outlineLvl w:val="2"/>
        <w:rPr>
          <w:rFonts w:hint="eastAsia" w:ascii="宋体" w:hAnsi="宋体" w:cs="宋体"/>
          <w:b/>
          <w:bCs/>
          <w:szCs w:val="32"/>
        </w:rPr>
      </w:pPr>
      <w:bookmarkStart w:id="299" w:name="_Toc9846"/>
      <w:bookmarkStart w:id="300" w:name="_Toc30855"/>
      <w:r>
        <w:rPr>
          <w:rFonts w:hint="eastAsia" w:ascii="宋体" w:hAnsi="宋体" w:cs="宋体"/>
          <w:b/>
          <w:bCs/>
          <w:szCs w:val="32"/>
        </w:rPr>
        <w:t>18.1 工程保险</w:t>
      </w:r>
      <w:bookmarkEnd w:id="299"/>
      <w:bookmarkEnd w:id="300"/>
    </w:p>
    <w:p w14:paraId="6C6AF255">
      <w:pPr>
        <w:spacing w:line="360" w:lineRule="auto"/>
        <w:ind w:firstLine="420" w:firstLineChars="200"/>
        <w:rPr>
          <w:rFonts w:hint="eastAsia" w:ascii="宋体" w:hAnsi="宋体" w:cs="宋体"/>
          <w:kern w:val="0"/>
          <w:szCs w:val="21"/>
        </w:rPr>
      </w:pPr>
      <w:bookmarkStart w:id="301" w:name="_Toc6094"/>
      <w:r>
        <w:rPr>
          <w:rFonts w:hint="eastAsia" w:ascii="宋体" w:hAnsi="宋体" w:cs="宋体"/>
          <w:szCs w:val="21"/>
        </w:rPr>
        <w:t>（1）关于工程保险的特别约定：</w:t>
      </w:r>
      <w:r>
        <w:rPr>
          <w:rFonts w:hint="eastAsia" w:ascii="宋体" w:hAnsi="宋体" w:cs="宋体"/>
          <w:bCs/>
          <w:szCs w:val="21"/>
          <w:u w:val="single"/>
        </w:rPr>
        <w:t xml:space="preserve">承包人必须按建设行政主管部门的要求对建筑工程和安装工程等工程购买一切险，费用由承包人承担  </w:t>
      </w:r>
      <w:r>
        <w:rPr>
          <w:rFonts w:hint="eastAsia" w:ascii="宋体" w:hAnsi="宋体" w:cs="宋体"/>
          <w:kern w:val="0"/>
          <w:szCs w:val="21"/>
        </w:rPr>
        <w:t>。</w:t>
      </w:r>
    </w:p>
    <w:p w14:paraId="35991865">
      <w:pPr>
        <w:spacing w:line="360" w:lineRule="auto"/>
        <w:ind w:firstLine="422" w:firstLineChars="200"/>
        <w:rPr>
          <w:rFonts w:hint="eastAsia" w:ascii="宋体" w:hAnsi="宋体" w:cs="宋体"/>
          <w:b/>
          <w:szCs w:val="21"/>
        </w:rPr>
      </w:pPr>
      <w:r>
        <w:rPr>
          <w:rFonts w:hint="eastAsia" w:ascii="宋体" w:hAnsi="宋体" w:cs="宋体"/>
          <w:b/>
          <w:kern w:val="0"/>
          <w:szCs w:val="21"/>
        </w:rPr>
        <w:t>（2）</w:t>
      </w:r>
      <w:r>
        <w:rPr>
          <w:rFonts w:hint="eastAsia" w:ascii="宋体" w:hAnsi="宋体" w:cs="宋体"/>
          <w:b/>
          <w:szCs w:val="21"/>
        </w:rPr>
        <w:t>本项目承包人必须按《桂建发〔2023〕1号--自治区住房城乡建设厅 自治区财政厅 广西银保监局关于印发《广西壮族自治区房屋建筑和市政基础设施工程安全生产责任保险实施办法》的通知》和自治区住房城乡建设厅 广西银保监局关于印发《广西壮族自治区房屋建筑和市政基础设施工程安全生产责任保险实施细则》的通知--桂建发〔2023〕2号要求办理项目安全生产责任保险，费用由承包人承担。</w:t>
      </w:r>
    </w:p>
    <w:p w14:paraId="7AFC5E39">
      <w:pPr>
        <w:pStyle w:val="82"/>
        <w:keepNext/>
        <w:keepLines/>
        <w:spacing w:line="360" w:lineRule="auto"/>
        <w:outlineLvl w:val="2"/>
        <w:rPr>
          <w:rFonts w:hint="eastAsia" w:ascii="宋体" w:hAnsi="宋体" w:cs="宋体"/>
          <w:b/>
          <w:bCs/>
          <w:szCs w:val="32"/>
        </w:rPr>
      </w:pPr>
      <w:bookmarkStart w:id="302" w:name="_Toc9598"/>
      <w:r>
        <w:rPr>
          <w:rFonts w:hint="eastAsia" w:ascii="宋体" w:hAnsi="宋体" w:cs="宋体"/>
          <w:b/>
          <w:bCs/>
          <w:szCs w:val="32"/>
        </w:rPr>
        <w:t>18.3 其他保险</w:t>
      </w:r>
      <w:bookmarkEnd w:id="301"/>
      <w:bookmarkEnd w:id="302"/>
    </w:p>
    <w:p w14:paraId="03707F81">
      <w:pPr>
        <w:pStyle w:val="82"/>
        <w:spacing w:line="360" w:lineRule="auto"/>
        <w:ind w:firstLine="420" w:firstLineChars="200"/>
        <w:jc w:val="left"/>
        <w:rPr>
          <w:rFonts w:hint="eastAsia" w:ascii="宋体" w:hAnsi="宋体" w:cs="宋体"/>
          <w:kern w:val="0"/>
          <w:szCs w:val="21"/>
        </w:rPr>
      </w:pPr>
      <w:r>
        <w:rPr>
          <w:rFonts w:hint="eastAsia" w:ascii="宋体" w:hAnsi="宋体" w:cs="宋体"/>
          <w:szCs w:val="21"/>
        </w:rPr>
        <w:t>关于其他保险的约定：</w:t>
      </w:r>
      <w:r>
        <w:rPr>
          <w:rFonts w:hint="eastAsia" w:ascii="宋体" w:hAnsi="宋体" w:cs="宋体"/>
          <w:bCs/>
          <w:szCs w:val="21"/>
          <w:u w:val="single"/>
        </w:rPr>
        <w:t>按“通用条款”执行</w:t>
      </w:r>
      <w:r>
        <w:rPr>
          <w:rFonts w:hint="eastAsia" w:ascii="宋体" w:hAnsi="宋体" w:cs="宋体"/>
          <w:bCs/>
          <w:szCs w:val="21"/>
        </w:rPr>
        <w:t>。</w:t>
      </w:r>
    </w:p>
    <w:p w14:paraId="65A7F3FF">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是</w:t>
      </w:r>
      <w:r>
        <w:rPr>
          <w:rFonts w:hint="eastAsia" w:ascii="宋体" w:hAnsi="宋体" w:cs="宋体"/>
          <w:szCs w:val="21"/>
        </w:rPr>
        <w:t>。</w:t>
      </w:r>
    </w:p>
    <w:p w14:paraId="1C2EABE5">
      <w:pPr>
        <w:pStyle w:val="82"/>
        <w:keepNext/>
        <w:keepLines/>
        <w:spacing w:line="360" w:lineRule="auto"/>
        <w:outlineLvl w:val="2"/>
        <w:rPr>
          <w:rFonts w:hint="eastAsia" w:ascii="宋体" w:hAnsi="宋体" w:cs="宋体"/>
          <w:b/>
          <w:bCs/>
          <w:szCs w:val="32"/>
        </w:rPr>
      </w:pPr>
      <w:bookmarkStart w:id="303" w:name="_Toc25380"/>
      <w:bookmarkStart w:id="304" w:name="_Toc6691"/>
      <w:r>
        <w:rPr>
          <w:rFonts w:hint="eastAsia" w:ascii="宋体" w:hAnsi="宋体" w:cs="宋体"/>
          <w:b/>
          <w:bCs/>
          <w:szCs w:val="32"/>
        </w:rPr>
        <w:t>18.7 通知义务</w:t>
      </w:r>
      <w:bookmarkEnd w:id="303"/>
      <w:bookmarkEnd w:id="304"/>
    </w:p>
    <w:p w14:paraId="24962612">
      <w:pPr>
        <w:pStyle w:val="82"/>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承包人变更保险合同时应事先征得发包人同意，并通知监理人。保险事故发生时，投保人应按照保险合同规定的条件和期限及时向保险人报告。发包人和承包人应当在知道保险事故发生后及时通知对方</w:t>
      </w:r>
      <w:r>
        <w:rPr>
          <w:rFonts w:hint="eastAsia" w:ascii="宋体" w:hAnsi="宋体" w:cs="宋体"/>
          <w:szCs w:val="21"/>
        </w:rPr>
        <w:t>。</w:t>
      </w:r>
    </w:p>
    <w:p w14:paraId="3DBF4B4F">
      <w:pPr>
        <w:pStyle w:val="82"/>
        <w:keepNext/>
        <w:keepLines/>
        <w:spacing w:before="60" w:after="60" w:line="413" w:lineRule="auto"/>
        <w:outlineLvl w:val="1"/>
        <w:rPr>
          <w:rFonts w:hint="eastAsia" w:ascii="宋体" w:hAnsi="宋体" w:cs="宋体"/>
          <w:b/>
          <w:bCs/>
          <w:szCs w:val="32"/>
        </w:rPr>
      </w:pPr>
      <w:bookmarkStart w:id="305" w:name="_Toc10746"/>
      <w:bookmarkStart w:id="306" w:name="_Toc32638"/>
      <w:r>
        <w:rPr>
          <w:rFonts w:hint="eastAsia" w:ascii="宋体" w:hAnsi="宋体" w:cs="宋体"/>
          <w:b/>
          <w:bCs/>
          <w:szCs w:val="32"/>
        </w:rPr>
        <w:t>20. 争议解决</w:t>
      </w:r>
      <w:bookmarkEnd w:id="305"/>
      <w:bookmarkEnd w:id="306"/>
    </w:p>
    <w:p w14:paraId="7A0DAE00">
      <w:pPr>
        <w:pStyle w:val="82"/>
        <w:keepNext/>
        <w:keepLines/>
        <w:spacing w:line="360" w:lineRule="auto"/>
        <w:outlineLvl w:val="2"/>
        <w:rPr>
          <w:rFonts w:hint="eastAsia" w:ascii="宋体" w:hAnsi="宋体" w:cs="宋体"/>
          <w:b/>
          <w:bCs/>
          <w:szCs w:val="32"/>
        </w:rPr>
      </w:pPr>
      <w:bookmarkStart w:id="307" w:name="_Toc443"/>
      <w:bookmarkStart w:id="308" w:name="_Toc10273"/>
      <w:r>
        <w:rPr>
          <w:rFonts w:hint="eastAsia" w:ascii="宋体" w:hAnsi="宋体" w:cs="宋体"/>
          <w:b/>
          <w:bCs/>
          <w:szCs w:val="32"/>
        </w:rPr>
        <w:t>20.3 争议评审</w:t>
      </w:r>
      <w:bookmarkEnd w:id="307"/>
      <w:bookmarkEnd w:id="308"/>
    </w:p>
    <w:p w14:paraId="340AA062">
      <w:pPr>
        <w:pStyle w:val="82"/>
        <w:spacing w:line="360" w:lineRule="auto"/>
        <w:ind w:left="149" w:leftChars="71" w:firstLine="315" w:firstLineChars="150"/>
        <w:jc w:val="left"/>
        <w:rPr>
          <w:rFonts w:hint="eastAsia"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否</w:t>
      </w:r>
      <w:r>
        <w:rPr>
          <w:rFonts w:hint="eastAsia" w:ascii="宋体" w:hAnsi="宋体" w:cs="宋体"/>
          <w:szCs w:val="21"/>
        </w:rPr>
        <w:t>。</w:t>
      </w:r>
    </w:p>
    <w:p w14:paraId="6CD5AE85">
      <w:pPr>
        <w:pStyle w:val="82"/>
        <w:spacing w:line="360" w:lineRule="auto"/>
        <w:ind w:firstLine="420" w:firstLineChars="200"/>
        <w:jc w:val="left"/>
        <w:outlineLvl w:val="0"/>
        <w:rPr>
          <w:rFonts w:hint="eastAsia" w:ascii="宋体" w:hAnsi="宋体" w:cs="宋体"/>
          <w:szCs w:val="21"/>
        </w:rPr>
      </w:pPr>
      <w:bookmarkStart w:id="309" w:name="_Toc3609"/>
      <w:bookmarkStart w:id="310" w:name="_Toc12177"/>
      <w:r>
        <w:rPr>
          <w:rFonts w:hint="eastAsia" w:ascii="宋体" w:hAnsi="宋体" w:cs="宋体"/>
          <w:szCs w:val="21"/>
        </w:rPr>
        <w:t>20.3.1 争议评审小组的确定</w:t>
      </w:r>
      <w:bookmarkEnd w:id="309"/>
      <w:bookmarkEnd w:id="310"/>
    </w:p>
    <w:p w14:paraId="04F17299">
      <w:pPr>
        <w:pStyle w:val="82"/>
        <w:spacing w:line="360" w:lineRule="auto"/>
        <w:ind w:firstLine="420" w:firstLineChars="200"/>
        <w:jc w:val="left"/>
        <w:rPr>
          <w:rFonts w:hint="eastAsia"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                    </w:t>
      </w:r>
      <w:r>
        <w:rPr>
          <w:rFonts w:hint="eastAsia" w:ascii="宋体" w:hAnsi="宋体" w:cs="宋体"/>
          <w:szCs w:val="21"/>
        </w:rPr>
        <w:t>。</w:t>
      </w:r>
    </w:p>
    <w:p w14:paraId="5D1106CB">
      <w:pPr>
        <w:pStyle w:val="82"/>
        <w:spacing w:line="360" w:lineRule="auto"/>
        <w:ind w:firstLine="420" w:firstLineChars="200"/>
        <w:jc w:val="left"/>
        <w:rPr>
          <w:rFonts w:hint="eastAsia"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               </w:t>
      </w:r>
      <w:r>
        <w:rPr>
          <w:rFonts w:hint="eastAsia" w:ascii="宋体" w:hAnsi="宋体" w:cs="宋体"/>
          <w:szCs w:val="21"/>
        </w:rPr>
        <w:t>。</w:t>
      </w:r>
    </w:p>
    <w:p w14:paraId="66FBB431">
      <w:pPr>
        <w:pStyle w:val="82"/>
        <w:spacing w:line="360" w:lineRule="auto"/>
        <w:ind w:firstLine="420" w:firstLineChars="200"/>
        <w:jc w:val="left"/>
        <w:rPr>
          <w:rFonts w:hint="eastAsia"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             </w:t>
      </w:r>
      <w:r>
        <w:rPr>
          <w:rFonts w:hint="eastAsia" w:ascii="宋体" w:hAnsi="宋体" w:cs="宋体"/>
          <w:szCs w:val="21"/>
        </w:rPr>
        <w:t>。</w:t>
      </w:r>
    </w:p>
    <w:p w14:paraId="303E9FED">
      <w:pPr>
        <w:pStyle w:val="82"/>
        <w:spacing w:line="360" w:lineRule="auto"/>
        <w:ind w:firstLine="420" w:firstLineChars="200"/>
        <w:jc w:val="left"/>
        <w:rPr>
          <w:rFonts w:hint="eastAsia"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                </w:t>
      </w:r>
      <w:r>
        <w:rPr>
          <w:rFonts w:hint="eastAsia" w:ascii="宋体" w:hAnsi="宋体" w:cs="宋体"/>
          <w:szCs w:val="21"/>
        </w:rPr>
        <w:t>。</w:t>
      </w:r>
    </w:p>
    <w:p w14:paraId="34128005">
      <w:pPr>
        <w:pStyle w:val="82"/>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20.3.2 争议评审小组的决定</w:t>
      </w:r>
    </w:p>
    <w:p w14:paraId="0D564BE5">
      <w:pPr>
        <w:pStyle w:val="82"/>
        <w:spacing w:line="360" w:lineRule="auto"/>
        <w:ind w:firstLine="420" w:firstLineChars="200"/>
        <w:jc w:val="left"/>
        <w:rPr>
          <w:rFonts w:hint="eastAsia"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                 </w:t>
      </w:r>
      <w:r>
        <w:rPr>
          <w:rFonts w:hint="eastAsia" w:ascii="宋体" w:hAnsi="宋体" w:cs="宋体"/>
          <w:szCs w:val="21"/>
        </w:rPr>
        <w:t>。</w:t>
      </w:r>
    </w:p>
    <w:p w14:paraId="34B7F2DA">
      <w:pPr>
        <w:pStyle w:val="82"/>
        <w:keepNext/>
        <w:keepLines/>
        <w:spacing w:line="360" w:lineRule="auto"/>
        <w:outlineLvl w:val="2"/>
        <w:rPr>
          <w:rFonts w:hint="eastAsia" w:ascii="宋体" w:hAnsi="宋体" w:cs="宋体"/>
          <w:b/>
          <w:bCs/>
          <w:szCs w:val="32"/>
        </w:rPr>
      </w:pPr>
      <w:bookmarkStart w:id="311" w:name="_Toc6427"/>
      <w:bookmarkStart w:id="312" w:name="_Toc16025"/>
      <w:r>
        <w:rPr>
          <w:rFonts w:hint="eastAsia" w:ascii="宋体" w:hAnsi="宋体" w:cs="宋体"/>
          <w:b/>
          <w:bCs/>
          <w:szCs w:val="32"/>
        </w:rPr>
        <w:t>20.4 仲裁或诉讼</w:t>
      </w:r>
      <w:bookmarkEnd w:id="311"/>
      <w:bookmarkEnd w:id="312"/>
    </w:p>
    <w:p w14:paraId="02784A38">
      <w:pPr>
        <w:pStyle w:val="83"/>
        <w:spacing w:line="360" w:lineRule="auto"/>
        <w:ind w:firstLine="420" w:firstLineChars="200"/>
        <w:jc w:val="left"/>
        <w:rPr>
          <w:rFonts w:hint="eastAsia" w:ascii="宋体" w:hAnsi="宋体" w:cs="宋体"/>
          <w:bCs/>
          <w:szCs w:val="21"/>
        </w:rPr>
      </w:pPr>
      <w:r>
        <w:rPr>
          <w:rFonts w:hint="eastAsia" w:ascii="宋体" w:hAnsi="宋体" w:cs="宋体"/>
          <w:bCs/>
          <w:szCs w:val="21"/>
        </w:rPr>
        <w:t>（1）提请</w:t>
      </w:r>
      <w:r>
        <w:rPr>
          <w:rFonts w:hint="eastAsia" w:ascii="宋体" w:hAnsi="宋体" w:cs="宋体"/>
          <w:bCs/>
          <w:szCs w:val="21"/>
          <w:u w:val="single"/>
        </w:rPr>
        <w:t xml:space="preserve">   /  </w:t>
      </w:r>
      <w:r>
        <w:rPr>
          <w:rFonts w:hint="eastAsia" w:ascii="宋体" w:hAnsi="宋体" w:cs="宋体"/>
          <w:bCs/>
          <w:szCs w:val="21"/>
        </w:rPr>
        <w:t>仲裁委员会按照该会仲裁规则进行仲裁，仲裁裁决是终局的，对合同双方均有约束力。</w:t>
      </w:r>
    </w:p>
    <w:p w14:paraId="7E71C8E9">
      <w:pPr>
        <w:pStyle w:val="83"/>
        <w:spacing w:line="360" w:lineRule="auto"/>
        <w:ind w:firstLine="420" w:firstLineChars="200"/>
        <w:jc w:val="left"/>
        <w:rPr>
          <w:rFonts w:hint="eastAsia" w:ascii="宋体" w:hAnsi="宋体" w:cs="宋体"/>
          <w:bCs/>
          <w:szCs w:val="21"/>
        </w:rPr>
      </w:pPr>
      <w:r>
        <w:rPr>
          <w:rFonts w:hint="eastAsia" w:ascii="宋体" w:hAnsi="宋体" w:cs="宋体"/>
          <w:bCs/>
          <w:szCs w:val="21"/>
        </w:rPr>
        <w:t>（2）向</w:t>
      </w:r>
      <w:r>
        <w:rPr>
          <w:rFonts w:hint="eastAsia" w:ascii="宋体" w:hAnsi="宋体" w:cs="宋体"/>
          <w:bCs/>
          <w:szCs w:val="21"/>
          <w:u w:val="single"/>
        </w:rPr>
        <w:t xml:space="preserve"> 项目所在地</w:t>
      </w:r>
      <w:r>
        <w:rPr>
          <w:rFonts w:hint="eastAsia" w:ascii="宋体" w:hAnsi="宋体" w:cs="宋体"/>
          <w:bCs/>
          <w:szCs w:val="21"/>
        </w:rPr>
        <w:t>人民法院起诉。</w:t>
      </w:r>
    </w:p>
    <w:p w14:paraId="5D085C62">
      <w:pPr>
        <w:spacing w:line="460" w:lineRule="exact"/>
        <w:ind w:firstLine="420" w:firstLineChars="200"/>
        <w:rPr>
          <w:rFonts w:hint="eastAsia" w:ascii="宋体" w:hAnsi="宋体" w:cs="仿宋"/>
        </w:rPr>
      </w:pPr>
      <w:r>
        <w:rPr>
          <w:rFonts w:hint="eastAsia" w:ascii="宋体" w:hAnsi="宋体" w:cs="仿宋"/>
        </w:rPr>
        <w:t>协议书附件：</w:t>
      </w:r>
    </w:p>
    <w:p w14:paraId="1654226B">
      <w:pPr>
        <w:spacing w:line="460" w:lineRule="exact"/>
        <w:ind w:firstLine="420" w:firstLineChars="200"/>
        <w:rPr>
          <w:rFonts w:hint="eastAsia" w:ascii="宋体" w:hAnsi="宋体" w:cs="仿宋"/>
        </w:rPr>
      </w:pPr>
      <w:r>
        <w:rPr>
          <w:rFonts w:hint="eastAsia" w:ascii="宋体" w:hAnsi="宋体" w:cs="仿宋"/>
        </w:rPr>
        <w:t>附件1：承包人承揽工程项目一览表</w:t>
      </w:r>
    </w:p>
    <w:p w14:paraId="5B72DD97">
      <w:pPr>
        <w:spacing w:line="460" w:lineRule="exact"/>
        <w:ind w:firstLine="420" w:firstLineChars="200"/>
        <w:rPr>
          <w:rFonts w:hint="eastAsia" w:ascii="宋体" w:hAnsi="宋体" w:cs="仿宋"/>
        </w:rPr>
      </w:pPr>
      <w:r>
        <w:rPr>
          <w:rFonts w:hint="eastAsia" w:ascii="宋体" w:hAnsi="宋体" w:cs="仿宋"/>
        </w:rPr>
        <w:t>附件2：发包人供应材料设备一览表</w:t>
      </w:r>
    </w:p>
    <w:p w14:paraId="2BCE6985">
      <w:pPr>
        <w:spacing w:line="460" w:lineRule="exact"/>
        <w:ind w:firstLine="420" w:firstLineChars="200"/>
        <w:rPr>
          <w:rFonts w:hint="eastAsia" w:ascii="宋体" w:hAnsi="宋体" w:cs="仿宋"/>
        </w:rPr>
      </w:pPr>
      <w:r>
        <w:rPr>
          <w:rFonts w:hint="eastAsia" w:ascii="宋体" w:hAnsi="宋体" w:cs="仿宋"/>
        </w:rPr>
        <w:t>附件3：工程质量保修书</w:t>
      </w:r>
    </w:p>
    <w:p w14:paraId="48D50E97">
      <w:pPr>
        <w:spacing w:line="460" w:lineRule="exact"/>
        <w:ind w:firstLine="420" w:firstLineChars="200"/>
        <w:rPr>
          <w:rFonts w:hint="eastAsia" w:ascii="宋体" w:hAnsi="宋体" w:cs="仿宋"/>
        </w:rPr>
      </w:pPr>
      <w:r>
        <w:rPr>
          <w:rFonts w:hint="eastAsia" w:ascii="宋体" w:hAnsi="宋体" w:cs="仿宋"/>
        </w:rPr>
        <w:t>附件4：主要建设工程文件目录</w:t>
      </w:r>
    </w:p>
    <w:p w14:paraId="390DB6A2">
      <w:pPr>
        <w:spacing w:line="460" w:lineRule="exact"/>
        <w:ind w:firstLine="420" w:firstLineChars="200"/>
        <w:rPr>
          <w:rFonts w:hint="eastAsia" w:ascii="宋体" w:hAnsi="宋体" w:cs="仿宋"/>
        </w:rPr>
      </w:pPr>
      <w:r>
        <w:rPr>
          <w:rFonts w:hint="eastAsia" w:ascii="宋体" w:hAnsi="宋体" w:cs="仿宋"/>
        </w:rPr>
        <w:t>附件5：承包人用于本工程施工的机械设备表</w:t>
      </w:r>
    </w:p>
    <w:p w14:paraId="737E141E">
      <w:pPr>
        <w:spacing w:line="460" w:lineRule="exact"/>
        <w:ind w:firstLine="420" w:firstLineChars="200"/>
        <w:rPr>
          <w:rFonts w:hint="eastAsia" w:ascii="宋体" w:hAnsi="宋体" w:cs="仿宋"/>
        </w:rPr>
      </w:pPr>
      <w:r>
        <w:rPr>
          <w:rFonts w:hint="eastAsia" w:ascii="宋体" w:hAnsi="宋体" w:cs="仿宋"/>
        </w:rPr>
        <w:t>附件6：承包人主要施工管理人员表</w:t>
      </w:r>
    </w:p>
    <w:p w14:paraId="01729D26">
      <w:pPr>
        <w:spacing w:line="460" w:lineRule="exact"/>
        <w:rPr>
          <w:szCs w:val="21"/>
        </w:rPr>
        <w:sectPr>
          <w:footerReference r:id="rId12" w:type="default"/>
          <w:pgSz w:w="11911" w:h="16843"/>
          <w:pgMar w:top="1134" w:right="1434" w:bottom="1134" w:left="1434" w:header="0" w:footer="1191" w:gutter="0"/>
          <w:cols w:space="720" w:num="1"/>
          <w:docGrid w:linePitch="312" w:charSpace="0"/>
        </w:sectPr>
      </w:pPr>
    </w:p>
    <w:p w14:paraId="6D634031">
      <w:pPr>
        <w:spacing w:before="120" w:beforeLines="50" w:after="120" w:afterLines="50" w:line="440" w:lineRule="exact"/>
        <w:rPr>
          <w:rFonts w:hint="eastAsia" w:ascii="宋体" w:hAnsi="宋体" w:cs="宋体"/>
          <w:b/>
          <w:bCs/>
          <w:sz w:val="32"/>
          <w:szCs w:val="32"/>
        </w:rPr>
      </w:pPr>
      <w:r>
        <w:rPr>
          <w:rFonts w:hint="eastAsia" w:ascii="宋体" w:hAnsi="宋体" w:cs="宋体"/>
          <w:b/>
          <w:bCs/>
          <w:sz w:val="32"/>
          <w:szCs w:val="32"/>
        </w:rPr>
        <w:t>附件1：承包人承揽工程项目一览表</w:t>
      </w:r>
    </w:p>
    <w:p w14:paraId="4362D1A7">
      <w:pPr>
        <w:spacing w:before="120" w:beforeLines="50" w:after="120" w:afterLines="50" w:line="440" w:lineRule="exact"/>
        <w:jc w:val="left"/>
        <w:rPr>
          <w:rFonts w:ascii="仿宋_GB2312" w:eastAsia="仿宋_GB2312"/>
          <w:sz w:val="30"/>
          <w:szCs w:val="30"/>
        </w:rPr>
      </w:pPr>
    </w:p>
    <w:p w14:paraId="5C72EE92">
      <w:pPr>
        <w:pStyle w:val="28"/>
        <w:ind w:left="-269"/>
      </w:pPr>
    </w:p>
    <w:p w14:paraId="0979C1C6">
      <w:pPr>
        <w:pStyle w:val="28"/>
        <w:ind w:left="-269"/>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828"/>
        <w:gridCol w:w="831"/>
        <w:gridCol w:w="828"/>
        <w:gridCol w:w="828"/>
        <w:gridCol w:w="829"/>
        <w:gridCol w:w="829"/>
        <w:gridCol w:w="972"/>
        <w:gridCol w:w="829"/>
        <w:gridCol w:w="829"/>
        <w:gridCol w:w="829"/>
      </w:tblGrid>
      <w:tr w14:paraId="39F7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Align w:val="center"/>
          </w:tcPr>
          <w:p w14:paraId="13F618BB">
            <w:pPr>
              <w:pStyle w:val="11"/>
              <w:keepNext/>
              <w:spacing w:line="360" w:lineRule="auto"/>
              <w:ind w:left="63" w:right="63"/>
              <w:rPr>
                <w:rFonts w:hint="eastAsia" w:ascii="宋体" w:hAnsi="宋体" w:cs="宋体"/>
                <w:szCs w:val="21"/>
              </w:rPr>
            </w:pPr>
            <w:r>
              <w:rPr>
                <w:rFonts w:hint="eastAsia" w:ascii="宋体" w:hAnsi="宋体" w:cs="宋体"/>
                <w:szCs w:val="21"/>
              </w:rPr>
              <w:t>单位工程名称</w:t>
            </w:r>
          </w:p>
        </w:tc>
        <w:tc>
          <w:tcPr>
            <w:tcW w:w="832" w:type="dxa"/>
            <w:vAlign w:val="center"/>
          </w:tcPr>
          <w:p w14:paraId="7F0B44AE">
            <w:pPr>
              <w:pStyle w:val="11"/>
              <w:keepNext/>
              <w:spacing w:line="360" w:lineRule="auto"/>
              <w:ind w:left="63" w:right="63"/>
              <w:rPr>
                <w:rFonts w:hint="eastAsia" w:ascii="宋体" w:hAnsi="宋体" w:cs="宋体"/>
                <w:szCs w:val="21"/>
              </w:rPr>
            </w:pPr>
            <w:r>
              <w:rPr>
                <w:rFonts w:hint="eastAsia" w:ascii="宋体" w:hAnsi="宋体" w:cs="宋体"/>
                <w:szCs w:val="21"/>
              </w:rPr>
              <w:t>建设规模</w:t>
            </w:r>
          </w:p>
        </w:tc>
        <w:tc>
          <w:tcPr>
            <w:tcW w:w="832" w:type="dxa"/>
            <w:vAlign w:val="center"/>
          </w:tcPr>
          <w:p w14:paraId="219334BD">
            <w:pPr>
              <w:pStyle w:val="11"/>
              <w:keepNext/>
              <w:spacing w:line="360" w:lineRule="auto"/>
              <w:ind w:left="63" w:right="63"/>
              <w:rPr>
                <w:rFonts w:hint="eastAsia" w:ascii="宋体" w:hAnsi="宋体" w:cs="宋体"/>
                <w:szCs w:val="21"/>
              </w:rPr>
            </w:pPr>
            <w:r>
              <w:rPr>
                <w:rFonts w:hint="eastAsia" w:ascii="宋体" w:hAnsi="宋体" w:cs="宋体"/>
                <w:szCs w:val="21"/>
              </w:rPr>
              <w:t>建筑面积（平方米）</w:t>
            </w:r>
          </w:p>
        </w:tc>
        <w:tc>
          <w:tcPr>
            <w:tcW w:w="832" w:type="dxa"/>
            <w:vAlign w:val="center"/>
          </w:tcPr>
          <w:p w14:paraId="6B96F7D3">
            <w:pPr>
              <w:pStyle w:val="11"/>
              <w:keepNext/>
              <w:spacing w:line="360" w:lineRule="auto"/>
              <w:ind w:left="63" w:right="63"/>
              <w:rPr>
                <w:rFonts w:hint="eastAsia" w:ascii="宋体" w:hAnsi="宋体" w:cs="宋体"/>
                <w:szCs w:val="21"/>
              </w:rPr>
            </w:pPr>
            <w:r>
              <w:rPr>
                <w:rFonts w:hint="eastAsia" w:ascii="宋体" w:hAnsi="宋体" w:cs="宋体"/>
                <w:szCs w:val="21"/>
              </w:rPr>
              <w:t>结构形式</w:t>
            </w:r>
          </w:p>
        </w:tc>
        <w:tc>
          <w:tcPr>
            <w:tcW w:w="832" w:type="dxa"/>
            <w:vAlign w:val="center"/>
          </w:tcPr>
          <w:p w14:paraId="6B24510C">
            <w:pPr>
              <w:pStyle w:val="11"/>
              <w:keepNext/>
              <w:spacing w:line="360" w:lineRule="auto"/>
              <w:ind w:left="63" w:right="63"/>
              <w:rPr>
                <w:rFonts w:hint="eastAsia" w:ascii="宋体" w:hAnsi="宋体" w:cs="宋体"/>
                <w:szCs w:val="21"/>
              </w:rPr>
            </w:pPr>
            <w:r>
              <w:rPr>
                <w:rFonts w:hint="eastAsia" w:ascii="宋体" w:hAnsi="宋体" w:cs="宋体"/>
                <w:szCs w:val="21"/>
              </w:rPr>
              <w:t>层数</w:t>
            </w:r>
          </w:p>
        </w:tc>
        <w:tc>
          <w:tcPr>
            <w:tcW w:w="833" w:type="dxa"/>
            <w:vAlign w:val="center"/>
          </w:tcPr>
          <w:p w14:paraId="61AAC333">
            <w:pPr>
              <w:pStyle w:val="11"/>
              <w:keepNext/>
              <w:spacing w:line="360" w:lineRule="auto"/>
              <w:ind w:left="63" w:right="63"/>
              <w:rPr>
                <w:rFonts w:hint="eastAsia" w:ascii="宋体" w:hAnsi="宋体" w:cs="宋体"/>
                <w:szCs w:val="21"/>
              </w:rPr>
            </w:pPr>
            <w:r>
              <w:rPr>
                <w:rFonts w:hint="eastAsia" w:ascii="宋体" w:hAnsi="宋体" w:cs="宋体"/>
                <w:szCs w:val="21"/>
              </w:rPr>
              <w:t>生产能力</w:t>
            </w:r>
          </w:p>
        </w:tc>
        <w:tc>
          <w:tcPr>
            <w:tcW w:w="833" w:type="dxa"/>
            <w:vAlign w:val="center"/>
          </w:tcPr>
          <w:p w14:paraId="69CF4572">
            <w:pPr>
              <w:pStyle w:val="11"/>
              <w:keepNext/>
              <w:spacing w:line="360" w:lineRule="auto"/>
              <w:ind w:left="63" w:right="63"/>
              <w:rPr>
                <w:rFonts w:hint="eastAsia" w:ascii="宋体" w:hAnsi="宋体" w:cs="宋体"/>
                <w:szCs w:val="21"/>
              </w:rPr>
            </w:pPr>
            <w:r>
              <w:rPr>
                <w:rFonts w:hint="eastAsia" w:ascii="宋体" w:hAnsi="宋体" w:cs="宋体"/>
                <w:szCs w:val="21"/>
              </w:rPr>
              <w:t>设备安装内容</w:t>
            </w:r>
          </w:p>
        </w:tc>
        <w:tc>
          <w:tcPr>
            <w:tcW w:w="833" w:type="dxa"/>
            <w:vAlign w:val="center"/>
          </w:tcPr>
          <w:p w14:paraId="2494D175">
            <w:pPr>
              <w:pStyle w:val="11"/>
              <w:keepNext/>
              <w:spacing w:line="360" w:lineRule="auto"/>
              <w:ind w:left="63" w:right="63"/>
              <w:rPr>
                <w:rFonts w:hint="eastAsia" w:ascii="宋体" w:hAnsi="宋体" w:cs="宋体"/>
                <w:szCs w:val="21"/>
              </w:rPr>
            </w:pPr>
            <w:r>
              <w:rPr>
                <w:rFonts w:hint="eastAsia" w:ascii="宋体" w:hAnsi="宋体" w:cs="宋体"/>
                <w:szCs w:val="21"/>
              </w:rPr>
              <w:t>合同价格（元）</w:t>
            </w:r>
          </w:p>
        </w:tc>
        <w:tc>
          <w:tcPr>
            <w:tcW w:w="833" w:type="dxa"/>
            <w:vAlign w:val="center"/>
          </w:tcPr>
          <w:p w14:paraId="552346FE">
            <w:pPr>
              <w:pStyle w:val="11"/>
              <w:keepNext/>
              <w:spacing w:line="360" w:lineRule="auto"/>
              <w:ind w:left="63" w:right="63"/>
              <w:rPr>
                <w:rFonts w:hint="eastAsia" w:ascii="宋体" w:hAnsi="宋体" w:cs="宋体"/>
                <w:szCs w:val="21"/>
              </w:rPr>
            </w:pPr>
            <w:r>
              <w:rPr>
                <w:rFonts w:hint="eastAsia" w:ascii="宋体" w:hAnsi="宋体" w:cs="宋体"/>
                <w:szCs w:val="21"/>
              </w:rPr>
              <w:t>开工日期</w:t>
            </w:r>
          </w:p>
        </w:tc>
        <w:tc>
          <w:tcPr>
            <w:tcW w:w="833" w:type="dxa"/>
            <w:vAlign w:val="center"/>
          </w:tcPr>
          <w:p w14:paraId="36C1CC9D">
            <w:pPr>
              <w:pStyle w:val="11"/>
              <w:keepNext/>
              <w:spacing w:line="360" w:lineRule="auto"/>
              <w:ind w:left="63" w:right="63"/>
              <w:rPr>
                <w:rFonts w:hint="eastAsia" w:ascii="宋体" w:hAnsi="宋体" w:cs="宋体"/>
                <w:szCs w:val="21"/>
              </w:rPr>
            </w:pPr>
            <w:r>
              <w:rPr>
                <w:rFonts w:hint="eastAsia" w:ascii="宋体" w:hAnsi="宋体" w:cs="宋体"/>
                <w:szCs w:val="21"/>
              </w:rPr>
              <w:t>竣工日期</w:t>
            </w:r>
          </w:p>
        </w:tc>
        <w:tc>
          <w:tcPr>
            <w:tcW w:w="833" w:type="dxa"/>
            <w:vAlign w:val="center"/>
          </w:tcPr>
          <w:p w14:paraId="22B0A394">
            <w:pPr>
              <w:pStyle w:val="11"/>
              <w:keepNext/>
              <w:spacing w:line="360" w:lineRule="auto"/>
              <w:ind w:left="63" w:right="63"/>
              <w:rPr>
                <w:rFonts w:hint="eastAsia" w:ascii="宋体" w:hAnsi="宋体" w:cs="宋体"/>
                <w:szCs w:val="21"/>
              </w:rPr>
            </w:pPr>
            <w:r>
              <w:rPr>
                <w:rFonts w:hint="eastAsia" w:ascii="宋体" w:hAnsi="宋体" w:cs="宋体"/>
                <w:szCs w:val="21"/>
              </w:rPr>
              <w:t>单位工程名称</w:t>
            </w:r>
          </w:p>
        </w:tc>
      </w:tr>
      <w:tr w14:paraId="3750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4847DE53">
            <w:pPr>
              <w:pStyle w:val="28"/>
              <w:ind w:left="-269" w:firstLine="420"/>
              <w:rPr>
                <w:rFonts w:hint="eastAsia" w:ascii="宋体" w:hAnsi="宋体" w:eastAsia="宋体" w:cs="宋体"/>
                <w:sz w:val="21"/>
                <w:szCs w:val="21"/>
              </w:rPr>
            </w:pPr>
          </w:p>
        </w:tc>
        <w:tc>
          <w:tcPr>
            <w:tcW w:w="832" w:type="dxa"/>
          </w:tcPr>
          <w:p w14:paraId="7865AB84">
            <w:pPr>
              <w:pStyle w:val="28"/>
              <w:ind w:left="-269" w:firstLine="420"/>
              <w:rPr>
                <w:rFonts w:hint="eastAsia" w:ascii="宋体" w:hAnsi="宋体" w:eastAsia="宋体" w:cs="宋体"/>
                <w:sz w:val="21"/>
                <w:szCs w:val="21"/>
              </w:rPr>
            </w:pPr>
          </w:p>
        </w:tc>
        <w:tc>
          <w:tcPr>
            <w:tcW w:w="832" w:type="dxa"/>
          </w:tcPr>
          <w:p w14:paraId="69A364B7">
            <w:pPr>
              <w:pStyle w:val="28"/>
              <w:ind w:left="-269" w:firstLine="420"/>
              <w:rPr>
                <w:rFonts w:hint="eastAsia" w:ascii="宋体" w:hAnsi="宋体" w:eastAsia="宋体" w:cs="宋体"/>
                <w:sz w:val="21"/>
                <w:szCs w:val="21"/>
              </w:rPr>
            </w:pPr>
          </w:p>
        </w:tc>
        <w:tc>
          <w:tcPr>
            <w:tcW w:w="832" w:type="dxa"/>
          </w:tcPr>
          <w:p w14:paraId="63B65665">
            <w:pPr>
              <w:pStyle w:val="28"/>
              <w:ind w:left="-269" w:firstLine="420"/>
              <w:rPr>
                <w:rFonts w:hint="eastAsia" w:ascii="宋体" w:hAnsi="宋体" w:eastAsia="宋体" w:cs="宋体"/>
                <w:sz w:val="21"/>
                <w:szCs w:val="21"/>
              </w:rPr>
            </w:pPr>
          </w:p>
        </w:tc>
        <w:tc>
          <w:tcPr>
            <w:tcW w:w="832" w:type="dxa"/>
          </w:tcPr>
          <w:p w14:paraId="0610EA9E">
            <w:pPr>
              <w:pStyle w:val="28"/>
              <w:ind w:left="-269" w:firstLine="420"/>
              <w:rPr>
                <w:rFonts w:hint="eastAsia" w:ascii="宋体" w:hAnsi="宋体" w:eastAsia="宋体" w:cs="宋体"/>
                <w:sz w:val="21"/>
                <w:szCs w:val="21"/>
              </w:rPr>
            </w:pPr>
          </w:p>
        </w:tc>
        <w:tc>
          <w:tcPr>
            <w:tcW w:w="833" w:type="dxa"/>
          </w:tcPr>
          <w:p w14:paraId="40D7DEFC">
            <w:pPr>
              <w:pStyle w:val="28"/>
              <w:ind w:left="-269" w:firstLine="420"/>
              <w:rPr>
                <w:rFonts w:hint="eastAsia" w:ascii="宋体" w:hAnsi="宋体" w:eastAsia="宋体" w:cs="宋体"/>
                <w:sz w:val="21"/>
                <w:szCs w:val="21"/>
              </w:rPr>
            </w:pPr>
          </w:p>
        </w:tc>
        <w:tc>
          <w:tcPr>
            <w:tcW w:w="833" w:type="dxa"/>
          </w:tcPr>
          <w:p w14:paraId="1015A214">
            <w:pPr>
              <w:pStyle w:val="28"/>
              <w:ind w:left="-269" w:firstLine="420"/>
              <w:rPr>
                <w:rFonts w:hint="eastAsia" w:ascii="宋体" w:hAnsi="宋体" w:eastAsia="宋体" w:cs="宋体"/>
                <w:sz w:val="21"/>
                <w:szCs w:val="21"/>
              </w:rPr>
            </w:pPr>
          </w:p>
        </w:tc>
        <w:tc>
          <w:tcPr>
            <w:tcW w:w="833" w:type="dxa"/>
          </w:tcPr>
          <w:p w14:paraId="212932DE">
            <w:pPr>
              <w:pStyle w:val="28"/>
              <w:ind w:left="-269" w:firstLine="420"/>
              <w:rPr>
                <w:rFonts w:hint="eastAsia" w:ascii="宋体" w:hAnsi="宋体" w:eastAsia="宋体" w:cs="宋体"/>
                <w:sz w:val="21"/>
                <w:szCs w:val="21"/>
              </w:rPr>
            </w:pPr>
          </w:p>
        </w:tc>
        <w:tc>
          <w:tcPr>
            <w:tcW w:w="833" w:type="dxa"/>
          </w:tcPr>
          <w:p w14:paraId="197FE330">
            <w:pPr>
              <w:pStyle w:val="28"/>
              <w:ind w:left="-269" w:firstLine="420"/>
              <w:rPr>
                <w:rFonts w:hint="eastAsia" w:ascii="宋体" w:hAnsi="宋体" w:eastAsia="宋体" w:cs="宋体"/>
                <w:sz w:val="21"/>
                <w:szCs w:val="21"/>
              </w:rPr>
            </w:pPr>
          </w:p>
        </w:tc>
        <w:tc>
          <w:tcPr>
            <w:tcW w:w="833" w:type="dxa"/>
          </w:tcPr>
          <w:p w14:paraId="72C3C137">
            <w:pPr>
              <w:pStyle w:val="28"/>
              <w:ind w:left="-269" w:firstLine="420"/>
              <w:rPr>
                <w:rFonts w:hint="eastAsia" w:ascii="宋体" w:hAnsi="宋体" w:eastAsia="宋体" w:cs="宋体"/>
                <w:sz w:val="21"/>
                <w:szCs w:val="21"/>
              </w:rPr>
            </w:pPr>
          </w:p>
        </w:tc>
        <w:tc>
          <w:tcPr>
            <w:tcW w:w="833" w:type="dxa"/>
          </w:tcPr>
          <w:p w14:paraId="19BA96B4">
            <w:pPr>
              <w:pStyle w:val="28"/>
              <w:ind w:left="-269" w:firstLine="420"/>
              <w:rPr>
                <w:rFonts w:hint="eastAsia" w:ascii="宋体" w:hAnsi="宋体" w:eastAsia="宋体" w:cs="宋体"/>
                <w:sz w:val="21"/>
                <w:szCs w:val="21"/>
              </w:rPr>
            </w:pPr>
          </w:p>
        </w:tc>
      </w:tr>
      <w:tr w14:paraId="30F2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01BDA4C8">
            <w:pPr>
              <w:pStyle w:val="28"/>
              <w:ind w:left="-269" w:firstLine="420"/>
              <w:rPr>
                <w:rFonts w:hint="eastAsia" w:ascii="宋体" w:hAnsi="宋体" w:eastAsia="宋体" w:cs="宋体"/>
                <w:sz w:val="21"/>
                <w:szCs w:val="21"/>
              </w:rPr>
            </w:pPr>
          </w:p>
        </w:tc>
        <w:tc>
          <w:tcPr>
            <w:tcW w:w="832" w:type="dxa"/>
          </w:tcPr>
          <w:p w14:paraId="11AD16EC">
            <w:pPr>
              <w:pStyle w:val="28"/>
              <w:ind w:left="-269" w:firstLine="420"/>
              <w:rPr>
                <w:rFonts w:hint="eastAsia" w:ascii="宋体" w:hAnsi="宋体" w:eastAsia="宋体" w:cs="宋体"/>
                <w:sz w:val="21"/>
                <w:szCs w:val="21"/>
              </w:rPr>
            </w:pPr>
          </w:p>
        </w:tc>
        <w:tc>
          <w:tcPr>
            <w:tcW w:w="832" w:type="dxa"/>
          </w:tcPr>
          <w:p w14:paraId="30EC5475">
            <w:pPr>
              <w:pStyle w:val="28"/>
              <w:ind w:left="-269" w:firstLine="420"/>
              <w:rPr>
                <w:rFonts w:hint="eastAsia" w:ascii="宋体" w:hAnsi="宋体" w:eastAsia="宋体" w:cs="宋体"/>
                <w:sz w:val="21"/>
                <w:szCs w:val="21"/>
              </w:rPr>
            </w:pPr>
          </w:p>
        </w:tc>
        <w:tc>
          <w:tcPr>
            <w:tcW w:w="832" w:type="dxa"/>
          </w:tcPr>
          <w:p w14:paraId="716EBC9A">
            <w:pPr>
              <w:pStyle w:val="28"/>
              <w:ind w:left="-269" w:firstLine="420"/>
              <w:rPr>
                <w:rFonts w:hint="eastAsia" w:ascii="宋体" w:hAnsi="宋体" w:eastAsia="宋体" w:cs="宋体"/>
                <w:sz w:val="21"/>
                <w:szCs w:val="21"/>
              </w:rPr>
            </w:pPr>
          </w:p>
        </w:tc>
        <w:tc>
          <w:tcPr>
            <w:tcW w:w="832" w:type="dxa"/>
          </w:tcPr>
          <w:p w14:paraId="066A5C6F">
            <w:pPr>
              <w:pStyle w:val="28"/>
              <w:ind w:left="-269" w:firstLine="420"/>
              <w:rPr>
                <w:rFonts w:hint="eastAsia" w:ascii="宋体" w:hAnsi="宋体" w:eastAsia="宋体" w:cs="宋体"/>
                <w:sz w:val="21"/>
                <w:szCs w:val="21"/>
              </w:rPr>
            </w:pPr>
          </w:p>
        </w:tc>
        <w:tc>
          <w:tcPr>
            <w:tcW w:w="833" w:type="dxa"/>
          </w:tcPr>
          <w:p w14:paraId="62474F23">
            <w:pPr>
              <w:pStyle w:val="28"/>
              <w:ind w:left="-269" w:firstLine="420"/>
              <w:rPr>
                <w:rFonts w:hint="eastAsia" w:ascii="宋体" w:hAnsi="宋体" w:eastAsia="宋体" w:cs="宋体"/>
                <w:sz w:val="21"/>
                <w:szCs w:val="21"/>
              </w:rPr>
            </w:pPr>
          </w:p>
        </w:tc>
        <w:tc>
          <w:tcPr>
            <w:tcW w:w="833" w:type="dxa"/>
          </w:tcPr>
          <w:p w14:paraId="339ECAE6">
            <w:pPr>
              <w:pStyle w:val="28"/>
              <w:ind w:left="-269" w:firstLine="420"/>
              <w:rPr>
                <w:rFonts w:hint="eastAsia" w:ascii="宋体" w:hAnsi="宋体" w:eastAsia="宋体" w:cs="宋体"/>
                <w:sz w:val="21"/>
                <w:szCs w:val="21"/>
              </w:rPr>
            </w:pPr>
          </w:p>
        </w:tc>
        <w:tc>
          <w:tcPr>
            <w:tcW w:w="833" w:type="dxa"/>
          </w:tcPr>
          <w:p w14:paraId="2541D976">
            <w:pPr>
              <w:pStyle w:val="28"/>
              <w:ind w:left="-269" w:firstLine="420"/>
              <w:rPr>
                <w:rFonts w:hint="eastAsia" w:ascii="宋体" w:hAnsi="宋体" w:eastAsia="宋体" w:cs="宋体"/>
                <w:sz w:val="21"/>
                <w:szCs w:val="21"/>
              </w:rPr>
            </w:pPr>
          </w:p>
        </w:tc>
        <w:tc>
          <w:tcPr>
            <w:tcW w:w="833" w:type="dxa"/>
          </w:tcPr>
          <w:p w14:paraId="2EF69310">
            <w:pPr>
              <w:pStyle w:val="28"/>
              <w:ind w:left="-269" w:firstLine="420"/>
              <w:rPr>
                <w:rFonts w:hint="eastAsia" w:ascii="宋体" w:hAnsi="宋体" w:eastAsia="宋体" w:cs="宋体"/>
                <w:sz w:val="21"/>
                <w:szCs w:val="21"/>
              </w:rPr>
            </w:pPr>
          </w:p>
        </w:tc>
        <w:tc>
          <w:tcPr>
            <w:tcW w:w="833" w:type="dxa"/>
          </w:tcPr>
          <w:p w14:paraId="0AA5F942">
            <w:pPr>
              <w:pStyle w:val="28"/>
              <w:ind w:left="-269" w:firstLine="420"/>
              <w:rPr>
                <w:rFonts w:hint="eastAsia" w:ascii="宋体" w:hAnsi="宋体" w:eastAsia="宋体" w:cs="宋体"/>
                <w:sz w:val="21"/>
                <w:szCs w:val="21"/>
              </w:rPr>
            </w:pPr>
          </w:p>
        </w:tc>
        <w:tc>
          <w:tcPr>
            <w:tcW w:w="833" w:type="dxa"/>
          </w:tcPr>
          <w:p w14:paraId="2BE95A25">
            <w:pPr>
              <w:pStyle w:val="28"/>
              <w:ind w:left="-269" w:firstLine="420"/>
              <w:rPr>
                <w:rFonts w:hint="eastAsia" w:ascii="宋体" w:hAnsi="宋体" w:eastAsia="宋体" w:cs="宋体"/>
                <w:sz w:val="21"/>
                <w:szCs w:val="21"/>
              </w:rPr>
            </w:pPr>
          </w:p>
        </w:tc>
      </w:tr>
      <w:tr w14:paraId="61B7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B64E1BB">
            <w:pPr>
              <w:pStyle w:val="28"/>
              <w:ind w:left="-269" w:firstLine="420"/>
              <w:rPr>
                <w:rFonts w:hint="eastAsia" w:ascii="宋体" w:hAnsi="宋体" w:eastAsia="宋体" w:cs="宋体"/>
                <w:sz w:val="21"/>
                <w:szCs w:val="21"/>
              </w:rPr>
            </w:pPr>
          </w:p>
        </w:tc>
        <w:tc>
          <w:tcPr>
            <w:tcW w:w="832" w:type="dxa"/>
          </w:tcPr>
          <w:p w14:paraId="6B495E12">
            <w:pPr>
              <w:pStyle w:val="28"/>
              <w:ind w:left="-269" w:firstLine="420"/>
              <w:rPr>
                <w:rFonts w:hint="eastAsia" w:ascii="宋体" w:hAnsi="宋体" w:eastAsia="宋体" w:cs="宋体"/>
                <w:sz w:val="21"/>
                <w:szCs w:val="21"/>
              </w:rPr>
            </w:pPr>
          </w:p>
        </w:tc>
        <w:tc>
          <w:tcPr>
            <w:tcW w:w="832" w:type="dxa"/>
          </w:tcPr>
          <w:p w14:paraId="17094921">
            <w:pPr>
              <w:pStyle w:val="28"/>
              <w:ind w:left="-269" w:firstLine="420"/>
              <w:rPr>
                <w:rFonts w:hint="eastAsia" w:ascii="宋体" w:hAnsi="宋体" w:eastAsia="宋体" w:cs="宋体"/>
                <w:sz w:val="21"/>
                <w:szCs w:val="21"/>
              </w:rPr>
            </w:pPr>
          </w:p>
        </w:tc>
        <w:tc>
          <w:tcPr>
            <w:tcW w:w="832" w:type="dxa"/>
          </w:tcPr>
          <w:p w14:paraId="0AEC8822">
            <w:pPr>
              <w:pStyle w:val="28"/>
              <w:ind w:left="-269" w:firstLine="420"/>
              <w:rPr>
                <w:rFonts w:hint="eastAsia" w:ascii="宋体" w:hAnsi="宋体" w:eastAsia="宋体" w:cs="宋体"/>
                <w:sz w:val="21"/>
                <w:szCs w:val="21"/>
              </w:rPr>
            </w:pPr>
          </w:p>
        </w:tc>
        <w:tc>
          <w:tcPr>
            <w:tcW w:w="832" w:type="dxa"/>
          </w:tcPr>
          <w:p w14:paraId="2C382803">
            <w:pPr>
              <w:pStyle w:val="28"/>
              <w:ind w:left="-269" w:firstLine="420"/>
              <w:rPr>
                <w:rFonts w:hint="eastAsia" w:ascii="宋体" w:hAnsi="宋体" w:eastAsia="宋体" w:cs="宋体"/>
                <w:sz w:val="21"/>
                <w:szCs w:val="21"/>
              </w:rPr>
            </w:pPr>
          </w:p>
        </w:tc>
        <w:tc>
          <w:tcPr>
            <w:tcW w:w="833" w:type="dxa"/>
          </w:tcPr>
          <w:p w14:paraId="060E1145">
            <w:pPr>
              <w:pStyle w:val="28"/>
              <w:ind w:left="-269" w:firstLine="420"/>
              <w:rPr>
                <w:rFonts w:hint="eastAsia" w:ascii="宋体" w:hAnsi="宋体" w:eastAsia="宋体" w:cs="宋体"/>
                <w:sz w:val="21"/>
                <w:szCs w:val="21"/>
              </w:rPr>
            </w:pPr>
          </w:p>
        </w:tc>
        <w:tc>
          <w:tcPr>
            <w:tcW w:w="833" w:type="dxa"/>
          </w:tcPr>
          <w:p w14:paraId="32451DD0">
            <w:pPr>
              <w:pStyle w:val="28"/>
              <w:ind w:left="-269" w:firstLine="420"/>
              <w:rPr>
                <w:rFonts w:hint="eastAsia" w:ascii="宋体" w:hAnsi="宋体" w:eastAsia="宋体" w:cs="宋体"/>
                <w:sz w:val="21"/>
                <w:szCs w:val="21"/>
              </w:rPr>
            </w:pPr>
          </w:p>
        </w:tc>
        <w:tc>
          <w:tcPr>
            <w:tcW w:w="833" w:type="dxa"/>
          </w:tcPr>
          <w:p w14:paraId="7AE02FE5">
            <w:pPr>
              <w:pStyle w:val="28"/>
              <w:ind w:left="-269" w:firstLine="420"/>
              <w:rPr>
                <w:rFonts w:hint="eastAsia" w:ascii="宋体" w:hAnsi="宋体" w:eastAsia="宋体" w:cs="宋体"/>
                <w:sz w:val="21"/>
                <w:szCs w:val="21"/>
              </w:rPr>
            </w:pPr>
          </w:p>
        </w:tc>
        <w:tc>
          <w:tcPr>
            <w:tcW w:w="833" w:type="dxa"/>
          </w:tcPr>
          <w:p w14:paraId="457DACD4">
            <w:pPr>
              <w:pStyle w:val="28"/>
              <w:ind w:left="-269" w:firstLine="420"/>
              <w:rPr>
                <w:rFonts w:hint="eastAsia" w:ascii="宋体" w:hAnsi="宋体" w:eastAsia="宋体" w:cs="宋体"/>
                <w:sz w:val="21"/>
                <w:szCs w:val="21"/>
              </w:rPr>
            </w:pPr>
          </w:p>
        </w:tc>
        <w:tc>
          <w:tcPr>
            <w:tcW w:w="833" w:type="dxa"/>
          </w:tcPr>
          <w:p w14:paraId="65895DCD">
            <w:pPr>
              <w:pStyle w:val="28"/>
              <w:ind w:left="-269" w:firstLine="420"/>
              <w:rPr>
                <w:rFonts w:hint="eastAsia" w:ascii="宋体" w:hAnsi="宋体" w:eastAsia="宋体" w:cs="宋体"/>
                <w:sz w:val="21"/>
                <w:szCs w:val="21"/>
              </w:rPr>
            </w:pPr>
          </w:p>
        </w:tc>
        <w:tc>
          <w:tcPr>
            <w:tcW w:w="833" w:type="dxa"/>
          </w:tcPr>
          <w:p w14:paraId="5128AF32">
            <w:pPr>
              <w:pStyle w:val="28"/>
              <w:ind w:left="-269" w:firstLine="420"/>
              <w:rPr>
                <w:rFonts w:hint="eastAsia" w:ascii="宋体" w:hAnsi="宋体" w:eastAsia="宋体" w:cs="宋体"/>
                <w:sz w:val="21"/>
                <w:szCs w:val="21"/>
              </w:rPr>
            </w:pPr>
          </w:p>
        </w:tc>
      </w:tr>
      <w:tr w14:paraId="71C8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15E4D980">
            <w:pPr>
              <w:pStyle w:val="28"/>
              <w:ind w:left="-269" w:firstLine="420"/>
              <w:rPr>
                <w:rFonts w:hint="eastAsia" w:ascii="宋体" w:hAnsi="宋体" w:eastAsia="宋体" w:cs="宋体"/>
                <w:sz w:val="21"/>
                <w:szCs w:val="21"/>
              </w:rPr>
            </w:pPr>
          </w:p>
        </w:tc>
        <w:tc>
          <w:tcPr>
            <w:tcW w:w="832" w:type="dxa"/>
          </w:tcPr>
          <w:p w14:paraId="375E2D05">
            <w:pPr>
              <w:pStyle w:val="28"/>
              <w:ind w:left="-269" w:firstLine="420"/>
              <w:rPr>
                <w:rFonts w:hint="eastAsia" w:ascii="宋体" w:hAnsi="宋体" w:eastAsia="宋体" w:cs="宋体"/>
                <w:sz w:val="21"/>
                <w:szCs w:val="21"/>
              </w:rPr>
            </w:pPr>
          </w:p>
        </w:tc>
        <w:tc>
          <w:tcPr>
            <w:tcW w:w="832" w:type="dxa"/>
          </w:tcPr>
          <w:p w14:paraId="4A5E149A">
            <w:pPr>
              <w:pStyle w:val="28"/>
              <w:ind w:left="-269" w:firstLine="420"/>
              <w:rPr>
                <w:rFonts w:hint="eastAsia" w:ascii="宋体" w:hAnsi="宋体" w:eastAsia="宋体" w:cs="宋体"/>
                <w:sz w:val="21"/>
                <w:szCs w:val="21"/>
              </w:rPr>
            </w:pPr>
          </w:p>
        </w:tc>
        <w:tc>
          <w:tcPr>
            <w:tcW w:w="832" w:type="dxa"/>
          </w:tcPr>
          <w:p w14:paraId="3F441EB8">
            <w:pPr>
              <w:pStyle w:val="28"/>
              <w:ind w:left="-269" w:firstLine="420"/>
              <w:rPr>
                <w:rFonts w:hint="eastAsia" w:ascii="宋体" w:hAnsi="宋体" w:eastAsia="宋体" w:cs="宋体"/>
                <w:sz w:val="21"/>
                <w:szCs w:val="21"/>
              </w:rPr>
            </w:pPr>
          </w:p>
        </w:tc>
        <w:tc>
          <w:tcPr>
            <w:tcW w:w="832" w:type="dxa"/>
          </w:tcPr>
          <w:p w14:paraId="1CEF6EAD">
            <w:pPr>
              <w:pStyle w:val="28"/>
              <w:ind w:left="-269" w:firstLine="420"/>
              <w:rPr>
                <w:rFonts w:hint="eastAsia" w:ascii="宋体" w:hAnsi="宋体" w:eastAsia="宋体" w:cs="宋体"/>
                <w:sz w:val="21"/>
                <w:szCs w:val="21"/>
              </w:rPr>
            </w:pPr>
          </w:p>
        </w:tc>
        <w:tc>
          <w:tcPr>
            <w:tcW w:w="833" w:type="dxa"/>
          </w:tcPr>
          <w:p w14:paraId="2C8A4525">
            <w:pPr>
              <w:pStyle w:val="28"/>
              <w:ind w:left="-269" w:firstLine="420"/>
              <w:rPr>
                <w:rFonts w:hint="eastAsia" w:ascii="宋体" w:hAnsi="宋体" w:eastAsia="宋体" w:cs="宋体"/>
                <w:sz w:val="21"/>
                <w:szCs w:val="21"/>
              </w:rPr>
            </w:pPr>
          </w:p>
        </w:tc>
        <w:tc>
          <w:tcPr>
            <w:tcW w:w="833" w:type="dxa"/>
          </w:tcPr>
          <w:p w14:paraId="3C5E2EB7">
            <w:pPr>
              <w:pStyle w:val="28"/>
              <w:ind w:left="-269" w:firstLine="420"/>
              <w:rPr>
                <w:rFonts w:hint="eastAsia" w:ascii="宋体" w:hAnsi="宋体" w:eastAsia="宋体" w:cs="宋体"/>
                <w:sz w:val="21"/>
                <w:szCs w:val="21"/>
              </w:rPr>
            </w:pPr>
          </w:p>
        </w:tc>
        <w:tc>
          <w:tcPr>
            <w:tcW w:w="833" w:type="dxa"/>
          </w:tcPr>
          <w:p w14:paraId="0F2F8B5B">
            <w:pPr>
              <w:pStyle w:val="28"/>
              <w:ind w:left="-269" w:firstLine="420"/>
              <w:rPr>
                <w:rFonts w:hint="eastAsia" w:ascii="宋体" w:hAnsi="宋体" w:eastAsia="宋体" w:cs="宋体"/>
                <w:sz w:val="21"/>
                <w:szCs w:val="21"/>
              </w:rPr>
            </w:pPr>
          </w:p>
        </w:tc>
        <w:tc>
          <w:tcPr>
            <w:tcW w:w="833" w:type="dxa"/>
          </w:tcPr>
          <w:p w14:paraId="06B88B67">
            <w:pPr>
              <w:pStyle w:val="28"/>
              <w:ind w:left="-269" w:firstLine="420"/>
              <w:rPr>
                <w:rFonts w:hint="eastAsia" w:ascii="宋体" w:hAnsi="宋体" w:eastAsia="宋体" w:cs="宋体"/>
                <w:sz w:val="21"/>
                <w:szCs w:val="21"/>
              </w:rPr>
            </w:pPr>
          </w:p>
        </w:tc>
        <w:tc>
          <w:tcPr>
            <w:tcW w:w="833" w:type="dxa"/>
          </w:tcPr>
          <w:p w14:paraId="0A5E4138">
            <w:pPr>
              <w:pStyle w:val="28"/>
              <w:ind w:left="-269" w:firstLine="420"/>
              <w:rPr>
                <w:rFonts w:hint="eastAsia" w:ascii="宋体" w:hAnsi="宋体" w:eastAsia="宋体" w:cs="宋体"/>
                <w:sz w:val="21"/>
                <w:szCs w:val="21"/>
              </w:rPr>
            </w:pPr>
          </w:p>
        </w:tc>
        <w:tc>
          <w:tcPr>
            <w:tcW w:w="833" w:type="dxa"/>
          </w:tcPr>
          <w:p w14:paraId="7A45DDAC">
            <w:pPr>
              <w:pStyle w:val="28"/>
              <w:ind w:left="-269" w:firstLine="420"/>
              <w:rPr>
                <w:rFonts w:hint="eastAsia" w:ascii="宋体" w:hAnsi="宋体" w:eastAsia="宋体" w:cs="宋体"/>
                <w:sz w:val="21"/>
                <w:szCs w:val="21"/>
              </w:rPr>
            </w:pPr>
          </w:p>
        </w:tc>
      </w:tr>
      <w:tr w14:paraId="294B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11A9CECE">
            <w:pPr>
              <w:pStyle w:val="28"/>
              <w:ind w:left="-269" w:firstLine="420"/>
              <w:rPr>
                <w:rFonts w:hint="eastAsia" w:ascii="宋体" w:hAnsi="宋体" w:eastAsia="宋体" w:cs="宋体"/>
                <w:sz w:val="21"/>
                <w:szCs w:val="21"/>
              </w:rPr>
            </w:pPr>
          </w:p>
        </w:tc>
        <w:tc>
          <w:tcPr>
            <w:tcW w:w="832" w:type="dxa"/>
          </w:tcPr>
          <w:p w14:paraId="5D9C51C8">
            <w:pPr>
              <w:pStyle w:val="28"/>
              <w:ind w:left="-269" w:firstLine="420"/>
              <w:rPr>
                <w:rFonts w:hint="eastAsia" w:ascii="宋体" w:hAnsi="宋体" w:eastAsia="宋体" w:cs="宋体"/>
                <w:sz w:val="21"/>
                <w:szCs w:val="21"/>
              </w:rPr>
            </w:pPr>
          </w:p>
        </w:tc>
        <w:tc>
          <w:tcPr>
            <w:tcW w:w="832" w:type="dxa"/>
          </w:tcPr>
          <w:p w14:paraId="0FA87501">
            <w:pPr>
              <w:pStyle w:val="28"/>
              <w:ind w:left="-269" w:firstLine="420"/>
              <w:rPr>
                <w:rFonts w:hint="eastAsia" w:ascii="宋体" w:hAnsi="宋体" w:eastAsia="宋体" w:cs="宋体"/>
                <w:sz w:val="21"/>
                <w:szCs w:val="21"/>
              </w:rPr>
            </w:pPr>
          </w:p>
        </w:tc>
        <w:tc>
          <w:tcPr>
            <w:tcW w:w="832" w:type="dxa"/>
          </w:tcPr>
          <w:p w14:paraId="1A355C02">
            <w:pPr>
              <w:pStyle w:val="28"/>
              <w:ind w:left="-269" w:firstLine="420"/>
              <w:rPr>
                <w:rFonts w:hint="eastAsia" w:ascii="宋体" w:hAnsi="宋体" w:eastAsia="宋体" w:cs="宋体"/>
                <w:sz w:val="21"/>
                <w:szCs w:val="21"/>
              </w:rPr>
            </w:pPr>
          </w:p>
        </w:tc>
        <w:tc>
          <w:tcPr>
            <w:tcW w:w="832" w:type="dxa"/>
          </w:tcPr>
          <w:p w14:paraId="228FEB57">
            <w:pPr>
              <w:pStyle w:val="28"/>
              <w:ind w:left="-269" w:firstLine="420"/>
              <w:rPr>
                <w:rFonts w:hint="eastAsia" w:ascii="宋体" w:hAnsi="宋体" w:eastAsia="宋体" w:cs="宋体"/>
                <w:sz w:val="21"/>
                <w:szCs w:val="21"/>
              </w:rPr>
            </w:pPr>
          </w:p>
        </w:tc>
        <w:tc>
          <w:tcPr>
            <w:tcW w:w="833" w:type="dxa"/>
          </w:tcPr>
          <w:p w14:paraId="6DC92001">
            <w:pPr>
              <w:pStyle w:val="28"/>
              <w:ind w:left="-269" w:firstLine="420"/>
              <w:rPr>
                <w:rFonts w:hint="eastAsia" w:ascii="宋体" w:hAnsi="宋体" w:eastAsia="宋体" w:cs="宋体"/>
                <w:sz w:val="21"/>
                <w:szCs w:val="21"/>
              </w:rPr>
            </w:pPr>
          </w:p>
        </w:tc>
        <w:tc>
          <w:tcPr>
            <w:tcW w:w="833" w:type="dxa"/>
          </w:tcPr>
          <w:p w14:paraId="7DA8A79F">
            <w:pPr>
              <w:pStyle w:val="28"/>
              <w:ind w:left="-269" w:firstLine="420"/>
              <w:rPr>
                <w:rFonts w:hint="eastAsia" w:ascii="宋体" w:hAnsi="宋体" w:eastAsia="宋体" w:cs="宋体"/>
                <w:sz w:val="21"/>
                <w:szCs w:val="21"/>
              </w:rPr>
            </w:pPr>
          </w:p>
        </w:tc>
        <w:tc>
          <w:tcPr>
            <w:tcW w:w="833" w:type="dxa"/>
          </w:tcPr>
          <w:p w14:paraId="0000C314">
            <w:pPr>
              <w:pStyle w:val="28"/>
              <w:ind w:left="-269" w:firstLine="420"/>
              <w:rPr>
                <w:rFonts w:hint="eastAsia" w:ascii="宋体" w:hAnsi="宋体" w:eastAsia="宋体" w:cs="宋体"/>
                <w:sz w:val="21"/>
                <w:szCs w:val="21"/>
              </w:rPr>
            </w:pPr>
          </w:p>
        </w:tc>
        <w:tc>
          <w:tcPr>
            <w:tcW w:w="833" w:type="dxa"/>
          </w:tcPr>
          <w:p w14:paraId="01839FF7">
            <w:pPr>
              <w:pStyle w:val="28"/>
              <w:ind w:left="-269" w:firstLine="420"/>
              <w:rPr>
                <w:rFonts w:hint="eastAsia" w:ascii="宋体" w:hAnsi="宋体" w:eastAsia="宋体" w:cs="宋体"/>
                <w:sz w:val="21"/>
                <w:szCs w:val="21"/>
              </w:rPr>
            </w:pPr>
          </w:p>
        </w:tc>
        <w:tc>
          <w:tcPr>
            <w:tcW w:w="833" w:type="dxa"/>
          </w:tcPr>
          <w:p w14:paraId="01CA99D8">
            <w:pPr>
              <w:pStyle w:val="28"/>
              <w:ind w:left="-269" w:firstLine="420"/>
              <w:rPr>
                <w:rFonts w:hint="eastAsia" w:ascii="宋体" w:hAnsi="宋体" w:eastAsia="宋体" w:cs="宋体"/>
                <w:sz w:val="21"/>
                <w:szCs w:val="21"/>
              </w:rPr>
            </w:pPr>
          </w:p>
        </w:tc>
        <w:tc>
          <w:tcPr>
            <w:tcW w:w="833" w:type="dxa"/>
          </w:tcPr>
          <w:p w14:paraId="2A228149">
            <w:pPr>
              <w:pStyle w:val="28"/>
              <w:ind w:left="-269" w:firstLine="420"/>
              <w:rPr>
                <w:rFonts w:hint="eastAsia" w:ascii="宋体" w:hAnsi="宋体" w:eastAsia="宋体" w:cs="宋体"/>
                <w:sz w:val="21"/>
                <w:szCs w:val="21"/>
              </w:rPr>
            </w:pPr>
          </w:p>
        </w:tc>
      </w:tr>
      <w:tr w14:paraId="300C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3063BEA">
            <w:pPr>
              <w:pStyle w:val="28"/>
              <w:ind w:left="-269" w:firstLine="420"/>
              <w:rPr>
                <w:rFonts w:hint="eastAsia" w:ascii="宋体" w:hAnsi="宋体" w:eastAsia="宋体" w:cs="宋体"/>
                <w:sz w:val="21"/>
                <w:szCs w:val="21"/>
              </w:rPr>
            </w:pPr>
          </w:p>
        </w:tc>
        <w:tc>
          <w:tcPr>
            <w:tcW w:w="832" w:type="dxa"/>
          </w:tcPr>
          <w:p w14:paraId="6B220222">
            <w:pPr>
              <w:pStyle w:val="28"/>
              <w:ind w:left="-269" w:firstLine="420"/>
              <w:rPr>
                <w:rFonts w:hint="eastAsia" w:ascii="宋体" w:hAnsi="宋体" w:eastAsia="宋体" w:cs="宋体"/>
                <w:sz w:val="21"/>
                <w:szCs w:val="21"/>
              </w:rPr>
            </w:pPr>
          </w:p>
        </w:tc>
        <w:tc>
          <w:tcPr>
            <w:tcW w:w="832" w:type="dxa"/>
          </w:tcPr>
          <w:p w14:paraId="57FF6DAE">
            <w:pPr>
              <w:pStyle w:val="28"/>
              <w:ind w:left="-269" w:firstLine="420"/>
              <w:rPr>
                <w:rFonts w:hint="eastAsia" w:ascii="宋体" w:hAnsi="宋体" w:eastAsia="宋体" w:cs="宋体"/>
                <w:sz w:val="21"/>
                <w:szCs w:val="21"/>
              </w:rPr>
            </w:pPr>
          </w:p>
        </w:tc>
        <w:tc>
          <w:tcPr>
            <w:tcW w:w="832" w:type="dxa"/>
          </w:tcPr>
          <w:p w14:paraId="747277F4">
            <w:pPr>
              <w:pStyle w:val="28"/>
              <w:ind w:left="-269" w:firstLine="420"/>
              <w:rPr>
                <w:rFonts w:hint="eastAsia" w:ascii="宋体" w:hAnsi="宋体" w:eastAsia="宋体" w:cs="宋体"/>
                <w:sz w:val="21"/>
                <w:szCs w:val="21"/>
              </w:rPr>
            </w:pPr>
          </w:p>
        </w:tc>
        <w:tc>
          <w:tcPr>
            <w:tcW w:w="832" w:type="dxa"/>
          </w:tcPr>
          <w:p w14:paraId="04198DD2">
            <w:pPr>
              <w:pStyle w:val="28"/>
              <w:ind w:left="-269" w:firstLine="420"/>
              <w:rPr>
                <w:rFonts w:hint="eastAsia" w:ascii="宋体" w:hAnsi="宋体" w:eastAsia="宋体" w:cs="宋体"/>
                <w:sz w:val="21"/>
                <w:szCs w:val="21"/>
              </w:rPr>
            </w:pPr>
          </w:p>
        </w:tc>
        <w:tc>
          <w:tcPr>
            <w:tcW w:w="833" w:type="dxa"/>
          </w:tcPr>
          <w:p w14:paraId="245089EE">
            <w:pPr>
              <w:pStyle w:val="28"/>
              <w:ind w:left="-269" w:firstLine="420"/>
              <w:rPr>
                <w:rFonts w:hint="eastAsia" w:ascii="宋体" w:hAnsi="宋体" w:eastAsia="宋体" w:cs="宋体"/>
                <w:sz w:val="21"/>
                <w:szCs w:val="21"/>
              </w:rPr>
            </w:pPr>
          </w:p>
        </w:tc>
        <w:tc>
          <w:tcPr>
            <w:tcW w:w="833" w:type="dxa"/>
          </w:tcPr>
          <w:p w14:paraId="2C91F593">
            <w:pPr>
              <w:pStyle w:val="28"/>
              <w:ind w:left="-269" w:firstLine="420"/>
              <w:rPr>
                <w:rFonts w:hint="eastAsia" w:ascii="宋体" w:hAnsi="宋体" w:eastAsia="宋体" w:cs="宋体"/>
                <w:sz w:val="21"/>
                <w:szCs w:val="21"/>
              </w:rPr>
            </w:pPr>
          </w:p>
        </w:tc>
        <w:tc>
          <w:tcPr>
            <w:tcW w:w="833" w:type="dxa"/>
          </w:tcPr>
          <w:p w14:paraId="5AC0B9CF">
            <w:pPr>
              <w:pStyle w:val="28"/>
              <w:ind w:left="-269" w:firstLine="420"/>
              <w:rPr>
                <w:rFonts w:hint="eastAsia" w:ascii="宋体" w:hAnsi="宋体" w:eastAsia="宋体" w:cs="宋体"/>
                <w:sz w:val="21"/>
                <w:szCs w:val="21"/>
              </w:rPr>
            </w:pPr>
          </w:p>
        </w:tc>
        <w:tc>
          <w:tcPr>
            <w:tcW w:w="833" w:type="dxa"/>
          </w:tcPr>
          <w:p w14:paraId="6C99BE4F">
            <w:pPr>
              <w:pStyle w:val="28"/>
              <w:ind w:left="-269" w:firstLine="420"/>
              <w:rPr>
                <w:rFonts w:hint="eastAsia" w:ascii="宋体" w:hAnsi="宋体" w:eastAsia="宋体" w:cs="宋体"/>
                <w:sz w:val="21"/>
                <w:szCs w:val="21"/>
              </w:rPr>
            </w:pPr>
          </w:p>
        </w:tc>
        <w:tc>
          <w:tcPr>
            <w:tcW w:w="833" w:type="dxa"/>
          </w:tcPr>
          <w:p w14:paraId="6195A6ED">
            <w:pPr>
              <w:pStyle w:val="28"/>
              <w:ind w:left="-269" w:firstLine="420"/>
              <w:rPr>
                <w:rFonts w:hint="eastAsia" w:ascii="宋体" w:hAnsi="宋体" w:eastAsia="宋体" w:cs="宋体"/>
                <w:sz w:val="21"/>
                <w:szCs w:val="21"/>
              </w:rPr>
            </w:pPr>
          </w:p>
        </w:tc>
        <w:tc>
          <w:tcPr>
            <w:tcW w:w="833" w:type="dxa"/>
          </w:tcPr>
          <w:p w14:paraId="050E7669">
            <w:pPr>
              <w:pStyle w:val="28"/>
              <w:ind w:left="-269" w:firstLine="420"/>
              <w:rPr>
                <w:rFonts w:hint="eastAsia" w:ascii="宋体" w:hAnsi="宋体" w:eastAsia="宋体" w:cs="宋体"/>
                <w:sz w:val="21"/>
                <w:szCs w:val="21"/>
              </w:rPr>
            </w:pPr>
          </w:p>
        </w:tc>
      </w:tr>
      <w:tr w14:paraId="0E99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693EC425">
            <w:pPr>
              <w:pStyle w:val="28"/>
              <w:ind w:left="-269" w:firstLine="420"/>
              <w:rPr>
                <w:rFonts w:hint="eastAsia" w:ascii="宋体" w:hAnsi="宋体" w:eastAsia="宋体" w:cs="宋体"/>
                <w:sz w:val="21"/>
                <w:szCs w:val="21"/>
              </w:rPr>
            </w:pPr>
          </w:p>
        </w:tc>
        <w:tc>
          <w:tcPr>
            <w:tcW w:w="832" w:type="dxa"/>
          </w:tcPr>
          <w:p w14:paraId="061FE9D3">
            <w:pPr>
              <w:pStyle w:val="28"/>
              <w:ind w:left="-269" w:firstLine="420"/>
              <w:rPr>
                <w:rFonts w:hint="eastAsia" w:ascii="宋体" w:hAnsi="宋体" w:eastAsia="宋体" w:cs="宋体"/>
                <w:sz w:val="21"/>
                <w:szCs w:val="21"/>
              </w:rPr>
            </w:pPr>
          </w:p>
        </w:tc>
        <w:tc>
          <w:tcPr>
            <w:tcW w:w="832" w:type="dxa"/>
          </w:tcPr>
          <w:p w14:paraId="481E1C0B">
            <w:pPr>
              <w:pStyle w:val="28"/>
              <w:ind w:left="-269" w:firstLine="420"/>
              <w:rPr>
                <w:rFonts w:hint="eastAsia" w:ascii="宋体" w:hAnsi="宋体" w:eastAsia="宋体" w:cs="宋体"/>
                <w:sz w:val="21"/>
                <w:szCs w:val="21"/>
              </w:rPr>
            </w:pPr>
          </w:p>
        </w:tc>
        <w:tc>
          <w:tcPr>
            <w:tcW w:w="832" w:type="dxa"/>
          </w:tcPr>
          <w:p w14:paraId="1FD952B6">
            <w:pPr>
              <w:pStyle w:val="28"/>
              <w:ind w:left="-269" w:firstLine="420"/>
              <w:rPr>
                <w:rFonts w:hint="eastAsia" w:ascii="宋体" w:hAnsi="宋体" w:eastAsia="宋体" w:cs="宋体"/>
                <w:sz w:val="21"/>
                <w:szCs w:val="21"/>
              </w:rPr>
            </w:pPr>
          </w:p>
        </w:tc>
        <w:tc>
          <w:tcPr>
            <w:tcW w:w="832" w:type="dxa"/>
          </w:tcPr>
          <w:p w14:paraId="78961EFF">
            <w:pPr>
              <w:pStyle w:val="28"/>
              <w:ind w:left="-269" w:firstLine="420"/>
              <w:rPr>
                <w:rFonts w:hint="eastAsia" w:ascii="宋体" w:hAnsi="宋体" w:eastAsia="宋体" w:cs="宋体"/>
                <w:sz w:val="21"/>
                <w:szCs w:val="21"/>
              </w:rPr>
            </w:pPr>
          </w:p>
        </w:tc>
        <w:tc>
          <w:tcPr>
            <w:tcW w:w="833" w:type="dxa"/>
          </w:tcPr>
          <w:p w14:paraId="4BDC9A7A">
            <w:pPr>
              <w:pStyle w:val="28"/>
              <w:ind w:left="-269" w:firstLine="420"/>
              <w:rPr>
                <w:rFonts w:hint="eastAsia" w:ascii="宋体" w:hAnsi="宋体" w:eastAsia="宋体" w:cs="宋体"/>
                <w:sz w:val="21"/>
                <w:szCs w:val="21"/>
              </w:rPr>
            </w:pPr>
          </w:p>
        </w:tc>
        <w:tc>
          <w:tcPr>
            <w:tcW w:w="833" w:type="dxa"/>
          </w:tcPr>
          <w:p w14:paraId="39B51BE8">
            <w:pPr>
              <w:pStyle w:val="28"/>
              <w:ind w:left="-269" w:firstLine="420"/>
              <w:rPr>
                <w:rFonts w:hint="eastAsia" w:ascii="宋体" w:hAnsi="宋体" w:eastAsia="宋体" w:cs="宋体"/>
                <w:sz w:val="21"/>
                <w:szCs w:val="21"/>
              </w:rPr>
            </w:pPr>
          </w:p>
        </w:tc>
        <w:tc>
          <w:tcPr>
            <w:tcW w:w="833" w:type="dxa"/>
          </w:tcPr>
          <w:p w14:paraId="25DA72BA">
            <w:pPr>
              <w:pStyle w:val="28"/>
              <w:ind w:left="-269" w:firstLine="420"/>
              <w:rPr>
                <w:rFonts w:hint="eastAsia" w:ascii="宋体" w:hAnsi="宋体" w:eastAsia="宋体" w:cs="宋体"/>
                <w:sz w:val="21"/>
                <w:szCs w:val="21"/>
              </w:rPr>
            </w:pPr>
          </w:p>
        </w:tc>
        <w:tc>
          <w:tcPr>
            <w:tcW w:w="833" w:type="dxa"/>
          </w:tcPr>
          <w:p w14:paraId="2620173A">
            <w:pPr>
              <w:pStyle w:val="28"/>
              <w:ind w:left="-269" w:firstLine="420"/>
              <w:rPr>
                <w:rFonts w:hint="eastAsia" w:ascii="宋体" w:hAnsi="宋体" w:eastAsia="宋体" w:cs="宋体"/>
                <w:sz w:val="21"/>
                <w:szCs w:val="21"/>
              </w:rPr>
            </w:pPr>
          </w:p>
        </w:tc>
        <w:tc>
          <w:tcPr>
            <w:tcW w:w="833" w:type="dxa"/>
          </w:tcPr>
          <w:p w14:paraId="33203E1E">
            <w:pPr>
              <w:pStyle w:val="28"/>
              <w:ind w:left="-269" w:firstLine="420"/>
              <w:rPr>
                <w:rFonts w:hint="eastAsia" w:ascii="宋体" w:hAnsi="宋体" w:eastAsia="宋体" w:cs="宋体"/>
                <w:sz w:val="21"/>
                <w:szCs w:val="21"/>
              </w:rPr>
            </w:pPr>
          </w:p>
        </w:tc>
        <w:tc>
          <w:tcPr>
            <w:tcW w:w="833" w:type="dxa"/>
          </w:tcPr>
          <w:p w14:paraId="459B2117">
            <w:pPr>
              <w:pStyle w:val="28"/>
              <w:ind w:left="-269" w:firstLine="420"/>
              <w:rPr>
                <w:rFonts w:hint="eastAsia" w:ascii="宋体" w:hAnsi="宋体" w:eastAsia="宋体" w:cs="宋体"/>
                <w:sz w:val="21"/>
                <w:szCs w:val="21"/>
              </w:rPr>
            </w:pPr>
          </w:p>
        </w:tc>
      </w:tr>
    </w:tbl>
    <w:p w14:paraId="2B43F461">
      <w:pPr>
        <w:pStyle w:val="28"/>
        <w:ind w:left="-269"/>
        <w:sectPr>
          <w:pgSz w:w="11911" w:h="16843"/>
          <w:pgMar w:top="1134" w:right="1434" w:bottom="1134" w:left="1434" w:header="0" w:footer="1191" w:gutter="0"/>
          <w:cols w:space="720" w:num="1"/>
        </w:sectPr>
      </w:pPr>
    </w:p>
    <w:p w14:paraId="22EB1CD8">
      <w:pPr>
        <w:spacing w:before="120" w:beforeLines="50" w:after="120" w:afterLines="50" w:line="440" w:lineRule="exact"/>
        <w:rPr>
          <w:rFonts w:hint="eastAsia" w:ascii="宋体" w:hAnsi="宋体" w:cs="宋体"/>
          <w:b/>
          <w:bCs/>
          <w:sz w:val="32"/>
          <w:szCs w:val="32"/>
        </w:rPr>
      </w:pPr>
      <w:r>
        <w:rPr>
          <w:rFonts w:hint="eastAsia" w:ascii="宋体" w:hAnsi="宋体" w:cs="宋体"/>
          <w:b/>
          <w:bCs/>
          <w:sz w:val="32"/>
          <w:szCs w:val="32"/>
        </w:rPr>
        <w:t>附件2：发包人供应材料设备一览表</w:t>
      </w:r>
    </w:p>
    <w:p w14:paraId="548263CC">
      <w:pPr>
        <w:pStyle w:val="28"/>
        <w:ind w:left="-269"/>
      </w:pPr>
    </w:p>
    <w:tbl>
      <w:tblPr>
        <w:tblStyle w:val="29"/>
        <w:tblW w:w="100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64"/>
        <w:gridCol w:w="1276"/>
        <w:gridCol w:w="1418"/>
        <w:gridCol w:w="940"/>
        <w:gridCol w:w="851"/>
        <w:gridCol w:w="1044"/>
        <w:gridCol w:w="992"/>
        <w:gridCol w:w="851"/>
        <w:gridCol w:w="1487"/>
        <w:gridCol w:w="689"/>
      </w:tblGrid>
      <w:tr w14:paraId="1F0D5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1" w:hRule="atLeast"/>
          <w:jc w:val="center"/>
        </w:trPr>
        <w:tc>
          <w:tcPr>
            <w:tcW w:w="464" w:type="dxa"/>
            <w:tcBorders>
              <w:top w:val="single" w:color="auto" w:sz="12" w:space="0"/>
              <w:bottom w:val="double" w:color="auto" w:sz="6" w:space="0"/>
            </w:tcBorders>
            <w:vAlign w:val="center"/>
          </w:tcPr>
          <w:p w14:paraId="3219A4EA">
            <w:pPr>
              <w:keepNext/>
              <w:adjustRightInd w:val="0"/>
              <w:ind w:left="63" w:leftChars="30" w:right="63" w:rightChars="30"/>
              <w:jc w:val="center"/>
              <w:textAlignment w:val="baseline"/>
              <w:rPr>
                <w:rFonts w:hint="eastAsia" w:ascii="宋体" w:hAnsi="宋体"/>
              </w:rPr>
            </w:pPr>
            <w:r>
              <w:rPr>
                <w:rFonts w:ascii="宋体" w:hAnsi="宋体"/>
              </w:rPr>
              <w:t>序号</w:t>
            </w:r>
          </w:p>
        </w:tc>
        <w:tc>
          <w:tcPr>
            <w:tcW w:w="1276" w:type="dxa"/>
            <w:tcBorders>
              <w:top w:val="single" w:color="auto" w:sz="12" w:space="0"/>
              <w:bottom w:val="double" w:color="auto" w:sz="6" w:space="0"/>
            </w:tcBorders>
            <w:vAlign w:val="center"/>
          </w:tcPr>
          <w:p w14:paraId="7DA01798">
            <w:pPr>
              <w:keepNext/>
              <w:adjustRightInd w:val="0"/>
              <w:ind w:right="63" w:rightChars="30"/>
              <w:jc w:val="center"/>
              <w:textAlignment w:val="baseline"/>
              <w:rPr>
                <w:rFonts w:hint="eastAsia" w:ascii="宋体" w:hAnsi="宋体"/>
              </w:rPr>
            </w:pPr>
            <w:r>
              <w:rPr>
                <w:rFonts w:ascii="宋体" w:hAnsi="宋体"/>
              </w:rPr>
              <w:t>材料、设备品种</w:t>
            </w:r>
          </w:p>
        </w:tc>
        <w:tc>
          <w:tcPr>
            <w:tcW w:w="1418" w:type="dxa"/>
            <w:tcBorders>
              <w:top w:val="single" w:color="auto" w:sz="12" w:space="0"/>
              <w:bottom w:val="double" w:color="auto" w:sz="6" w:space="0"/>
            </w:tcBorders>
            <w:vAlign w:val="center"/>
          </w:tcPr>
          <w:p w14:paraId="095EF27A">
            <w:pPr>
              <w:keepNext/>
              <w:adjustRightInd w:val="0"/>
              <w:ind w:left="63" w:leftChars="30" w:right="63" w:rightChars="30"/>
              <w:jc w:val="center"/>
              <w:textAlignment w:val="baseline"/>
              <w:rPr>
                <w:rFonts w:hint="eastAsia" w:ascii="宋体" w:hAnsi="宋体"/>
              </w:rPr>
            </w:pPr>
            <w:r>
              <w:rPr>
                <w:rFonts w:ascii="宋体" w:hAnsi="宋体"/>
              </w:rPr>
              <w:t>规格型号</w:t>
            </w:r>
          </w:p>
        </w:tc>
        <w:tc>
          <w:tcPr>
            <w:tcW w:w="940" w:type="dxa"/>
            <w:tcBorders>
              <w:top w:val="single" w:color="auto" w:sz="12" w:space="0"/>
              <w:bottom w:val="double" w:color="auto" w:sz="6" w:space="0"/>
            </w:tcBorders>
            <w:vAlign w:val="center"/>
          </w:tcPr>
          <w:p w14:paraId="49C2FDFF">
            <w:pPr>
              <w:keepNext/>
              <w:adjustRightInd w:val="0"/>
              <w:ind w:left="63" w:leftChars="30" w:right="63" w:rightChars="30"/>
              <w:jc w:val="center"/>
              <w:textAlignment w:val="baseline"/>
              <w:rPr>
                <w:rFonts w:hint="eastAsia" w:ascii="宋体" w:hAnsi="宋体"/>
              </w:rPr>
            </w:pPr>
            <w:r>
              <w:rPr>
                <w:rFonts w:ascii="宋体" w:hAnsi="宋体"/>
              </w:rPr>
              <w:t>单位</w:t>
            </w:r>
          </w:p>
        </w:tc>
        <w:tc>
          <w:tcPr>
            <w:tcW w:w="851" w:type="dxa"/>
            <w:tcBorders>
              <w:top w:val="single" w:color="auto" w:sz="12" w:space="0"/>
              <w:bottom w:val="double" w:color="auto" w:sz="6" w:space="0"/>
            </w:tcBorders>
            <w:vAlign w:val="center"/>
          </w:tcPr>
          <w:p w14:paraId="72B90160">
            <w:pPr>
              <w:keepNext/>
              <w:adjustRightInd w:val="0"/>
              <w:ind w:left="63" w:leftChars="30" w:right="63" w:rightChars="30"/>
              <w:jc w:val="center"/>
              <w:textAlignment w:val="baseline"/>
              <w:rPr>
                <w:rFonts w:hint="eastAsia" w:ascii="宋体" w:hAnsi="宋体"/>
              </w:rPr>
            </w:pPr>
            <w:r>
              <w:rPr>
                <w:rFonts w:ascii="宋体" w:hAnsi="宋体"/>
              </w:rPr>
              <w:t>数量</w:t>
            </w:r>
          </w:p>
        </w:tc>
        <w:tc>
          <w:tcPr>
            <w:tcW w:w="1044" w:type="dxa"/>
            <w:tcBorders>
              <w:top w:val="single" w:color="auto" w:sz="12" w:space="0"/>
              <w:bottom w:val="double" w:color="auto" w:sz="6" w:space="0"/>
            </w:tcBorders>
            <w:vAlign w:val="center"/>
          </w:tcPr>
          <w:p w14:paraId="45783455">
            <w:pPr>
              <w:keepNext/>
              <w:adjustRightInd w:val="0"/>
              <w:ind w:left="63" w:leftChars="30" w:right="63" w:rightChars="30"/>
              <w:jc w:val="center"/>
              <w:textAlignment w:val="baseline"/>
              <w:rPr>
                <w:rFonts w:hint="eastAsia" w:ascii="宋体" w:hAnsi="宋体"/>
              </w:rPr>
            </w:pPr>
            <w:r>
              <w:rPr>
                <w:rFonts w:ascii="宋体" w:hAnsi="宋体"/>
              </w:rPr>
              <w:t>单价</w:t>
            </w:r>
            <w:r>
              <w:rPr>
                <w:rFonts w:hint="eastAsia" w:ascii="宋体" w:hAnsi="宋体"/>
              </w:rPr>
              <w:t>（元）</w:t>
            </w:r>
          </w:p>
        </w:tc>
        <w:tc>
          <w:tcPr>
            <w:tcW w:w="992" w:type="dxa"/>
            <w:tcBorders>
              <w:top w:val="single" w:color="auto" w:sz="12" w:space="0"/>
              <w:bottom w:val="double" w:color="auto" w:sz="6" w:space="0"/>
            </w:tcBorders>
            <w:vAlign w:val="center"/>
          </w:tcPr>
          <w:p w14:paraId="2DD81B3A">
            <w:pPr>
              <w:keepNext/>
              <w:adjustRightInd w:val="0"/>
              <w:ind w:left="63" w:leftChars="30" w:right="63" w:rightChars="30"/>
              <w:jc w:val="center"/>
              <w:textAlignment w:val="baseline"/>
              <w:rPr>
                <w:rFonts w:hint="eastAsia" w:ascii="宋体" w:hAnsi="宋体"/>
              </w:rPr>
            </w:pPr>
            <w:r>
              <w:rPr>
                <w:rFonts w:ascii="宋体" w:hAnsi="宋体"/>
              </w:rPr>
              <w:t>质量等级</w:t>
            </w:r>
          </w:p>
        </w:tc>
        <w:tc>
          <w:tcPr>
            <w:tcW w:w="851" w:type="dxa"/>
            <w:tcBorders>
              <w:top w:val="single" w:color="auto" w:sz="12" w:space="0"/>
              <w:bottom w:val="double" w:color="auto" w:sz="6" w:space="0"/>
            </w:tcBorders>
            <w:vAlign w:val="center"/>
          </w:tcPr>
          <w:p w14:paraId="76DAAB15">
            <w:pPr>
              <w:keepNext/>
              <w:adjustRightInd w:val="0"/>
              <w:ind w:left="63" w:leftChars="30" w:right="63" w:rightChars="30"/>
              <w:jc w:val="center"/>
              <w:textAlignment w:val="baseline"/>
              <w:rPr>
                <w:rFonts w:hint="eastAsia" w:ascii="宋体" w:hAnsi="宋体"/>
              </w:rPr>
            </w:pPr>
            <w:r>
              <w:rPr>
                <w:rFonts w:ascii="宋体" w:hAnsi="宋体"/>
              </w:rPr>
              <w:t>供应时间</w:t>
            </w:r>
          </w:p>
        </w:tc>
        <w:tc>
          <w:tcPr>
            <w:tcW w:w="1487" w:type="dxa"/>
            <w:tcBorders>
              <w:top w:val="single" w:color="auto" w:sz="12" w:space="0"/>
              <w:bottom w:val="double" w:color="auto" w:sz="6" w:space="0"/>
            </w:tcBorders>
            <w:vAlign w:val="center"/>
          </w:tcPr>
          <w:p w14:paraId="1E11537F">
            <w:pPr>
              <w:keepNext/>
              <w:adjustRightInd w:val="0"/>
              <w:ind w:left="63" w:leftChars="30" w:right="63" w:rightChars="30"/>
              <w:jc w:val="center"/>
              <w:textAlignment w:val="baseline"/>
              <w:rPr>
                <w:rFonts w:hint="eastAsia" w:ascii="宋体" w:hAnsi="宋体"/>
              </w:rPr>
            </w:pPr>
            <w:r>
              <w:rPr>
                <w:rFonts w:ascii="宋体" w:hAnsi="宋体"/>
              </w:rPr>
              <w:t>送达地点</w:t>
            </w:r>
          </w:p>
        </w:tc>
        <w:tc>
          <w:tcPr>
            <w:tcW w:w="689" w:type="dxa"/>
            <w:tcBorders>
              <w:top w:val="single" w:color="auto" w:sz="12" w:space="0"/>
              <w:bottom w:val="double" w:color="auto" w:sz="6" w:space="0"/>
            </w:tcBorders>
            <w:vAlign w:val="center"/>
          </w:tcPr>
          <w:p w14:paraId="69F682DD">
            <w:pPr>
              <w:keepNext/>
              <w:adjustRightInd w:val="0"/>
              <w:ind w:left="63" w:leftChars="30" w:right="63" w:rightChars="30"/>
              <w:jc w:val="center"/>
              <w:textAlignment w:val="baseline"/>
              <w:rPr>
                <w:rFonts w:hint="eastAsia" w:ascii="宋体" w:hAnsi="宋体"/>
              </w:rPr>
            </w:pPr>
            <w:r>
              <w:rPr>
                <w:rFonts w:ascii="宋体" w:hAnsi="宋体"/>
              </w:rPr>
              <w:t>备注</w:t>
            </w:r>
          </w:p>
        </w:tc>
      </w:tr>
      <w:tr w14:paraId="00043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tcBorders>
              <w:top w:val="double" w:color="auto" w:sz="6" w:space="0"/>
              <w:bottom w:val="single" w:color="auto" w:sz="6" w:space="0"/>
            </w:tcBorders>
            <w:vAlign w:val="center"/>
          </w:tcPr>
          <w:p w14:paraId="43FD5CF2">
            <w:pPr>
              <w:keepNext/>
              <w:adjustRightInd w:val="0"/>
              <w:ind w:left="63" w:leftChars="30" w:right="63" w:rightChars="30"/>
              <w:jc w:val="center"/>
              <w:textAlignment w:val="baseline"/>
              <w:rPr>
                <w:rFonts w:hint="eastAsia" w:ascii="宋体" w:hAnsi="宋体"/>
              </w:rPr>
            </w:pPr>
          </w:p>
        </w:tc>
        <w:tc>
          <w:tcPr>
            <w:tcW w:w="1276" w:type="dxa"/>
            <w:tcBorders>
              <w:top w:val="double" w:color="auto" w:sz="6" w:space="0"/>
              <w:bottom w:val="single" w:color="auto" w:sz="6" w:space="0"/>
            </w:tcBorders>
            <w:vAlign w:val="center"/>
          </w:tcPr>
          <w:p w14:paraId="25FF993B">
            <w:pPr>
              <w:keepNext/>
              <w:adjustRightInd w:val="0"/>
              <w:ind w:left="63" w:leftChars="30" w:right="63" w:rightChars="30"/>
              <w:jc w:val="center"/>
              <w:textAlignment w:val="baseline"/>
              <w:rPr>
                <w:rFonts w:hint="eastAsia" w:ascii="宋体" w:hAnsi="宋体"/>
              </w:rPr>
            </w:pPr>
          </w:p>
        </w:tc>
        <w:tc>
          <w:tcPr>
            <w:tcW w:w="1418" w:type="dxa"/>
            <w:tcBorders>
              <w:top w:val="double" w:color="auto" w:sz="6" w:space="0"/>
              <w:bottom w:val="single" w:color="auto" w:sz="6" w:space="0"/>
            </w:tcBorders>
            <w:vAlign w:val="center"/>
          </w:tcPr>
          <w:p w14:paraId="475A8CC6">
            <w:pPr>
              <w:keepNext/>
              <w:adjustRightInd w:val="0"/>
              <w:ind w:left="63" w:leftChars="30" w:right="63" w:rightChars="30"/>
              <w:jc w:val="center"/>
              <w:textAlignment w:val="baseline"/>
              <w:rPr>
                <w:rFonts w:hint="eastAsia" w:ascii="宋体" w:hAnsi="宋体"/>
              </w:rPr>
            </w:pPr>
          </w:p>
        </w:tc>
        <w:tc>
          <w:tcPr>
            <w:tcW w:w="940" w:type="dxa"/>
            <w:tcBorders>
              <w:top w:val="double" w:color="auto" w:sz="6" w:space="0"/>
              <w:bottom w:val="single" w:color="auto" w:sz="6" w:space="0"/>
            </w:tcBorders>
            <w:vAlign w:val="center"/>
          </w:tcPr>
          <w:p w14:paraId="7ADA8FFA">
            <w:pPr>
              <w:keepNext/>
              <w:adjustRightInd w:val="0"/>
              <w:ind w:left="63" w:leftChars="30" w:right="63" w:rightChars="30"/>
              <w:jc w:val="center"/>
              <w:textAlignment w:val="baseline"/>
              <w:rPr>
                <w:rFonts w:hint="eastAsia" w:ascii="宋体" w:hAnsi="宋体"/>
              </w:rPr>
            </w:pPr>
          </w:p>
        </w:tc>
        <w:tc>
          <w:tcPr>
            <w:tcW w:w="851" w:type="dxa"/>
            <w:tcBorders>
              <w:top w:val="double" w:color="auto" w:sz="6" w:space="0"/>
              <w:bottom w:val="single" w:color="auto" w:sz="6" w:space="0"/>
            </w:tcBorders>
            <w:vAlign w:val="center"/>
          </w:tcPr>
          <w:p w14:paraId="1FCB1BD5">
            <w:pPr>
              <w:keepNext/>
              <w:adjustRightInd w:val="0"/>
              <w:ind w:left="63" w:leftChars="30" w:right="63" w:rightChars="30"/>
              <w:jc w:val="center"/>
              <w:textAlignment w:val="baseline"/>
              <w:rPr>
                <w:rFonts w:hint="eastAsia" w:ascii="宋体" w:hAnsi="宋体"/>
              </w:rPr>
            </w:pPr>
          </w:p>
        </w:tc>
        <w:tc>
          <w:tcPr>
            <w:tcW w:w="1044" w:type="dxa"/>
            <w:tcBorders>
              <w:top w:val="double" w:color="auto" w:sz="6" w:space="0"/>
              <w:bottom w:val="single" w:color="auto" w:sz="6" w:space="0"/>
            </w:tcBorders>
            <w:vAlign w:val="center"/>
          </w:tcPr>
          <w:p w14:paraId="70C224E2">
            <w:pPr>
              <w:keepNext/>
              <w:adjustRightInd w:val="0"/>
              <w:ind w:left="63" w:leftChars="30" w:right="63" w:rightChars="30"/>
              <w:jc w:val="center"/>
              <w:textAlignment w:val="baseline"/>
              <w:rPr>
                <w:rFonts w:hint="eastAsia" w:ascii="宋体" w:hAnsi="宋体"/>
              </w:rPr>
            </w:pPr>
          </w:p>
        </w:tc>
        <w:tc>
          <w:tcPr>
            <w:tcW w:w="992" w:type="dxa"/>
            <w:tcBorders>
              <w:top w:val="double" w:color="auto" w:sz="6" w:space="0"/>
              <w:bottom w:val="single" w:color="auto" w:sz="6" w:space="0"/>
            </w:tcBorders>
            <w:vAlign w:val="center"/>
          </w:tcPr>
          <w:p w14:paraId="4D05A158">
            <w:pPr>
              <w:keepNext/>
              <w:adjustRightInd w:val="0"/>
              <w:ind w:left="63" w:leftChars="30" w:right="63" w:rightChars="30"/>
              <w:jc w:val="center"/>
              <w:textAlignment w:val="baseline"/>
              <w:rPr>
                <w:rFonts w:hint="eastAsia" w:ascii="宋体" w:hAnsi="宋体"/>
              </w:rPr>
            </w:pPr>
          </w:p>
        </w:tc>
        <w:tc>
          <w:tcPr>
            <w:tcW w:w="851" w:type="dxa"/>
            <w:tcBorders>
              <w:top w:val="double" w:color="auto" w:sz="6" w:space="0"/>
              <w:bottom w:val="single" w:color="auto" w:sz="6" w:space="0"/>
            </w:tcBorders>
            <w:vAlign w:val="center"/>
          </w:tcPr>
          <w:p w14:paraId="344C7753">
            <w:pPr>
              <w:keepNext/>
              <w:adjustRightInd w:val="0"/>
              <w:ind w:left="63" w:leftChars="30" w:right="63" w:rightChars="30"/>
              <w:jc w:val="center"/>
              <w:textAlignment w:val="baseline"/>
              <w:rPr>
                <w:rFonts w:hint="eastAsia" w:ascii="宋体" w:hAnsi="宋体"/>
              </w:rPr>
            </w:pPr>
          </w:p>
        </w:tc>
        <w:tc>
          <w:tcPr>
            <w:tcW w:w="1487" w:type="dxa"/>
            <w:tcBorders>
              <w:top w:val="double" w:color="auto" w:sz="6" w:space="0"/>
              <w:bottom w:val="single" w:color="auto" w:sz="6" w:space="0"/>
            </w:tcBorders>
            <w:vAlign w:val="center"/>
          </w:tcPr>
          <w:p w14:paraId="1E12C9EA">
            <w:pPr>
              <w:keepNext/>
              <w:adjustRightInd w:val="0"/>
              <w:ind w:left="63" w:leftChars="30" w:right="63" w:rightChars="30"/>
              <w:jc w:val="center"/>
              <w:textAlignment w:val="baseline"/>
              <w:rPr>
                <w:rFonts w:hint="eastAsia" w:ascii="宋体" w:hAnsi="宋体"/>
              </w:rPr>
            </w:pPr>
          </w:p>
        </w:tc>
        <w:tc>
          <w:tcPr>
            <w:tcW w:w="689" w:type="dxa"/>
            <w:tcBorders>
              <w:top w:val="double" w:color="auto" w:sz="6" w:space="0"/>
              <w:bottom w:val="single" w:color="auto" w:sz="6" w:space="0"/>
            </w:tcBorders>
            <w:vAlign w:val="center"/>
          </w:tcPr>
          <w:p w14:paraId="70D2E27A">
            <w:pPr>
              <w:keepNext/>
              <w:adjustRightInd w:val="0"/>
              <w:ind w:left="63" w:leftChars="30" w:right="63" w:rightChars="30"/>
              <w:jc w:val="center"/>
              <w:textAlignment w:val="baseline"/>
              <w:rPr>
                <w:rFonts w:hint="eastAsia" w:ascii="宋体" w:hAnsi="宋体"/>
              </w:rPr>
            </w:pPr>
          </w:p>
        </w:tc>
      </w:tr>
      <w:tr w14:paraId="02D56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tcBorders>
              <w:top w:val="nil"/>
            </w:tcBorders>
            <w:vAlign w:val="center"/>
          </w:tcPr>
          <w:p w14:paraId="6FDCFF9A">
            <w:pPr>
              <w:keepNext/>
              <w:adjustRightInd w:val="0"/>
              <w:ind w:left="63" w:leftChars="30" w:right="63" w:rightChars="30"/>
              <w:jc w:val="center"/>
              <w:textAlignment w:val="baseline"/>
              <w:rPr>
                <w:rFonts w:hint="eastAsia" w:ascii="宋体" w:hAnsi="宋体"/>
              </w:rPr>
            </w:pPr>
          </w:p>
        </w:tc>
        <w:tc>
          <w:tcPr>
            <w:tcW w:w="1276" w:type="dxa"/>
            <w:tcBorders>
              <w:top w:val="nil"/>
            </w:tcBorders>
            <w:vAlign w:val="center"/>
          </w:tcPr>
          <w:p w14:paraId="0C0CC335">
            <w:pPr>
              <w:keepNext/>
              <w:adjustRightInd w:val="0"/>
              <w:ind w:left="63" w:leftChars="30" w:right="63" w:rightChars="30"/>
              <w:jc w:val="center"/>
              <w:textAlignment w:val="baseline"/>
              <w:rPr>
                <w:rFonts w:hint="eastAsia" w:ascii="宋体" w:hAnsi="宋体"/>
              </w:rPr>
            </w:pPr>
          </w:p>
        </w:tc>
        <w:tc>
          <w:tcPr>
            <w:tcW w:w="1418" w:type="dxa"/>
            <w:tcBorders>
              <w:top w:val="nil"/>
            </w:tcBorders>
            <w:vAlign w:val="center"/>
          </w:tcPr>
          <w:p w14:paraId="72C9A677">
            <w:pPr>
              <w:keepNext/>
              <w:adjustRightInd w:val="0"/>
              <w:ind w:left="63" w:leftChars="30" w:right="63" w:rightChars="30"/>
              <w:jc w:val="center"/>
              <w:textAlignment w:val="baseline"/>
              <w:rPr>
                <w:rFonts w:hint="eastAsia" w:ascii="宋体" w:hAnsi="宋体"/>
              </w:rPr>
            </w:pPr>
          </w:p>
        </w:tc>
        <w:tc>
          <w:tcPr>
            <w:tcW w:w="940" w:type="dxa"/>
            <w:tcBorders>
              <w:top w:val="nil"/>
            </w:tcBorders>
            <w:vAlign w:val="center"/>
          </w:tcPr>
          <w:p w14:paraId="2252F2AB">
            <w:pPr>
              <w:keepNext/>
              <w:adjustRightInd w:val="0"/>
              <w:ind w:left="63" w:leftChars="30" w:right="63" w:rightChars="30"/>
              <w:jc w:val="center"/>
              <w:textAlignment w:val="baseline"/>
              <w:rPr>
                <w:rFonts w:hint="eastAsia" w:ascii="宋体" w:hAnsi="宋体"/>
              </w:rPr>
            </w:pPr>
          </w:p>
        </w:tc>
        <w:tc>
          <w:tcPr>
            <w:tcW w:w="851" w:type="dxa"/>
            <w:tcBorders>
              <w:top w:val="nil"/>
            </w:tcBorders>
            <w:vAlign w:val="center"/>
          </w:tcPr>
          <w:p w14:paraId="1639E3AF">
            <w:pPr>
              <w:keepNext/>
              <w:adjustRightInd w:val="0"/>
              <w:ind w:left="63" w:leftChars="30" w:right="63" w:rightChars="30"/>
              <w:jc w:val="center"/>
              <w:textAlignment w:val="baseline"/>
              <w:rPr>
                <w:rFonts w:hint="eastAsia" w:ascii="宋体" w:hAnsi="宋体"/>
              </w:rPr>
            </w:pPr>
          </w:p>
        </w:tc>
        <w:tc>
          <w:tcPr>
            <w:tcW w:w="1044" w:type="dxa"/>
            <w:tcBorders>
              <w:top w:val="nil"/>
            </w:tcBorders>
            <w:vAlign w:val="center"/>
          </w:tcPr>
          <w:p w14:paraId="4D95C195">
            <w:pPr>
              <w:keepNext/>
              <w:adjustRightInd w:val="0"/>
              <w:ind w:left="63" w:leftChars="30" w:right="63" w:rightChars="30"/>
              <w:jc w:val="center"/>
              <w:textAlignment w:val="baseline"/>
              <w:rPr>
                <w:rFonts w:hint="eastAsia" w:ascii="宋体" w:hAnsi="宋体"/>
              </w:rPr>
            </w:pPr>
          </w:p>
        </w:tc>
        <w:tc>
          <w:tcPr>
            <w:tcW w:w="992" w:type="dxa"/>
            <w:tcBorders>
              <w:top w:val="nil"/>
            </w:tcBorders>
            <w:vAlign w:val="center"/>
          </w:tcPr>
          <w:p w14:paraId="6AFC27C3">
            <w:pPr>
              <w:keepNext/>
              <w:adjustRightInd w:val="0"/>
              <w:ind w:left="63" w:leftChars="30" w:right="63" w:rightChars="30"/>
              <w:jc w:val="center"/>
              <w:textAlignment w:val="baseline"/>
              <w:rPr>
                <w:rFonts w:hint="eastAsia" w:ascii="宋体" w:hAnsi="宋体"/>
              </w:rPr>
            </w:pPr>
          </w:p>
        </w:tc>
        <w:tc>
          <w:tcPr>
            <w:tcW w:w="851" w:type="dxa"/>
            <w:tcBorders>
              <w:top w:val="nil"/>
            </w:tcBorders>
            <w:vAlign w:val="center"/>
          </w:tcPr>
          <w:p w14:paraId="396811B5">
            <w:pPr>
              <w:keepNext/>
              <w:adjustRightInd w:val="0"/>
              <w:ind w:left="63" w:leftChars="30" w:right="63" w:rightChars="30"/>
              <w:jc w:val="center"/>
              <w:textAlignment w:val="baseline"/>
              <w:rPr>
                <w:rFonts w:hint="eastAsia" w:ascii="宋体" w:hAnsi="宋体"/>
              </w:rPr>
            </w:pPr>
          </w:p>
        </w:tc>
        <w:tc>
          <w:tcPr>
            <w:tcW w:w="1487" w:type="dxa"/>
            <w:tcBorders>
              <w:top w:val="nil"/>
            </w:tcBorders>
            <w:vAlign w:val="center"/>
          </w:tcPr>
          <w:p w14:paraId="2262D146">
            <w:pPr>
              <w:keepNext/>
              <w:adjustRightInd w:val="0"/>
              <w:ind w:left="63" w:leftChars="30" w:right="63" w:rightChars="30"/>
              <w:jc w:val="center"/>
              <w:textAlignment w:val="baseline"/>
              <w:rPr>
                <w:rFonts w:hint="eastAsia" w:ascii="宋体" w:hAnsi="宋体"/>
              </w:rPr>
            </w:pPr>
          </w:p>
        </w:tc>
        <w:tc>
          <w:tcPr>
            <w:tcW w:w="689" w:type="dxa"/>
            <w:tcBorders>
              <w:top w:val="nil"/>
            </w:tcBorders>
            <w:vAlign w:val="center"/>
          </w:tcPr>
          <w:p w14:paraId="33FFCEDA">
            <w:pPr>
              <w:keepNext/>
              <w:adjustRightInd w:val="0"/>
              <w:ind w:left="63" w:leftChars="30" w:right="63" w:rightChars="30"/>
              <w:jc w:val="center"/>
              <w:textAlignment w:val="baseline"/>
              <w:rPr>
                <w:rFonts w:hint="eastAsia" w:ascii="宋体" w:hAnsi="宋体"/>
              </w:rPr>
            </w:pPr>
          </w:p>
        </w:tc>
      </w:tr>
      <w:tr w14:paraId="72FDF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0796F64A">
            <w:pPr>
              <w:keepNext/>
              <w:adjustRightInd w:val="0"/>
              <w:ind w:left="63" w:leftChars="30" w:right="63" w:rightChars="30"/>
              <w:jc w:val="center"/>
              <w:textAlignment w:val="baseline"/>
              <w:rPr>
                <w:rFonts w:hint="eastAsia" w:ascii="宋体" w:hAnsi="宋体"/>
              </w:rPr>
            </w:pPr>
          </w:p>
        </w:tc>
        <w:tc>
          <w:tcPr>
            <w:tcW w:w="1276" w:type="dxa"/>
            <w:vAlign w:val="center"/>
          </w:tcPr>
          <w:p w14:paraId="358492AE">
            <w:pPr>
              <w:keepNext/>
              <w:adjustRightInd w:val="0"/>
              <w:ind w:left="63" w:leftChars="30" w:right="63" w:rightChars="30"/>
              <w:jc w:val="center"/>
              <w:textAlignment w:val="baseline"/>
              <w:rPr>
                <w:rFonts w:hint="eastAsia" w:ascii="宋体" w:hAnsi="宋体"/>
              </w:rPr>
            </w:pPr>
          </w:p>
        </w:tc>
        <w:tc>
          <w:tcPr>
            <w:tcW w:w="1418" w:type="dxa"/>
            <w:vAlign w:val="center"/>
          </w:tcPr>
          <w:p w14:paraId="5E204BCE">
            <w:pPr>
              <w:keepNext/>
              <w:adjustRightInd w:val="0"/>
              <w:ind w:left="63" w:leftChars="30" w:right="63" w:rightChars="30"/>
              <w:jc w:val="center"/>
              <w:textAlignment w:val="baseline"/>
              <w:rPr>
                <w:rFonts w:hint="eastAsia" w:ascii="宋体" w:hAnsi="宋体"/>
              </w:rPr>
            </w:pPr>
          </w:p>
        </w:tc>
        <w:tc>
          <w:tcPr>
            <w:tcW w:w="940" w:type="dxa"/>
            <w:vAlign w:val="center"/>
          </w:tcPr>
          <w:p w14:paraId="3B21DB9D">
            <w:pPr>
              <w:keepNext/>
              <w:adjustRightInd w:val="0"/>
              <w:ind w:left="63" w:leftChars="30" w:right="63" w:rightChars="30"/>
              <w:jc w:val="center"/>
              <w:textAlignment w:val="baseline"/>
              <w:rPr>
                <w:rFonts w:hint="eastAsia" w:ascii="宋体" w:hAnsi="宋体"/>
              </w:rPr>
            </w:pPr>
          </w:p>
        </w:tc>
        <w:tc>
          <w:tcPr>
            <w:tcW w:w="851" w:type="dxa"/>
            <w:vAlign w:val="center"/>
          </w:tcPr>
          <w:p w14:paraId="6FAD2183">
            <w:pPr>
              <w:keepNext/>
              <w:adjustRightInd w:val="0"/>
              <w:ind w:left="63" w:leftChars="30" w:right="63" w:rightChars="30"/>
              <w:jc w:val="center"/>
              <w:textAlignment w:val="baseline"/>
              <w:rPr>
                <w:rFonts w:hint="eastAsia" w:ascii="宋体" w:hAnsi="宋体"/>
              </w:rPr>
            </w:pPr>
          </w:p>
        </w:tc>
        <w:tc>
          <w:tcPr>
            <w:tcW w:w="1044" w:type="dxa"/>
            <w:vAlign w:val="center"/>
          </w:tcPr>
          <w:p w14:paraId="1B81670E">
            <w:pPr>
              <w:keepNext/>
              <w:adjustRightInd w:val="0"/>
              <w:ind w:left="63" w:leftChars="30" w:right="63" w:rightChars="30"/>
              <w:jc w:val="center"/>
              <w:textAlignment w:val="baseline"/>
              <w:rPr>
                <w:rFonts w:hint="eastAsia" w:ascii="宋体" w:hAnsi="宋体"/>
              </w:rPr>
            </w:pPr>
          </w:p>
        </w:tc>
        <w:tc>
          <w:tcPr>
            <w:tcW w:w="992" w:type="dxa"/>
            <w:vAlign w:val="center"/>
          </w:tcPr>
          <w:p w14:paraId="6A1FBBFD">
            <w:pPr>
              <w:keepNext/>
              <w:adjustRightInd w:val="0"/>
              <w:ind w:left="63" w:leftChars="30" w:right="63" w:rightChars="30"/>
              <w:jc w:val="center"/>
              <w:textAlignment w:val="baseline"/>
              <w:rPr>
                <w:rFonts w:hint="eastAsia" w:ascii="宋体" w:hAnsi="宋体"/>
              </w:rPr>
            </w:pPr>
          </w:p>
        </w:tc>
        <w:tc>
          <w:tcPr>
            <w:tcW w:w="851" w:type="dxa"/>
            <w:vAlign w:val="center"/>
          </w:tcPr>
          <w:p w14:paraId="6225AE3E">
            <w:pPr>
              <w:keepNext/>
              <w:adjustRightInd w:val="0"/>
              <w:ind w:left="63" w:leftChars="30" w:right="63" w:rightChars="30"/>
              <w:jc w:val="center"/>
              <w:textAlignment w:val="baseline"/>
              <w:rPr>
                <w:rFonts w:hint="eastAsia" w:ascii="宋体" w:hAnsi="宋体"/>
              </w:rPr>
            </w:pPr>
          </w:p>
        </w:tc>
        <w:tc>
          <w:tcPr>
            <w:tcW w:w="1487" w:type="dxa"/>
            <w:vAlign w:val="center"/>
          </w:tcPr>
          <w:p w14:paraId="7D2FC592">
            <w:pPr>
              <w:keepNext/>
              <w:adjustRightInd w:val="0"/>
              <w:ind w:left="63" w:leftChars="30" w:right="63" w:rightChars="30"/>
              <w:jc w:val="center"/>
              <w:textAlignment w:val="baseline"/>
              <w:rPr>
                <w:rFonts w:hint="eastAsia" w:ascii="宋体" w:hAnsi="宋体"/>
              </w:rPr>
            </w:pPr>
          </w:p>
        </w:tc>
        <w:tc>
          <w:tcPr>
            <w:tcW w:w="689" w:type="dxa"/>
            <w:vAlign w:val="center"/>
          </w:tcPr>
          <w:p w14:paraId="18BB94DA">
            <w:pPr>
              <w:keepNext/>
              <w:adjustRightInd w:val="0"/>
              <w:ind w:left="63" w:leftChars="30" w:right="63" w:rightChars="30"/>
              <w:jc w:val="center"/>
              <w:textAlignment w:val="baseline"/>
              <w:rPr>
                <w:rFonts w:hint="eastAsia" w:ascii="宋体" w:hAnsi="宋体"/>
              </w:rPr>
            </w:pPr>
          </w:p>
        </w:tc>
      </w:tr>
      <w:tr w14:paraId="41AD0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4BAB35E5">
            <w:pPr>
              <w:keepNext/>
              <w:adjustRightInd w:val="0"/>
              <w:ind w:left="63" w:leftChars="30" w:right="63" w:rightChars="30"/>
              <w:jc w:val="center"/>
              <w:textAlignment w:val="baseline"/>
              <w:rPr>
                <w:rFonts w:hint="eastAsia" w:ascii="宋体" w:hAnsi="宋体"/>
              </w:rPr>
            </w:pPr>
          </w:p>
        </w:tc>
        <w:tc>
          <w:tcPr>
            <w:tcW w:w="1276" w:type="dxa"/>
            <w:vAlign w:val="center"/>
          </w:tcPr>
          <w:p w14:paraId="18C3A7FE">
            <w:pPr>
              <w:keepNext/>
              <w:adjustRightInd w:val="0"/>
              <w:ind w:left="63" w:leftChars="30" w:right="63" w:rightChars="30"/>
              <w:jc w:val="center"/>
              <w:textAlignment w:val="baseline"/>
              <w:rPr>
                <w:rFonts w:hint="eastAsia" w:ascii="宋体" w:hAnsi="宋体"/>
              </w:rPr>
            </w:pPr>
          </w:p>
        </w:tc>
        <w:tc>
          <w:tcPr>
            <w:tcW w:w="1418" w:type="dxa"/>
            <w:vAlign w:val="center"/>
          </w:tcPr>
          <w:p w14:paraId="7F6495D4">
            <w:pPr>
              <w:keepNext/>
              <w:adjustRightInd w:val="0"/>
              <w:ind w:left="63" w:leftChars="30" w:right="63" w:rightChars="30"/>
              <w:jc w:val="center"/>
              <w:textAlignment w:val="baseline"/>
              <w:rPr>
                <w:rFonts w:hint="eastAsia" w:ascii="宋体" w:hAnsi="宋体"/>
              </w:rPr>
            </w:pPr>
          </w:p>
        </w:tc>
        <w:tc>
          <w:tcPr>
            <w:tcW w:w="940" w:type="dxa"/>
            <w:vAlign w:val="center"/>
          </w:tcPr>
          <w:p w14:paraId="4C1CC453">
            <w:pPr>
              <w:keepNext/>
              <w:adjustRightInd w:val="0"/>
              <w:ind w:left="63" w:leftChars="30" w:right="63" w:rightChars="30"/>
              <w:jc w:val="center"/>
              <w:textAlignment w:val="baseline"/>
              <w:rPr>
                <w:rFonts w:hint="eastAsia" w:ascii="宋体" w:hAnsi="宋体"/>
              </w:rPr>
            </w:pPr>
          </w:p>
        </w:tc>
        <w:tc>
          <w:tcPr>
            <w:tcW w:w="851" w:type="dxa"/>
            <w:vAlign w:val="center"/>
          </w:tcPr>
          <w:p w14:paraId="4811421B">
            <w:pPr>
              <w:keepNext/>
              <w:adjustRightInd w:val="0"/>
              <w:ind w:left="63" w:leftChars="30" w:right="63" w:rightChars="30"/>
              <w:jc w:val="center"/>
              <w:textAlignment w:val="baseline"/>
              <w:rPr>
                <w:rFonts w:hint="eastAsia" w:ascii="宋体" w:hAnsi="宋体"/>
              </w:rPr>
            </w:pPr>
          </w:p>
        </w:tc>
        <w:tc>
          <w:tcPr>
            <w:tcW w:w="1044" w:type="dxa"/>
            <w:vAlign w:val="center"/>
          </w:tcPr>
          <w:p w14:paraId="447140D9">
            <w:pPr>
              <w:keepNext/>
              <w:adjustRightInd w:val="0"/>
              <w:ind w:left="63" w:leftChars="30" w:right="63" w:rightChars="30"/>
              <w:jc w:val="center"/>
              <w:textAlignment w:val="baseline"/>
              <w:rPr>
                <w:rFonts w:hint="eastAsia" w:ascii="宋体" w:hAnsi="宋体"/>
              </w:rPr>
            </w:pPr>
          </w:p>
        </w:tc>
        <w:tc>
          <w:tcPr>
            <w:tcW w:w="992" w:type="dxa"/>
            <w:vAlign w:val="center"/>
          </w:tcPr>
          <w:p w14:paraId="1296D71A">
            <w:pPr>
              <w:keepNext/>
              <w:adjustRightInd w:val="0"/>
              <w:ind w:left="63" w:leftChars="30" w:right="63" w:rightChars="30"/>
              <w:jc w:val="center"/>
              <w:textAlignment w:val="baseline"/>
              <w:rPr>
                <w:rFonts w:hint="eastAsia" w:ascii="宋体" w:hAnsi="宋体"/>
              </w:rPr>
            </w:pPr>
          </w:p>
        </w:tc>
        <w:tc>
          <w:tcPr>
            <w:tcW w:w="851" w:type="dxa"/>
            <w:vAlign w:val="center"/>
          </w:tcPr>
          <w:p w14:paraId="5EBC0F3F">
            <w:pPr>
              <w:keepNext/>
              <w:adjustRightInd w:val="0"/>
              <w:ind w:left="63" w:leftChars="30" w:right="63" w:rightChars="30"/>
              <w:jc w:val="center"/>
              <w:textAlignment w:val="baseline"/>
              <w:rPr>
                <w:rFonts w:hint="eastAsia" w:ascii="宋体" w:hAnsi="宋体"/>
              </w:rPr>
            </w:pPr>
          </w:p>
        </w:tc>
        <w:tc>
          <w:tcPr>
            <w:tcW w:w="1487" w:type="dxa"/>
            <w:vAlign w:val="center"/>
          </w:tcPr>
          <w:p w14:paraId="3236EAA6">
            <w:pPr>
              <w:keepNext/>
              <w:adjustRightInd w:val="0"/>
              <w:ind w:left="63" w:leftChars="30" w:right="63" w:rightChars="30"/>
              <w:jc w:val="center"/>
              <w:textAlignment w:val="baseline"/>
              <w:rPr>
                <w:rFonts w:hint="eastAsia" w:ascii="宋体" w:hAnsi="宋体"/>
              </w:rPr>
            </w:pPr>
          </w:p>
        </w:tc>
        <w:tc>
          <w:tcPr>
            <w:tcW w:w="689" w:type="dxa"/>
            <w:vAlign w:val="center"/>
          </w:tcPr>
          <w:p w14:paraId="1F52CF7A">
            <w:pPr>
              <w:keepNext/>
              <w:adjustRightInd w:val="0"/>
              <w:ind w:left="63" w:leftChars="30" w:right="63" w:rightChars="30"/>
              <w:jc w:val="center"/>
              <w:textAlignment w:val="baseline"/>
              <w:rPr>
                <w:rFonts w:hint="eastAsia" w:ascii="宋体" w:hAnsi="宋体"/>
              </w:rPr>
            </w:pPr>
          </w:p>
        </w:tc>
      </w:tr>
      <w:tr w14:paraId="40896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484DD398">
            <w:pPr>
              <w:keepNext/>
              <w:adjustRightInd w:val="0"/>
              <w:ind w:left="63" w:leftChars="30" w:right="63" w:rightChars="30"/>
              <w:jc w:val="center"/>
              <w:textAlignment w:val="baseline"/>
              <w:rPr>
                <w:rFonts w:hint="eastAsia" w:ascii="宋体" w:hAnsi="宋体"/>
              </w:rPr>
            </w:pPr>
          </w:p>
        </w:tc>
        <w:tc>
          <w:tcPr>
            <w:tcW w:w="1276" w:type="dxa"/>
            <w:vAlign w:val="center"/>
          </w:tcPr>
          <w:p w14:paraId="4821E89A">
            <w:pPr>
              <w:keepNext/>
              <w:adjustRightInd w:val="0"/>
              <w:ind w:left="63" w:leftChars="30" w:right="63" w:rightChars="30"/>
              <w:jc w:val="center"/>
              <w:textAlignment w:val="baseline"/>
              <w:rPr>
                <w:rFonts w:hint="eastAsia" w:ascii="宋体" w:hAnsi="宋体"/>
              </w:rPr>
            </w:pPr>
          </w:p>
        </w:tc>
        <w:tc>
          <w:tcPr>
            <w:tcW w:w="1418" w:type="dxa"/>
            <w:vAlign w:val="center"/>
          </w:tcPr>
          <w:p w14:paraId="2E10DB84">
            <w:pPr>
              <w:keepNext/>
              <w:adjustRightInd w:val="0"/>
              <w:ind w:left="63" w:leftChars="30" w:right="63" w:rightChars="30"/>
              <w:jc w:val="center"/>
              <w:textAlignment w:val="baseline"/>
              <w:rPr>
                <w:rFonts w:hint="eastAsia" w:ascii="宋体" w:hAnsi="宋体"/>
              </w:rPr>
            </w:pPr>
          </w:p>
        </w:tc>
        <w:tc>
          <w:tcPr>
            <w:tcW w:w="940" w:type="dxa"/>
            <w:vAlign w:val="center"/>
          </w:tcPr>
          <w:p w14:paraId="33DDC1EE">
            <w:pPr>
              <w:keepNext/>
              <w:adjustRightInd w:val="0"/>
              <w:ind w:left="63" w:leftChars="30" w:right="63" w:rightChars="30"/>
              <w:jc w:val="center"/>
              <w:textAlignment w:val="baseline"/>
              <w:rPr>
                <w:rFonts w:hint="eastAsia" w:ascii="宋体" w:hAnsi="宋体"/>
              </w:rPr>
            </w:pPr>
          </w:p>
        </w:tc>
        <w:tc>
          <w:tcPr>
            <w:tcW w:w="851" w:type="dxa"/>
            <w:vAlign w:val="center"/>
          </w:tcPr>
          <w:p w14:paraId="1268475E">
            <w:pPr>
              <w:keepNext/>
              <w:adjustRightInd w:val="0"/>
              <w:ind w:left="63" w:leftChars="30" w:right="63" w:rightChars="30"/>
              <w:jc w:val="center"/>
              <w:textAlignment w:val="baseline"/>
              <w:rPr>
                <w:rFonts w:hint="eastAsia" w:ascii="宋体" w:hAnsi="宋体"/>
              </w:rPr>
            </w:pPr>
          </w:p>
        </w:tc>
        <w:tc>
          <w:tcPr>
            <w:tcW w:w="1044" w:type="dxa"/>
            <w:vAlign w:val="center"/>
          </w:tcPr>
          <w:p w14:paraId="76BBCC0D">
            <w:pPr>
              <w:keepNext/>
              <w:adjustRightInd w:val="0"/>
              <w:ind w:left="63" w:leftChars="30" w:right="63" w:rightChars="30"/>
              <w:jc w:val="center"/>
              <w:textAlignment w:val="baseline"/>
              <w:rPr>
                <w:rFonts w:hint="eastAsia" w:ascii="宋体" w:hAnsi="宋体"/>
              </w:rPr>
            </w:pPr>
          </w:p>
        </w:tc>
        <w:tc>
          <w:tcPr>
            <w:tcW w:w="992" w:type="dxa"/>
            <w:vAlign w:val="center"/>
          </w:tcPr>
          <w:p w14:paraId="165FCF1C">
            <w:pPr>
              <w:keepNext/>
              <w:adjustRightInd w:val="0"/>
              <w:ind w:left="63" w:leftChars="30" w:right="63" w:rightChars="30"/>
              <w:jc w:val="center"/>
              <w:textAlignment w:val="baseline"/>
              <w:rPr>
                <w:rFonts w:hint="eastAsia" w:ascii="宋体" w:hAnsi="宋体"/>
              </w:rPr>
            </w:pPr>
          </w:p>
        </w:tc>
        <w:tc>
          <w:tcPr>
            <w:tcW w:w="851" w:type="dxa"/>
            <w:vAlign w:val="center"/>
          </w:tcPr>
          <w:p w14:paraId="27E88EC0">
            <w:pPr>
              <w:keepNext/>
              <w:adjustRightInd w:val="0"/>
              <w:ind w:left="63" w:leftChars="30" w:right="63" w:rightChars="30"/>
              <w:jc w:val="center"/>
              <w:textAlignment w:val="baseline"/>
              <w:rPr>
                <w:rFonts w:hint="eastAsia" w:ascii="宋体" w:hAnsi="宋体"/>
              </w:rPr>
            </w:pPr>
          </w:p>
        </w:tc>
        <w:tc>
          <w:tcPr>
            <w:tcW w:w="1487" w:type="dxa"/>
            <w:vAlign w:val="center"/>
          </w:tcPr>
          <w:p w14:paraId="0280BB3A">
            <w:pPr>
              <w:keepNext/>
              <w:adjustRightInd w:val="0"/>
              <w:ind w:left="63" w:leftChars="30" w:right="63" w:rightChars="30"/>
              <w:jc w:val="center"/>
              <w:textAlignment w:val="baseline"/>
              <w:rPr>
                <w:rFonts w:hint="eastAsia" w:ascii="宋体" w:hAnsi="宋体"/>
              </w:rPr>
            </w:pPr>
          </w:p>
        </w:tc>
        <w:tc>
          <w:tcPr>
            <w:tcW w:w="689" w:type="dxa"/>
            <w:vAlign w:val="center"/>
          </w:tcPr>
          <w:p w14:paraId="0DCBFFEC">
            <w:pPr>
              <w:keepNext/>
              <w:adjustRightInd w:val="0"/>
              <w:ind w:left="63" w:leftChars="30" w:right="63" w:rightChars="30"/>
              <w:jc w:val="center"/>
              <w:textAlignment w:val="baseline"/>
              <w:rPr>
                <w:rFonts w:hint="eastAsia" w:ascii="宋体" w:hAnsi="宋体"/>
              </w:rPr>
            </w:pPr>
          </w:p>
        </w:tc>
      </w:tr>
      <w:tr w14:paraId="3756B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4BE65988">
            <w:pPr>
              <w:keepNext/>
              <w:adjustRightInd w:val="0"/>
              <w:ind w:left="63" w:leftChars="30" w:right="63" w:rightChars="30"/>
              <w:jc w:val="center"/>
              <w:textAlignment w:val="baseline"/>
              <w:rPr>
                <w:rFonts w:hint="eastAsia" w:ascii="宋体" w:hAnsi="宋体"/>
              </w:rPr>
            </w:pPr>
          </w:p>
        </w:tc>
        <w:tc>
          <w:tcPr>
            <w:tcW w:w="1276" w:type="dxa"/>
            <w:vAlign w:val="center"/>
          </w:tcPr>
          <w:p w14:paraId="072CF0D0">
            <w:pPr>
              <w:keepNext/>
              <w:adjustRightInd w:val="0"/>
              <w:ind w:left="63" w:leftChars="30" w:right="63" w:rightChars="30"/>
              <w:jc w:val="center"/>
              <w:textAlignment w:val="baseline"/>
              <w:rPr>
                <w:rFonts w:hint="eastAsia" w:ascii="宋体" w:hAnsi="宋体"/>
              </w:rPr>
            </w:pPr>
          </w:p>
        </w:tc>
        <w:tc>
          <w:tcPr>
            <w:tcW w:w="1418" w:type="dxa"/>
            <w:vAlign w:val="center"/>
          </w:tcPr>
          <w:p w14:paraId="6A3ADFDB">
            <w:pPr>
              <w:keepNext/>
              <w:adjustRightInd w:val="0"/>
              <w:ind w:left="63" w:leftChars="30" w:right="63" w:rightChars="30"/>
              <w:jc w:val="center"/>
              <w:textAlignment w:val="baseline"/>
              <w:rPr>
                <w:rFonts w:hint="eastAsia" w:ascii="宋体" w:hAnsi="宋体"/>
              </w:rPr>
            </w:pPr>
          </w:p>
        </w:tc>
        <w:tc>
          <w:tcPr>
            <w:tcW w:w="940" w:type="dxa"/>
            <w:vAlign w:val="center"/>
          </w:tcPr>
          <w:p w14:paraId="4BA543C5">
            <w:pPr>
              <w:keepNext/>
              <w:adjustRightInd w:val="0"/>
              <w:ind w:left="63" w:leftChars="30" w:right="63" w:rightChars="30"/>
              <w:jc w:val="center"/>
              <w:textAlignment w:val="baseline"/>
              <w:rPr>
                <w:rFonts w:hint="eastAsia" w:ascii="宋体" w:hAnsi="宋体"/>
              </w:rPr>
            </w:pPr>
          </w:p>
        </w:tc>
        <w:tc>
          <w:tcPr>
            <w:tcW w:w="851" w:type="dxa"/>
            <w:vAlign w:val="center"/>
          </w:tcPr>
          <w:p w14:paraId="3D6E2E45">
            <w:pPr>
              <w:keepNext/>
              <w:adjustRightInd w:val="0"/>
              <w:ind w:left="63" w:leftChars="30" w:right="63" w:rightChars="30"/>
              <w:jc w:val="center"/>
              <w:textAlignment w:val="baseline"/>
              <w:rPr>
                <w:rFonts w:hint="eastAsia" w:ascii="宋体" w:hAnsi="宋体"/>
              </w:rPr>
            </w:pPr>
          </w:p>
        </w:tc>
        <w:tc>
          <w:tcPr>
            <w:tcW w:w="1044" w:type="dxa"/>
            <w:vAlign w:val="center"/>
          </w:tcPr>
          <w:p w14:paraId="5AC04916">
            <w:pPr>
              <w:keepNext/>
              <w:adjustRightInd w:val="0"/>
              <w:ind w:left="63" w:leftChars="30" w:right="63" w:rightChars="30"/>
              <w:jc w:val="center"/>
              <w:textAlignment w:val="baseline"/>
              <w:rPr>
                <w:rFonts w:hint="eastAsia" w:ascii="宋体" w:hAnsi="宋体"/>
              </w:rPr>
            </w:pPr>
          </w:p>
        </w:tc>
        <w:tc>
          <w:tcPr>
            <w:tcW w:w="992" w:type="dxa"/>
            <w:vAlign w:val="center"/>
          </w:tcPr>
          <w:p w14:paraId="35B9B577">
            <w:pPr>
              <w:keepNext/>
              <w:adjustRightInd w:val="0"/>
              <w:ind w:left="63" w:leftChars="30" w:right="63" w:rightChars="30"/>
              <w:jc w:val="center"/>
              <w:textAlignment w:val="baseline"/>
              <w:rPr>
                <w:rFonts w:hint="eastAsia" w:ascii="宋体" w:hAnsi="宋体"/>
              </w:rPr>
            </w:pPr>
          </w:p>
        </w:tc>
        <w:tc>
          <w:tcPr>
            <w:tcW w:w="851" w:type="dxa"/>
            <w:vAlign w:val="center"/>
          </w:tcPr>
          <w:p w14:paraId="2153EC37">
            <w:pPr>
              <w:keepNext/>
              <w:adjustRightInd w:val="0"/>
              <w:ind w:left="63" w:leftChars="30" w:right="63" w:rightChars="30"/>
              <w:jc w:val="center"/>
              <w:textAlignment w:val="baseline"/>
              <w:rPr>
                <w:rFonts w:hint="eastAsia" w:ascii="宋体" w:hAnsi="宋体"/>
              </w:rPr>
            </w:pPr>
          </w:p>
        </w:tc>
        <w:tc>
          <w:tcPr>
            <w:tcW w:w="1487" w:type="dxa"/>
            <w:vAlign w:val="center"/>
          </w:tcPr>
          <w:p w14:paraId="45222DA6">
            <w:pPr>
              <w:keepNext/>
              <w:adjustRightInd w:val="0"/>
              <w:ind w:left="63" w:leftChars="30" w:right="63" w:rightChars="30"/>
              <w:jc w:val="center"/>
              <w:textAlignment w:val="baseline"/>
              <w:rPr>
                <w:rFonts w:hint="eastAsia" w:ascii="宋体" w:hAnsi="宋体"/>
              </w:rPr>
            </w:pPr>
          </w:p>
        </w:tc>
        <w:tc>
          <w:tcPr>
            <w:tcW w:w="689" w:type="dxa"/>
            <w:vAlign w:val="center"/>
          </w:tcPr>
          <w:p w14:paraId="3AFE8C88">
            <w:pPr>
              <w:keepNext/>
              <w:adjustRightInd w:val="0"/>
              <w:ind w:left="63" w:leftChars="30" w:right="63" w:rightChars="30"/>
              <w:jc w:val="center"/>
              <w:textAlignment w:val="baseline"/>
              <w:rPr>
                <w:rFonts w:hint="eastAsia" w:ascii="宋体" w:hAnsi="宋体"/>
              </w:rPr>
            </w:pPr>
          </w:p>
        </w:tc>
      </w:tr>
      <w:tr w14:paraId="02B48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07FD314A">
            <w:pPr>
              <w:keepNext/>
              <w:adjustRightInd w:val="0"/>
              <w:ind w:left="63" w:leftChars="30" w:right="63" w:rightChars="30"/>
              <w:jc w:val="center"/>
              <w:textAlignment w:val="baseline"/>
              <w:rPr>
                <w:rFonts w:hint="eastAsia" w:ascii="宋体" w:hAnsi="宋体"/>
              </w:rPr>
            </w:pPr>
          </w:p>
        </w:tc>
        <w:tc>
          <w:tcPr>
            <w:tcW w:w="1276" w:type="dxa"/>
            <w:vAlign w:val="center"/>
          </w:tcPr>
          <w:p w14:paraId="1ACDD672">
            <w:pPr>
              <w:keepNext/>
              <w:adjustRightInd w:val="0"/>
              <w:ind w:left="63" w:leftChars="30" w:right="63" w:rightChars="30"/>
              <w:jc w:val="center"/>
              <w:textAlignment w:val="baseline"/>
              <w:rPr>
                <w:rFonts w:hint="eastAsia" w:ascii="宋体" w:hAnsi="宋体"/>
              </w:rPr>
            </w:pPr>
          </w:p>
        </w:tc>
        <w:tc>
          <w:tcPr>
            <w:tcW w:w="1418" w:type="dxa"/>
            <w:vAlign w:val="center"/>
          </w:tcPr>
          <w:p w14:paraId="7644EE6A">
            <w:pPr>
              <w:keepNext/>
              <w:adjustRightInd w:val="0"/>
              <w:ind w:left="63" w:leftChars="30" w:right="63" w:rightChars="30"/>
              <w:jc w:val="center"/>
              <w:textAlignment w:val="baseline"/>
              <w:rPr>
                <w:rFonts w:hint="eastAsia" w:ascii="宋体" w:hAnsi="宋体"/>
              </w:rPr>
            </w:pPr>
          </w:p>
        </w:tc>
        <w:tc>
          <w:tcPr>
            <w:tcW w:w="940" w:type="dxa"/>
            <w:vAlign w:val="center"/>
          </w:tcPr>
          <w:p w14:paraId="78DDC3AB">
            <w:pPr>
              <w:keepNext/>
              <w:adjustRightInd w:val="0"/>
              <w:ind w:left="63" w:leftChars="30" w:right="63" w:rightChars="30"/>
              <w:jc w:val="center"/>
              <w:textAlignment w:val="baseline"/>
              <w:rPr>
                <w:rFonts w:hint="eastAsia" w:ascii="宋体" w:hAnsi="宋体"/>
              </w:rPr>
            </w:pPr>
          </w:p>
        </w:tc>
        <w:tc>
          <w:tcPr>
            <w:tcW w:w="851" w:type="dxa"/>
            <w:vAlign w:val="center"/>
          </w:tcPr>
          <w:p w14:paraId="3D458369">
            <w:pPr>
              <w:keepNext/>
              <w:adjustRightInd w:val="0"/>
              <w:ind w:left="63" w:leftChars="30" w:right="63" w:rightChars="30"/>
              <w:jc w:val="center"/>
              <w:textAlignment w:val="baseline"/>
              <w:rPr>
                <w:rFonts w:hint="eastAsia" w:ascii="宋体" w:hAnsi="宋体"/>
              </w:rPr>
            </w:pPr>
          </w:p>
        </w:tc>
        <w:tc>
          <w:tcPr>
            <w:tcW w:w="1044" w:type="dxa"/>
            <w:vAlign w:val="center"/>
          </w:tcPr>
          <w:p w14:paraId="15A7266C">
            <w:pPr>
              <w:keepNext/>
              <w:adjustRightInd w:val="0"/>
              <w:ind w:left="63" w:leftChars="30" w:right="63" w:rightChars="30"/>
              <w:jc w:val="center"/>
              <w:textAlignment w:val="baseline"/>
              <w:rPr>
                <w:rFonts w:hint="eastAsia" w:ascii="宋体" w:hAnsi="宋体"/>
              </w:rPr>
            </w:pPr>
          </w:p>
        </w:tc>
        <w:tc>
          <w:tcPr>
            <w:tcW w:w="992" w:type="dxa"/>
            <w:vAlign w:val="center"/>
          </w:tcPr>
          <w:p w14:paraId="5FC17C75">
            <w:pPr>
              <w:keepNext/>
              <w:adjustRightInd w:val="0"/>
              <w:ind w:left="63" w:leftChars="30" w:right="63" w:rightChars="30"/>
              <w:jc w:val="center"/>
              <w:textAlignment w:val="baseline"/>
              <w:rPr>
                <w:rFonts w:hint="eastAsia" w:ascii="宋体" w:hAnsi="宋体"/>
              </w:rPr>
            </w:pPr>
          </w:p>
        </w:tc>
        <w:tc>
          <w:tcPr>
            <w:tcW w:w="851" w:type="dxa"/>
            <w:vAlign w:val="center"/>
          </w:tcPr>
          <w:p w14:paraId="443784B7">
            <w:pPr>
              <w:keepNext/>
              <w:adjustRightInd w:val="0"/>
              <w:ind w:left="63" w:leftChars="30" w:right="63" w:rightChars="30"/>
              <w:jc w:val="center"/>
              <w:textAlignment w:val="baseline"/>
              <w:rPr>
                <w:rFonts w:hint="eastAsia" w:ascii="宋体" w:hAnsi="宋体"/>
              </w:rPr>
            </w:pPr>
          </w:p>
        </w:tc>
        <w:tc>
          <w:tcPr>
            <w:tcW w:w="1487" w:type="dxa"/>
            <w:vAlign w:val="center"/>
          </w:tcPr>
          <w:p w14:paraId="2D55BF47">
            <w:pPr>
              <w:keepNext/>
              <w:adjustRightInd w:val="0"/>
              <w:ind w:left="63" w:leftChars="30" w:right="63" w:rightChars="30"/>
              <w:jc w:val="center"/>
              <w:textAlignment w:val="baseline"/>
              <w:rPr>
                <w:rFonts w:hint="eastAsia" w:ascii="宋体" w:hAnsi="宋体"/>
              </w:rPr>
            </w:pPr>
          </w:p>
        </w:tc>
        <w:tc>
          <w:tcPr>
            <w:tcW w:w="689" w:type="dxa"/>
            <w:vAlign w:val="center"/>
          </w:tcPr>
          <w:p w14:paraId="5A59C958">
            <w:pPr>
              <w:keepNext/>
              <w:adjustRightInd w:val="0"/>
              <w:ind w:left="63" w:leftChars="30" w:right="63" w:rightChars="30"/>
              <w:jc w:val="center"/>
              <w:textAlignment w:val="baseline"/>
              <w:rPr>
                <w:rFonts w:hint="eastAsia" w:ascii="宋体" w:hAnsi="宋体"/>
              </w:rPr>
            </w:pPr>
          </w:p>
        </w:tc>
      </w:tr>
      <w:tr w14:paraId="264D4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23A3635D">
            <w:pPr>
              <w:keepNext/>
              <w:adjustRightInd w:val="0"/>
              <w:ind w:left="63" w:leftChars="30" w:right="63" w:rightChars="30"/>
              <w:jc w:val="center"/>
              <w:textAlignment w:val="baseline"/>
              <w:rPr>
                <w:rFonts w:hint="eastAsia" w:ascii="宋体" w:hAnsi="宋体"/>
              </w:rPr>
            </w:pPr>
          </w:p>
        </w:tc>
        <w:tc>
          <w:tcPr>
            <w:tcW w:w="1276" w:type="dxa"/>
            <w:vAlign w:val="center"/>
          </w:tcPr>
          <w:p w14:paraId="7D559B22">
            <w:pPr>
              <w:keepNext/>
              <w:adjustRightInd w:val="0"/>
              <w:ind w:left="63" w:leftChars="30" w:right="63" w:rightChars="30"/>
              <w:jc w:val="center"/>
              <w:textAlignment w:val="baseline"/>
              <w:rPr>
                <w:rFonts w:hint="eastAsia" w:ascii="宋体" w:hAnsi="宋体"/>
              </w:rPr>
            </w:pPr>
          </w:p>
        </w:tc>
        <w:tc>
          <w:tcPr>
            <w:tcW w:w="1418" w:type="dxa"/>
            <w:vAlign w:val="center"/>
          </w:tcPr>
          <w:p w14:paraId="6EB946C4">
            <w:pPr>
              <w:keepNext/>
              <w:adjustRightInd w:val="0"/>
              <w:ind w:left="63" w:leftChars="30" w:right="63" w:rightChars="30"/>
              <w:jc w:val="center"/>
              <w:textAlignment w:val="baseline"/>
              <w:rPr>
                <w:rFonts w:hint="eastAsia" w:ascii="宋体" w:hAnsi="宋体"/>
              </w:rPr>
            </w:pPr>
          </w:p>
        </w:tc>
        <w:tc>
          <w:tcPr>
            <w:tcW w:w="940" w:type="dxa"/>
            <w:vAlign w:val="center"/>
          </w:tcPr>
          <w:p w14:paraId="5AE75F57">
            <w:pPr>
              <w:keepNext/>
              <w:adjustRightInd w:val="0"/>
              <w:ind w:left="63" w:leftChars="30" w:right="63" w:rightChars="30"/>
              <w:jc w:val="center"/>
              <w:textAlignment w:val="baseline"/>
              <w:rPr>
                <w:rFonts w:hint="eastAsia" w:ascii="宋体" w:hAnsi="宋体"/>
              </w:rPr>
            </w:pPr>
          </w:p>
        </w:tc>
        <w:tc>
          <w:tcPr>
            <w:tcW w:w="851" w:type="dxa"/>
            <w:vAlign w:val="center"/>
          </w:tcPr>
          <w:p w14:paraId="62765591">
            <w:pPr>
              <w:keepNext/>
              <w:adjustRightInd w:val="0"/>
              <w:ind w:left="63" w:leftChars="30" w:right="63" w:rightChars="30"/>
              <w:jc w:val="center"/>
              <w:textAlignment w:val="baseline"/>
              <w:rPr>
                <w:rFonts w:hint="eastAsia" w:ascii="宋体" w:hAnsi="宋体"/>
              </w:rPr>
            </w:pPr>
          </w:p>
        </w:tc>
        <w:tc>
          <w:tcPr>
            <w:tcW w:w="1044" w:type="dxa"/>
            <w:vAlign w:val="center"/>
          </w:tcPr>
          <w:p w14:paraId="73C407A5">
            <w:pPr>
              <w:keepNext/>
              <w:adjustRightInd w:val="0"/>
              <w:ind w:left="63" w:leftChars="30" w:right="63" w:rightChars="30"/>
              <w:jc w:val="center"/>
              <w:textAlignment w:val="baseline"/>
              <w:rPr>
                <w:rFonts w:hint="eastAsia" w:ascii="宋体" w:hAnsi="宋体"/>
              </w:rPr>
            </w:pPr>
          </w:p>
        </w:tc>
        <w:tc>
          <w:tcPr>
            <w:tcW w:w="992" w:type="dxa"/>
            <w:vAlign w:val="center"/>
          </w:tcPr>
          <w:p w14:paraId="7B327C40">
            <w:pPr>
              <w:keepNext/>
              <w:adjustRightInd w:val="0"/>
              <w:ind w:left="63" w:leftChars="30" w:right="63" w:rightChars="30"/>
              <w:jc w:val="center"/>
              <w:textAlignment w:val="baseline"/>
              <w:rPr>
                <w:rFonts w:hint="eastAsia" w:ascii="宋体" w:hAnsi="宋体"/>
              </w:rPr>
            </w:pPr>
          </w:p>
        </w:tc>
        <w:tc>
          <w:tcPr>
            <w:tcW w:w="851" w:type="dxa"/>
            <w:vAlign w:val="center"/>
          </w:tcPr>
          <w:p w14:paraId="688DE360">
            <w:pPr>
              <w:keepNext/>
              <w:adjustRightInd w:val="0"/>
              <w:ind w:left="63" w:leftChars="30" w:right="63" w:rightChars="30"/>
              <w:jc w:val="center"/>
              <w:textAlignment w:val="baseline"/>
              <w:rPr>
                <w:rFonts w:hint="eastAsia" w:ascii="宋体" w:hAnsi="宋体"/>
              </w:rPr>
            </w:pPr>
          </w:p>
        </w:tc>
        <w:tc>
          <w:tcPr>
            <w:tcW w:w="1487" w:type="dxa"/>
            <w:vAlign w:val="center"/>
          </w:tcPr>
          <w:p w14:paraId="7365BFBE">
            <w:pPr>
              <w:keepNext/>
              <w:adjustRightInd w:val="0"/>
              <w:ind w:left="63" w:leftChars="30" w:right="63" w:rightChars="30"/>
              <w:jc w:val="center"/>
              <w:textAlignment w:val="baseline"/>
              <w:rPr>
                <w:rFonts w:hint="eastAsia" w:ascii="宋体" w:hAnsi="宋体"/>
              </w:rPr>
            </w:pPr>
          </w:p>
        </w:tc>
        <w:tc>
          <w:tcPr>
            <w:tcW w:w="689" w:type="dxa"/>
            <w:vAlign w:val="center"/>
          </w:tcPr>
          <w:p w14:paraId="6BA197C8">
            <w:pPr>
              <w:keepNext/>
              <w:adjustRightInd w:val="0"/>
              <w:ind w:left="63" w:leftChars="30" w:right="63" w:rightChars="30"/>
              <w:jc w:val="center"/>
              <w:textAlignment w:val="baseline"/>
              <w:rPr>
                <w:rFonts w:hint="eastAsia" w:ascii="宋体" w:hAnsi="宋体"/>
              </w:rPr>
            </w:pPr>
          </w:p>
        </w:tc>
      </w:tr>
      <w:tr w14:paraId="335EE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468BF6D2">
            <w:pPr>
              <w:jc w:val="center"/>
              <w:rPr>
                <w:rFonts w:hint="eastAsia" w:ascii="宋体" w:hAnsi="宋体"/>
              </w:rPr>
            </w:pPr>
          </w:p>
        </w:tc>
        <w:tc>
          <w:tcPr>
            <w:tcW w:w="1276" w:type="dxa"/>
            <w:vAlign w:val="center"/>
          </w:tcPr>
          <w:p w14:paraId="1BC67FD6">
            <w:pPr>
              <w:jc w:val="center"/>
              <w:rPr>
                <w:rFonts w:hint="eastAsia" w:ascii="宋体" w:hAnsi="宋体"/>
              </w:rPr>
            </w:pPr>
          </w:p>
        </w:tc>
        <w:tc>
          <w:tcPr>
            <w:tcW w:w="1418" w:type="dxa"/>
            <w:vAlign w:val="center"/>
          </w:tcPr>
          <w:p w14:paraId="50D55B57">
            <w:pPr>
              <w:jc w:val="center"/>
              <w:rPr>
                <w:rFonts w:hint="eastAsia" w:ascii="宋体" w:hAnsi="宋体"/>
              </w:rPr>
            </w:pPr>
          </w:p>
        </w:tc>
        <w:tc>
          <w:tcPr>
            <w:tcW w:w="940" w:type="dxa"/>
            <w:vAlign w:val="center"/>
          </w:tcPr>
          <w:p w14:paraId="33259923">
            <w:pPr>
              <w:jc w:val="center"/>
              <w:rPr>
                <w:rFonts w:hint="eastAsia" w:ascii="宋体" w:hAnsi="宋体"/>
              </w:rPr>
            </w:pPr>
          </w:p>
        </w:tc>
        <w:tc>
          <w:tcPr>
            <w:tcW w:w="851" w:type="dxa"/>
            <w:vAlign w:val="center"/>
          </w:tcPr>
          <w:p w14:paraId="61000B88">
            <w:pPr>
              <w:jc w:val="center"/>
              <w:rPr>
                <w:rFonts w:hint="eastAsia" w:ascii="宋体" w:hAnsi="宋体"/>
              </w:rPr>
            </w:pPr>
          </w:p>
        </w:tc>
        <w:tc>
          <w:tcPr>
            <w:tcW w:w="1044" w:type="dxa"/>
            <w:vAlign w:val="center"/>
          </w:tcPr>
          <w:p w14:paraId="66A7AF61">
            <w:pPr>
              <w:jc w:val="center"/>
              <w:rPr>
                <w:rFonts w:hint="eastAsia" w:ascii="宋体" w:hAnsi="宋体"/>
              </w:rPr>
            </w:pPr>
          </w:p>
        </w:tc>
        <w:tc>
          <w:tcPr>
            <w:tcW w:w="992" w:type="dxa"/>
            <w:vAlign w:val="center"/>
          </w:tcPr>
          <w:p w14:paraId="7CD51C99">
            <w:pPr>
              <w:jc w:val="center"/>
              <w:rPr>
                <w:rFonts w:hint="eastAsia" w:ascii="宋体" w:hAnsi="宋体"/>
              </w:rPr>
            </w:pPr>
          </w:p>
        </w:tc>
        <w:tc>
          <w:tcPr>
            <w:tcW w:w="851" w:type="dxa"/>
            <w:vAlign w:val="center"/>
          </w:tcPr>
          <w:p w14:paraId="2D7E5756">
            <w:pPr>
              <w:jc w:val="center"/>
              <w:rPr>
                <w:rFonts w:hint="eastAsia" w:ascii="宋体" w:hAnsi="宋体"/>
              </w:rPr>
            </w:pPr>
          </w:p>
        </w:tc>
        <w:tc>
          <w:tcPr>
            <w:tcW w:w="1487" w:type="dxa"/>
            <w:vAlign w:val="center"/>
          </w:tcPr>
          <w:p w14:paraId="5D828BD6">
            <w:pPr>
              <w:jc w:val="center"/>
              <w:rPr>
                <w:rFonts w:hint="eastAsia" w:ascii="宋体" w:hAnsi="宋体"/>
              </w:rPr>
            </w:pPr>
          </w:p>
        </w:tc>
        <w:tc>
          <w:tcPr>
            <w:tcW w:w="689" w:type="dxa"/>
            <w:vAlign w:val="center"/>
          </w:tcPr>
          <w:p w14:paraId="39F0B848">
            <w:pPr>
              <w:jc w:val="center"/>
              <w:rPr>
                <w:rFonts w:hint="eastAsia" w:ascii="宋体" w:hAnsi="宋体"/>
              </w:rPr>
            </w:pPr>
          </w:p>
        </w:tc>
      </w:tr>
      <w:tr w14:paraId="4DF89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2AB76EE7">
            <w:pPr>
              <w:keepNext/>
              <w:adjustRightInd w:val="0"/>
              <w:ind w:left="63" w:leftChars="30" w:right="63" w:rightChars="30"/>
              <w:jc w:val="center"/>
              <w:textAlignment w:val="baseline"/>
              <w:rPr>
                <w:rFonts w:hint="eastAsia" w:ascii="宋体" w:hAnsi="宋体"/>
              </w:rPr>
            </w:pPr>
          </w:p>
        </w:tc>
        <w:tc>
          <w:tcPr>
            <w:tcW w:w="1276" w:type="dxa"/>
            <w:vAlign w:val="center"/>
          </w:tcPr>
          <w:p w14:paraId="354392DD">
            <w:pPr>
              <w:keepNext/>
              <w:adjustRightInd w:val="0"/>
              <w:ind w:left="63" w:leftChars="30" w:right="63" w:rightChars="30"/>
              <w:jc w:val="center"/>
              <w:textAlignment w:val="baseline"/>
              <w:rPr>
                <w:rFonts w:hint="eastAsia" w:ascii="宋体" w:hAnsi="宋体"/>
              </w:rPr>
            </w:pPr>
          </w:p>
        </w:tc>
        <w:tc>
          <w:tcPr>
            <w:tcW w:w="1418" w:type="dxa"/>
            <w:vAlign w:val="center"/>
          </w:tcPr>
          <w:p w14:paraId="279B4D41">
            <w:pPr>
              <w:keepNext/>
              <w:adjustRightInd w:val="0"/>
              <w:ind w:left="63" w:leftChars="30" w:right="63" w:rightChars="30"/>
              <w:jc w:val="center"/>
              <w:textAlignment w:val="baseline"/>
              <w:rPr>
                <w:rFonts w:hint="eastAsia" w:ascii="宋体" w:hAnsi="宋体"/>
              </w:rPr>
            </w:pPr>
          </w:p>
        </w:tc>
        <w:tc>
          <w:tcPr>
            <w:tcW w:w="940" w:type="dxa"/>
            <w:vAlign w:val="center"/>
          </w:tcPr>
          <w:p w14:paraId="21EC00CF">
            <w:pPr>
              <w:keepNext/>
              <w:adjustRightInd w:val="0"/>
              <w:ind w:left="63" w:leftChars="30" w:right="63" w:rightChars="30"/>
              <w:jc w:val="center"/>
              <w:textAlignment w:val="baseline"/>
              <w:rPr>
                <w:rFonts w:hint="eastAsia" w:ascii="宋体" w:hAnsi="宋体"/>
              </w:rPr>
            </w:pPr>
          </w:p>
        </w:tc>
        <w:tc>
          <w:tcPr>
            <w:tcW w:w="851" w:type="dxa"/>
            <w:vAlign w:val="center"/>
          </w:tcPr>
          <w:p w14:paraId="7A3C5C4C">
            <w:pPr>
              <w:keepNext/>
              <w:adjustRightInd w:val="0"/>
              <w:ind w:left="63" w:leftChars="30" w:right="63" w:rightChars="30"/>
              <w:jc w:val="center"/>
              <w:textAlignment w:val="baseline"/>
              <w:rPr>
                <w:rFonts w:hint="eastAsia" w:ascii="宋体" w:hAnsi="宋体"/>
              </w:rPr>
            </w:pPr>
          </w:p>
        </w:tc>
        <w:tc>
          <w:tcPr>
            <w:tcW w:w="1044" w:type="dxa"/>
            <w:vAlign w:val="center"/>
          </w:tcPr>
          <w:p w14:paraId="3BF5E10C">
            <w:pPr>
              <w:keepNext/>
              <w:adjustRightInd w:val="0"/>
              <w:ind w:left="63" w:leftChars="30" w:right="63" w:rightChars="30"/>
              <w:jc w:val="center"/>
              <w:textAlignment w:val="baseline"/>
              <w:rPr>
                <w:rFonts w:hint="eastAsia" w:ascii="宋体" w:hAnsi="宋体"/>
              </w:rPr>
            </w:pPr>
          </w:p>
        </w:tc>
        <w:tc>
          <w:tcPr>
            <w:tcW w:w="992" w:type="dxa"/>
            <w:vAlign w:val="center"/>
          </w:tcPr>
          <w:p w14:paraId="679FDE9D">
            <w:pPr>
              <w:keepNext/>
              <w:adjustRightInd w:val="0"/>
              <w:ind w:left="63" w:leftChars="30" w:right="63" w:rightChars="30"/>
              <w:jc w:val="center"/>
              <w:textAlignment w:val="baseline"/>
              <w:rPr>
                <w:rFonts w:hint="eastAsia" w:ascii="宋体" w:hAnsi="宋体"/>
              </w:rPr>
            </w:pPr>
          </w:p>
        </w:tc>
        <w:tc>
          <w:tcPr>
            <w:tcW w:w="851" w:type="dxa"/>
            <w:vAlign w:val="center"/>
          </w:tcPr>
          <w:p w14:paraId="5F5189C8">
            <w:pPr>
              <w:keepNext/>
              <w:adjustRightInd w:val="0"/>
              <w:ind w:left="63" w:leftChars="30" w:right="63" w:rightChars="30"/>
              <w:jc w:val="center"/>
              <w:textAlignment w:val="baseline"/>
              <w:rPr>
                <w:rFonts w:hint="eastAsia" w:ascii="宋体" w:hAnsi="宋体"/>
              </w:rPr>
            </w:pPr>
          </w:p>
        </w:tc>
        <w:tc>
          <w:tcPr>
            <w:tcW w:w="1487" w:type="dxa"/>
            <w:vAlign w:val="center"/>
          </w:tcPr>
          <w:p w14:paraId="3A31F471">
            <w:pPr>
              <w:keepNext/>
              <w:adjustRightInd w:val="0"/>
              <w:ind w:left="63" w:leftChars="30" w:right="63" w:rightChars="30"/>
              <w:jc w:val="center"/>
              <w:textAlignment w:val="baseline"/>
              <w:rPr>
                <w:rFonts w:hint="eastAsia" w:ascii="宋体" w:hAnsi="宋体"/>
              </w:rPr>
            </w:pPr>
          </w:p>
        </w:tc>
        <w:tc>
          <w:tcPr>
            <w:tcW w:w="689" w:type="dxa"/>
            <w:vAlign w:val="center"/>
          </w:tcPr>
          <w:p w14:paraId="71BFCD9A">
            <w:pPr>
              <w:keepNext/>
              <w:adjustRightInd w:val="0"/>
              <w:ind w:left="63" w:leftChars="30" w:right="63" w:rightChars="30"/>
              <w:jc w:val="center"/>
              <w:textAlignment w:val="baseline"/>
              <w:rPr>
                <w:rFonts w:hint="eastAsia" w:ascii="宋体" w:hAnsi="宋体"/>
              </w:rPr>
            </w:pPr>
          </w:p>
        </w:tc>
      </w:tr>
      <w:tr w14:paraId="582DE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48D60A85">
            <w:pPr>
              <w:jc w:val="center"/>
              <w:rPr>
                <w:rFonts w:hint="eastAsia" w:ascii="宋体" w:hAnsi="宋体"/>
              </w:rPr>
            </w:pPr>
          </w:p>
        </w:tc>
        <w:tc>
          <w:tcPr>
            <w:tcW w:w="1276" w:type="dxa"/>
            <w:vAlign w:val="center"/>
          </w:tcPr>
          <w:p w14:paraId="5C581472">
            <w:pPr>
              <w:jc w:val="center"/>
              <w:rPr>
                <w:rFonts w:hint="eastAsia" w:ascii="宋体" w:hAnsi="宋体"/>
              </w:rPr>
            </w:pPr>
          </w:p>
        </w:tc>
        <w:tc>
          <w:tcPr>
            <w:tcW w:w="1418" w:type="dxa"/>
            <w:vAlign w:val="center"/>
          </w:tcPr>
          <w:p w14:paraId="6E233FAD">
            <w:pPr>
              <w:jc w:val="center"/>
              <w:rPr>
                <w:rFonts w:hint="eastAsia" w:ascii="宋体" w:hAnsi="宋体"/>
              </w:rPr>
            </w:pPr>
          </w:p>
        </w:tc>
        <w:tc>
          <w:tcPr>
            <w:tcW w:w="940" w:type="dxa"/>
            <w:vAlign w:val="center"/>
          </w:tcPr>
          <w:p w14:paraId="2C649F5B">
            <w:pPr>
              <w:jc w:val="center"/>
              <w:rPr>
                <w:rFonts w:hint="eastAsia" w:ascii="宋体" w:hAnsi="宋体"/>
              </w:rPr>
            </w:pPr>
          </w:p>
        </w:tc>
        <w:tc>
          <w:tcPr>
            <w:tcW w:w="851" w:type="dxa"/>
            <w:vAlign w:val="center"/>
          </w:tcPr>
          <w:p w14:paraId="6A621C4A">
            <w:pPr>
              <w:jc w:val="center"/>
              <w:rPr>
                <w:rFonts w:hint="eastAsia" w:ascii="宋体" w:hAnsi="宋体"/>
              </w:rPr>
            </w:pPr>
          </w:p>
        </w:tc>
        <w:tc>
          <w:tcPr>
            <w:tcW w:w="1044" w:type="dxa"/>
            <w:vAlign w:val="center"/>
          </w:tcPr>
          <w:p w14:paraId="2A37B4BD">
            <w:pPr>
              <w:jc w:val="center"/>
              <w:rPr>
                <w:rFonts w:hint="eastAsia" w:ascii="宋体" w:hAnsi="宋体"/>
              </w:rPr>
            </w:pPr>
          </w:p>
        </w:tc>
        <w:tc>
          <w:tcPr>
            <w:tcW w:w="992" w:type="dxa"/>
            <w:vAlign w:val="center"/>
          </w:tcPr>
          <w:p w14:paraId="1D3A74D0">
            <w:pPr>
              <w:jc w:val="center"/>
              <w:rPr>
                <w:rFonts w:hint="eastAsia" w:ascii="宋体" w:hAnsi="宋体"/>
              </w:rPr>
            </w:pPr>
          </w:p>
        </w:tc>
        <w:tc>
          <w:tcPr>
            <w:tcW w:w="851" w:type="dxa"/>
            <w:vAlign w:val="center"/>
          </w:tcPr>
          <w:p w14:paraId="1A47B0E3">
            <w:pPr>
              <w:jc w:val="center"/>
              <w:rPr>
                <w:rFonts w:hint="eastAsia" w:ascii="宋体" w:hAnsi="宋体"/>
              </w:rPr>
            </w:pPr>
          </w:p>
        </w:tc>
        <w:tc>
          <w:tcPr>
            <w:tcW w:w="1487" w:type="dxa"/>
            <w:vAlign w:val="center"/>
          </w:tcPr>
          <w:p w14:paraId="3EE9FC58">
            <w:pPr>
              <w:jc w:val="center"/>
              <w:rPr>
                <w:rFonts w:hint="eastAsia" w:ascii="宋体" w:hAnsi="宋体"/>
              </w:rPr>
            </w:pPr>
          </w:p>
        </w:tc>
        <w:tc>
          <w:tcPr>
            <w:tcW w:w="689" w:type="dxa"/>
            <w:vAlign w:val="center"/>
          </w:tcPr>
          <w:p w14:paraId="0D9FEC33">
            <w:pPr>
              <w:jc w:val="center"/>
              <w:rPr>
                <w:rFonts w:hint="eastAsia" w:ascii="宋体" w:hAnsi="宋体"/>
              </w:rPr>
            </w:pPr>
          </w:p>
        </w:tc>
      </w:tr>
      <w:tr w14:paraId="3620BC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1DD59BAB">
            <w:pPr>
              <w:jc w:val="center"/>
              <w:rPr>
                <w:rFonts w:hint="eastAsia" w:ascii="宋体" w:hAnsi="宋体"/>
              </w:rPr>
            </w:pPr>
          </w:p>
        </w:tc>
        <w:tc>
          <w:tcPr>
            <w:tcW w:w="1276" w:type="dxa"/>
            <w:vAlign w:val="center"/>
          </w:tcPr>
          <w:p w14:paraId="6670F3C4">
            <w:pPr>
              <w:jc w:val="center"/>
              <w:rPr>
                <w:rFonts w:hint="eastAsia" w:ascii="宋体" w:hAnsi="宋体"/>
              </w:rPr>
            </w:pPr>
          </w:p>
        </w:tc>
        <w:tc>
          <w:tcPr>
            <w:tcW w:w="1418" w:type="dxa"/>
            <w:vAlign w:val="center"/>
          </w:tcPr>
          <w:p w14:paraId="44268D88">
            <w:pPr>
              <w:jc w:val="center"/>
              <w:rPr>
                <w:rFonts w:hint="eastAsia" w:ascii="宋体" w:hAnsi="宋体"/>
              </w:rPr>
            </w:pPr>
          </w:p>
        </w:tc>
        <w:tc>
          <w:tcPr>
            <w:tcW w:w="940" w:type="dxa"/>
            <w:vAlign w:val="center"/>
          </w:tcPr>
          <w:p w14:paraId="637A6FC8">
            <w:pPr>
              <w:jc w:val="center"/>
              <w:rPr>
                <w:rFonts w:hint="eastAsia" w:ascii="宋体" w:hAnsi="宋体"/>
              </w:rPr>
            </w:pPr>
          </w:p>
        </w:tc>
        <w:tc>
          <w:tcPr>
            <w:tcW w:w="851" w:type="dxa"/>
            <w:vAlign w:val="center"/>
          </w:tcPr>
          <w:p w14:paraId="05D3C156">
            <w:pPr>
              <w:jc w:val="center"/>
              <w:rPr>
                <w:rFonts w:hint="eastAsia" w:ascii="宋体" w:hAnsi="宋体"/>
              </w:rPr>
            </w:pPr>
          </w:p>
        </w:tc>
        <w:tc>
          <w:tcPr>
            <w:tcW w:w="1044" w:type="dxa"/>
            <w:vAlign w:val="center"/>
          </w:tcPr>
          <w:p w14:paraId="022A25AC">
            <w:pPr>
              <w:jc w:val="center"/>
              <w:rPr>
                <w:rFonts w:hint="eastAsia" w:ascii="宋体" w:hAnsi="宋体"/>
              </w:rPr>
            </w:pPr>
          </w:p>
        </w:tc>
        <w:tc>
          <w:tcPr>
            <w:tcW w:w="992" w:type="dxa"/>
            <w:vAlign w:val="center"/>
          </w:tcPr>
          <w:p w14:paraId="7B3A81CB">
            <w:pPr>
              <w:jc w:val="center"/>
              <w:rPr>
                <w:rFonts w:hint="eastAsia" w:ascii="宋体" w:hAnsi="宋体"/>
              </w:rPr>
            </w:pPr>
          </w:p>
        </w:tc>
        <w:tc>
          <w:tcPr>
            <w:tcW w:w="851" w:type="dxa"/>
            <w:vAlign w:val="center"/>
          </w:tcPr>
          <w:p w14:paraId="2F1B34C6">
            <w:pPr>
              <w:jc w:val="center"/>
              <w:rPr>
                <w:rFonts w:hint="eastAsia" w:ascii="宋体" w:hAnsi="宋体"/>
              </w:rPr>
            </w:pPr>
          </w:p>
        </w:tc>
        <w:tc>
          <w:tcPr>
            <w:tcW w:w="1487" w:type="dxa"/>
            <w:vAlign w:val="center"/>
          </w:tcPr>
          <w:p w14:paraId="6F5AFF22">
            <w:pPr>
              <w:jc w:val="center"/>
              <w:rPr>
                <w:rFonts w:hint="eastAsia" w:ascii="宋体" w:hAnsi="宋体"/>
              </w:rPr>
            </w:pPr>
          </w:p>
        </w:tc>
        <w:tc>
          <w:tcPr>
            <w:tcW w:w="689" w:type="dxa"/>
            <w:vAlign w:val="center"/>
          </w:tcPr>
          <w:p w14:paraId="6BADA0BB">
            <w:pPr>
              <w:jc w:val="center"/>
              <w:rPr>
                <w:rFonts w:hint="eastAsia" w:ascii="宋体" w:hAnsi="宋体"/>
              </w:rPr>
            </w:pPr>
          </w:p>
        </w:tc>
      </w:tr>
      <w:tr w14:paraId="6C246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33992915">
            <w:pPr>
              <w:jc w:val="center"/>
              <w:rPr>
                <w:rFonts w:hint="eastAsia" w:ascii="宋体" w:hAnsi="宋体"/>
              </w:rPr>
            </w:pPr>
          </w:p>
        </w:tc>
        <w:tc>
          <w:tcPr>
            <w:tcW w:w="1276" w:type="dxa"/>
            <w:vAlign w:val="center"/>
          </w:tcPr>
          <w:p w14:paraId="6EBA0EEA">
            <w:pPr>
              <w:jc w:val="center"/>
              <w:rPr>
                <w:rFonts w:hint="eastAsia" w:ascii="宋体" w:hAnsi="宋体"/>
              </w:rPr>
            </w:pPr>
          </w:p>
        </w:tc>
        <w:tc>
          <w:tcPr>
            <w:tcW w:w="1418" w:type="dxa"/>
            <w:vAlign w:val="center"/>
          </w:tcPr>
          <w:p w14:paraId="6C29C75D">
            <w:pPr>
              <w:jc w:val="center"/>
              <w:rPr>
                <w:rFonts w:hint="eastAsia" w:ascii="宋体" w:hAnsi="宋体"/>
              </w:rPr>
            </w:pPr>
          </w:p>
        </w:tc>
        <w:tc>
          <w:tcPr>
            <w:tcW w:w="940" w:type="dxa"/>
            <w:vAlign w:val="center"/>
          </w:tcPr>
          <w:p w14:paraId="0499FE10">
            <w:pPr>
              <w:jc w:val="center"/>
              <w:rPr>
                <w:rFonts w:hint="eastAsia" w:ascii="宋体" w:hAnsi="宋体"/>
              </w:rPr>
            </w:pPr>
          </w:p>
        </w:tc>
        <w:tc>
          <w:tcPr>
            <w:tcW w:w="851" w:type="dxa"/>
            <w:vAlign w:val="center"/>
          </w:tcPr>
          <w:p w14:paraId="3D79D100">
            <w:pPr>
              <w:jc w:val="center"/>
              <w:rPr>
                <w:rFonts w:hint="eastAsia" w:ascii="宋体" w:hAnsi="宋体"/>
              </w:rPr>
            </w:pPr>
          </w:p>
        </w:tc>
        <w:tc>
          <w:tcPr>
            <w:tcW w:w="1044" w:type="dxa"/>
            <w:vAlign w:val="center"/>
          </w:tcPr>
          <w:p w14:paraId="78ADF231">
            <w:pPr>
              <w:jc w:val="center"/>
              <w:rPr>
                <w:rFonts w:hint="eastAsia" w:ascii="宋体" w:hAnsi="宋体"/>
              </w:rPr>
            </w:pPr>
          </w:p>
        </w:tc>
        <w:tc>
          <w:tcPr>
            <w:tcW w:w="992" w:type="dxa"/>
            <w:vAlign w:val="center"/>
          </w:tcPr>
          <w:p w14:paraId="3D45473B">
            <w:pPr>
              <w:jc w:val="center"/>
              <w:rPr>
                <w:rFonts w:hint="eastAsia" w:ascii="宋体" w:hAnsi="宋体"/>
              </w:rPr>
            </w:pPr>
          </w:p>
        </w:tc>
        <w:tc>
          <w:tcPr>
            <w:tcW w:w="851" w:type="dxa"/>
            <w:vAlign w:val="center"/>
          </w:tcPr>
          <w:p w14:paraId="39D9027A">
            <w:pPr>
              <w:jc w:val="center"/>
              <w:rPr>
                <w:rFonts w:hint="eastAsia" w:ascii="宋体" w:hAnsi="宋体"/>
              </w:rPr>
            </w:pPr>
          </w:p>
        </w:tc>
        <w:tc>
          <w:tcPr>
            <w:tcW w:w="1487" w:type="dxa"/>
            <w:vAlign w:val="center"/>
          </w:tcPr>
          <w:p w14:paraId="1610ADAB">
            <w:pPr>
              <w:jc w:val="center"/>
              <w:rPr>
                <w:rFonts w:hint="eastAsia" w:ascii="宋体" w:hAnsi="宋体"/>
              </w:rPr>
            </w:pPr>
          </w:p>
        </w:tc>
        <w:tc>
          <w:tcPr>
            <w:tcW w:w="689" w:type="dxa"/>
            <w:vAlign w:val="center"/>
          </w:tcPr>
          <w:p w14:paraId="0A5DD8AC">
            <w:pPr>
              <w:jc w:val="center"/>
              <w:rPr>
                <w:rFonts w:hint="eastAsia" w:ascii="宋体" w:hAnsi="宋体"/>
              </w:rPr>
            </w:pPr>
          </w:p>
        </w:tc>
      </w:tr>
      <w:tr w14:paraId="62ADD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0116E0D3">
            <w:pPr>
              <w:jc w:val="center"/>
              <w:rPr>
                <w:rFonts w:hint="eastAsia" w:ascii="宋体" w:hAnsi="宋体"/>
              </w:rPr>
            </w:pPr>
          </w:p>
        </w:tc>
        <w:tc>
          <w:tcPr>
            <w:tcW w:w="1276" w:type="dxa"/>
            <w:vAlign w:val="center"/>
          </w:tcPr>
          <w:p w14:paraId="2EA4DFC7">
            <w:pPr>
              <w:jc w:val="center"/>
              <w:rPr>
                <w:rFonts w:hint="eastAsia" w:ascii="宋体" w:hAnsi="宋体"/>
              </w:rPr>
            </w:pPr>
          </w:p>
        </w:tc>
        <w:tc>
          <w:tcPr>
            <w:tcW w:w="1418" w:type="dxa"/>
            <w:vAlign w:val="center"/>
          </w:tcPr>
          <w:p w14:paraId="31C5D962">
            <w:pPr>
              <w:jc w:val="center"/>
              <w:rPr>
                <w:rFonts w:hint="eastAsia" w:ascii="宋体" w:hAnsi="宋体"/>
              </w:rPr>
            </w:pPr>
          </w:p>
        </w:tc>
        <w:tc>
          <w:tcPr>
            <w:tcW w:w="940" w:type="dxa"/>
            <w:vAlign w:val="center"/>
          </w:tcPr>
          <w:p w14:paraId="66A5CFF5">
            <w:pPr>
              <w:jc w:val="center"/>
              <w:rPr>
                <w:rFonts w:hint="eastAsia" w:ascii="宋体" w:hAnsi="宋体"/>
              </w:rPr>
            </w:pPr>
          </w:p>
        </w:tc>
        <w:tc>
          <w:tcPr>
            <w:tcW w:w="851" w:type="dxa"/>
            <w:vAlign w:val="center"/>
          </w:tcPr>
          <w:p w14:paraId="5267E181">
            <w:pPr>
              <w:jc w:val="center"/>
              <w:rPr>
                <w:rFonts w:hint="eastAsia" w:ascii="宋体" w:hAnsi="宋体"/>
              </w:rPr>
            </w:pPr>
          </w:p>
        </w:tc>
        <w:tc>
          <w:tcPr>
            <w:tcW w:w="1044" w:type="dxa"/>
            <w:vAlign w:val="center"/>
          </w:tcPr>
          <w:p w14:paraId="7B7626C9">
            <w:pPr>
              <w:jc w:val="center"/>
              <w:rPr>
                <w:rFonts w:hint="eastAsia" w:ascii="宋体" w:hAnsi="宋体"/>
              </w:rPr>
            </w:pPr>
          </w:p>
        </w:tc>
        <w:tc>
          <w:tcPr>
            <w:tcW w:w="992" w:type="dxa"/>
            <w:vAlign w:val="center"/>
          </w:tcPr>
          <w:p w14:paraId="5A6186CA">
            <w:pPr>
              <w:jc w:val="center"/>
              <w:rPr>
                <w:rFonts w:hint="eastAsia" w:ascii="宋体" w:hAnsi="宋体"/>
              </w:rPr>
            </w:pPr>
          </w:p>
        </w:tc>
        <w:tc>
          <w:tcPr>
            <w:tcW w:w="851" w:type="dxa"/>
            <w:vAlign w:val="center"/>
          </w:tcPr>
          <w:p w14:paraId="65BCD6F6">
            <w:pPr>
              <w:jc w:val="center"/>
              <w:rPr>
                <w:rFonts w:hint="eastAsia" w:ascii="宋体" w:hAnsi="宋体"/>
              </w:rPr>
            </w:pPr>
          </w:p>
        </w:tc>
        <w:tc>
          <w:tcPr>
            <w:tcW w:w="1487" w:type="dxa"/>
            <w:vAlign w:val="center"/>
          </w:tcPr>
          <w:p w14:paraId="6B39D927">
            <w:pPr>
              <w:jc w:val="center"/>
              <w:rPr>
                <w:rFonts w:hint="eastAsia" w:ascii="宋体" w:hAnsi="宋体"/>
              </w:rPr>
            </w:pPr>
          </w:p>
        </w:tc>
        <w:tc>
          <w:tcPr>
            <w:tcW w:w="689" w:type="dxa"/>
            <w:vAlign w:val="center"/>
          </w:tcPr>
          <w:p w14:paraId="2CAA6B1F">
            <w:pPr>
              <w:jc w:val="center"/>
              <w:rPr>
                <w:rFonts w:hint="eastAsia" w:ascii="宋体" w:hAnsi="宋体"/>
              </w:rPr>
            </w:pPr>
          </w:p>
        </w:tc>
      </w:tr>
      <w:tr w14:paraId="5C611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10B05C03">
            <w:pPr>
              <w:jc w:val="center"/>
              <w:rPr>
                <w:rFonts w:hint="eastAsia" w:ascii="宋体" w:hAnsi="宋体"/>
              </w:rPr>
            </w:pPr>
          </w:p>
        </w:tc>
        <w:tc>
          <w:tcPr>
            <w:tcW w:w="1276" w:type="dxa"/>
            <w:vAlign w:val="center"/>
          </w:tcPr>
          <w:p w14:paraId="4C550669">
            <w:pPr>
              <w:jc w:val="center"/>
              <w:rPr>
                <w:rFonts w:hint="eastAsia" w:ascii="宋体" w:hAnsi="宋体"/>
              </w:rPr>
            </w:pPr>
          </w:p>
        </w:tc>
        <w:tc>
          <w:tcPr>
            <w:tcW w:w="1418" w:type="dxa"/>
            <w:vAlign w:val="center"/>
          </w:tcPr>
          <w:p w14:paraId="751D9D1B">
            <w:pPr>
              <w:jc w:val="center"/>
              <w:rPr>
                <w:rFonts w:hint="eastAsia" w:ascii="宋体" w:hAnsi="宋体"/>
              </w:rPr>
            </w:pPr>
          </w:p>
        </w:tc>
        <w:tc>
          <w:tcPr>
            <w:tcW w:w="940" w:type="dxa"/>
            <w:vAlign w:val="center"/>
          </w:tcPr>
          <w:p w14:paraId="3B0E29B9">
            <w:pPr>
              <w:jc w:val="center"/>
              <w:rPr>
                <w:rFonts w:hint="eastAsia" w:ascii="宋体" w:hAnsi="宋体"/>
              </w:rPr>
            </w:pPr>
          </w:p>
        </w:tc>
        <w:tc>
          <w:tcPr>
            <w:tcW w:w="851" w:type="dxa"/>
            <w:vAlign w:val="center"/>
          </w:tcPr>
          <w:p w14:paraId="1CC228D2">
            <w:pPr>
              <w:jc w:val="center"/>
              <w:rPr>
                <w:rFonts w:hint="eastAsia" w:ascii="宋体" w:hAnsi="宋体"/>
              </w:rPr>
            </w:pPr>
          </w:p>
        </w:tc>
        <w:tc>
          <w:tcPr>
            <w:tcW w:w="1044" w:type="dxa"/>
            <w:vAlign w:val="center"/>
          </w:tcPr>
          <w:p w14:paraId="70041C37">
            <w:pPr>
              <w:jc w:val="center"/>
              <w:rPr>
                <w:rFonts w:hint="eastAsia" w:ascii="宋体" w:hAnsi="宋体"/>
              </w:rPr>
            </w:pPr>
          </w:p>
        </w:tc>
        <w:tc>
          <w:tcPr>
            <w:tcW w:w="992" w:type="dxa"/>
            <w:vAlign w:val="center"/>
          </w:tcPr>
          <w:p w14:paraId="47CD0723">
            <w:pPr>
              <w:jc w:val="center"/>
              <w:rPr>
                <w:rFonts w:hint="eastAsia" w:ascii="宋体" w:hAnsi="宋体"/>
              </w:rPr>
            </w:pPr>
          </w:p>
        </w:tc>
        <w:tc>
          <w:tcPr>
            <w:tcW w:w="851" w:type="dxa"/>
            <w:vAlign w:val="center"/>
          </w:tcPr>
          <w:p w14:paraId="0802551C">
            <w:pPr>
              <w:jc w:val="center"/>
              <w:rPr>
                <w:rFonts w:hint="eastAsia" w:ascii="宋体" w:hAnsi="宋体"/>
              </w:rPr>
            </w:pPr>
          </w:p>
        </w:tc>
        <w:tc>
          <w:tcPr>
            <w:tcW w:w="1487" w:type="dxa"/>
            <w:vAlign w:val="center"/>
          </w:tcPr>
          <w:p w14:paraId="16C4AC2B">
            <w:pPr>
              <w:jc w:val="center"/>
              <w:rPr>
                <w:rFonts w:hint="eastAsia" w:ascii="宋体" w:hAnsi="宋体"/>
              </w:rPr>
            </w:pPr>
          </w:p>
        </w:tc>
        <w:tc>
          <w:tcPr>
            <w:tcW w:w="689" w:type="dxa"/>
            <w:vAlign w:val="center"/>
          </w:tcPr>
          <w:p w14:paraId="660E4382">
            <w:pPr>
              <w:jc w:val="center"/>
              <w:rPr>
                <w:rFonts w:hint="eastAsia" w:ascii="宋体" w:hAnsi="宋体"/>
              </w:rPr>
            </w:pPr>
          </w:p>
        </w:tc>
      </w:tr>
      <w:tr w14:paraId="5E565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1BFC1758">
            <w:pPr>
              <w:jc w:val="center"/>
              <w:rPr>
                <w:rFonts w:hint="eastAsia" w:ascii="宋体" w:hAnsi="宋体"/>
              </w:rPr>
            </w:pPr>
          </w:p>
        </w:tc>
        <w:tc>
          <w:tcPr>
            <w:tcW w:w="1276" w:type="dxa"/>
            <w:vAlign w:val="center"/>
          </w:tcPr>
          <w:p w14:paraId="338E304D">
            <w:pPr>
              <w:jc w:val="center"/>
              <w:rPr>
                <w:rFonts w:hint="eastAsia" w:ascii="宋体" w:hAnsi="宋体"/>
              </w:rPr>
            </w:pPr>
          </w:p>
        </w:tc>
        <w:tc>
          <w:tcPr>
            <w:tcW w:w="1418" w:type="dxa"/>
            <w:vAlign w:val="center"/>
          </w:tcPr>
          <w:p w14:paraId="6B193F8F">
            <w:pPr>
              <w:jc w:val="center"/>
              <w:rPr>
                <w:rFonts w:hint="eastAsia" w:ascii="宋体" w:hAnsi="宋体"/>
              </w:rPr>
            </w:pPr>
          </w:p>
        </w:tc>
        <w:tc>
          <w:tcPr>
            <w:tcW w:w="940" w:type="dxa"/>
            <w:vAlign w:val="center"/>
          </w:tcPr>
          <w:p w14:paraId="06C587C1">
            <w:pPr>
              <w:jc w:val="center"/>
              <w:rPr>
                <w:rFonts w:hint="eastAsia" w:ascii="宋体" w:hAnsi="宋体"/>
              </w:rPr>
            </w:pPr>
          </w:p>
        </w:tc>
        <w:tc>
          <w:tcPr>
            <w:tcW w:w="851" w:type="dxa"/>
            <w:vAlign w:val="center"/>
          </w:tcPr>
          <w:p w14:paraId="4B5417C2">
            <w:pPr>
              <w:jc w:val="center"/>
              <w:rPr>
                <w:rFonts w:hint="eastAsia" w:ascii="宋体" w:hAnsi="宋体"/>
              </w:rPr>
            </w:pPr>
          </w:p>
        </w:tc>
        <w:tc>
          <w:tcPr>
            <w:tcW w:w="1044" w:type="dxa"/>
            <w:vAlign w:val="center"/>
          </w:tcPr>
          <w:p w14:paraId="17CD6BA2">
            <w:pPr>
              <w:jc w:val="center"/>
              <w:rPr>
                <w:rFonts w:hint="eastAsia" w:ascii="宋体" w:hAnsi="宋体"/>
              </w:rPr>
            </w:pPr>
          </w:p>
        </w:tc>
        <w:tc>
          <w:tcPr>
            <w:tcW w:w="992" w:type="dxa"/>
            <w:vAlign w:val="center"/>
          </w:tcPr>
          <w:p w14:paraId="1564F40E">
            <w:pPr>
              <w:jc w:val="center"/>
              <w:rPr>
                <w:rFonts w:hint="eastAsia" w:ascii="宋体" w:hAnsi="宋体"/>
              </w:rPr>
            </w:pPr>
          </w:p>
        </w:tc>
        <w:tc>
          <w:tcPr>
            <w:tcW w:w="851" w:type="dxa"/>
            <w:vAlign w:val="center"/>
          </w:tcPr>
          <w:p w14:paraId="4A2929BE">
            <w:pPr>
              <w:jc w:val="center"/>
              <w:rPr>
                <w:rFonts w:hint="eastAsia" w:ascii="宋体" w:hAnsi="宋体"/>
              </w:rPr>
            </w:pPr>
          </w:p>
        </w:tc>
        <w:tc>
          <w:tcPr>
            <w:tcW w:w="1487" w:type="dxa"/>
            <w:vAlign w:val="center"/>
          </w:tcPr>
          <w:p w14:paraId="0B5AEBF2">
            <w:pPr>
              <w:jc w:val="center"/>
              <w:rPr>
                <w:rFonts w:hint="eastAsia" w:ascii="宋体" w:hAnsi="宋体"/>
              </w:rPr>
            </w:pPr>
          </w:p>
        </w:tc>
        <w:tc>
          <w:tcPr>
            <w:tcW w:w="689" w:type="dxa"/>
            <w:vAlign w:val="center"/>
          </w:tcPr>
          <w:p w14:paraId="6A4C4DC5">
            <w:pPr>
              <w:jc w:val="center"/>
              <w:rPr>
                <w:rFonts w:hint="eastAsia" w:ascii="宋体" w:hAnsi="宋体"/>
              </w:rPr>
            </w:pPr>
          </w:p>
        </w:tc>
      </w:tr>
      <w:tr w14:paraId="1E6E0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279901F4">
            <w:pPr>
              <w:jc w:val="center"/>
              <w:rPr>
                <w:rFonts w:hint="eastAsia" w:ascii="宋体" w:hAnsi="宋体"/>
              </w:rPr>
            </w:pPr>
          </w:p>
        </w:tc>
        <w:tc>
          <w:tcPr>
            <w:tcW w:w="1276" w:type="dxa"/>
            <w:vAlign w:val="center"/>
          </w:tcPr>
          <w:p w14:paraId="118B1AAE">
            <w:pPr>
              <w:jc w:val="center"/>
              <w:rPr>
                <w:rFonts w:hint="eastAsia" w:ascii="宋体" w:hAnsi="宋体"/>
              </w:rPr>
            </w:pPr>
          </w:p>
        </w:tc>
        <w:tc>
          <w:tcPr>
            <w:tcW w:w="1418" w:type="dxa"/>
            <w:vAlign w:val="center"/>
          </w:tcPr>
          <w:p w14:paraId="2C93BFB9">
            <w:pPr>
              <w:jc w:val="center"/>
              <w:rPr>
                <w:rFonts w:hint="eastAsia" w:ascii="宋体" w:hAnsi="宋体"/>
              </w:rPr>
            </w:pPr>
          </w:p>
        </w:tc>
        <w:tc>
          <w:tcPr>
            <w:tcW w:w="940" w:type="dxa"/>
            <w:vAlign w:val="center"/>
          </w:tcPr>
          <w:p w14:paraId="41301F91">
            <w:pPr>
              <w:jc w:val="center"/>
              <w:rPr>
                <w:rFonts w:hint="eastAsia" w:ascii="宋体" w:hAnsi="宋体"/>
              </w:rPr>
            </w:pPr>
          </w:p>
        </w:tc>
        <w:tc>
          <w:tcPr>
            <w:tcW w:w="851" w:type="dxa"/>
            <w:vAlign w:val="center"/>
          </w:tcPr>
          <w:p w14:paraId="114CF494">
            <w:pPr>
              <w:jc w:val="center"/>
              <w:rPr>
                <w:rFonts w:hint="eastAsia" w:ascii="宋体" w:hAnsi="宋体"/>
              </w:rPr>
            </w:pPr>
          </w:p>
        </w:tc>
        <w:tc>
          <w:tcPr>
            <w:tcW w:w="1044" w:type="dxa"/>
            <w:vAlign w:val="center"/>
          </w:tcPr>
          <w:p w14:paraId="4F3DB8E5">
            <w:pPr>
              <w:jc w:val="center"/>
              <w:rPr>
                <w:rFonts w:hint="eastAsia" w:ascii="宋体" w:hAnsi="宋体"/>
              </w:rPr>
            </w:pPr>
          </w:p>
        </w:tc>
        <w:tc>
          <w:tcPr>
            <w:tcW w:w="992" w:type="dxa"/>
            <w:vAlign w:val="center"/>
          </w:tcPr>
          <w:p w14:paraId="1ED29953">
            <w:pPr>
              <w:jc w:val="center"/>
              <w:rPr>
                <w:rFonts w:hint="eastAsia" w:ascii="宋体" w:hAnsi="宋体"/>
              </w:rPr>
            </w:pPr>
          </w:p>
        </w:tc>
        <w:tc>
          <w:tcPr>
            <w:tcW w:w="851" w:type="dxa"/>
            <w:vAlign w:val="center"/>
          </w:tcPr>
          <w:p w14:paraId="3B537078">
            <w:pPr>
              <w:jc w:val="center"/>
              <w:rPr>
                <w:rFonts w:hint="eastAsia" w:ascii="宋体" w:hAnsi="宋体"/>
              </w:rPr>
            </w:pPr>
          </w:p>
        </w:tc>
        <w:tc>
          <w:tcPr>
            <w:tcW w:w="1487" w:type="dxa"/>
            <w:vAlign w:val="center"/>
          </w:tcPr>
          <w:p w14:paraId="6F5FECC2">
            <w:pPr>
              <w:jc w:val="center"/>
              <w:rPr>
                <w:rFonts w:hint="eastAsia" w:ascii="宋体" w:hAnsi="宋体"/>
              </w:rPr>
            </w:pPr>
          </w:p>
        </w:tc>
        <w:tc>
          <w:tcPr>
            <w:tcW w:w="689" w:type="dxa"/>
            <w:vAlign w:val="center"/>
          </w:tcPr>
          <w:p w14:paraId="340F1DE6">
            <w:pPr>
              <w:jc w:val="center"/>
              <w:rPr>
                <w:rFonts w:hint="eastAsia" w:ascii="宋体" w:hAnsi="宋体"/>
              </w:rPr>
            </w:pPr>
          </w:p>
        </w:tc>
      </w:tr>
      <w:tr w14:paraId="30196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64" w:type="dxa"/>
            <w:vAlign w:val="center"/>
          </w:tcPr>
          <w:p w14:paraId="3C3E7CD7">
            <w:pPr>
              <w:jc w:val="center"/>
              <w:rPr>
                <w:rFonts w:hint="eastAsia" w:ascii="宋体" w:hAnsi="宋体"/>
              </w:rPr>
            </w:pPr>
          </w:p>
        </w:tc>
        <w:tc>
          <w:tcPr>
            <w:tcW w:w="1276" w:type="dxa"/>
            <w:vAlign w:val="center"/>
          </w:tcPr>
          <w:p w14:paraId="536FE43A">
            <w:pPr>
              <w:jc w:val="center"/>
              <w:rPr>
                <w:rFonts w:hint="eastAsia" w:ascii="宋体" w:hAnsi="宋体"/>
              </w:rPr>
            </w:pPr>
          </w:p>
        </w:tc>
        <w:tc>
          <w:tcPr>
            <w:tcW w:w="1418" w:type="dxa"/>
            <w:vAlign w:val="center"/>
          </w:tcPr>
          <w:p w14:paraId="026B3A68">
            <w:pPr>
              <w:jc w:val="center"/>
              <w:rPr>
                <w:rFonts w:hint="eastAsia" w:ascii="宋体" w:hAnsi="宋体"/>
              </w:rPr>
            </w:pPr>
          </w:p>
        </w:tc>
        <w:tc>
          <w:tcPr>
            <w:tcW w:w="940" w:type="dxa"/>
            <w:vAlign w:val="center"/>
          </w:tcPr>
          <w:p w14:paraId="1EFEDA4C">
            <w:pPr>
              <w:jc w:val="center"/>
              <w:rPr>
                <w:rFonts w:hint="eastAsia" w:ascii="宋体" w:hAnsi="宋体"/>
              </w:rPr>
            </w:pPr>
          </w:p>
        </w:tc>
        <w:tc>
          <w:tcPr>
            <w:tcW w:w="851" w:type="dxa"/>
            <w:vAlign w:val="center"/>
          </w:tcPr>
          <w:p w14:paraId="592347BD">
            <w:pPr>
              <w:jc w:val="center"/>
              <w:rPr>
                <w:rFonts w:hint="eastAsia" w:ascii="宋体" w:hAnsi="宋体"/>
              </w:rPr>
            </w:pPr>
          </w:p>
        </w:tc>
        <w:tc>
          <w:tcPr>
            <w:tcW w:w="1044" w:type="dxa"/>
            <w:vAlign w:val="center"/>
          </w:tcPr>
          <w:p w14:paraId="734E9E8A">
            <w:pPr>
              <w:jc w:val="center"/>
              <w:rPr>
                <w:rFonts w:hint="eastAsia" w:ascii="宋体" w:hAnsi="宋体"/>
              </w:rPr>
            </w:pPr>
          </w:p>
        </w:tc>
        <w:tc>
          <w:tcPr>
            <w:tcW w:w="992" w:type="dxa"/>
            <w:vAlign w:val="center"/>
          </w:tcPr>
          <w:p w14:paraId="52E443B7">
            <w:pPr>
              <w:jc w:val="center"/>
              <w:rPr>
                <w:rFonts w:hint="eastAsia" w:ascii="宋体" w:hAnsi="宋体"/>
              </w:rPr>
            </w:pPr>
          </w:p>
        </w:tc>
        <w:tc>
          <w:tcPr>
            <w:tcW w:w="851" w:type="dxa"/>
            <w:vAlign w:val="center"/>
          </w:tcPr>
          <w:p w14:paraId="5F989CD7">
            <w:pPr>
              <w:jc w:val="center"/>
              <w:rPr>
                <w:rFonts w:hint="eastAsia" w:ascii="宋体" w:hAnsi="宋体"/>
              </w:rPr>
            </w:pPr>
          </w:p>
        </w:tc>
        <w:tc>
          <w:tcPr>
            <w:tcW w:w="1487" w:type="dxa"/>
            <w:vAlign w:val="center"/>
          </w:tcPr>
          <w:p w14:paraId="231E8C57">
            <w:pPr>
              <w:jc w:val="center"/>
              <w:rPr>
                <w:rFonts w:hint="eastAsia" w:ascii="宋体" w:hAnsi="宋体"/>
              </w:rPr>
            </w:pPr>
          </w:p>
        </w:tc>
        <w:tc>
          <w:tcPr>
            <w:tcW w:w="689" w:type="dxa"/>
            <w:vAlign w:val="center"/>
          </w:tcPr>
          <w:p w14:paraId="38822078">
            <w:pPr>
              <w:jc w:val="center"/>
              <w:rPr>
                <w:rFonts w:hint="eastAsia" w:ascii="宋体" w:hAnsi="宋体"/>
              </w:rPr>
            </w:pPr>
          </w:p>
        </w:tc>
      </w:tr>
    </w:tbl>
    <w:p w14:paraId="49528C93">
      <w:pPr>
        <w:spacing w:line="440" w:lineRule="exact"/>
        <w:rPr>
          <w:rFonts w:eastAsia="黑体"/>
          <w:sz w:val="30"/>
          <w:szCs w:val="30"/>
        </w:rPr>
      </w:pPr>
    </w:p>
    <w:p w14:paraId="3085FE2D">
      <w:pPr>
        <w:spacing w:line="440" w:lineRule="exact"/>
        <w:rPr>
          <w:rFonts w:hint="eastAsia" w:ascii="宋体" w:hAnsi="宋体" w:cs="宋体"/>
          <w:sz w:val="32"/>
          <w:szCs w:val="32"/>
        </w:rPr>
      </w:pPr>
      <w:r>
        <w:rPr>
          <w:rFonts w:hint="eastAsia"/>
        </w:rPr>
        <w:br w:type="page"/>
      </w:r>
      <w:r>
        <w:rPr>
          <w:rFonts w:hint="eastAsia" w:ascii="宋体" w:hAnsi="宋体" w:cs="宋体"/>
          <w:b/>
          <w:bCs/>
          <w:sz w:val="32"/>
          <w:szCs w:val="32"/>
        </w:rPr>
        <w:t>附</w:t>
      </w:r>
      <w:bookmarkStart w:id="313" w:name="_Toc296891056"/>
      <w:bookmarkStart w:id="314" w:name="_Toc296346729"/>
      <w:bookmarkStart w:id="315" w:name="_Toc296347227"/>
      <w:bookmarkStart w:id="316" w:name="_Toc296944567"/>
      <w:bookmarkStart w:id="317" w:name="_Toc267261699"/>
      <w:bookmarkStart w:id="318" w:name="_Toc296891268"/>
      <w:bookmarkStart w:id="319" w:name="_Toc296503228"/>
      <w:r>
        <w:rPr>
          <w:rFonts w:hint="eastAsia" w:ascii="宋体" w:hAnsi="宋体" w:cs="宋体"/>
          <w:b/>
          <w:bCs/>
          <w:sz w:val="32"/>
          <w:szCs w:val="32"/>
        </w:rPr>
        <w:t>件3：</w:t>
      </w:r>
    </w:p>
    <w:bookmarkEnd w:id="313"/>
    <w:bookmarkEnd w:id="314"/>
    <w:bookmarkEnd w:id="315"/>
    <w:bookmarkEnd w:id="316"/>
    <w:bookmarkEnd w:id="317"/>
    <w:bookmarkEnd w:id="318"/>
    <w:bookmarkEnd w:id="319"/>
    <w:p w14:paraId="772F37DB">
      <w:pPr>
        <w:spacing w:before="120" w:beforeLines="50" w:after="120" w:afterLines="50" w:line="440" w:lineRule="exact"/>
        <w:jc w:val="center"/>
        <w:rPr>
          <w:rFonts w:hint="eastAsia" w:ascii="宋体" w:hAnsi="宋体" w:cs="宋体"/>
          <w:b/>
          <w:sz w:val="32"/>
          <w:szCs w:val="32"/>
        </w:rPr>
      </w:pPr>
      <w:r>
        <w:rPr>
          <w:rFonts w:hint="eastAsia" w:ascii="宋体" w:hAnsi="宋体" w:cs="宋体"/>
          <w:b/>
          <w:sz w:val="32"/>
          <w:szCs w:val="32"/>
        </w:rPr>
        <w:t>工程质量保修书</w:t>
      </w:r>
    </w:p>
    <w:p w14:paraId="56E142A5">
      <w:pPr>
        <w:spacing w:line="440" w:lineRule="exact"/>
        <w:ind w:firstLine="420" w:firstLineChars="200"/>
        <w:rPr>
          <w:rFonts w:hint="eastAsia" w:ascii="宋体" w:hAnsi="宋体"/>
        </w:rPr>
      </w:pPr>
      <w:r>
        <w:rPr>
          <w:rFonts w:hint="eastAsia" w:ascii="宋体" w:hAnsi="宋体"/>
        </w:rPr>
        <w:t>发包人（全称）：</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ascii="宋体" w:hAnsi="宋体"/>
        </w:rPr>
        <w:t xml:space="preserve"> </w:t>
      </w:r>
    </w:p>
    <w:p w14:paraId="633B187C">
      <w:pPr>
        <w:spacing w:line="440" w:lineRule="exact"/>
        <w:rPr>
          <w:rFonts w:hint="eastAsia" w:ascii="宋体" w:hAnsi="宋体"/>
        </w:rPr>
      </w:pPr>
      <w:r>
        <w:rPr>
          <w:rFonts w:hint="eastAsia" w:ascii="宋体" w:hAnsi="宋体"/>
        </w:rPr>
        <w:t>　　承包人（全称）：</w:t>
      </w:r>
      <w:r>
        <w:rPr>
          <w:rFonts w:ascii="宋体" w:hAnsi="宋体"/>
          <w:u w:val="single"/>
        </w:rPr>
        <w:t xml:space="preserve">                  </w:t>
      </w:r>
      <w:r>
        <w:rPr>
          <w:rFonts w:ascii="宋体" w:hAnsi="宋体"/>
        </w:rPr>
        <w:t xml:space="preserve"> </w:t>
      </w:r>
    </w:p>
    <w:p w14:paraId="4B7A4991">
      <w:pPr>
        <w:spacing w:line="440" w:lineRule="exact"/>
        <w:rPr>
          <w:rFonts w:hint="eastAsia" w:ascii="宋体" w:hAnsi="宋体"/>
        </w:rPr>
      </w:pPr>
    </w:p>
    <w:p w14:paraId="079C0998">
      <w:pPr>
        <w:spacing w:line="360" w:lineRule="auto"/>
        <w:ind w:firstLine="420"/>
        <w:rPr>
          <w:rFonts w:hint="eastAsia" w:ascii="宋体" w:hAnsi="宋体"/>
        </w:rPr>
      </w:pPr>
      <w:r>
        <w:rPr>
          <w:rFonts w:hint="eastAsia" w:ascii="宋体" w:hAnsi="宋体"/>
        </w:rPr>
        <w:t>发包人和承包人根据《中华人民共和国建筑法》和《建设工程质量管理条例》，经协商一致就</w:t>
      </w:r>
      <w:r>
        <w:rPr>
          <w:rFonts w:ascii="宋体" w:hAnsi="宋体"/>
          <w:u w:val="single"/>
        </w:rPr>
        <w:t xml:space="preserve">                       </w:t>
      </w:r>
      <w:r>
        <w:rPr>
          <w:rFonts w:hint="eastAsia" w:ascii="宋体" w:hAnsi="宋体"/>
        </w:rPr>
        <w:t>（工程全称）签订工程质量保修书。</w:t>
      </w:r>
    </w:p>
    <w:p w14:paraId="2832AA4C">
      <w:pPr>
        <w:spacing w:line="360" w:lineRule="auto"/>
        <w:rPr>
          <w:rFonts w:hint="eastAsia" w:ascii="宋体" w:hAnsi="宋体"/>
        </w:rPr>
      </w:pPr>
      <w:r>
        <w:rPr>
          <w:rFonts w:hint="eastAsia" w:ascii="宋体" w:hAnsi="宋体"/>
        </w:rPr>
        <w:t>　　一、工程质量保修范围和内容</w:t>
      </w:r>
    </w:p>
    <w:p w14:paraId="51EE8BAA">
      <w:pPr>
        <w:spacing w:line="360" w:lineRule="auto"/>
        <w:rPr>
          <w:rFonts w:hint="eastAsia" w:ascii="宋体" w:hAnsi="宋体"/>
        </w:rPr>
      </w:pPr>
      <w:r>
        <w:rPr>
          <w:rFonts w:hint="eastAsia" w:ascii="宋体" w:hAnsi="宋体"/>
        </w:rPr>
        <w:t>　　承包人在质量保修期内，按照有关法律规定和合同约定，承担工程质量保修责任。</w:t>
      </w:r>
    </w:p>
    <w:p w14:paraId="18A8FF97">
      <w:pPr>
        <w:spacing w:line="360" w:lineRule="auto"/>
        <w:rPr>
          <w:rFonts w:hint="eastAsia" w:ascii="宋体" w:hAnsi="宋体"/>
          <w:u w:val="single"/>
        </w:rPr>
      </w:pPr>
      <w:r>
        <w:rPr>
          <w:rFonts w:hint="eastAsia" w:ascii="宋体" w:hAnsi="宋体"/>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u w:val="single"/>
        </w:rPr>
        <w:t>按《建设工程质量管理条例》有关规定进行质量保修。保修范围：竣工图图示范围内（含变更部分）及采购文件要求纳入竞标报价的全部工作内容。</w:t>
      </w:r>
    </w:p>
    <w:p w14:paraId="081A592A">
      <w:pPr>
        <w:spacing w:line="360" w:lineRule="auto"/>
        <w:rPr>
          <w:rFonts w:hint="eastAsia" w:ascii="宋体" w:hAnsi="宋体"/>
        </w:rPr>
      </w:pPr>
      <w:r>
        <w:rPr>
          <w:rFonts w:hint="eastAsia" w:ascii="宋体" w:hAnsi="宋体"/>
          <w:b/>
        </w:rPr>
        <w:t>　　</w:t>
      </w:r>
      <w:r>
        <w:rPr>
          <w:rFonts w:hint="eastAsia" w:ascii="宋体" w:hAnsi="宋体"/>
        </w:rPr>
        <w:t>二、质量保修期</w:t>
      </w:r>
    </w:p>
    <w:p w14:paraId="6502564D">
      <w:pPr>
        <w:spacing w:line="360" w:lineRule="auto"/>
        <w:ind w:firstLine="420" w:firstLineChars="200"/>
        <w:rPr>
          <w:rFonts w:hint="eastAsia" w:ascii="宋体" w:hAnsi="宋体"/>
        </w:rPr>
      </w:pPr>
      <w:r>
        <w:rPr>
          <w:rFonts w:hint="eastAsia" w:ascii="宋体" w:hAnsi="宋体"/>
        </w:rPr>
        <w:t>根据《建设工程质量管理条例》及有关规定，工程的质量保修期如下：</w:t>
      </w:r>
    </w:p>
    <w:p w14:paraId="3BA6613B">
      <w:pPr>
        <w:spacing w:line="360" w:lineRule="auto"/>
        <w:ind w:firstLine="420" w:firstLineChars="200"/>
        <w:rPr>
          <w:rFonts w:hint="eastAsia" w:ascii="宋体" w:hAnsi="宋体"/>
        </w:rPr>
      </w:pPr>
      <w:r>
        <w:rPr>
          <w:rFonts w:hint="eastAsia" w:ascii="宋体" w:hAnsi="宋体"/>
        </w:rPr>
        <w:t>1．地基基础工程和主体结构工程为设计文件规定的工程合理使用年限；</w:t>
      </w:r>
    </w:p>
    <w:p w14:paraId="3BEF8209">
      <w:pPr>
        <w:spacing w:line="360" w:lineRule="auto"/>
        <w:ind w:firstLine="420" w:firstLineChars="200"/>
        <w:rPr>
          <w:rFonts w:hint="eastAsia" w:ascii="宋体" w:hAnsi="宋体"/>
        </w:rPr>
      </w:pPr>
      <w:r>
        <w:rPr>
          <w:rFonts w:hint="eastAsia" w:ascii="宋体" w:hAnsi="宋体"/>
        </w:rPr>
        <w:t>2．屋面防水工程、有防水要求的卫生间、房间和外墙面的防渗为</w:t>
      </w:r>
      <w:r>
        <w:rPr>
          <w:rFonts w:hint="eastAsia" w:ascii="宋体" w:hAnsi="宋体"/>
          <w:u w:val="single"/>
        </w:rPr>
        <w:t xml:space="preserve"> 5 </w:t>
      </w:r>
      <w:r>
        <w:rPr>
          <w:rFonts w:hint="eastAsia" w:ascii="宋体" w:hAnsi="宋体"/>
        </w:rPr>
        <w:t>年；</w:t>
      </w:r>
    </w:p>
    <w:p w14:paraId="48E92930">
      <w:pPr>
        <w:spacing w:line="360" w:lineRule="auto"/>
        <w:ind w:firstLine="420" w:firstLineChars="200"/>
        <w:rPr>
          <w:rFonts w:hint="eastAsia" w:ascii="宋体" w:hAnsi="宋体"/>
        </w:rPr>
      </w:pPr>
      <w:r>
        <w:rPr>
          <w:rFonts w:ascii="宋体" w:hAnsi="宋体"/>
        </w:rPr>
        <w:t>3</w:t>
      </w:r>
      <w:r>
        <w:rPr>
          <w:rFonts w:hint="eastAsia" w:ascii="宋体" w:hAnsi="宋体"/>
        </w:rPr>
        <w:t>．装修工程为</w:t>
      </w:r>
      <w:r>
        <w:rPr>
          <w:rFonts w:ascii="宋体" w:hAnsi="宋体"/>
          <w:u w:val="single"/>
        </w:rPr>
        <w:t xml:space="preserve"> 2 </w:t>
      </w:r>
      <w:r>
        <w:rPr>
          <w:rFonts w:hint="eastAsia" w:ascii="宋体" w:hAnsi="宋体"/>
        </w:rPr>
        <w:t>年；</w:t>
      </w:r>
    </w:p>
    <w:p w14:paraId="38105D4B">
      <w:pPr>
        <w:spacing w:line="360" w:lineRule="auto"/>
        <w:ind w:firstLine="420" w:firstLineChars="200"/>
        <w:rPr>
          <w:rFonts w:hint="eastAsia" w:ascii="宋体" w:hAnsi="宋体"/>
        </w:rPr>
      </w:pPr>
      <w:r>
        <w:rPr>
          <w:rFonts w:ascii="宋体" w:hAnsi="宋体"/>
        </w:rPr>
        <w:t>4</w:t>
      </w:r>
      <w:r>
        <w:rPr>
          <w:rFonts w:hint="eastAsia" w:ascii="宋体" w:hAnsi="宋体"/>
        </w:rPr>
        <w:t>．电气管线、给排水管道、设备安装工程为</w:t>
      </w:r>
      <w:r>
        <w:rPr>
          <w:rFonts w:ascii="宋体" w:hAnsi="宋体"/>
          <w:u w:val="single"/>
        </w:rPr>
        <w:t xml:space="preserve"> 2 </w:t>
      </w:r>
      <w:r>
        <w:rPr>
          <w:rFonts w:hint="eastAsia" w:ascii="宋体" w:hAnsi="宋体"/>
        </w:rPr>
        <w:t>年；</w:t>
      </w:r>
    </w:p>
    <w:p w14:paraId="3C15ACBA">
      <w:pPr>
        <w:spacing w:line="360" w:lineRule="auto"/>
        <w:ind w:firstLine="420" w:firstLineChars="200"/>
        <w:rPr>
          <w:rFonts w:hint="eastAsia" w:ascii="宋体" w:hAnsi="宋体"/>
        </w:rPr>
      </w:pPr>
      <w:r>
        <w:rPr>
          <w:rFonts w:ascii="宋体" w:hAnsi="宋体"/>
        </w:rPr>
        <w:t>5</w:t>
      </w:r>
      <w:r>
        <w:rPr>
          <w:rFonts w:hint="eastAsia" w:ascii="宋体" w:hAnsi="宋体"/>
        </w:rPr>
        <w:t>．供热与供冷系统为</w:t>
      </w:r>
      <w:r>
        <w:rPr>
          <w:rFonts w:ascii="宋体" w:hAnsi="宋体"/>
          <w:u w:val="single"/>
        </w:rPr>
        <w:t xml:space="preserve"> 2 </w:t>
      </w:r>
      <w:r>
        <w:rPr>
          <w:rFonts w:hint="eastAsia" w:ascii="宋体" w:hAnsi="宋体"/>
        </w:rPr>
        <w:t>个采暖期、供冷期；</w:t>
      </w:r>
    </w:p>
    <w:p w14:paraId="3B654154">
      <w:pPr>
        <w:spacing w:line="360" w:lineRule="auto"/>
        <w:ind w:firstLine="420" w:firstLineChars="200"/>
        <w:rPr>
          <w:rFonts w:hint="eastAsia" w:ascii="宋体" w:hAnsi="宋体"/>
        </w:rPr>
      </w:pPr>
      <w:r>
        <w:rPr>
          <w:rFonts w:ascii="宋体" w:hAnsi="宋体"/>
        </w:rPr>
        <w:t>6</w:t>
      </w:r>
      <w:r>
        <w:rPr>
          <w:rFonts w:hint="eastAsia" w:ascii="宋体" w:hAnsi="宋体"/>
        </w:rPr>
        <w:t>．住宅小区内的给排水设施、道路等配套工程为</w:t>
      </w:r>
      <w:r>
        <w:rPr>
          <w:rFonts w:ascii="宋体" w:hAnsi="宋体"/>
          <w:u w:val="single"/>
        </w:rPr>
        <w:t xml:space="preserve"> 2 </w:t>
      </w:r>
      <w:r>
        <w:rPr>
          <w:rFonts w:hint="eastAsia" w:ascii="宋体" w:hAnsi="宋体"/>
        </w:rPr>
        <w:t>年；</w:t>
      </w:r>
    </w:p>
    <w:p w14:paraId="45DF0A51">
      <w:pPr>
        <w:spacing w:line="360" w:lineRule="auto"/>
        <w:ind w:firstLine="420"/>
        <w:rPr>
          <w:rFonts w:hint="eastAsia"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rPr>
        <w:t>无</w:t>
      </w:r>
      <w:r>
        <w:rPr>
          <w:rFonts w:hint="eastAsia" w:ascii="宋体" w:hAnsi="宋体" w:cs="宋体"/>
          <w:szCs w:val="21"/>
        </w:rPr>
        <w:t>。</w:t>
      </w:r>
    </w:p>
    <w:p w14:paraId="7D4F6C4B">
      <w:pPr>
        <w:spacing w:line="360" w:lineRule="auto"/>
        <w:ind w:firstLine="420"/>
        <w:rPr>
          <w:rFonts w:hint="eastAsia" w:ascii="宋体" w:hAnsi="宋体" w:cs="宋体"/>
          <w:szCs w:val="21"/>
        </w:rPr>
      </w:pPr>
      <w:r>
        <w:rPr>
          <w:rFonts w:hint="eastAsia" w:ascii="宋体" w:hAnsi="宋体" w:cs="宋体"/>
          <w:szCs w:val="21"/>
        </w:rPr>
        <w:t>质量保修期自工程竣工验收合格之日起计算。</w:t>
      </w:r>
    </w:p>
    <w:p w14:paraId="61411AC7">
      <w:pPr>
        <w:spacing w:line="360" w:lineRule="auto"/>
        <w:ind w:firstLine="420" w:firstLineChars="200"/>
        <w:rPr>
          <w:rFonts w:hint="eastAsia" w:ascii="宋体" w:hAnsi="宋体"/>
        </w:rPr>
      </w:pPr>
      <w:r>
        <w:rPr>
          <w:rFonts w:hint="eastAsia" w:ascii="宋体" w:hAnsi="宋体"/>
        </w:rPr>
        <w:t>三、缺陷责任期</w:t>
      </w:r>
    </w:p>
    <w:p w14:paraId="065E3852">
      <w:pPr>
        <w:spacing w:line="360" w:lineRule="auto"/>
        <w:ind w:firstLine="420" w:firstLineChars="200"/>
        <w:rPr>
          <w:rFonts w:hint="eastAsia" w:ascii="宋体" w:hAnsi="宋体"/>
        </w:rPr>
      </w:pPr>
      <w:r>
        <w:rPr>
          <w:rFonts w:hint="eastAsia" w:ascii="宋体" w:hAnsi="宋体"/>
        </w:rPr>
        <w:t>工程缺陷责任期为</w:t>
      </w:r>
      <w:r>
        <w:rPr>
          <w:rFonts w:hint="eastAsia" w:ascii="宋体" w:hAnsi="宋体"/>
          <w:u w:val="single"/>
          <w:lang w:val="en-US" w:eastAsia="zh-CN"/>
        </w:rPr>
        <w:t>24</w:t>
      </w:r>
      <w:r>
        <w:rPr>
          <w:rFonts w:ascii="宋体" w:hAnsi="宋体"/>
          <w:u w:val="single"/>
        </w:rPr>
        <w:t xml:space="preserve"> </w:t>
      </w:r>
      <w:r>
        <w:rPr>
          <w:rFonts w:hint="eastAsia" w:ascii="宋体" w:hAnsi="宋体"/>
        </w:rPr>
        <w:t>个月，</w:t>
      </w:r>
      <w:r>
        <w:rPr>
          <w:rFonts w:hint="eastAsia" w:ascii="宋体" w:hAnsi="宋体" w:cs="宋体"/>
          <w:szCs w:val="21"/>
        </w:rPr>
        <w:t>缺陷责任期自工程竣工验收合格之日起计算。单位工程先于全部工程进行验收，单位工程缺陷责任期自单位工程验收合格之日起算。</w:t>
      </w:r>
    </w:p>
    <w:p w14:paraId="16E07752">
      <w:pPr>
        <w:spacing w:line="360" w:lineRule="auto"/>
        <w:rPr>
          <w:rFonts w:hint="eastAsia" w:ascii="宋体" w:hAnsi="宋体"/>
        </w:rPr>
      </w:pPr>
      <w:r>
        <w:rPr>
          <w:rFonts w:ascii="宋体" w:hAnsi="宋体"/>
        </w:rPr>
        <w:t xml:space="preserve">    </w:t>
      </w:r>
      <w:r>
        <w:rPr>
          <w:rFonts w:hint="eastAsia" w:ascii="宋体" w:hAnsi="宋体"/>
        </w:rPr>
        <w:t>四、质量保修责任</w:t>
      </w:r>
    </w:p>
    <w:p w14:paraId="356690EE">
      <w:pPr>
        <w:spacing w:line="360" w:lineRule="auto"/>
        <w:ind w:left="105" w:leftChars="50" w:firstLine="430" w:firstLineChars="205"/>
        <w:rPr>
          <w:rFonts w:hint="eastAsia" w:ascii="宋体" w:hAnsi="宋体"/>
        </w:rPr>
      </w:pPr>
      <w:r>
        <w:rPr>
          <w:rFonts w:ascii="宋体" w:hAnsi="宋体"/>
        </w:rPr>
        <w:t>1</w:t>
      </w:r>
      <w:r>
        <w:rPr>
          <w:rFonts w:hint="eastAsia" w:ascii="宋体" w:hAnsi="宋体"/>
        </w:rPr>
        <w:t>．属于保修范围、内容的项目，承包人应当在接到维修信息或电话，在2小时内做出答复或派出技术服务人员，2小时内到达现场解决问题。承包人不在约定期限内派人保修的，发包人可以委托他人修理，维修费用从质量保证金内扣除。</w:t>
      </w:r>
    </w:p>
    <w:p w14:paraId="331991BA">
      <w:pPr>
        <w:spacing w:line="360" w:lineRule="auto"/>
        <w:ind w:left="105" w:leftChars="50" w:firstLine="430" w:firstLineChars="205"/>
        <w:rPr>
          <w:rFonts w:hint="eastAsia" w:ascii="宋体" w:hAnsi="宋体"/>
        </w:rPr>
      </w:pPr>
      <w:r>
        <w:rPr>
          <w:rFonts w:ascii="宋体" w:hAnsi="宋体"/>
        </w:rPr>
        <w:t>2</w:t>
      </w:r>
      <w:r>
        <w:rPr>
          <w:rFonts w:hint="eastAsia" w:ascii="宋体" w:hAnsi="宋体"/>
        </w:rPr>
        <w:t>．发生紧急事故需抢修的，承包人在接到事故通知后，应当立即到达事故现场抢修。</w:t>
      </w:r>
    </w:p>
    <w:p w14:paraId="5E95CA55">
      <w:pPr>
        <w:spacing w:line="360" w:lineRule="auto"/>
        <w:ind w:left="105" w:leftChars="50" w:firstLine="430" w:firstLineChars="205"/>
        <w:rPr>
          <w:rFonts w:hint="eastAsia" w:ascii="宋体" w:hAnsi="宋体"/>
        </w:rPr>
      </w:pPr>
      <w:r>
        <w:rPr>
          <w:rFonts w:ascii="宋体" w:hAnsi="宋体"/>
        </w:rPr>
        <w:t>3</w:t>
      </w:r>
      <w:r>
        <w:rPr>
          <w:rFonts w:hint="eastAsia" w:ascii="宋体" w:hAnsi="宋体"/>
        </w:rPr>
        <w:t>．对于涉及结构安全的质量问题，应当按照《建设工程质量管理条例》的规定，立即向当地主管部门和有关部门报告，采取安全防范措施，并由原设计人或者具有相应资质等级的设计人提出保修方案，承包人实施保修。</w:t>
      </w:r>
    </w:p>
    <w:p w14:paraId="7764F9CC">
      <w:pPr>
        <w:spacing w:line="360" w:lineRule="auto"/>
        <w:ind w:left="420" w:leftChars="200" w:firstLine="105" w:firstLineChars="50"/>
        <w:rPr>
          <w:rFonts w:hint="eastAsia" w:ascii="宋体" w:hAnsi="宋体"/>
        </w:rPr>
      </w:pPr>
      <w:r>
        <w:rPr>
          <w:rFonts w:ascii="宋体" w:hAnsi="宋体"/>
        </w:rPr>
        <w:t>4</w:t>
      </w:r>
      <w:r>
        <w:rPr>
          <w:rFonts w:hint="eastAsia" w:ascii="宋体" w:hAnsi="宋体"/>
        </w:rPr>
        <w:t>．质量保修完成后，由发包人组织验收。</w:t>
      </w:r>
    </w:p>
    <w:p w14:paraId="29415E87">
      <w:pPr>
        <w:spacing w:line="360" w:lineRule="auto"/>
        <w:rPr>
          <w:rFonts w:hint="eastAsia" w:ascii="宋体" w:hAnsi="宋体"/>
        </w:rPr>
      </w:pPr>
      <w:r>
        <w:rPr>
          <w:rFonts w:hint="eastAsia" w:ascii="宋体" w:hAnsi="宋体"/>
        </w:rPr>
        <w:t>　　五、保修费用</w:t>
      </w:r>
    </w:p>
    <w:p w14:paraId="20EB4D6B">
      <w:pPr>
        <w:spacing w:line="360" w:lineRule="auto"/>
        <w:rPr>
          <w:rFonts w:hint="eastAsia" w:ascii="宋体" w:hAnsi="宋体"/>
        </w:rPr>
      </w:pPr>
      <w:r>
        <w:rPr>
          <w:rFonts w:hint="eastAsia" w:ascii="宋体" w:hAnsi="宋体"/>
        </w:rPr>
        <w:t>　　保修费用由造成质量缺陷的责任方承担。</w:t>
      </w:r>
    </w:p>
    <w:p w14:paraId="3E31D22C">
      <w:pPr>
        <w:spacing w:line="360" w:lineRule="auto"/>
        <w:ind w:firstLine="411" w:firstLineChars="196"/>
        <w:jc w:val="left"/>
        <w:rPr>
          <w:rFonts w:hint="eastAsia" w:ascii="宋体" w:hAnsi="宋体"/>
        </w:rPr>
      </w:pPr>
      <w:r>
        <w:rPr>
          <w:rFonts w:hint="eastAsia" w:ascii="宋体" w:hAnsi="宋体"/>
        </w:rPr>
        <w:t>六、双方约定的其他工程质量保修事项：无。</w:t>
      </w:r>
    </w:p>
    <w:p w14:paraId="7211197B">
      <w:pPr>
        <w:spacing w:line="360" w:lineRule="auto"/>
        <w:ind w:firstLine="411" w:firstLineChars="196"/>
        <w:jc w:val="left"/>
        <w:rPr>
          <w:rFonts w:hint="eastAsia" w:ascii="宋体" w:hAnsi="宋体"/>
        </w:rPr>
      </w:pPr>
      <w:r>
        <w:rPr>
          <w:rFonts w:hint="eastAsia" w:ascii="宋体" w:hAnsi="宋体"/>
        </w:rPr>
        <w:t>工程质量保修书由发包人、承包人在工程竣工验收前共同签署，作为施工合同附件，其有效期限至保修期满。</w:t>
      </w:r>
    </w:p>
    <w:p w14:paraId="1DBFD3D5">
      <w:pPr>
        <w:spacing w:line="360" w:lineRule="auto"/>
        <w:ind w:firstLine="420"/>
        <w:rPr>
          <w:rFonts w:hint="eastAsia" w:ascii="宋体" w:hAnsi="宋体"/>
        </w:rPr>
      </w:pPr>
    </w:p>
    <w:p w14:paraId="7FA47ED6">
      <w:pPr>
        <w:spacing w:line="360" w:lineRule="auto"/>
        <w:rPr>
          <w:rFonts w:hint="eastAsia" w:ascii="宋体" w:hAnsi="宋体"/>
        </w:rPr>
      </w:pPr>
      <w:r>
        <w:rPr>
          <w:rFonts w:hint="eastAsia" w:ascii="宋体" w:hAnsi="宋体"/>
        </w:rPr>
        <w:t>发包人（公章）：</w:t>
      </w:r>
      <w:r>
        <w:rPr>
          <w:rFonts w:ascii="宋体" w:hAnsi="宋体"/>
          <w:u w:val="single"/>
        </w:rPr>
        <w:t xml:space="preserve"> </w:t>
      </w:r>
      <w:r>
        <w:rPr>
          <w:rFonts w:hint="eastAsia" w:ascii="宋体" w:hAnsi="宋体" w:cs="MingLiU_HKSCS"/>
          <w:u w:val="single"/>
        </w:rPr>
        <w:t xml:space="preserve">      </w:t>
      </w:r>
      <w:r>
        <w:rPr>
          <w:rFonts w:ascii="宋体" w:hAnsi="宋体"/>
          <w:u w:val="single"/>
        </w:rPr>
        <w:t xml:space="preserve">      </w:t>
      </w:r>
      <w:r>
        <w:rPr>
          <w:rFonts w:ascii="宋体" w:hAnsi="宋体"/>
        </w:rPr>
        <w:t xml:space="preserve">              </w:t>
      </w:r>
      <w:r>
        <w:rPr>
          <w:rFonts w:hint="eastAsia" w:ascii="宋体" w:hAnsi="宋体"/>
        </w:rPr>
        <w:t>承包人（公章）：</w:t>
      </w:r>
      <w:r>
        <w:rPr>
          <w:rFonts w:hint="eastAsia" w:ascii="宋体" w:hAnsi="宋体" w:cs="MingLiU_HKSCS"/>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cs="MingLiU_HKSCS"/>
          <w:u w:val="single"/>
        </w:rPr>
        <w:t xml:space="preserve">  </w:t>
      </w:r>
      <w:r>
        <w:rPr>
          <w:rFonts w:ascii="宋体" w:hAnsi="宋体"/>
          <w:u w:val="single"/>
        </w:rPr>
        <w:t xml:space="preserve"> </w:t>
      </w:r>
    </w:p>
    <w:p w14:paraId="2E3F5BD9">
      <w:pPr>
        <w:spacing w:line="360" w:lineRule="auto"/>
        <w:rPr>
          <w:rFonts w:hint="eastAsia" w:ascii="宋体" w:hAnsi="宋体"/>
        </w:rPr>
      </w:pPr>
      <w:r>
        <w:rPr>
          <w:rFonts w:hint="eastAsia" w:ascii="宋体" w:hAnsi="宋体"/>
        </w:rPr>
        <w:t>地</w:t>
      </w:r>
      <w:r>
        <w:rPr>
          <w:rFonts w:ascii="宋体" w:hAnsi="宋体"/>
        </w:rPr>
        <w:t xml:space="preserve">  </w:t>
      </w:r>
      <w:r>
        <w:rPr>
          <w:rFonts w:hint="eastAsia" w:ascii="宋体" w:hAnsi="宋体"/>
        </w:rPr>
        <w:t>址：</w:t>
      </w:r>
      <w:r>
        <w:rPr>
          <w:rFonts w:ascii="宋体" w:hAnsi="宋体"/>
          <w:u w:val="single"/>
        </w:rPr>
        <w:t xml:space="preserve"> </w:t>
      </w:r>
      <w:r>
        <w:rPr>
          <w:rFonts w:hint="eastAsia" w:ascii="宋体" w:hAnsi="宋体" w:cs="MingLiU_HKSCS"/>
          <w:u w:val="single"/>
        </w:rPr>
        <w:t xml:space="preserve">              </w:t>
      </w:r>
      <w:r>
        <w:rPr>
          <w:rFonts w:ascii="宋体" w:hAnsi="宋体"/>
          <w:u w:val="single"/>
        </w:rPr>
        <w:t xml:space="preserve">    </w:t>
      </w:r>
      <w:r>
        <w:rPr>
          <w:rFonts w:ascii="宋体" w:hAnsi="宋体"/>
        </w:rPr>
        <w:t xml:space="preserve">                </w:t>
      </w:r>
      <w:r>
        <w:rPr>
          <w:rFonts w:hint="eastAsia" w:ascii="宋体" w:hAnsi="宋体"/>
        </w:rPr>
        <w:t>地</w:t>
      </w:r>
      <w:r>
        <w:rPr>
          <w:rFonts w:ascii="宋体" w:hAnsi="宋体"/>
        </w:rPr>
        <w:t xml:space="preserve">  </w:t>
      </w:r>
      <w:r>
        <w:rPr>
          <w:rFonts w:hint="eastAsia" w:ascii="宋体" w:hAnsi="宋体"/>
        </w:rPr>
        <w:t>址：</w:t>
      </w:r>
      <w:r>
        <w:rPr>
          <w:rFonts w:hint="eastAsia" w:ascii="宋体" w:hAnsi="宋体" w:cs="MingLiU_HKSCS"/>
          <w:u w:val="single"/>
        </w:rPr>
        <w:t xml:space="preserve">               </w:t>
      </w:r>
      <w:r>
        <w:rPr>
          <w:rFonts w:ascii="宋体" w:hAnsi="宋体"/>
          <w:u w:val="single"/>
        </w:rPr>
        <w:t xml:space="preserve">      </w:t>
      </w:r>
    </w:p>
    <w:p w14:paraId="57B7597A">
      <w:pPr>
        <w:spacing w:line="360" w:lineRule="auto"/>
        <w:rPr>
          <w:rFonts w:hint="eastAsia" w:ascii="宋体" w:hAnsi="宋体"/>
        </w:rPr>
      </w:pPr>
      <w:r>
        <w:rPr>
          <w:rFonts w:hint="eastAsia" w:ascii="宋体" w:hAnsi="宋体"/>
        </w:rPr>
        <w:t>法定代表人</w:t>
      </w:r>
      <w:r>
        <w:rPr>
          <w:rFonts w:ascii="宋体" w:hAnsi="宋体"/>
        </w:rPr>
        <w:t xml:space="preserve">            </w:t>
      </w:r>
      <w:r>
        <w:rPr>
          <w:rFonts w:hint="eastAsia" w:ascii="宋体" w:hAnsi="宋体"/>
        </w:rPr>
        <w:t xml:space="preserve">                     法定代表人</w:t>
      </w:r>
    </w:p>
    <w:p w14:paraId="3DDBE1F2">
      <w:pPr>
        <w:spacing w:line="360" w:lineRule="auto"/>
        <w:rPr>
          <w:rFonts w:hint="eastAsia" w:ascii="宋体" w:hAnsi="宋体"/>
        </w:rPr>
      </w:pPr>
      <w:r>
        <w:rPr>
          <w:rFonts w:hint="eastAsia" w:ascii="宋体" w:hAnsi="宋体"/>
        </w:rPr>
        <w:t>或委托代理人（签字）：</w:t>
      </w:r>
      <w:r>
        <w:rPr>
          <w:rFonts w:hint="eastAsia" w:ascii="宋体" w:hAnsi="宋体" w:cs="MingLiU_HKSCS"/>
          <w:u w:val="single"/>
        </w:rPr>
        <w:t xml:space="preserve">    </w:t>
      </w:r>
      <w:r>
        <w:rPr>
          <w:rFonts w:ascii="宋体" w:hAnsi="宋体"/>
          <w:u w:val="single"/>
        </w:rPr>
        <w:t xml:space="preserve">      </w:t>
      </w:r>
      <w:r>
        <w:rPr>
          <w:rFonts w:ascii="宋体" w:hAnsi="宋体"/>
        </w:rPr>
        <w:t xml:space="preserve">           </w:t>
      </w:r>
      <w:r>
        <w:rPr>
          <w:rFonts w:hint="eastAsia" w:ascii="宋体" w:hAnsi="宋体"/>
        </w:rPr>
        <w:t>或委托代理人（签字）：</w:t>
      </w:r>
      <w:r>
        <w:rPr>
          <w:rFonts w:hint="eastAsia" w:ascii="宋体" w:hAnsi="宋体" w:cs="MingLiU_HKSCS"/>
          <w:u w:val="single"/>
        </w:rPr>
        <w:t xml:space="preserve">    </w:t>
      </w:r>
      <w:r>
        <w:rPr>
          <w:rFonts w:ascii="宋体" w:hAnsi="宋体"/>
          <w:u w:val="single"/>
        </w:rPr>
        <w:t xml:space="preserve">       </w:t>
      </w:r>
    </w:p>
    <w:p w14:paraId="47F97C9E">
      <w:pPr>
        <w:spacing w:line="360" w:lineRule="auto"/>
        <w:rPr>
          <w:rFonts w:hint="eastAsia" w:ascii="宋体" w:hAnsi="宋体"/>
        </w:rPr>
      </w:pPr>
      <w:r>
        <w:rPr>
          <w:rFonts w:hint="eastAsia" w:ascii="宋体" w:hAnsi="宋体"/>
        </w:rPr>
        <w:t>电</w:t>
      </w:r>
      <w:r>
        <w:rPr>
          <w:rFonts w:ascii="宋体" w:hAnsi="宋体"/>
        </w:rPr>
        <w:t xml:space="preserve">  </w:t>
      </w:r>
      <w:r>
        <w:rPr>
          <w:rFonts w:hint="eastAsia" w:ascii="宋体" w:hAnsi="宋体"/>
        </w:rPr>
        <w:t>话：</w:t>
      </w:r>
      <w:r>
        <w:rPr>
          <w:rFonts w:hint="eastAsia" w:ascii="宋体" w:hAnsi="宋体" w:cs="MingLiU_HKSCS"/>
          <w:u w:val="single"/>
        </w:rPr>
        <w:t xml:space="preserve">                 </w:t>
      </w:r>
      <w:r>
        <w:rPr>
          <w:rFonts w:ascii="宋体" w:hAnsi="宋体"/>
          <w:u w:val="single"/>
        </w:rPr>
        <w:t xml:space="preserve">   </w:t>
      </w:r>
      <w:r>
        <w:rPr>
          <w:rFonts w:ascii="宋体" w:hAnsi="宋体"/>
        </w:rPr>
        <w:t xml:space="preserve">               </w:t>
      </w:r>
      <w:r>
        <w:rPr>
          <w:rFonts w:hint="eastAsia" w:ascii="宋体" w:hAnsi="宋体"/>
        </w:rPr>
        <w:t>电</w:t>
      </w:r>
      <w:r>
        <w:rPr>
          <w:rFonts w:ascii="宋体" w:hAnsi="宋体"/>
        </w:rPr>
        <w:t xml:space="preserve">  </w:t>
      </w:r>
      <w:r>
        <w:rPr>
          <w:rFonts w:hint="eastAsia" w:ascii="宋体" w:hAnsi="宋体"/>
        </w:rPr>
        <w:t>话：</w:t>
      </w:r>
      <w:r>
        <w:rPr>
          <w:rFonts w:hint="eastAsia" w:ascii="宋体" w:hAnsi="宋体" w:cs="MingLiU_HKSCS"/>
          <w:u w:val="single"/>
        </w:rPr>
        <w:t xml:space="preserve">                </w:t>
      </w:r>
      <w:r>
        <w:rPr>
          <w:rFonts w:ascii="宋体" w:hAnsi="宋体"/>
          <w:u w:val="single"/>
        </w:rPr>
        <w:t xml:space="preserve">     </w:t>
      </w:r>
    </w:p>
    <w:p w14:paraId="1DA57259">
      <w:pPr>
        <w:spacing w:line="360" w:lineRule="auto"/>
        <w:rPr>
          <w:rFonts w:hint="eastAsia" w:ascii="宋体" w:hAnsi="宋体"/>
        </w:rPr>
      </w:pPr>
      <w:r>
        <w:rPr>
          <w:rFonts w:hint="eastAsia" w:ascii="宋体" w:hAnsi="宋体"/>
        </w:rPr>
        <w:t>传</w:t>
      </w:r>
      <w:r>
        <w:rPr>
          <w:rFonts w:ascii="宋体" w:hAnsi="宋体"/>
        </w:rPr>
        <w:t xml:space="preserve">  </w:t>
      </w:r>
      <w:r>
        <w:rPr>
          <w:rFonts w:hint="eastAsia" w:ascii="宋体" w:hAnsi="宋体"/>
        </w:rPr>
        <w:t>真：</w:t>
      </w:r>
      <w:r>
        <w:rPr>
          <w:rFonts w:hint="eastAsia" w:ascii="宋体" w:hAnsi="宋体" w:cs="MingLiU_HKSCS"/>
          <w:u w:val="single"/>
        </w:rPr>
        <w:t xml:space="preserve">                 </w:t>
      </w:r>
      <w:r>
        <w:rPr>
          <w:rFonts w:ascii="宋体" w:hAnsi="宋体"/>
          <w:u w:val="single"/>
        </w:rPr>
        <w:t xml:space="preserve">   </w:t>
      </w:r>
      <w:r>
        <w:rPr>
          <w:rFonts w:ascii="宋体" w:hAnsi="宋体"/>
        </w:rPr>
        <w:t xml:space="preserve">               </w:t>
      </w:r>
      <w:r>
        <w:rPr>
          <w:rFonts w:hint="eastAsia" w:ascii="宋体" w:hAnsi="宋体"/>
        </w:rPr>
        <w:t>传</w:t>
      </w:r>
      <w:r>
        <w:rPr>
          <w:rFonts w:ascii="宋体" w:hAnsi="宋体"/>
        </w:rPr>
        <w:t xml:space="preserve">  </w:t>
      </w:r>
      <w:r>
        <w:rPr>
          <w:rFonts w:hint="eastAsia" w:ascii="宋体" w:hAnsi="宋体"/>
        </w:rPr>
        <w:t>真：</w:t>
      </w:r>
      <w:r>
        <w:rPr>
          <w:rFonts w:hint="eastAsia" w:ascii="宋体" w:hAnsi="宋体" w:cs="MingLiU_HKSCS"/>
          <w:u w:val="single"/>
        </w:rPr>
        <w:t xml:space="preserve">                   </w:t>
      </w:r>
      <w:r>
        <w:rPr>
          <w:rFonts w:ascii="宋体" w:hAnsi="宋体"/>
          <w:u w:val="single"/>
        </w:rPr>
        <w:t xml:space="preserve">  </w:t>
      </w:r>
    </w:p>
    <w:p w14:paraId="77D5C442">
      <w:pPr>
        <w:spacing w:line="360" w:lineRule="auto"/>
        <w:rPr>
          <w:rFonts w:hint="eastAsia" w:ascii="宋体" w:hAnsi="宋体"/>
        </w:rPr>
      </w:pPr>
      <w:r>
        <w:rPr>
          <w:rFonts w:hint="eastAsia" w:ascii="宋体" w:hAnsi="宋体"/>
        </w:rPr>
        <w:t>开户银行：</w:t>
      </w:r>
      <w:r>
        <w:rPr>
          <w:rFonts w:hint="eastAsia" w:ascii="宋体" w:hAnsi="宋体" w:cs="MingLiU_HKSCS"/>
          <w:u w:val="single"/>
        </w:rPr>
        <w:t xml:space="preserve">               </w:t>
      </w:r>
      <w:r>
        <w:rPr>
          <w:rFonts w:ascii="宋体" w:hAnsi="宋体"/>
          <w:u w:val="single"/>
        </w:rPr>
        <w:t xml:space="preserve">   </w:t>
      </w:r>
      <w:r>
        <w:rPr>
          <w:rFonts w:ascii="宋体" w:hAnsi="宋体"/>
        </w:rPr>
        <w:t xml:space="preserve">               </w:t>
      </w:r>
      <w:r>
        <w:rPr>
          <w:rFonts w:hint="eastAsia" w:ascii="宋体" w:hAnsi="宋体"/>
        </w:rPr>
        <w:t>开户银行：</w:t>
      </w:r>
      <w:r>
        <w:rPr>
          <w:rFonts w:hint="eastAsia" w:ascii="宋体" w:hAnsi="宋体" w:cs="MingLiU_HKSCS"/>
          <w:u w:val="single"/>
        </w:rPr>
        <w:t xml:space="preserve">                </w:t>
      </w:r>
      <w:r>
        <w:rPr>
          <w:rFonts w:ascii="宋体" w:hAnsi="宋体"/>
          <w:u w:val="single"/>
        </w:rPr>
        <w:t xml:space="preserve">   </w:t>
      </w:r>
    </w:p>
    <w:p w14:paraId="74375B78">
      <w:pPr>
        <w:spacing w:line="360" w:lineRule="auto"/>
        <w:rPr>
          <w:rFonts w:hint="eastAsia" w:ascii="宋体" w:hAnsi="宋体"/>
        </w:rPr>
      </w:pPr>
      <w:r>
        <w:rPr>
          <w:rFonts w:hint="eastAsia" w:ascii="宋体" w:hAnsi="宋体"/>
        </w:rPr>
        <w:t>账</w:t>
      </w:r>
      <w:r>
        <w:rPr>
          <w:rFonts w:ascii="宋体" w:hAnsi="宋体"/>
        </w:rPr>
        <w:t xml:space="preserve">  </w:t>
      </w:r>
      <w:r>
        <w:rPr>
          <w:rFonts w:hint="eastAsia" w:ascii="宋体" w:hAnsi="宋体"/>
        </w:rPr>
        <w:t>号：</w:t>
      </w:r>
      <w:r>
        <w:rPr>
          <w:rFonts w:hint="eastAsia" w:ascii="宋体" w:hAnsi="宋体" w:cs="MingLiU_HKSCS"/>
          <w:u w:val="single"/>
        </w:rPr>
        <w:t xml:space="preserve">              </w:t>
      </w:r>
      <w:r>
        <w:rPr>
          <w:rFonts w:ascii="宋体" w:hAnsi="宋体"/>
          <w:u w:val="single"/>
        </w:rPr>
        <w:t xml:space="preserve">      </w:t>
      </w:r>
      <w:r>
        <w:rPr>
          <w:rFonts w:ascii="宋体" w:hAnsi="宋体"/>
        </w:rPr>
        <w:t xml:space="preserve">               </w:t>
      </w:r>
      <w:r>
        <w:rPr>
          <w:rFonts w:hint="eastAsia" w:ascii="宋体" w:hAnsi="宋体"/>
        </w:rPr>
        <w:t>账</w:t>
      </w:r>
      <w:r>
        <w:rPr>
          <w:rFonts w:ascii="宋体" w:hAnsi="宋体"/>
        </w:rPr>
        <w:t xml:space="preserve">  </w:t>
      </w:r>
      <w:r>
        <w:rPr>
          <w:rFonts w:hint="eastAsia" w:ascii="宋体" w:hAnsi="宋体"/>
        </w:rPr>
        <w:t>号：</w:t>
      </w:r>
      <w:r>
        <w:rPr>
          <w:rFonts w:hint="eastAsia" w:ascii="宋体" w:hAnsi="宋体" w:cs="MingLiU_HKSCS"/>
          <w:u w:val="single"/>
        </w:rPr>
        <w:t xml:space="preserve">                </w:t>
      </w:r>
      <w:r>
        <w:rPr>
          <w:rFonts w:ascii="宋体" w:hAnsi="宋体"/>
          <w:u w:val="single"/>
        </w:rPr>
        <w:t xml:space="preserve">     </w:t>
      </w:r>
    </w:p>
    <w:p w14:paraId="402571F7">
      <w:pPr>
        <w:spacing w:line="440" w:lineRule="exact"/>
        <w:rPr>
          <w:rFonts w:hint="eastAsia" w:ascii="宋体" w:hAnsi="宋体" w:cs="宋体"/>
          <w:b/>
          <w:bCs/>
          <w:sz w:val="32"/>
          <w:szCs w:val="32"/>
        </w:rPr>
      </w:pPr>
      <w:r>
        <w:rPr>
          <w:rFonts w:hint="eastAsia" w:ascii="宋体" w:hAnsi="宋体"/>
        </w:rPr>
        <w:t>邮政编码：</w:t>
      </w:r>
      <w:r>
        <w:rPr>
          <w:rFonts w:ascii="宋体" w:hAnsi="宋体"/>
          <w:u w:val="single"/>
        </w:rPr>
        <w:t xml:space="preserve"> </w:t>
      </w:r>
      <w:r>
        <w:rPr>
          <w:rFonts w:hint="eastAsia" w:ascii="宋体" w:hAnsi="宋体" w:cs="MingLiU_HKSCS"/>
          <w:u w:val="single"/>
        </w:rPr>
        <w:t xml:space="preserve">             </w:t>
      </w:r>
      <w:r>
        <w:rPr>
          <w:rFonts w:ascii="宋体" w:hAnsi="宋体"/>
          <w:u w:val="single"/>
        </w:rPr>
        <w:t xml:space="preserve">    </w:t>
      </w:r>
      <w:r>
        <w:rPr>
          <w:rFonts w:ascii="宋体" w:hAnsi="宋体"/>
        </w:rPr>
        <w:t xml:space="preserve">               </w:t>
      </w:r>
      <w:r>
        <w:rPr>
          <w:rFonts w:hint="eastAsia" w:ascii="宋体" w:hAnsi="宋体"/>
        </w:rPr>
        <w:t>邮政编码：</w:t>
      </w:r>
      <w:r>
        <w:rPr>
          <w:rFonts w:hint="eastAsia" w:ascii="宋体" w:hAnsi="宋体" w:cs="MingLiU_HKSCS"/>
          <w:u w:val="single"/>
        </w:rPr>
        <w:t xml:space="preserve">                </w:t>
      </w:r>
      <w:r>
        <w:rPr>
          <w:rFonts w:ascii="宋体" w:hAnsi="宋体"/>
          <w:u w:val="single"/>
        </w:rPr>
        <w:t xml:space="preserve">   </w:t>
      </w:r>
      <w:r>
        <w:rPr>
          <w:rFonts w:eastAsia="仿宋_GB2312"/>
          <w:sz w:val="30"/>
          <w:szCs w:val="30"/>
        </w:rPr>
        <w:br w:type="page"/>
      </w:r>
      <w:r>
        <w:rPr>
          <w:rFonts w:hint="eastAsia" w:ascii="宋体" w:hAnsi="宋体" w:cs="宋体"/>
          <w:b/>
          <w:bCs/>
          <w:sz w:val="32"/>
          <w:szCs w:val="32"/>
        </w:rPr>
        <w:t>附件4：</w:t>
      </w:r>
    </w:p>
    <w:p w14:paraId="0CD8D75F">
      <w:pPr>
        <w:spacing w:before="120" w:beforeLines="50" w:after="120" w:afterLines="50" w:line="440" w:lineRule="exact"/>
        <w:jc w:val="center"/>
        <w:rPr>
          <w:rFonts w:hint="eastAsia" w:ascii="宋体" w:hAnsi="宋体" w:cs="宋体"/>
          <w:b/>
          <w:bCs/>
          <w:sz w:val="32"/>
          <w:szCs w:val="32"/>
        </w:rPr>
      </w:pPr>
      <w:r>
        <w:rPr>
          <w:rFonts w:hint="eastAsia" w:ascii="宋体" w:hAnsi="宋体" w:cs="宋体"/>
          <w:b/>
          <w:bCs/>
          <w:sz w:val="32"/>
          <w:szCs w:val="32"/>
        </w:rPr>
        <w:t>主要建设工程文件目录</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8CE49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54D7EC8D">
            <w:pPr>
              <w:keepNext/>
              <w:adjustRightInd w:val="0"/>
              <w:spacing w:line="440" w:lineRule="exact"/>
              <w:ind w:left="63" w:leftChars="30" w:right="63" w:rightChars="30"/>
              <w:jc w:val="center"/>
              <w:textAlignment w:val="baseline"/>
              <w:rPr>
                <w:rFonts w:hint="eastAsia" w:ascii="宋体" w:hAnsi="宋体"/>
              </w:rPr>
            </w:pPr>
            <w:r>
              <w:rPr>
                <w:rFonts w:ascii="宋体" w:hAnsi="宋体"/>
              </w:rPr>
              <w:t>文件名称</w:t>
            </w:r>
          </w:p>
        </w:tc>
        <w:tc>
          <w:tcPr>
            <w:tcW w:w="1276" w:type="dxa"/>
            <w:tcBorders>
              <w:top w:val="single" w:color="auto" w:sz="12" w:space="0"/>
              <w:bottom w:val="double" w:color="auto" w:sz="6" w:space="0"/>
            </w:tcBorders>
            <w:vAlign w:val="center"/>
          </w:tcPr>
          <w:p w14:paraId="0ACE29D1">
            <w:pPr>
              <w:keepNext/>
              <w:adjustRightInd w:val="0"/>
              <w:spacing w:line="440" w:lineRule="exact"/>
              <w:ind w:left="63" w:leftChars="30" w:right="63" w:rightChars="30"/>
              <w:jc w:val="center"/>
              <w:textAlignment w:val="baseline"/>
              <w:rPr>
                <w:rFonts w:hint="eastAsia" w:ascii="宋体" w:hAnsi="宋体"/>
              </w:rPr>
            </w:pPr>
            <w:r>
              <w:rPr>
                <w:rFonts w:ascii="宋体" w:hAnsi="宋体"/>
              </w:rPr>
              <w:t>套数</w:t>
            </w:r>
          </w:p>
        </w:tc>
        <w:tc>
          <w:tcPr>
            <w:tcW w:w="1450" w:type="dxa"/>
            <w:tcBorders>
              <w:top w:val="single" w:color="auto" w:sz="12" w:space="0"/>
              <w:bottom w:val="double" w:color="auto" w:sz="6" w:space="0"/>
            </w:tcBorders>
            <w:vAlign w:val="center"/>
          </w:tcPr>
          <w:p w14:paraId="40A5973C">
            <w:pPr>
              <w:keepNext/>
              <w:adjustRightInd w:val="0"/>
              <w:spacing w:line="440" w:lineRule="exact"/>
              <w:ind w:left="63" w:leftChars="30" w:right="63" w:rightChars="30"/>
              <w:jc w:val="center"/>
              <w:textAlignment w:val="baseline"/>
              <w:rPr>
                <w:rFonts w:hint="eastAsia" w:ascii="宋体" w:hAnsi="宋体"/>
              </w:rPr>
            </w:pPr>
            <w:r>
              <w:rPr>
                <w:rFonts w:ascii="宋体" w:hAnsi="宋体"/>
              </w:rPr>
              <w:t>费用</w:t>
            </w:r>
            <w:r>
              <w:rPr>
                <w:rFonts w:hint="eastAsia" w:ascii="宋体" w:hAnsi="宋体"/>
              </w:rPr>
              <w:t>（元）</w:t>
            </w:r>
          </w:p>
        </w:tc>
        <w:tc>
          <w:tcPr>
            <w:tcW w:w="1243" w:type="dxa"/>
            <w:tcBorders>
              <w:top w:val="single" w:color="auto" w:sz="12" w:space="0"/>
              <w:bottom w:val="double" w:color="auto" w:sz="6" w:space="0"/>
            </w:tcBorders>
            <w:vAlign w:val="center"/>
          </w:tcPr>
          <w:p w14:paraId="4F17BBED">
            <w:pPr>
              <w:keepNext/>
              <w:adjustRightInd w:val="0"/>
              <w:spacing w:line="440" w:lineRule="exact"/>
              <w:ind w:left="63" w:leftChars="30" w:right="63" w:rightChars="30"/>
              <w:jc w:val="center"/>
              <w:textAlignment w:val="baseline"/>
              <w:rPr>
                <w:rFonts w:hint="eastAsia" w:ascii="宋体" w:hAnsi="宋体"/>
              </w:rPr>
            </w:pPr>
            <w:r>
              <w:rPr>
                <w:rFonts w:ascii="宋体" w:hAnsi="宋体"/>
              </w:rPr>
              <w:t>质量</w:t>
            </w:r>
          </w:p>
        </w:tc>
        <w:tc>
          <w:tcPr>
            <w:tcW w:w="1450" w:type="dxa"/>
            <w:tcBorders>
              <w:top w:val="single" w:color="auto" w:sz="12" w:space="0"/>
              <w:bottom w:val="double" w:color="auto" w:sz="6" w:space="0"/>
            </w:tcBorders>
          </w:tcPr>
          <w:p w14:paraId="007462C8">
            <w:pPr>
              <w:spacing w:line="440" w:lineRule="exact"/>
              <w:jc w:val="center"/>
              <w:rPr>
                <w:rFonts w:hint="eastAsia" w:ascii="宋体" w:hAnsi="宋体"/>
              </w:rPr>
            </w:pPr>
            <w:r>
              <w:rPr>
                <w:rFonts w:ascii="宋体" w:hAnsi="宋体"/>
              </w:rPr>
              <w:t>移交时间</w:t>
            </w:r>
          </w:p>
        </w:tc>
        <w:tc>
          <w:tcPr>
            <w:tcW w:w="1667" w:type="dxa"/>
            <w:tcBorders>
              <w:top w:val="single" w:color="auto" w:sz="12" w:space="0"/>
              <w:bottom w:val="double" w:color="auto" w:sz="6" w:space="0"/>
            </w:tcBorders>
          </w:tcPr>
          <w:p w14:paraId="05B9C68E">
            <w:pPr>
              <w:spacing w:line="440" w:lineRule="exact"/>
              <w:jc w:val="center"/>
              <w:rPr>
                <w:rFonts w:hint="eastAsia" w:ascii="宋体" w:hAnsi="宋体"/>
              </w:rPr>
            </w:pPr>
            <w:r>
              <w:rPr>
                <w:rFonts w:ascii="宋体" w:hAnsi="宋体"/>
              </w:rPr>
              <w:t>责任人</w:t>
            </w:r>
          </w:p>
        </w:tc>
      </w:tr>
      <w:tr w14:paraId="6F327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CC689F1">
            <w:pPr>
              <w:keepNext/>
              <w:adjustRightInd w:val="0"/>
              <w:spacing w:line="440" w:lineRule="exact"/>
              <w:ind w:left="63" w:leftChars="30" w:right="63" w:rightChars="30"/>
              <w:jc w:val="center"/>
              <w:textAlignment w:val="baseline"/>
              <w:rPr>
                <w:rFonts w:hint="eastAsia" w:ascii="宋体" w:hAnsi="宋体"/>
              </w:rPr>
            </w:pPr>
          </w:p>
        </w:tc>
        <w:tc>
          <w:tcPr>
            <w:tcW w:w="1276" w:type="dxa"/>
            <w:tcBorders>
              <w:top w:val="double" w:color="auto" w:sz="6" w:space="0"/>
              <w:bottom w:val="single" w:color="auto" w:sz="6" w:space="0"/>
            </w:tcBorders>
            <w:vAlign w:val="center"/>
          </w:tcPr>
          <w:p w14:paraId="720B148F">
            <w:pPr>
              <w:keepNext/>
              <w:adjustRightInd w:val="0"/>
              <w:spacing w:line="440" w:lineRule="exact"/>
              <w:ind w:left="63" w:leftChars="30" w:right="63" w:rightChars="30"/>
              <w:jc w:val="center"/>
              <w:textAlignment w:val="baseline"/>
              <w:rPr>
                <w:rFonts w:hint="eastAsia" w:ascii="宋体" w:hAnsi="宋体"/>
              </w:rPr>
            </w:pPr>
          </w:p>
        </w:tc>
        <w:tc>
          <w:tcPr>
            <w:tcW w:w="1450" w:type="dxa"/>
            <w:tcBorders>
              <w:top w:val="double" w:color="auto" w:sz="6" w:space="0"/>
              <w:bottom w:val="single" w:color="auto" w:sz="6" w:space="0"/>
            </w:tcBorders>
            <w:vAlign w:val="center"/>
          </w:tcPr>
          <w:p w14:paraId="3EE2FEEC">
            <w:pPr>
              <w:keepNext/>
              <w:adjustRightInd w:val="0"/>
              <w:spacing w:line="440" w:lineRule="exact"/>
              <w:ind w:left="63" w:leftChars="30" w:right="63" w:rightChars="30"/>
              <w:jc w:val="center"/>
              <w:textAlignment w:val="baseline"/>
              <w:rPr>
                <w:rFonts w:hint="eastAsia" w:ascii="宋体" w:hAnsi="宋体"/>
              </w:rPr>
            </w:pPr>
          </w:p>
        </w:tc>
        <w:tc>
          <w:tcPr>
            <w:tcW w:w="1243" w:type="dxa"/>
            <w:tcBorders>
              <w:top w:val="double" w:color="auto" w:sz="6" w:space="0"/>
              <w:bottom w:val="single" w:color="auto" w:sz="6" w:space="0"/>
            </w:tcBorders>
            <w:vAlign w:val="center"/>
          </w:tcPr>
          <w:p w14:paraId="33C5BE18">
            <w:pPr>
              <w:keepNext/>
              <w:adjustRightInd w:val="0"/>
              <w:spacing w:line="440" w:lineRule="exact"/>
              <w:ind w:left="63" w:leftChars="30" w:right="63" w:rightChars="30"/>
              <w:jc w:val="center"/>
              <w:textAlignment w:val="baseline"/>
              <w:rPr>
                <w:rFonts w:hint="eastAsia" w:ascii="宋体" w:hAnsi="宋体"/>
              </w:rPr>
            </w:pPr>
          </w:p>
        </w:tc>
        <w:tc>
          <w:tcPr>
            <w:tcW w:w="1450" w:type="dxa"/>
            <w:tcBorders>
              <w:top w:val="double" w:color="auto" w:sz="6" w:space="0"/>
              <w:bottom w:val="single" w:color="auto" w:sz="6" w:space="0"/>
            </w:tcBorders>
            <w:vAlign w:val="center"/>
          </w:tcPr>
          <w:p w14:paraId="52E43DBB">
            <w:pPr>
              <w:keepNext/>
              <w:adjustRightInd w:val="0"/>
              <w:spacing w:line="440" w:lineRule="exact"/>
              <w:ind w:left="63" w:leftChars="30" w:right="63" w:rightChars="30"/>
              <w:jc w:val="center"/>
              <w:textAlignment w:val="baseline"/>
              <w:rPr>
                <w:rFonts w:hint="eastAsia" w:ascii="宋体" w:hAnsi="宋体"/>
              </w:rPr>
            </w:pPr>
          </w:p>
        </w:tc>
        <w:tc>
          <w:tcPr>
            <w:tcW w:w="1667" w:type="dxa"/>
            <w:tcBorders>
              <w:top w:val="double" w:color="auto" w:sz="6" w:space="0"/>
              <w:bottom w:val="single" w:color="auto" w:sz="6" w:space="0"/>
            </w:tcBorders>
            <w:vAlign w:val="center"/>
          </w:tcPr>
          <w:p w14:paraId="4D1209E3">
            <w:pPr>
              <w:keepNext/>
              <w:adjustRightInd w:val="0"/>
              <w:spacing w:line="440" w:lineRule="exact"/>
              <w:ind w:left="63" w:leftChars="30" w:right="63" w:rightChars="30"/>
              <w:jc w:val="center"/>
              <w:textAlignment w:val="baseline"/>
              <w:rPr>
                <w:rFonts w:hint="eastAsia" w:ascii="宋体" w:hAnsi="宋体"/>
              </w:rPr>
            </w:pPr>
          </w:p>
        </w:tc>
      </w:tr>
      <w:tr w14:paraId="3E291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41878EEF">
            <w:pPr>
              <w:keepNext/>
              <w:adjustRightInd w:val="0"/>
              <w:spacing w:line="440" w:lineRule="exact"/>
              <w:ind w:left="63" w:leftChars="30" w:right="63" w:rightChars="30"/>
              <w:jc w:val="center"/>
              <w:textAlignment w:val="baseline"/>
              <w:rPr>
                <w:rFonts w:hint="eastAsia" w:ascii="宋体" w:hAnsi="宋体"/>
              </w:rPr>
            </w:pPr>
          </w:p>
        </w:tc>
        <w:tc>
          <w:tcPr>
            <w:tcW w:w="1276" w:type="dxa"/>
            <w:tcBorders>
              <w:top w:val="nil"/>
            </w:tcBorders>
            <w:vAlign w:val="center"/>
          </w:tcPr>
          <w:p w14:paraId="3501F3BA">
            <w:pPr>
              <w:keepNext/>
              <w:adjustRightInd w:val="0"/>
              <w:spacing w:line="440" w:lineRule="exact"/>
              <w:ind w:left="63" w:leftChars="30" w:right="63" w:rightChars="30"/>
              <w:jc w:val="center"/>
              <w:textAlignment w:val="baseline"/>
              <w:rPr>
                <w:rFonts w:hint="eastAsia" w:ascii="宋体" w:hAnsi="宋体"/>
              </w:rPr>
            </w:pPr>
          </w:p>
        </w:tc>
        <w:tc>
          <w:tcPr>
            <w:tcW w:w="1450" w:type="dxa"/>
            <w:tcBorders>
              <w:top w:val="nil"/>
            </w:tcBorders>
            <w:vAlign w:val="center"/>
          </w:tcPr>
          <w:p w14:paraId="77E8D671">
            <w:pPr>
              <w:keepNext/>
              <w:adjustRightInd w:val="0"/>
              <w:spacing w:line="440" w:lineRule="exact"/>
              <w:ind w:left="63" w:leftChars="30" w:right="63" w:rightChars="30"/>
              <w:jc w:val="center"/>
              <w:textAlignment w:val="baseline"/>
              <w:rPr>
                <w:rFonts w:hint="eastAsia" w:ascii="宋体" w:hAnsi="宋体"/>
              </w:rPr>
            </w:pPr>
          </w:p>
        </w:tc>
        <w:tc>
          <w:tcPr>
            <w:tcW w:w="1243" w:type="dxa"/>
            <w:tcBorders>
              <w:top w:val="nil"/>
            </w:tcBorders>
            <w:vAlign w:val="center"/>
          </w:tcPr>
          <w:p w14:paraId="722AC109">
            <w:pPr>
              <w:keepNext/>
              <w:adjustRightInd w:val="0"/>
              <w:spacing w:line="440" w:lineRule="exact"/>
              <w:ind w:left="63" w:leftChars="30" w:right="63" w:rightChars="30"/>
              <w:jc w:val="center"/>
              <w:textAlignment w:val="baseline"/>
              <w:rPr>
                <w:rFonts w:hint="eastAsia" w:ascii="宋体" w:hAnsi="宋体"/>
              </w:rPr>
            </w:pPr>
          </w:p>
        </w:tc>
        <w:tc>
          <w:tcPr>
            <w:tcW w:w="1450" w:type="dxa"/>
            <w:tcBorders>
              <w:top w:val="nil"/>
            </w:tcBorders>
            <w:vAlign w:val="center"/>
          </w:tcPr>
          <w:p w14:paraId="35E0B988">
            <w:pPr>
              <w:keepNext/>
              <w:adjustRightInd w:val="0"/>
              <w:spacing w:line="440" w:lineRule="exact"/>
              <w:ind w:left="63" w:leftChars="30" w:right="63" w:rightChars="30"/>
              <w:jc w:val="center"/>
              <w:textAlignment w:val="baseline"/>
              <w:rPr>
                <w:rFonts w:hint="eastAsia" w:ascii="宋体" w:hAnsi="宋体"/>
              </w:rPr>
            </w:pPr>
          </w:p>
        </w:tc>
        <w:tc>
          <w:tcPr>
            <w:tcW w:w="1667" w:type="dxa"/>
            <w:tcBorders>
              <w:top w:val="nil"/>
            </w:tcBorders>
            <w:vAlign w:val="center"/>
          </w:tcPr>
          <w:p w14:paraId="4CF66F80">
            <w:pPr>
              <w:keepNext/>
              <w:adjustRightInd w:val="0"/>
              <w:spacing w:line="440" w:lineRule="exact"/>
              <w:ind w:left="63" w:leftChars="30" w:right="63" w:rightChars="30"/>
              <w:jc w:val="center"/>
              <w:textAlignment w:val="baseline"/>
              <w:rPr>
                <w:rFonts w:hint="eastAsia" w:ascii="宋体" w:hAnsi="宋体"/>
              </w:rPr>
            </w:pPr>
          </w:p>
        </w:tc>
      </w:tr>
      <w:tr w14:paraId="69863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D5F9848">
            <w:pPr>
              <w:keepNext/>
              <w:adjustRightInd w:val="0"/>
              <w:spacing w:line="440" w:lineRule="exact"/>
              <w:ind w:left="63" w:leftChars="30" w:right="63" w:rightChars="30"/>
              <w:jc w:val="center"/>
              <w:textAlignment w:val="baseline"/>
              <w:rPr>
                <w:rFonts w:hint="eastAsia" w:ascii="宋体" w:hAnsi="宋体"/>
              </w:rPr>
            </w:pPr>
          </w:p>
        </w:tc>
        <w:tc>
          <w:tcPr>
            <w:tcW w:w="1276" w:type="dxa"/>
            <w:vAlign w:val="center"/>
          </w:tcPr>
          <w:p w14:paraId="46E92D4F">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37425911">
            <w:pPr>
              <w:keepNext/>
              <w:adjustRightInd w:val="0"/>
              <w:spacing w:line="440" w:lineRule="exact"/>
              <w:ind w:left="63" w:leftChars="30" w:right="63" w:rightChars="30"/>
              <w:jc w:val="center"/>
              <w:textAlignment w:val="baseline"/>
              <w:rPr>
                <w:rFonts w:hint="eastAsia" w:ascii="宋体" w:hAnsi="宋体"/>
              </w:rPr>
            </w:pPr>
          </w:p>
        </w:tc>
        <w:tc>
          <w:tcPr>
            <w:tcW w:w="1243" w:type="dxa"/>
            <w:vAlign w:val="center"/>
          </w:tcPr>
          <w:p w14:paraId="172780AF">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2FCB57B6">
            <w:pPr>
              <w:keepNext/>
              <w:adjustRightInd w:val="0"/>
              <w:spacing w:line="440" w:lineRule="exact"/>
              <w:ind w:left="63" w:leftChars="30" w:right="63" w:rightChars="30"/>
              <w:jc w:val="center"/>
              <w:textAlignment w:val="baseline"/>
              <w:rPr>
                <w:rFonts w:hint="eastAsia" w:ascii="宋体" w:hAnsi="宋体"/>
              </w:rPr>
            </w:pPr>
          </w:p>
        </w:tc>
        <w:tc>
          <w:tcPr>
            <w:tcW w:w="1667" w:type="dxa"/>
            <w:vAlign w:val="center"/>
          </w:tcPr>
          <w:p w14:paraId="161F2A1D">
            <w:pPr>
              <w:keepNext/>
              <w:adjustRightInd w:val="0"/>
              <w:spacing w:line="440" w:lineRule="exact"/>
              <w:ind w:left="63" w:leftChars="30" w:right="63" w:rightChars="30"/>
              <w:jc w:val="center"/>
              <w:textAlignment w:val="baseline"/>
              <w:rPr>
                <w:rFonts w:hint="eastAsia" w:ascii="宋体" w:hAnsi="宋体"/>
              </w:rPr>
            </w:pPr>
          </w:p>
        </w:tc>
      </w:tr>
      <w:tr w14:paraId="41C0C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6F55CB45">
            <w:pPr>
              <w:keepNext/>
              <w:adjustRightInd w:val="0"/>
              <w:spacing w:line="440" w:lineRule="exact"/>
              <w:ind w:left="63" w:leftChars="30" w:right="63" w:rightChars="30"/>
              <w:jc w:val="center"/>
              <w:textAlignment w:val="baseline"/>
              <w:rPr>
                <w:rFonts w:hint="eastAsia" w:ascii="宋体" w:hAnsi="宋体"/>
              </w:rPr>
            </w:pPr>
          </w:p>
        </w:tc>
        <w:tc>
          <w:tcPr>
            <w:tcW w:w="1276" w:type="dxa"/>
            <w:vAlign w:val="center"/>
          </w:tcPr>
          <w:p w14:paraId="0557B9CD">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5EF06596">
            <w:pPr>
              <w:keepNext/>
              <w:adjustRightInd w:val="0"/>
              <w:spacing w:line="440" w:lineRule="exact"/>
              <w:ind w:left="63" w:leftChars="30" w:right="63" w:rightChars="30"/>
              <w:jc w:val="center"/>
              <w:textAlignment w:val="baseline"/>
              <w:rPr>
                <w:rFonts w:hint="eastAsia" w:ascii="宋体" w:hAnsi="宋体"/>
              </w:rPr>
            </w:pPr>
          </w:p>
        </w:tc>
        <w:tc>
          <w:tcPr>
            <w:tcW w:w="1243" w:type="dxa"/>
            <w:vAlign w:val="center"/>
          </w:tcPr>
          <w:p w14:paraId="1B56538C">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22CD7AF0">
            <w:pPr>
              <w:keepNext/>
              <w:adjustRightInd w:val="0"/>
              <w:spacing w:line="440" w:lineRule="exact"/>
              <w:ind w:left="63" w:leftChars="30" w:right="63" w:rightChars="30"/>
              <w:jc w:val="center"/>
              <w:textAlignment w:val="baseline"/>
              <w:rPr>
                <w:rFonts w:hint="eastAsia" w:ascii="宋体" w:hAnsi="宋体"/>
              </w:rPr>
            </w:pPr>
          </w:p>
        </w:tc>
        <w:tc>
          <w:tcPr>
            <w:tcW w:w="1667" w:type="dxa"/>
            <w:vAlign w:val="center"/>
          </w:tcPr>
          <w:p w14:paraId="4DCFD1C7">
            <w:pPr>
              <w:keepNext/>
              <w:adjustRightInd w:val="0"/>
              <w:spacing w:line="440" w:lineRule="exact"/>
              <w:ind w:left="63" w:leftChars="30" w:right="63" w:rightChars="30"/>
              <w:jc w:val="center"/>
              <w:textAlignment w:val="baseline"/>
              <w:rPr>
                <w:rFonts w:hint="eastAsia" w:ascii="宋体" w:hAnsi="宋体"/>
              </w:rPr>
            </w:pPr>
          </w:p>
        </w:tc>
      </w:tr>
      <w:tr w14:paraId="047EF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5A97B20">
            <w:pPr>
              <w:keepNext/>
              <w:adjustRightInd w:val="0"/>
              <w:spacing w:line="440" w:lineRule="exact"/>
              <w:ind w:left="63" w:leftChars="30" w:right="63" w:rightChars="30"/>
              <w:jc w:val="center"/>
              <w:textAlignment w:val="baseline"/>
              <w:rPr>
                <w:rFonts w:hint="eastAsia" w:ascii="宋体" w:hAnsi="宋体"/>
              </w:rPr>
            </w:pPr>
          </w:p>
        </w:tc>
        <w:tc>
          <w:tcPr>
            <w:tcW w:w="1276" w:type="dxa"/>
            <w:vAlign w:val="center"/>
          </w:tcPr>
          <w:p w14:paraId="56E37FBC">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126B8290">
            <w:pPr>
              <w:keepNext/>
              <w:adjustRightInd w:val="0"/>
              <w:spacing w:line="440" w:lineRule="exact"/>
              <w:ind w:left="63" w:leftChars="30" w:right="63" w:rightChars="30"/>
              <w:jc w:val="center"/>
              <w:textAlignment w:val="baseline"/>
              <w:rPr>
                <w:rFonts w:hint="eastAsia" w:ascii="宋体" w:hAnsi="宋体"/>
              </w:rPr>
            </w:pPr>
          </w:p>
        </w:tc>
        <w:tc>
          <w:tcPr>
            <w:tcW w:w="1243" w:type="dxa"/>
            <w:vAlign w:val="center"/>
          </w:tcPr>
          <w:p w14:paraId="0A55D132">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5131B8BC">
            <w:pPr>
              <w:keepNext/>
              <w:adjustRightInd w:val="0"/>
              <w:spacing w:line="440" w:lineRule="exact"/>
              <w:ind w:left="63" w:leftChars="30" w:right="63" w:rightChars="30"/>
              <w:jc w:val="center"/>
              <w:textAlignment w:val="baseline"/>
              <w:rPr>
                <w:rFonts w:hint="eastAsia" w:ascii="宋体" w:hAnsi="宋体"/>
              </w:rPr>
            </w:pPr>
          </w:p>
        </w:tc>
        <w:tc>
          <w:tcPr>
            <w:tcW w:w="1667" w:type="dxa"/>
            <w:vAlign w:val="center"/>
          </w:tcPr>
          <w:p w14:paraId="31A6D338">
            <w:pPr>
              <w:keepNext/>
              <w:adjustRightInd w:val="0"/>
              <w:spacing w:line="440" w:lineRule="exact"/>
              <w:ind w:left="63" w:leftChars="30" w:right="63" w:rightChars="30"/>
              <w:jc w:val="center"/>
              <w:textAlignment w:val="baseline"/>
              <w:rPr>
                <w:rFonts w:hint="eastAsia" w:ascii="宋体" w:hAnsi="宋体"/>
              </w:rPr>
            </w:pPr>
          </w:p>
        </w:tc>
      </w:tr>
      <w:tr w14:paraId="3AE7B6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5BEC6A9">
            <w:pPr>
              <w:keepNext/>
              <w:adjustRightInd w:val="0"/>
              <w:spacing w:line="440" w:lineRule="exact"/>
              <w:ind w:left="63" w:leftChars="30" w:right="63" w:rightChars="30"/>
              <w:jc w:val="center"/>
              <w:textAlignment w:val="baseline"/>
              <w:rPr>
                <w:rFonts w:hint="eastAsia" w:ascii="宋体" w:hAnsi="宋体"/>
              </w:rPr>
            </w:pPr>
          </w:p>
        </w:tc>
        <w:tc>
          <w:tcPr>
            <w:tcW w:w="1276" w:type="dxa"/>
            <w:vAlign w:val="center"/>
          </w:tcPr>
          <w:p w14:paraId="38DB1559">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3997E789">
            <w:pPr>
              <w:keepNext/>
              <w:adjustRightInd w:val="0"/>
              <w:spacing w:line="440" w:lineRule="exact"/>
              <w:ind w:left="63" w:leftChars="30" w:right="63" w:rightChars="30"/>
              <w:jc w:val="center"/>
              <w:textAlignment w:val="baseline"/>
              <w:rPr>
                <w:rFonts w:hint="eastAsia" w:ascii="宋体" w:hAnsi="宋体"/>
              </w:rPr>
            </w:pPr>
          </w:p>
        </w:tc>
        <w:tc>
          <w:tcPr>
            <w:tcW w:w="1243" w:type="dxa"/>
            <w:vAlign w:val="center"/>
          </w:tcPr>
          <w:p w14:paraId="4CD330E1">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13AFFA72">
            <w:pPr>
              <w:keepNext/>
              <w:adjustRightInd w:val="0"/>
              <w:spacing w:line="440" w:lineRule="exact"/>
              <w:ind w:left="63" w:leftChars="30" w:right="63" w:rightChars="30"/>
              <w:jc w:val="center"/>
              <w:textAlignment w:val="baseline"/>
              <w:rPr>
                <w:rFonts w:hint="eastAsia" w:ascii="宋体" w:hAnsi="宋体"/>
              </w:rPr>
            </w:pPr>
          </w:p>
        </w:tc>
        <w:tc>
          <w:tcPr>
            <w:tcW w:w="1667" w:type="dxa"/>
            <w:vAlign w:val="center"/>
          </w:tcPr>
          <w:p w14:paraId="463937DE">
            <w:pPr>
              <w:keepNext/>
              <w:adjustRightInd w:val="0"/>
              <w:spacing w:line="440" w:lineRule="exact"/>
              <w:ind w:left="63" w:leftChars="30" w:right="63" w:rightChars="30"/>
              <w:jc w:val="center"/>
              <w:textAlignment w:val="baseline"/>
              <w:rPr>
                <w:rFonts w:hint="eastAsia" w:ascii="宋体" w:hAnsi="宋体"/>
              </w:rPr>
            </w:pPr>
          </w:p>
        </w:tc>
      </w:tr>
      <w:tr w14:paraId="6ECD9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139352E">
            <w:pPr>
              <w:keepNext/>
              <w:adjustRightInd w:val="0"/>
              <w:spacing w:line="440" w:lineRule="exact"/>
              <w:ind w:left="63" w:leftChars="30" w:right="63" w:rightChars="30"/>
              <w:jc w:val="center"/>
              <w:textAlignment w:val="baseline"/>
              <w:rPr>
                <w:rFonts w:hint="eastAsia" w:ascii="宋体" w:hAnsi="宋体"/>
              </w:rPr>
            </w:pPr>
          </w:p>
        </w:tc>
        <w:tc>
          <w:tcPr>
            <w:tcW w:w="1276" w:type="dxa"/>
            <w:vAlign w:val="center"/>
          </w:tcPr>
          <w:p w14:paraId="2245108B">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4EF0A4F3">
            <w:pPr>
              <w:keepNext/>
              <w:adjustRightInd w:val="0"/>
              <w:spacing w:line="440" w:lineRule="exact"/>
              <w:ind w:left="63" w:leftChars="30" w:right="63" w:rightChars="30"/>
              <w:jc w:val="center"/>
              <w:textAlignment w:val="baseline"/>
              <w:rPr>
                <w:rFonts w:hint="eastAsia" w:ascii="宋体" w:hAnsi="宋体"/>
              </w:rPr>
            </w:pPr>
          </w:p>
        </w:tc>
        <w:tc>
          <w:tcPr>
            <w:tcW w:w="1243" w:type="dxa"/>
            <w:vAlign w:val="center"/>
          </w:tcPr>
          <w:p w14:paraId="417C3F2D">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60DD3905">
            <w:pPr>
              <w:keepNext/>
              <w:adjustRightInd w:val="0"/>
              <w:spacing w:line="440" w:lineRule="exact"/>
              <w:ind w:left="63" w:leftChars="30" w:right="63" w:rightChars="30"/>
              <w:jc w:val="center"/>
              <w:textAlignment w:val="baseline"/>
              <w:rPr>
                <w:rFonts w:hint="eastAsia" w:ascii="宋体" w:hAnsi="宋体"/>
              </w:rPr>
            </w:pPr>
          </w:p>
        </w:tc>
        <w:tc>
          <w:tcPr>
            <w:tcW w:w="1667" w:type="dxa"/>
            <w:vAlign w:val="center"/>
          </w:tcPr>
          <w:p w14:paraId="4F7646F7">
            <w:pPr>
              <w:keepNext/>
              <w:adjustRightInd w:val="0"/>
              <w:spacing w:line="440" w:lineRule="exact"/>
              <w:ind w:left="63" w:leftChars="30" w:right="63" w:rightChars="30"/>
              <w:jc w:val="center"/>
              <w:textAlignment w:val="baseline"/>
              <w:rPr>
                <w:rFonts w:hint="eastAsia" w:ascii="宋体" w:hAnsi="宋体"/>
              </w:rPr>
            </w:pPr>
          </w:p>
        </w:tc>
      </w:tr>
      <w:tr w14:paraId="5FAFD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4400B3C">
            <w:pPr>
              <w:keepNext/>
              <w:adjustRightInd w:val="0"/>
              <w:spacing w:line="440" w:lineRule="exact"/>
              <w:ind w:left="63" w:leftChars="30" w:right="63" w:rightChars="30"/>
              <w:jc w:val="center"/>
              <w:textAlignment w:val="baseline"/>
              <w:rPr>
                <w:rFonts w:hint="eastAsia" w:ascii="宋体" w:hAnsi="宋体"/>
              </w:rPr>
            </w:pPr>
          </w:p>
        </w:tc>
        <w:tc>
          <w:tcPr>
            <w:tcW w:w="1276" w:type="dxa"/>
            <w:vAlign w:val="center"/>
          </w:tcPr>
          <w:p w14:paraId="22C96217">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35547F32">
            <w:pPr>
              <w:keepNext/>
              <w:adjustRightInd w:val="0"/>
              <w:spacing w:line="440" w:lineRule="exact"/>
              <w:ind w:left="63" w:leftChars="30" w:right="63" w:rightChars="30"/>
              <w:jc w:val="center"/>
              <w:textAlignment w:val="baseline"/>
              <w:rPr>
                <w:rFonts w:hint="eastAsia" w:ascii="宋体" w:hAnsi="宋体"/>
              </w:rPr>
            </w:pPr>
          </w:p>
        </w:tc>
        <w:tc>
          <w:tcPr>
            <w:tcW w:w="1243" w:type="dxa"/>
            <w:vAlign w:val="center"/>
          </w:tcPr>
          <w:p w14:paraId="5537383F">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25773077">
            <w:pPr>
              <w:keepNext/>
              <w:adjustRightInd w:val="0"/>
              <w:spacing w:line="440" w:lineRule="exact"/>
              <w:ind w:left="63" w:leftChars="30" w:right="63" w:rightChars="30"/>
              <w:jc w:val="center"/>
              <w:textAlignment w:val="baseline"/>
              <w:rPr>
                <w:rFonts w:hint="eastAsia" w:ascii="宋体" w:hAnsi="宋体"/>
              </w:rPr>
            </w:pPr>
          </w:p>
        </w:tc>
        <w:tc>
          <w:tcPr>
            <w:tcW w:w="1667" w:type="dxa"/>
            <w:vAlign w:val="center"/>
          </w:tcPr>
          <w:p w14:paraId="1AF1B101">
            <w:pPr>
              <w:keepNext/>
              <w:adjustRightInd w:val="0"/>
              <w:spacing w:line="440" w:lineRule="exact"/>
              <w:ind w:left="63" w:leftChars="30" w:right="63" w:rightChars="30"/>
              <w:jc w:val="center"/>
              <w:textAlignment w:val="baseline"/>
              <w:rPr>
                <w:rFonts w:hint="eastAsia" w:ascii="宋体" w:hAnsi="宋体"/>
              </w:rPr>
            </w:pPr>
          </w:p>
        </w:tc>
      </w:tr>
      <w:tr w14:paraId="5EBAE4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E925B40">
            <w:pPr>
              <w:rPr>
                <w:rFonts w:hint="eastAsia" w:ascii="宋体" w:hAnsi="宋体"/>
              </w:rPr>
            </w:pPr>
          </w:p>
        </w:tc>
        <w:tc>
          <w:tcPr>
            <w:tcW w:w="1276" w:type="dxa"/>
          </w:tcPr>
          <w:p w14:paraId="229C6A5C">
            <w:pPr>
              <w:rPr>
                <w:rFonts w:hint="eastAsia" w:ascii="宋体" w:hAnsi="宋体"/>
              </w:rPr>
            </w:pPr>
          </w:p>
        </w:tc>
        <w:tc>
          <w:tcPr>
            <w:tcW w:w="1450" w:type="dxa"/>
          </w:tcPr>
          <w:p w14:paraId="355EE05E">
            <w:pPr>
              <w:rPr>
                <w:rFonts w:hint="eastAsia" w:ascii="宋体" w:hAnsi="宋体"/>
              </w:rPr>
            </w:pPr>
          </w:p>
        </w:tc>
        <w:tc>
          <w:tcPr>
            <w:tcW w:w="1243" w:type="dxa"/>
          </w:tcPr>
          <w:p w14:paraId="6A10112C">
            <w:pPr>
              <w:rPr>
                <w:rFonts w:hint="eastAsia" w:ascii="宋体" w:hAnsi="宋体"/>
              </w:rPr>
            </w:pPr>
          </w:p>
        </w:tc>
        <w:tc>
          <w:tcPr>
            <w:tcW w:w="1450" w:type="dxa"/>
          </w:tcPr>
          <w:p w14:paraId="6AA81AEC">
            <w:pPr>
              <w:rPr>
                <w:rFonts w:hint="eastAsia" w:ascii="宋体" w:hAnsi="宋体"/>
              </w:rPr>
            </w:pPr>
          </w:p>
        </w:tc>
        <w:tc>
          <w:tcPr>
            <w:tcW w:w="1667" w:type="dxa"/>
          </w:tcPr>
          <w:p w14:paraId="28D62CD0">
            <w:pPr>
              <w:rPr>
                <w:rFonts w:hint="eastAsia" w:ascii="宋体" w:hAnsi="宋体"/>
              </w:rPr>
            </w:pPr>
          </w:p>
        </w:tc>
      </w:tr>
      <w:tr w14:paraId="4A47E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F982971">
            <w:pPr>
              <w:keepNext/>
              <w:adjustRightInd w:val="0"/>
              <w:spacing w:line="440" w:lineRule="exact"/>
              <w:ind w:left="63" w:leftChars="30" w:right="63" w:rightChars="30"/>
              <w:jc w:val="center"/>
              <w:textAlignment w:val="baseline"/>
              <w:rPr>
                <w:rFonts w:hint="eastAsia" w:ascii="宋体" w:hAnsi="宋体"/>
              </w:rPr>
            </w:pPr>
          </w:p>
        </w:tc>
        <w:tc>
          <w:tcPr>
            <w:tcW w:w="1276" w:type="dxa"/>
            <w:vAlign w:val="center"/>
          </w:tcPr>
          <w:p w14:paraId="35CD37FA">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5FCF6DC7">
            <w:pPr>
              <w:keepNext/>
              <w:adjustRightInd w:val="0"/>
              <w:spacing w:line="440" w:lineRule="exact"/>
              <w:ind w:left="63" w:leftChars="30" w:right="63" w:rightChars="30"/>
              <w:jc w:val="center"/>
              <w:textAlignment w:val="baseline"/>
              <w:rPr>
                <w:rFonts w:hint="eastAsia" w:ascii="宋体" w:hAnsi="宋体"/>
              </w:rPr>
            </w:pPr>
          </w:p>
        </w:tc>
        <w:tc>
          <w:tcPr>
            <w:tcW w:w="1243" w:type="dxa"/>
            <w:vAlign w:val="center"/>
          </w:tcPr>
          <w:p w14:paraId="5615F0FF">
            <w:pPr>
              <w:keepNext/>
              <w:adjustRightInd w:val="0"/>
              <w:spacing w:line="440" w:lineRule="exact"/>
              <w:ind w:left="63" w:leftChars="30" w:right="63" w:rightChars="30"/>
              <w:jc w:val="center"/>
              <w:textAlignment w:val="baseline"/>
              <w:rPr>
                <w:rFonts w:hint="eastAsia" w:ascii="宋体" w:hAnsi="宋体"/>
              </w:rPr>
            </w:pPr>
          </w:p>
        </w:tc>
        <w:tc>
          <w:tcPr>
            <w:tcW w:w="1450" w:type="dxa"/>
            <w:vAlign w:val="center"/>
          </w:tcPr>
          <w:p w14:paraId="36ECEB1E">
            <w:pPr>
              <w:keepNext/>
              <w:adjustRightInd w:val="0"/>
              <w:spacing w:line="440" w:lineRule="exact"/>
              <w:ind w:left="63" w:leftChars="30" w:right="63" w:rightChars="30"/>
              <w:jc w:val="center"/>
              <w:textAlignment w:val="baseline"/>
              <w:rPr>
                <w:rFonts w:hint="eastAsia" w:ascii="宋体" w:hAnsi="宋体"/>
              </w:rPr>
            </w:pPr>
          </w:p>
        </w:tc>
        <w:tc>
          <w:tcPr>
            <w:tcW w:w="1667" w:type="dxa"/>
            <w:vAlign w:val="center"/>
          </w:tcPr>
          <w:p w14:paraId="6DE8C6EB">
            <w:pPr>
              <w:keepNext/>
              <w:adjustRightInd w:val="0"/>
              <w:spacing w:line="440" w:lineRule="exact"/>
              <w:ind w:left="63" w:leftChars="30" w:right="63" w:rightChars="30"/>
              <w:jc w:val="center"/>
              <w:textAlignment w:val="baseline"/>
              <w:rPr>
                <w:rFonts w:hint="eastAsia" w:ascii="宋体" w:hAnsi="宋体"/>
              </w:rPr>
            </w:pPr>
          </w:p>
        </w:tc>
      </w:tr>
      <w:tr w14:paraId="224D4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7D0D7E3">
            <w:pPr>
              <w:rPr>
                <w:rFonts w:hint="eastAsia" w:ascii="宋体" w:hAnsi="宋体"/>
              </w:rPr>
            </w:pPr>
          </w:p>
        </w:tc>
        <w:tc>
          <w:tcPr>
            <w:tcW w:w="1276" w:type="dxa"/>
          </w:tcPr>
          <w:p w14:paraId="6E935870">
            <w:pPr>
              <w:rPr>
                <w:rFonts w:hint="eastAsia" w:ascii="宋体" w:hAnsi="宋体"/>
              </w:rPr>
            </w:pPr>
          </w:p>
        </w:tc>
        <w:tc>
          <w:tcPr>
            <w:tcW w:w="1450" w:type="dxa"/>
          </w:tcPr>
          <w:p w14:paraId="03B743E7">
            <w:pPr>
              <w:rPr>
                <w:rFonts w:hint="eastAsia" w:ascii="宋体" w:hAnsi="宋体"/>
              </w:rPr>
            </w:pPr>
          </w:p>
        </w:tc>
        <w:tc>
          <w:tcPr>
            <w:tcW w:w="1243" w:type="dxa"/>
          </w:tcPr>
          <w:p w14:paraId="2A04E194">
            <w:pPr>
              <w:rPr>
                <w:rFonts w:hint="eastAsia" w:ascii="宋体" w:hAnsi="宋体"/>
              </w:rPr>
            </w:pPr>
          </w:p>
        </w:tc>
        <w:tc>
          <w:tcPr>
            <w:tcW w:w="1450" w:type="dxa"/>
          </w:tcPr>
          <w:p w14:paraId="718317DF">
            <w:pPr>
              <w:rPr>
                <w:rFonts w:hint="eastAsia" w:ascii="宋体" w:hAnsi="宋体"/>
              </w:rPr>
            </w:pPr>
          </w:p>
        </w:tc>
        <w:tc>
          <w:tcPr>
            <w:tcW w:w="1667" w:type="dxa"/>
          </w:tcPr>
          <w:p w14:paraId="11E0F741">
            <w:pPr>
              <w:rPr>
                <w:rFonts w:hint="eastAsia" w:ascii="宋体" w:hAnsi="宋体"/>
              </w:rPr>
            </w:pPr>
          </w:p>
        </w:tc>
      </w:tr>
      <w:tr w14:paraId="49A5A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F18424C">
            <w:pPr>
              <w:rPr>
                <w:rFonts w:hint="eastAsia" w:ascii="宋体" w:hAnsi="宋体"/>
              </w:rPr>
            </w:pPr>
          </w:p>
        </w:tc>
        <w:tc>
          <w:tcPr>
            <w:tcW w:w="1276" w:type="dxa"/>
          </w:tcPr>
          <w:p w14:paraId="56DE9BEB">
            <w:pPr>
              <w:rPr>
                <w:rFonts w:hint="eastAsia" w:ascii="宋体" w:hAnsi="宋体"/>
              </w:rPr>
            </w:pPr>
          </w:p>
        </w:tc>
        <w:tc>
          <w:tcPr>
            <w:tcW w:w="1450" w:type="dxa"/>
          </w:tcPr>
          <w:p w14:paraId="69F3C354">
            <w:pPr>
              <w:rPr>
                <w:rFonts w:hint="eastAsia" w:ascii="宋体" w:hAnsi="宋体"/>
              </w:rPr>
            </w:pPr>
          </w:p>
        </w:tc>
        <w:tc>
          <w:tcPr>
            <w:tcW w:w="1243" w:type="dxa"/>
          </w:tcPr>
          <w:p w14:paraId="16D7419F">
            <w:pPr>
              <w:rPr>
                <w:rFonts w:hint="eastAsia" w:ascii="宋体" w:hAnsi="宋体"/>
              </w:rPr>
            </w:pPr>
          </w:p>
        </w:tc>
        <w:tc>
          <w:tcPr>
            <w:tcW w:w="1450" w:type="dxa"/>
          </w:tcPr>
          <w:p w14:paraId="1C212216">
            <w:pPr>
              <w:rPr>
                <w:rFonts w:hint="eastAsia" w:ascii="宋体" w:hAnsi="宋体"/>
              </w:rPr>
            </w:pPr>
          </w:p>
        </w:tc>
        <w:tc>
          <w:tcPr>
            <w:tcW w:w="1667" w:type="dxa"/>
          </w:tcPr>
          <w:p w14:paraId="252926C0">
            <w:pPr>
              <w:rPr>
                <w:rFonts w:hint="eastAsia" w:ascii="宋体" w:hAnsi="宋体"/>
              </w:rPr>
            </w:pPr>
          </w:p>
        </w:tc>
      </w:tr>
      <w:tr w14:paraId="133A8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B8B739A">
            <w:pPr>
              <w:rPr>
                <w:rFonts w:hint="eastAsia" w:ascii="宋体" w:hAnsi="宋体"/>
              </w:rPr>
            </w:pPr>
          </w:p>
        </w:tc>
        <w:tc>
          <w:tcPr>
            <w:tcW w:w="1276" w:type="dxa"/>
          </w:tcPr>
          <w:p w14:paraId="05E8B5A7">
            <w:pPr>
              <w:rPr>
                <w:rFonts w:hint="eastAsia" w:ascii="宋体" w:hAnsi="宋体"/>
              </w:rPr>
            </w:pPr>
          </w:p>
        </w:tc>
        <w:tc>
          <w:tcPr>
            <w:tcW w:w="1450" w:type="dxa"/>
          </w:tcPr>
          <w:p w14:paraId="71EBEDC0">
            <w:pPr>
              <w:rPr>
                <w:rFonts w:hint="eastAsia" w:ascii="宋体" w:hAnsi="宋体"/>
              </w:rPr>
            </w:pPr>
          </w:p>
        </w:tc>
        <w:tc>
          <w:tcPr>
            <w:tcW w:w="1243" w:type="dxa"/>
          </w:tcPr>
          <w:p w14:paraId="2A7F3965">
            <w:pPr>
              <w:rPr>
                <w:rFonts w:hint="eastAsia" w:ascii="宋体" w:hAnsi="宋体"/>
              </w:rPr>
            </w:pPr>
          </w:p>
        </w:tc>
        <w:tc>
          <w:tcPr>
            <w:tcW w:w="1450" w:type="dxa"/>
          </w:tcPr>
          <w:p w14:paraId="017121CE">
            <w:pPr>
              <w:rPr>
                <w:rFonts w:hint="eastAsia" w:ascii="宋体" w:hAnsi="宋体"/>
              </w:rPr>
            </w:pPr>
          </w:p>
        </w:tc>
        <w:tc>
          <w:tcPr>
            <w:tcW w:w="1667" w:type="dxa"/>
          </w:tcPr>
          <w:p w14:paraId="5514314C">
            <w:pPr>
              <w:rPr>
                <w:rFonts w:hint="eastAsia" w:ascii="宋体" w:hAnsi="宋体"/>
              </w:rPr>
            </w:pPr>
          </w:p>
        </w:tc>
      </w:tr>
      <w:tr w14:paraId="33624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8000773">
            <w:pPr>
              <w:rPr>
                <w:rFonts w:hint="eastAsia" w:ascii="宋体" w:hAnsi="宋体"/>
              </w:rPr>
            </w:pPr>
          </w:p>
        </w:tc>
        <w:tc>
          <w:tcPr>
            <w:tcW w:w="1276" w:type="dxa"/>
          </w:tcPr>
          <w:p w14:paraId="587E989E">
            <w:pPr>
              <w:rPr>
                <w:rFonts w:hint="eastAsia" w:ascii="宋体" w:hAnsi="宋体"/>
              </w:rPr>
            </w:pPr>
          </w:p>
        </w:tc>
        <w:tc>
          <w:tcPr>
            <w:tcW w:w="1450" w:type="dxa"/>
          </w:tcPr>
          <w:p w14:paraId="3A126586">
            <w:pPr>
              <w:rPr>
                <w:rFonts w:hint="eastAsia" w:ascii="宋体" w:hAnsi="宋体"/>
              </w:rPr>
            </w:pPr>
          </w:p>
        </w:tc>
        <w:tc>
          <w:tcPr>
            <w:tcW w:w="1243" w:type="dxa"/>
          </w:tcPr>
          <w:p w14:paraId="122D3CB4">
            <w:pPr>
              <w:rPr>
                <w:rFonts w:hint="eastAsia" w:ascii="宋体" w:hAnsi="宋体"/>
              </w:rPr>
            </w:pPr>
          </w:p>
        </w:tc>
        <w:tc>
          <w:tcPr>
            <w:tcW w:w="1450" w:type="dxa"/>
          </w:tcPr>
          <w:p w14:paraId="1B5ECCF5">
            <w:pPr>
              <w:rPr>
                <w:rFonts w:hint="eastAsia" w:ascii="宋体" w:hAnsi="宋体"/>
              </w:rPr>
            </w:pPr>
          </w:p>
        </w:tc>
        <w:tc>
          <w:tcPr>
            <w:tcW w:w="1667" w:type="dxa"/>
          </w:tcPr>
          <w:p w14:paraId="24F330C0">
            <w:pPr>
              <w:rPr>
                <w:rFonts w:hint="eastAsia" w:ascii="宋体" w:hAnsi="宋体"/>
              </w:rPr>
            </w:pPr>
          </w:p>
        </w:tc>
      </w:tr>
      <w:tr w14:paraId="2A1A9F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1AB7C906">
            <w:pPr>
              <w:rPr>
                <w:rFonts w:hint="eastAsia" w:ascii="宋体" w:hAnsi="宋体"/>
              </w:rPr>
            </w:pPr>
          </w:p>
        </w:tc>
        <w:tc>
          <w:tcPr>
            <w:tcW w:w="1276" w:type="dxa"/>
          </w:tcPr>
          <w:p w14:paraId="4F15C855">
            <w:pPr>
              <w:rPr>
                <w:rFonts w:hint="eastAsia" w:ascii="宋体" w:hAnsi="宋体"/>
              </w:rPr>
            </w:pPr>
          </w:p>
        </w:tc>
        <w:tc>
          <w:tcPr>
            <w:tcW w:w="1450" w:type="dxa"/>
          </w:tcPr>
          <w:p w14:paraId="114D77E0">
            <w:pPr>
              <w:rPr>
                <w:rFonts w:hint="eastAsia" w:ascii="宋体" w:hAnsi="宋体"/>
              </w:rPr>
            </w:pPr>
          </w:p>
        </w:tc>
        <w:tc>
          <w:tcPr>
            <w:tcW w:w="1243" w:type="dxa"/>
          </w:tcPr>
          <w:p w14:paraId="19632B05">
            <w:pPr>
              <w:rPr>
                <w:rFonts w:hint="eastAsia" w:ascii="宋体" w:hAnsi="宋体"/>
              </w:rPr>
            </w:pPr>
          </w:p>
        </w:tc>
        <w:tc>
          <w:tcPr>
            <w:tcW w:w="1450" w:type="dxa"/>
          </w:tcPr>
          <w:p w14:paraId="4EE9B8EE">
            <w:pPr>
              <w:rPr>
                <w:rFonts w:hint="eastAsia" w:ascii="宋体" w:hAnsi="宋体"/>
              </w:rPr>
            </w:pPr>
          </w:p>
        </w:tc>
        <w:tc>
          <w:tcPr>
            <w:tcW w:w="1667" w:type="dxa"/>
          </w:tcPr>
          <w:p w14:paraId="6638586F">
            <w:pPr>
              <w:rPr>
                <w:rFonts w:hint="eastAsia" w:ascii="宋体" w:hAnsi="宋体"/>
              </w:rPr>
            </w:pPr>
          </w:p>
        </w:tc>
      </w:tr>
      <w:tr w14:paraId="2DFE4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C6D579D">
            <w:pPr>
              <w:rPr>
                <w:rFonts w:hint="eastAsia" w:ascii="宋体" w:hAnsi="宋体"/>
              </w:rPr>
            </w:pPr>
          </w:p>
        </w:tc>
        <w:tc>
          <w:tcPr>
            <w:tcW w:w="1276" w:type="dxa"/>
          </w:tcPr>
          <w:p w14:paraId="49A3C9BB">
            <w:pPr>
              <w:rPr>
                <w:rFonts w:hint="eastAsia" w:ascii="宋体" w:hAnsi="宋体"/>
              </w:rPr>
            </w:pPr>
          </w:p>
        </w:tc>
        <w:tc>
          <w:tcPr>
            <w:tcW w:w="1450" w:type="dxa"/>
          </w:tcPr>
          <w:p w14:paraId="1953CDB9">
            <w:pPr>
              <w:rPr>
                <w:rFonts w:hint="eastAsia" w:ascii="宋体" w:hAnsi="宋体"/>
              </w:rPr>
            </w:pPr>
          </w:p>
        </w:tc>
        <w:tc>
          <w:tcPr>
            <w:tcW w:w="1243" w:type="dxa"/>
          </w:tcPr>
          <w:p w14:paraId="51B804A1">
            <w:pPr>
              <w:rPr>
                <w:rFonts w:hint="eastAsia" w:ascii="宋体" w:hAnsi="宋体"/>
              </w:rPr>
            </w:pPr>
          </w:p>
        </w:tc>
        <w:tc>
          <w:tcPr>
            <w:tcW w:w="1450" w:type="dxa"/>
          </w:tcPr>
          <w:p w14:paraId="02E3FDB2">
            <w:pPr>
              <w:rPr>
                <w:rFonts w:hint="eastAsia" w:ascii="宋体" w:hAnsi="宋体"/>
              </w:rPr>
            </w:pPr>
          </w:p>
        </w:tc>
        <w:tc>
          <w:tcPr>
            <w:tcW w:w="1667" w:type="dxa"/>
          </w:tcPr>
          <w:p w14:paraId="0F6C8BDF">
            <w:pPr>
              <w:rPr>
                <w:rFonts w:hint="eastAsia" w:ascii="宋体" w:hAnsi="宋体"/>
              </w:rPr>
            </w:pPr>
          </w:p>
        </w:tc>
      </w:tr>
      <w:tr w14:paraId="67234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20B054E">
            <w:pPr>
              <w:rPr>
                <w:rFonts w:hint="eastAsia" w:ascii="宋体" w:hAnsi="宋体"/>
              </w:rPr>
            </w:pPr>
          </w:p>
        </w:tc>
        <w:tc>
          <w:tcPr>
            <w:tcW w:w="1276" w:type="dxa"/>
          </w:tcPr>
          <w:p w14:paraId="6029AE3E">
            <w:pPr>
              <w:rPr>
                <w:rFonts w:hint="eastAsia" w:ascii="宋体" w:hAnsi="宋体"/>
              </w:rPr>
            </w:pPr>
          </w:p>
        </w:tc>
        <w:tc>
          <w:tcPr>
            <w:tcW w:w="1450" w:type="dxa"/>
          </w:tcPr>
          <w:p w14:paraId="35FB8A57">
            <w:pPr>
              <w:rPr>
                <w:rFonts w:hint="eastAsia" w:ascii="宋体" w:hAnsi="宋体"/>
              </w:rPr>
            </w:pPr>
          </w:p>
        </w:tc>
        <w:tc>
          <w:tcPr>
            <w:tcW w:w="1243" w:type="dxa"/>
          </w:tcPr>
          <w:p w14:paraId="150DEDD0">
            <w:pPr>
              <w:rPr>
                <w:rFonts w:hint="eastAsia" w:ascii="宋体" w:hAnsi="宋体"/>
              </w:rPr>
            </w:pPr>
          </w:p>
        </w:tc>
        <w:tc>
          <w:tcPr>
            <w:tcW w:w="1450" w:type="dxa"/>
          </w:tcPr>
          <w:p w14:paraId="43290DB1">
            <w:pPr>
              <w:rPr>
                <w:rFonts w:hint="eastAsia" w:ascii="宋体" w:hAnsi="宋体"/>
              </w:rPr>
            </w:pPr>
          </w:p>
        </w:tc>
        <w:tc>
          <w:tcPr>
            <w:tcW w:w="1667" w:type="dxa"/>
          </w:tcPr>
          <w:p w14:paraId="2E58072C">
            <w:pPr>
              <w:rPr>
                <w:rFonts w:hint="eastAsia" w:ascii="宋体" w:hAnsi="宋体"/>
              </w:rPr>
            </w:pPr>
          </w:p>
        </w:tc>
      </w:tr>
      <w:tr w14:paraId="6042E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500ABA0">
            <w:pPr>
              <w:rPr>
                <w:rFonts w:hint="eastAsia" w:ascii="宋体" w:hAnsi="宋体"/>
              </w:rPr>
            </w:pPr>
          </w:p>
        </w:tc>
        <w:tc>
          <w:tcPr>
            <w:tcW w:w="1276" w:type="dxa"/>
          </w:tcPr>
          <w:p w14:paraId="5B895CD6">
            <w:pPr>
              <w:rPr>
                <w:rFonts w:hint="eastAsia" w:ascii="宋体" w:hAnsi="宋体"/>
              </w:rPr>
            </w:pPr>
          </w:p>
        </w:tc>
        <w:tc>
          <w:tcPr>
            <w:tcW w:w="1450" w:type="dxa"/>
          </w:tcPr>
          <w:p w14:paraId="2000F420">
            <w:pPr>
              <w:rPr>
                <w:rFonts w:hint="eastAsia" w:ascii="宋体" w:hAnsi="宋体"/>
              </w:rPr>
            </w:pPr>
          </w:p>
        </w:tc>
        <w:tc>
          <w:tcPr>
            <w:tcW w:w="1243" w:type="dxa"/>
          </w:tcPr>
          <w:p w14:paraId="517A05FD">
            <w:pPr>
              <w:rPr>
                <w:rFonts w:hint="eastAsia" w:ascii="宋体" w:hAnsi="宋体"/>
              </w:rPr>
            </w:pPr>
          </w:p>
        </w:tc>
        <w:tc>
          <w:tcPr>
            <w:tcW w:w="1450" w:type="dxa"/>
          </w:tcPr>
          <w:p w14:paraId="69026A48">
            <w:pPr>
              <w:rPr>
                <w:rFonts w:hint="eastAsia" w:ascii="宋体" w:hAnsi="宋体"/>
              </w:rPr>
            </w:pPr>
          </w:p>
        </w:tc>
        <w:tc>
          <w:tcPr>
            <w:tcW w:w="1667" w:type="dxa"/>
          </w:tcPr>
          <w:p w14:paraId="3DEA5EDC">
            <w:pPr>
              <w:rPr>
                <w:rFonts w:hint="eastAsia" w:ascii="宋体" w:hAnsi="宋体"/>
              </w:rPr>
            </w:pPr>
          </w:p>
        </w:tc>
      </w:tr>
      <w:tr w14:paraId="67D33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38919CC">
            <w:pPr>
              <w:rPr>
                <w:rFonts w:hint="eastAsia" w:ascii="宋体" w:hAnsi="宋体"/>
              </w:rPr>
            </w:pPr>
          </w:p>
        </w:tc>
        <w:tc>
          <w:tcPr>
            <w:tcW w:w="1276" w:type="dxa"/>
          </w:tcPr>
          <w:p w14:paraId="325B846C">
            <w:pPr>
              <w:rPr>
                <w:rFonts w:hint="eastAsia" w:ascii="宋体" w:hAnsi="宋体"/>
              </w:rPr>
            </w:pPr>
          </w:p>
        </w:tc>
        <w:tc>
          <w:tcPr>
            <w:tcW w:w="1450" w:type="dxa"/>
          </w:tcPr>
          <w:p w14:paraId="62FD00AB">
            <w:pPr>
              <w:rPr>
                <w:rFonts w:hint="eastAsia" w:ascii="宋体" w:hAnsi="宋体"/>
              </w:rPr>
            </w:pPr>
          </w:p>
        </w:tc>
        <w:tc>
          <w:tcPr>
            <w:tcW w:w="1243" w:type="dxa"/>
          </w:tcPr>
          <w:p w14:paraId="3BF15D94">
            <w:pPr>
              <w:rPr>
                <w:rFonts w:hint="eastAsia" w:ascii="宋体" w:hAnsi="宋体"/>
              </w:rPr>
            </w:pPr>
          </w:p>
        </w:tc>
        <w:tc>
          <w:tcPr>
            <w:tcW w:w="1450" w:type="dxa"/>
          </w:tcPr>
          <w:p w14:paraId="15BBE31F">
            <w:pPr>
              <w:rPr>
                <w:rFonts w:hint="eastAsia" w:ascii="宋体" w:hAnsi="宋体"/>
              </w:rPr>
            </w:pPr>
          </w:p>
        </w:tc>
        <w:tc>
          <w:tcPr>
            <w:tcW w:w="1667" w:type="dxa"/>
          </w:tcPr>
          <w:p w14:paraId="5A147F10">
            <w:pPr>
              <w:rPr>
                <w:rFonts w:hint="eastAsia" w:ascii="宋体" w:hAnsi="宋体"/>
              </w:rPr>
            </w:pPr>
          </w:p>
        </w:tc>
      </w:tr>
    </w:tbl>
    <w:p w14:paraId="3C05E480">
      <w:pPr>
        <w:spacing w:line="440" w:lineRule="exact"/>
        <w:rPr>
          <w:rFonts w:hint="eastAsia" w:ascii="宋体" w:hAnsi="宋体"/>
        </w:rPr>
      </w:pPr>
    </w:p>
    <w:p w14:paraId="58A8318F">
      <w:pPr>
        <w:spacing w:line="440" w:lineRule="exact"/>
        <w:rPr>
          <w:rFonts w:hint="eastAsia" w:ascii="宋体" w:hAnsi="宋体"/>
          <w:b/>
          <w:bCs/>
          <w:sz w:val="32"/>
          <w:szCs w:val="32"/>
        </w:rPr>
      </w:pPr>
      <w:r>
        <w:rPr>
          <w:rFonts w:ascii="宋体" w:hAnsi="宋体"/>
        </w:rPr>
        <w:br w:type="page"/>
      </w:r>
      <w:r>
        <w:rPr>
          <w:rFonts w:ascii="宋体" w:hAnsi="宋体"/>
          <w:b/>
          <w:bCs/>
          <w:sz w:val="32"/>
          <w:szCs w:val="32"/>
        </w:rPr>
        <w:t>附</w:t>
      </w:r>
      <w:bookmarkStart w:id="320" w:name="_Toc296503227"/>
      <w:bookmarkStart w:id="321" w:name="_Toc296891267"/>
      <w:bookmarkStart w:id="322" w:name="_Toc296944566"/>
      <w:bookmarkStart w:id="323" w:name="_Toc296346728"/>
      <w:bookmarkStart w:id="324" w:name="_Toc296891055"/>
      <w:bookmarkStart w:id="325" w:name="_Toc267261698"/>
      <w:bookmarkStart w:id="326" w:name="_Toc296347226"/>
      <w:r>
        <w:rPr>
          <w:rFonts w:ascii="宋体" w:hAnsi="宋体"/>
          <w:b/>
          <w:bCs/>
          <w:sz w:val="32"/>
          <w:szCs w:val="32"/>
        </w:rPr>
        <w:t>件5：</w:t>
      </w:r>
    </w:p>
    <w:bookmarkEnd w:id="320"/>
    <w:bookmarkEnd w:id="321"/>
    <w:bookmarkEnd w:id="322"/>
    <w:bookmarkEnd w:id="323"/>
    <w:bookmarkEnd w:id="324"/>
    <w:bookmarkEnd w:id="325"/>
    <w:bookmarkEnd w:id="326"/>
    <w:p w14:paraId="45DF8187">
      <w:pPr>
        <w:spacing w:before="120" w:beforeLines="50" w:after="120" w:afterLines="50" w:line="440" w:lineRule="exact"/>
        <w:jc w:val="center"/>
        <w:rPr>
          <w:rFonts w:hint="eastAsia" w:ascii="宋体" w:hAnsi="宋体"/>
          <w:b/>
          <w:bCs/>
          <w:sz w:val="32"/>
          <w:szCs w:val="32"/>
        </w:rPr>
      </w:pPr>
      <w:r>
        <w:rPr>
          <w:rFonts w:ascii="宋体" w:hAnsi="宋体"/>
          <w:b/>
          <w:bCs/>
          <w:sz w:val="32"/>
          <w:szCs w:val="32"/>
        </w:rPr>
        <w:t>承包人用于本工程施工的机械设备表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1C82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14:paraId="085D57CD">
            <w:pPr>
              <w:keepNext/>
              <w:adjustRightInd w:val="0"/>
              <w:ind w:left="63" w:leftChars="30" w:right="63" w:rightChars="30"/>
              <w:jc w:val="center"/>
              <w:textAlignment w:val="baseline"/>
              <w:rPr>
                <w:rFonts w:hint="eastAsia" w:ascii="宋体" w:hAnsi="宋体"/>
              </w:rPr>
            </w:pPr>
            <w:r>
              <w:rPr>
                <w:rFonts w:ascii="宋体" w:hAnsi="宋体"/>
              </w:rPr>
              <w:t>序号</w:t>
            </w:r>
          </w:p>
        </w:tc>
        <w:tc>
          <w:tcPr>
            <w:tcW w:w="1418" w:type="dxa"/>
            <w:tcBorders>
              <w:top w:val="single" w:color="auto" w:sz="12" w:space="0"/>
              <w:bottom w:val="double" w:color="auto" w:sz="6" w:space="0"/>
            </w:tcBorders>
            <w:vAlign w:val="center"/>
          </w:tcPr>
          <w:p w14:paraId="0819BCF3">
            <w:pPr>
              <w:keepNext/>
              <w:adjustRightInd w:val="0"/>
              <w:ind w:left="63" w:leftChars="30" w:right="63" w:rightChars="30"/>
              <w:jc w:val="center"/>
              <w:textAlignment w:val="baseline"/>
              <w:rPr>
                <w:rFonts w:hint="eastAsia" w:ascii="宋体" w:hAnsi="宋体"/>
              </w:rPr>
            </w:pPr>
            <w:r>
              <w:rPr>
                <w:rFonts w:ascii="宋体" w:hAnsi="宋体"/>
              </w:rPr>
              <w:t>机械或设备名称</w:t>
            </w:r>
          </w:p>
        </w:tc>
        <w:tc>
          <w:tcPr>
            <w:tcW w:w="850" w:type="dxa"/>
            <w:tcBorders>
              <w:top w:val="single" w:color="auto" w:sz="12" w:space="0"/>
              <w:bottom w:val="double" w:color="auto" w:sz="6" w:space="0"/>
            </w:tcBorders>
            <w:vAlign w:val="center"/>
          </w:tcPr>
          <w:p w14:paraId="5CD8342C">
            <w:pPr>
              <w:keepNext/>
              <w:adjustRightInd w:val="0"/>
              <w:ind w:left="63" w:leftChars="30" w:right="63" w:rightChars="30"/>
              <w:jc w:val="center"/>
              <w:textAlignment w:val="baseline"/>
              <w:rPr>
                <w:rFonts w:hint="eastAsia" w:ascii="宋体" w:hAnsi="宋体"/>
              </w:rPr>
            </w:pPr>
            <w:r>
              <w:rPr>
                <w:rFonts w:ascii="宋体" w:hAnsi="宋体"/>
              </w:rPr>
              <w:t>规格型号</w:t>
            </w:r>
          </w:p>
        </w:tc>
        <w:tc>
          <w:tcPr>
            <w:tcW w:w="1058" w:type="dxa"/>
            <w:tcBorders>
              <w:top w:val="single" w:color="auto" w:sz="12" w:space="0"/>
              <w:bottom w:val="double" w:color="auto" w:sz="6" w:space="0"/>
            </w:tcBorders>
            <w:vAlign w:val="center"/>
          </w:tcPr>
          <w:p w14:paraId="0E91033F">
            <w:pPr>
              <w:keepNext/>
              <w:adjustRightInd w:val="0"/>
              <w:ind w:left="63" w:leftChars="30" w:right="63" w:rightChars="30"/>
              <w:jc w:val="center"/>
              <w:textAlignment w:val="baseline"/>
              <w:rPr>
                <w:rFonts w:hint="eastAsia" w:ascii="宋体" w:hAnsi="宋体"/>
              </w:rPr>
            </w:pPr>
            <w:r>
              <w:rPr>
                <w:rFonts w:ascii="宋体" w:hAnsi="宋体"/>
              </w:rPr>
              <w:t>数量</w:t>
            </w:r>
          </w:p>
        </w:tc>
        <w:tc>
          <w:tcPr>
            <w:tcW w:w="880" w:type="dxa"/>
            <w:tcBorders>
              <w:top w:val="single" w:color="auto" w:sz="12" w:space="0"/>
              <w:bottom w:val="double" w:color="auto" w:sz="6" w:space="0"/>
            </w:tcBorders>
            <w:vAlign w:val="center"/>
          </w:tcPr>
          <w:p w14:paraId="3CB24380">
            <w:pPr>
              <w:keepNext/>
              <w:adjustRightInd w:val="0"/>
              <w:ind w:left="63" w:leftChars="30" w:right="63" w:rightChars="30"/>
              <w:jc w:val="center"/>
              <w:textAlignment w:val="baseline"/>
              <w:rPr>
                <w:rFonts w:hint="eastAsia" w:ascii="宋体" w:hAnsi="宋体"/>
              </w:rPr>
            </w:pPr>
            <w:r>
              <w:rPr>
                <w:rFonts w:ascii="宋体" w:hAnsi="宋体"/>
              </w:rPr>
              <w:t>产地</w:t>
            </w:r>
          </w:p>
        </w:tc>
        <w:tc>
          <w:tcPr>
            <w:tcW w:w="1020" w:type="dxa"/>
            <w:tcBorders>
              <w:top w:val="single" w:color="auto" w:sz="12" w:space="0"/>
              <w:bottom w:val="double" w:color="auto" w:sz="6" w:space="0"/>
            </w:tcBorders>
            <w:vAlign w:val="center"/>
          </w:tcPr>
          <w:p w14:paraId="29F7E320">
            <w:pPr>
              <w:keepNext/>
              <w:adjustRightInd w:val="0"/>
              <w:ind w:left="63" w:leftChars="30" w:right="63" w:rightChars="30"/>
              <w:jc w:val="center"/>
              <w:textAlignment w:val="baseline"/>
              <w:rPr>
                <w:rFonts w:hint="eastAsia" w:ascii="宋体" w:hAnsi="宋体"/>
              </w:rPr>
            </w:pPr>
            <w:r>
              <w:rPr>
                <w:rFonts w:ascii="宋体" w:hAnsi="宋体"/>
              </w:rPr>
              <w:t>制造年份</w:t>
            </w:r>
          </w:p>
        </w:tc>
        <w:tc>
          <w:tcPr>
            <w:tcW w:w="1480" w:type="dxa"/>
            <w:tcBorders>
              <w:top w:val="single" w:color="auto" w:sz="12" w:space="0"/>
              <w:bottom w:val="double" w:color="auto" w:sz="6" w:space="0"/>
            </w:tcBorders>
            <w:vAlign w:val="center"/>
          </w:tcPr>
          <w:p w14:paraId="24F52EC9">
            <w:pPr>
              <w:keepNext/>
              <w:adjustRightInd w:val="0"/>
              <w:ind w:left="63" w:leftChars="30" w:right="63" w:rightChars="30"/>
              <w:jc w:val="center"/>
              <w:textAlignment w:val="baseline"/>
              <w:rPr>
                <w:rFonts w:hint="eastAsia" w:ascii="宋体" w:hAnsi="宋体"/>
              </w:rPr>
            </w:pPr>
            <w:r>
              <w:rPr>
                <w:rFonts w:ascii="宋体" w:hAnsi="宋体"/>
              </w:rPr>
              <w:t>额定功率</w:t>
            </w:r>
            <w:r>
              <w:rPr>
                <w:rFonts w:hint="eastAsia" w:ascii="宋体" w:hAnsi="宋体"/>
              </w:rPr>
              <w:t>（</w:t>
            </w:r>
            <w:r>
              <w:rPr>
                <w:rFonts w:ascii="宋体" w:hAnsi="宋体"/>
              </w:rPr>
              <w:t>kW</w:t>
            </w:r>
            <w:r>
              <w:rPr>
                <w:rFonts w:hint="eastAsia" w:ascii="宋体" w:hAnsi="宋体"/>
              </w:rPr>
              <w:t>）</w:t>
            </w:r>
          </w:p>
        </w:tc>
        <w:tc>
          <w:tcPr>
            <w:tcW w:w="1020" w:type="dxa"/>
            <w:tcBorders>
              <w:top w:val="single" w:color="auto" w:sz="12" w:space="0"/>
              <w:bottom w:val="double" w:color="auto" w:sz="6" w:space="0"/>
            </w:tcBorders>
            <w:vAlign w:val="center"/>
          </w:tcPr>
          <w:p w14:paraId="5B9923A3">
            <w:pPr>
              <w:keepNext/>
              <w:adjustRightInd w:val="0"/>
              <w:ind w:left="63" w:leftChars="30" w:right="63" w:rightChars="30"/>
              <w:jc w:val="center"/>
              <w:textAlignment w:val="baseline"/>
              <w:rPr>
                <w:rFonts w:hint="eastAsia" w:ascii="宋体" w:hAnsi="宋体"/>
              </w:rPr>
            </w:pPr>
            <w:r>
              <w:rPr>
                <w:rFonts w:ascii="宋体" w:hAnsi="宋体"/>
              </w:rPr>
              <w:t>生产能力</w:t>
            </w:r>
          </w:p>
        </w:tc>
        <w:tc>
          <w:tcPr>
            <w:tcW w:w="921" w:type="dxa"/>
            <w:tcBorders>
              <w:top w:val="single" w:color="auto" w:sz="12" w:space="0"/>
              <w:bottom w:val="double" w:color="auto" w:sz="6" w:space="0"/>
            </w:tcBorders>
            <w:vAlign w:val="center"/>
          </w:tcPr>
          <w:p w14:paraId="22363259">
            <w:pPr>
              <w:keepNext/>
              <w:adjustRightInd w:val="0"/>
              <w:ind w:left="63" w:leftChars="30" w:right="63" w:rightChars="30"/>
              <w:jc w:val="center"/>
              <w:textAlignment w:val="baseline"/>
              <w:rPr>
                <w:rFonts w:hint="eastAsia" w:ascii="宋体" w:hAnsi="宋体"/>
              </w:rPr>
            </w:pPr>
            <w:r>
              <w:rPr>
                <w:rFonts w:ascii="宋体" w:hAnsi="宋体"/>
              </w:rPr>
              <w:t>备注</w:t>
            </w:r>
          </w:p>
        </w:tc>
      </w:tr>
      <w:tr w14:paraId="3CEE4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14:paraId="1102B039">
            <w:pPr>
              <w:keepNext/>
              <w:adjustRightInd w:val="0"/>
              <w:ind w:left="63" w:leftChars="30" w:right="63" w:rightChars="30"/>
              <w:jc w:val="center"/>
              <w:textAlignment w:val="baseline"/>
              <w:rPr>
                <w:rFonts w:hint="eastAsia" w:ascii="宋体" w:hAnsi="宋体"/>
              </w:rPr>
            </w:pPr>
          </w:p>
        </w:tc>
        <w:tc>
          <w:tcPr>
            <w:tcW w:w="1418" w:type="dxa"/>
            <w:tcBorders>
              <w:top w:val="double" w:color="auto" w:sz="6" w:space="0"/>
              <w:bottom w:val="single" w:color="auto" w:sz="6" w:space="0"/>
            </w:tcBorders>
            <w:vAlign w:val="center"/>
          </w:tcPr>
          <w:p w14:paraId="55421AFF">
            <w:pPr>
              <w:keepNext/>
              <w:adjustRightInd w:val="0"/>
              <w:ind w:left="63" w:leftChars="30" w:right="63" w:rightChars="30"/>
              <w:jc w:val="center"/>
              <w:textAlignment w:val="baseline"/>
              <w:rPr>
                <w:rFonts w:hint="eastAsia" w:ascii="宋体" w:hAnsi="宋体"/>
              </w:rPr>
            </w:pPr>
          </w:p>
        </w:tc>
        <w:tc>
          <w:tcPr>
            <w:tcW w:w="850" w:type="dxa"/>
            <w:tcBorders>
              <w:top w:val="double" w:color="auto" w:sz="6" w:space="0"/>
              <w:bottom w:val="single" w:color="auto" w:sz="6" w:space="0"/>
            </w:tcBorders>
            <w:vAlign w:val="center"/>
          </w:tcPr>
          <w:p w14:paraId="45931BA8">
            <w:pPr>
              <w:keepNext/>
              <w:adjustRightInd w:val="0"/>
              <w:ind w:left="63" w:leftChars="30" w:right="63" w:rightChars="30"/>
              <w:jc w:val="center"/>
              <w:textAlignment w:val="baseline"/>
              <w:rPr>
                <w:rFonts w:hint="eastAsia" w:ascii="宋体" w:hAnsi="宋体"/>
              </w:rPr>
            </w:pPr>
          </w:p>
        </w:tc>
        <w:tc>
          <w:tcPr>
            <w:tcW w:w="1058" w:type="dxa"/>
            <w:tcBorders>
              <w:top w:val="double" w:color="auto" w:sz="6" w:space="0"/>
              <w:bottom w:val="single" w:color="auto" w:sz="6" w:space="0"/>
            </w:tcBorders>
            <w:vAlign w:val="center"/>
          </w:tcPr>
          <w:p w14:paraId="46DE9A41">
            <w:pPr>
              <w:keepNext/>
              <w:adjustRightInd w:val="0"/>
              <w:ind w:left="63" w:leftChars="30" w:right="63" w:rightChars="30"/>
              <w:jc w:val="center"/>
              <w:textAlignment w:val="baseline"/>
              <w:rPr>
                <w:rFonts w:hint="eastAsia" w:ascii="宋体" w:hAnsi="宋体"/>
              </w:rPr>
            </w:pPr>
          </w:p>
        </w:tc>
        <w:tc>
          <w:tcPr>
            <w:tcW w:w="880" w:type="dxa"/>
            <w:tcBorders>
              <w:top w:val="double" w:color="auto" w:sz="6" w:space="0"/>
              <w:bottom w:val="single" w:color="auto" w:sz="6" w:space="0"/>
            </w:tcBorders>
            <w:vAlign w:val="center"/>
          </w:tcPr>
          <w:p w14:paraId="6153FB3A">
            <w:pPr>
              <w:keepNext/>
              <w:adjustRightInd w:val="0"/>
              <w:ind w:left="63" w:leftChars="30" w:right="63" w:rightChars="30"/>
              <w:jc w:val="center"/>
              <w:textAlignment w:val="baseline"/>
              <w:rPr>
                <w:rFonts w:hint="eastAsia" w:ascii="宋体" w:hAnsi="宋体"/>
              </w:rPr>
            </w:pPr>
          </w:p>
        </w:tc>
        <w:tc>
          <w:tcPr>
            <w:tcW w:w="1020" w:type="dxa"/>
            <w:tcBorders>
              <w:top w:val="double" w:color="auto" w:sz="6" w:space="0"/>
              <w:bottom w:val="single" w:color="auto" w:sz="6" w:space="0"/>
            </w:tcBorders>
            <w:vAlign w:val="center"/>
          </w:tcPr>
          <w:p w14:paraId="74968401">
            <w:pPr>
              <w:keepNext/>
              <w:adjustRightInd w:val="0"/>
              <w:ind w:left="63" w:leftChars="30" w:right="63" w:rightChars="30"/>
              <w:jc w:val="center"/>
              <w:textAlignment w:val="baseline"/>
              <w:rPr>
                <w:rFonts w:hint="eastAsia" w:ascii="宋体" w:hAnsi="宋体"/>
              </w:rPr>
            </w:pPr>
          </w:p>
        </w:tc>
        <w:tc>
          <w:tcPr>
            <w:tcW w:w="1480" w:type="dxa"/>
            <w:tcBorders>
              <w:top w:val="double" w:color="auto" w:sz="6" w:space="0"/>
              <w:bottom w:val="single" w:color="auto" w:sz="6" w:space="0"/>
            </w:tcBorders>
            <w:vAlign w:val="center"/>
          </w:tcPr>
          <w:p w14:paraId="3D0215B4">
            <w:pPr>
              <w:keepNext/>
              <w:adjustRightInd w:val="0"/>
              <w:ind w:left="63" w:leftChars="30" w:right="63" w:rightChars="30"/>
              <w:jc w:val="center"/>
              <w:textAlignment w:val="baseline"/>
              <w:rPr>
                <w:rFonts w:hint="eastAsia" w:ascii="宋体" w:hAnsi="宋体"/>
              </w:rPr>
            </w:pPr>
          </w:p>
        </w:tc>
        <w:tc>
          <w:tcPr>
            <w:tcW w:w="1020" w:type="dxa"/>
            <w:tcBorders>
              <w:top w:val="double" w:color="auto" w:sz="6" w:space="0"/>
              <w:bottom w:val="single" w:color="auto" w:sz="6" w:space="0"/>
            </w:tcBorders>
            <w:vAlign w:val="center"/>
          </w:tcPr>
          <w:p w14:paraId="192872C0">
            <w:pPr>
              <w:keepNext/>
              <w:adjustRightInd w:val="0"/>
              <w:ind w:left="63" w:leftChars="30" w:right="63" w:rightChars="30"/>
              <w:jc w:val="center"/>
              <w:textAlignment w:val="baseline"/>
              <w:rPr>
                <w:rFonts w:hint="eastAsia" w:ascii="宋体" w:hAnsi="宋体"/>
              </w:rPr>
            </w:pPr>
          </w:p>
        </w:tc>
        <w:tc>
          <w:tcPr>
            <w:tcW w:w="921" w:type="dxa"/>
            <w:tcBorders>
              <w:top w:val="double" w:color="auto" w:sz="6" w:space="0"/>
              <w:bottom w:val="single" w:color="auto" w:sz="6" w:space="0"/>
            </w:tcBorders>
            <w:vAlign w:val="center"/>
          </w:tcPr>
          <w:p w14:paraId="6EC85F06">
            <w:pPr>
              <w:keepNext/>
              <w:adjustRightInd w:val="0"/>
              <w:ind w:left="63" w:leftChars="30" w:right="63" w:rightChars="30"/>
              <w:jc w:val="center"/>
              <w:textAlignment w:val="baseline"/>
              <w:rPr>
                <w:rFonts w:hint="eastAsia" w:ascii="宋体" w:hAnsi="宋体"/>
              </w:rPr>
            </w:pPr>
          </w:p>
        </w:tc>
      </w:tr>
      <w:tr w14:paraId="40CA55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14:paraId="20EF9D27">
            <w:pPr>
              <w:keepNext/>
              <w:adjustRightInd w:val="0"/>
              <w:ind w:left="63" w:leftChars="30" w:right="63" w:rightChars="30"/>
              <w:jc w:val="center"/>
              <w:textAlignment w:val="baseline"/>
              <w:rPr>
                <w:rFonts w:hint="eastAsia" w:ascii="宋体" w:hAnsi="宋体"/>
              </w:rPr>
            </w:pPr>
          </w:p>
        </w:tc>
        <w:tc>
          <w:tcPr>
            <w:tcW w:w="1418" w:type="dxa"/>
            <w:tcBorders>
              <w:top w:val="nil"/>
            </w:tcBorders>
            <w:vAlign w:val="center"/>
          </w:tcPr>
          <w:p w14:paraId="619B2322">
            <w:pPr>
              <w:keepNext/>
              <w:adjustRightInd w:val="0"/>
              <w:ind w:left="63" w:leftChars="30" w:right="63" w:rightChars="30"/>
              <w:jc w:val="center"/>
              <w:textAlignment w:val="baseline"/>
              <w:rPr>
                <w:rFonts w:hint="eastAsia" w:ascii="宋体" w:hAnsi="宋体"/>
              </w:rPr>
            </w:pPr>
          </w:p>
        </w:tc>
        <w:tc>
          <w:tcPr>
            <w:tcW w:w="850" w:type="dxa"/>
            <w:tcBorders>
              <w:top w:val="nil"/>
            </w:tcBorders>
            <w:vAlign w:val="center"/>
          </w:tcPr>
          <w:p w14:paraId="72F43F94">
            <w:pPr>
              <w:keepNext/>
              <w:adjustRightInd w:val="0"/>
              <w:ind w:left="63" w:leftChars="30" w:right="63" w:rightChars="30"/>
              <w:jc w:val="center"/>
              <w:textAlignment w:val="baseline"/>
              <w:rPr>
                <w:rFonts w:hint="eastAsia" w:ascii="宋体" w:hAnsi="宋体"/>
              </w:rPr>
            </w:pPr>
          </w:p>
        </w:tc>
        <w:tc>
          <w:tcPr>
            <w:tcW w:w="1058" w:type="dxa"/>
            <w:tcBorders>
              <w:top w:val="nil"/>
            </w:tcBorders>
            <w:vAlign w:val="center"/>
          </w:tcPr>
          <w:p w14:paraId="0507F78C">
            <w:pPr>
              <w:keepNext/>
              <w:adjustRightInd w:val="0"/>
              <w:ind w:left="63" w:leftChars="30" w:right="63" w:rightChars="30"/>
              <w:jc w:val="center"/>
              <w:textAlignment w:val="baseline"/>
              <w:rPr>
                <w:rFonts w:hint="eastAsia" w:ascii="宋体" w:hAnsi="宋体"/>
              </w:rPr>
            </w:pPr>
          </w:p>
        </w:tc>
        <w:tc>
          <w:tcPr>
            <w:tcW w:w="880" w:type="dxa"/>
            <w:tcBorders>
              <w:top w:val="nil"/>
            </w:tcBorders>
            <w:vAlign w:val="center"/>
          </w:tcPr>
          <w:p w14:paraId="6910FCA8">
            <w:pPr>
              <w:keepNext/>
              <w:adjustRightInd w:val="0"/>
              <w:ind w:left="63" w:leftChars="30" w:right="63" w:rightChars="30"/>
              <w:jc w:val="center"/>
              <w:textAlignment w:val="baseline"/>
              <w:rPr>
                <w:rFonts w:hint="eastAsia" w:ascii="宋体" w:hAnsi="宋体"/>
              </w:rPr>
            </w:pPr>
          </w:p>
        </w:tc>
        <w:tc>
          <w:tcPr>
            <w:tcW w:w="1020" w:type="dxa"/>
            <w:tcBorders>
              <w:top w:val="nil"/>
            </w:tcBorders>
            <w:vAlign w:val="center"/>
          </w:tcPr>
          <w:p w14:paraId="43E2BC43">
            <w:pPr>
              <w:keepNext/>
              <w:adjustRightInd w:val="0"/>
              <w:ind w:left="63" w:leftChars="30" w:right="63" w:rightChars="30"/>
              <w:jc w:val="center"/>
              <w:textAlignment w:val="baseline"/>
              <w:rPr>
                <w:rFonts w:hint="eastAsia" w:ascii="宋体" w:hAnsi="宋体"/>
              </w:rPr>
            </w:pPr>
          </w:p>
        </w:tc>
        <w:tc>
          <w:tcPr>
            <w:tcW w:w="1480" w:type="dxa"/>
            <w:tcBorders>
              <w:top w:val="nil"/>
            </w:tcBorders>
            <w:vAlign w:val="center"/>
          </w:tcPr>
          <w:p w14:paraId="09FF3CAE">
            <w:pPr>
              <w:keepNext/>
              <w:adjustRightInd w:val="0"/>
              <w:ind w:left="63" w:leftChars="30" w:right="63" w:rightChars="30"/>
              <w:jc w:val="center"/>
              <w:textAlignment w:val="baseline"/>
              <w:rPr>
                <w:rFonts w:hint="eastAsia" w:ascii="宋体" w:hAnsi="宋体"/>
              </w:rPr>
            </w:pPr>
          </w:p>
        </w:tc>
        <w:tc>
          <w:tcPr>
            <w:tcW w:w="1020" w:type="dxa"/>
            <w:tcBorders>
              <w:top w:val="nil"/>
            </w:tcBorders>
            <w:vAlign w:val="center"/>
          </w:tcPr>
          <w:p w14:paraId="35DDBF5F">
            <w:pPr>
              <w:keepNext/>
              <w:adjustRightInd w:val="0"/>
              <w:ind w:left="63" w:leftChars="30" w:right="63" w:rightChars="30"/>
              <w:jc w:val="center"/>
              <w:textAlignment w:val="baseline"/>
              <w:rPr>
                <w:rFonts w:hint="eastAsia" w:ascii="宋体" w:hAnsi="宋体"/>
              </w:rPr>
            </w:pPr>
          </w:p>
        </w:tc>
        <w:tc>
          <w:tcPr>
            <w:tcW w:w="921" w:type="dxa"/>
            <w:tcBorders>
              <w:top w:val="nil"/>
            </w:tcBorders>
            <w:vAlign w:val="center"/>
          </w:tcPr>
          <w:p w14:paraId="50288F27">
            <w:pPr>
              <w:keepNext/>
              <w:adjustRightInd w:val="0"/>
              <w:ind w:left="63" w:leftChars="30" w:right="63" w:rightChars="30"/>
              <w:jc w:val="center"/>
              <w:textAlignment w:val="baseline"/>
              <w:rPr>
                <w:rFonts w:hint="eastAsia" w:ascii="宋体" w:hAnsi="宋体"/>
              </w:rPr>
            </w:pPr>
          </w:p>
        </w:tc>
      </w:tr>
      <w:tr w14:paraId="38DFB9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4AAB022">
            <w:pPr>
              <w:keepNext/>
              <w:adjustRightInd w:val="0"/>
              <w:ind w:left="63" w:leftChars="30" w:right="63" w:rightChars="30"/>
              <w:jc w:val="center"/>
              <w:textAlignment w:val="baseline"/>
              <w:rPr>
                <w:rFonts w:hint="eastAsia" w:ascii="宋体" w:hAnsi="宋体"/>
              </w:rPr>
            </w:pPr>
          </w:p>
        </w:tc>
        <w:tc>
          <w:tcPr>
            <w:tcW w:w="1418" w:type="dxa"/>
            <w:vAlign w:val="center"/>
          </w:tcPr>
          <w:p w14:paraId="687A00C1">
            <w:pPr>
              <w:keepNext/>
              <w:adjustRightInd w:val="0"/>
              <w:ind w:left="63" w:leftChars="30" w:right="63" w:rightChars="30"/>
              <w:jc w:val="center"/>
              <w:textAlignment w:val="baseline"/>
              <w:rPr>
                <w:rFonts w:hint="eastAsia" w:ascii="宋体" w:hAnsi="宋体"/>
              </w:rPr>
            </w:pPr>
          </w:p>
        </w:tc>
        <w:tc>
          <w:tcPr>
            <w:tcW w:w="850" w:type="dxa"/>
            <w:vAlign w:val="center"/>
          </w:tcPr>
          <w:p w14:paraId="77FA6CC2">
            <w:pPr>
              <w:keepNext/>
              <w:adjustRightInd w:val="0"/>
              <w:ind w:left="63" w:leftChars="30" w:right="63" w:rightChars="30"/>
              <w:jc w:val="center"/>
              <w:textAlignment w:val="baseline"/>
              <w:rPr>
                <w:rFonts w:hint="eastAsia" w:ascii="宋体" w:hAnsi="宋体"/>
              </w:rPr>
            </w:pPr>
          </w:p>
        </w:tc>
        <w:tc>
          <w:tcPr>
            <w:tcW w:w="1058" w:type="dxa"/>
            <w:vAlign w:val="center"/>
          </w:tcPr>
          <w:p w14:paraId="7F5FB527">
            <w:pPr>
              <w:keepNext/>
              <w:adjustRightInd w:val="0"/>
              <w:ind w:left="63" w:leftChars="30" w:right="63" w:rightChars="30"/>
              <w:jc w:val="center"/>
              <w:textAlignment w:val="baseline"/>
              <w:rPr>
                <w:rFonts w:hint="eastAsia" w:ascii="宋体" w:hAnsi="宋体"/>
              </w:rPr>
            </w:pPr>
          </w:p>
        </w:tc>
        <w:tc>
          <w:tcPr>
            <w:tcW w:w="880" w:type="dxa"/>
            <w:vAlign w:val="center"/>
          </w:tcPr>
          <w:p w14:paraId="6B36E2DF">
            <w:pPr>
              <w:keepNext/>
              <w:adjustRightInd w:val="0"/>
              <w:ind w:left="63" w:leftChars="30" w:right="63" w:rightChars="30"/>
              <w:jc w:val="center"/>
              <w:textAlignment w:val="baseline"/>
              <w:rPr>
                <w:rFonts w:hint="eastAsia" w:ascii="宋体" w:hAnsi="宋体"/>
              </w:rPr>
            </w:pPr>
          </w:p>
        </w:tc>
        <w:tc>
          <w:tcPr>
            <w:tcW w:w="1020" w:type="dxa"/>
            <w:vAlign w:val="center"/>
          </w:tcPr>
          <w:p w14:paraId="6DE80EA2">
            <w:pPr>
              <w:keepNext/>
              <w:adjustRightInd w:val="0"/>
              <w:ind w:left="63" w:leftChars="30" w:right="63" w:rightChars="30"/>
              <w:jc w:val="center"/>
              <w:textAlignment w:val="baseline"/>
              <w:rPr>
                <w:rFonts w:hint="eastAsia" w:ascii="宋体" w:hAnsi="宋体"/>
              </w:rPr>
            </w:pPr>
          </w:p>
        </w:tc>
        <w:tc>
          <w:tcPr>
            <w:tcW w:w="1480" w:type="dxa"/>
            <w:vAlign w:val="center"/>
          </w:tcPr>
          <w:p w14:paraId="5EFC2F05">
            <w:pPr>
              <w:keepNext/>
              <w:adjustRightInd w:val="0"/>
              <w:ind w:left="63" w:leftChars="30" w:right="63" w:rightChars="30"/>
              <w:jc w:val="center"/>
              <w:textAlignment w:val="baseline"/>
              <w:rPr>
                <w:rFonts w:hint="eastAsia" w:ascii="宋体" w:hAnsi="宋体"/>
              </w:rPr>
            </w:pPr>
          </w:p>
        </w:tc>
        <w:tc>
          <w:tcPr>
            <w:tcW w:w="1020" w:type="dxa"/>
            <w:vAlign w:val="center"/>
          </w:tcPr>
          <w:p w14:paraId="7023A59A">
            <w:pPr>
              <w:keepNext/>
              <w:adjustRightInd w:val="0"/>
              <w:ind w:left="63" w:leftChars="30" w:right="63" w:rightChars="30"/>
              <w:jc w:val="center"/>
              <w:textAlignment w:val="baseline"/>
              <w:rPr>
                <w:rFonts w:hint="eastAsia" w:ascii="宋体" w:hAnsi="宋体"/>
              </w:rPr>
            </w:pPr>
          </w:p>
        </w:tc>
        <w:tc>
          <w:tcPr>
            <w:tcW w:w="921" w:type="dxa"/>
            <w:vAlign w:val="center"/>
          </w:tcPr>
          <w:p w14:paraId="41D5EC64">
            <w:pPr>
              <w:keepNext/>
              <w:adjustRightInd w:val="0"/>
              <w:ind w:left="63" w:leftChars="30" w:right="63" w:rightChars="30"/>
              <w:jc w:val="center"/>
              <w:textAlignment w:val="baseline"/>
              <w:rPr>
                <w:rFonts w:hint="eastAsia" w:ascii="宋体" w:hAnsi="宋体"/>
              </w:rPr>
            </w:pPr>
          </w:p>
        </w:tc>
      </w:tr>
      <w:tr w14:paraId="2A5E1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A148BF5">
            <w:pPr>
              <w:keepNext/>
              <w:adjustRightInd w:val="0"/>
              <w:ind w:left="63" w:leftChars="30" w:right="63" w:rightChars="30"/>
              <w:jc w:val="center"/>
              <w:textAlignment w:val="baseline"/>
              <w:rPr>
                <w:rFonts w:hint="eastAsia" w:ascii="宋体" w:hAnsi="宋体"/>
              </w:rPr>
            </w:pPr>
          </w:p>
        </w:tc>
        <w:tc>
          <w:tcPr>
            <w:tcW w:w="1418" w:type="dxa"/>
            <w:vAlign w:val="center"/>
          </w:tcPr>
          <w:p w14:paraId="4F0B3BB2">
            <w:pPr>
              <w:keepNext/>
              <w:adjustRightInd w:val="0"/>
              <w:ind w:left="63" w:leftChars="30" w:right="63" w:rightChars="30"/>
              <w:jc w:val="center"/>
              <w:textAlignment w:val="baseline"/>
              <w:rPr>
                <w:rFonts w:hint="eastAsia" w:ascii="宋体" w:hAnsi="宋体"/>
              </w:rPr>
            </w:pPr>
          </w:p>
        </w:tc>
        <w:tc>
          <w:tcPr>
            <w:tcW w:w="850" w:type="dxa"/>
            <w:vAlign w:val="center"/>
          </w:tcPr>
          <w:p w14:paraId="76608211">
            <w:pPr>
              <w:keepNext/>
              <w:adjustRightInd w:val="0"/>
              <w:ind w:left="63" w:leftChars="30" w:right="63" w:rightChars="30"/>
              <w:jc w:val="center"/>
              <w:textAlignment w:val="baseline"/>
              <w:rPr>
                <w:rFonts w:hint="eastAsia" w:ascii="宋体" w:hAnsi="宋体"/>
              </w:rPr>
            </w:pPr>
          </w:p>
        </w:tc>
        <w:tc>
          <w:tcPr>
            <w:tcW w:w="1058" w:type="dxa"/>
            <w:vAlign w:val="center"/>
          </w:tcPr>
          <w:p w14:paraId="23943B03">
            <w:pPr>
              <w:keepNext/>
              <w:adjustRightInd w:val="0"/>
              <w:ind w:left="63" w:leftChars="30" w:right="63" w:rightChars="30"/>
              <w:jc w:val="center"/>
              <w:textAlignment w:val="baseline"/>
              <w:rPr>
                <w:rFonts w:hint="eastAsia" w:ascii="宋体" w:hAnsi="宋体"/>
              </w:rPr>
            </w:pPr>
          </w:p>
        </w:tc>
        <w:tc>
          <w:tcPr>
            <w:tcW w:w="880" w:type="dxa"/>
            <w:vAlign w:val="center"/>
          </w:tcPr>
          <w:p w14:paraId="7F1F4A6F">
            <w:pPr>
              <w:keepNext/>
              <w:adjustRightInd w:val="0"/>
              <w:ind w:left="63" w:leftChars="30" w:right="63" w:rightChars="30"/>
              <w:jc w:val="center"/>
              <w:textAlignment w:val="baseline"/>
              <w:rPr>
                <w:rFonts w:hint="eastAsia" w:ascii="宋体" w:hAnsi="宋体"/>
              </w:rPr>
            </w:pPr>
          </w:p>
        </w:tc>
        <w:tc>
          <w:tcPr>
            <w:tcW w:w="1020" w:type="dxa"/>
            <w:vAlign w:val="center"/>
          </w:tcPr>
          <w:p w14:paraId="4DF2D802">
            <w:pPr>
              <w:keepNext/>
              <w:adjustRightInd w:val="0"/>
              <w:ind w:left="63" w:leftChars="30" w:right="63" w:rightChars="30"/>
              <w:jc w:val="center"/>
              <w:textAlignment w:val="baseline"/>
              <w:rPr>
                <w:rFonts w:hint="eastAsia" w:ascii="宋体" w:hAnsi="宋体"/>
              </w:rPr>
            </w:pPr>
          </w:p>
        </w:tc>
        <w:tc>
          <w:tcPr>
            <w:tcW w:w="1480" w:type="dxa"/>
            <w:vAlign w:val="center"/>
          </w:tcPr>
          <w:p w14:paraId="247B9776">
            <w:pPr>
              <w:keepNext/>
              <w:adjustRightInd w:val="0"/>
              <w:ind w:left="63" w:leftChars="30" w:right="63" w:rightChars="30"/>
              <w:jc w:val="center"/>
              <w:textAlignment w:val="baseline"/>
              <w:rPr>
                <w:rFonts w:hint="eastAsia" w:ascii="宋体" w:hAnsi="宋体"/>
              </w:rPr>
            </w:pPr>
          </w:p>
        </w:tc>
        <w:tc>
          <w:tcPr>
            <w:tcW w:w="1020" w:type="dxa"/>
            <w:vAlign w:val="center"/>
          </w:tcPr>
          <w:p w14:paraId="2A7389FF">
            <w:pPr>
              <w:keepNext/>
              <w:adjustRightInd w:val="0"/>
              <w:ind w:left="63" w:leftChars="30" w:right="63" w:rightChars="30"/>
              <w:jc w:val="center"/>
              <w:textAlignment w:val="baseline"/>
              <w:rPr>
                <w:rFonts w:hint="eastAsia" w:ascii="宋体" w:hAnsi="宋体"/>
              </w:rPr>
            </w:pPr>
          </w:p>
        </w:tc>
        <w:tc>
          <w:tcPr>
            <w:tcW w:w="921" w:type="dxa"/>
            <w:vAlign w:val="center"/>
          </w:tcPr>
          <w:p w14:paraId="3CCDAF54">
            <w:pPr>
              <w:keepNext/>
              <w:adjustRightInd w:val="0"/>
              <w:ind w:left="63" w:leftChars="30" w:right="63" w:rightChars="30"/>
              <w:jc w:val="center"/>
              <w:textAlignment w:val="baseline"/>
              <w:rPr>
                <w:rFonts w:hint="eastAsia" w:ascii="宋体" w:hAnsi="宋体"/>
              </w:rPr>
            </w:pPr>
          </w:p>
        </w:tc>
      </w:tr>
      <w:tr w14:paraId="6E5A1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781BE03">
            <w:pPr>
              <w:keepNext/>
              <w:adjustRightInd w:val="0"/>
              <w:ind w:left="63" w:leftChars="30" w:right="63" w:rightChars="30"/>
              <w:jc w:val="center"/>
              <w:textAlignment w:val="baseline"/>
              <w:rPr>
                <w:rFonts w:hint="eastAsia" w:ascii="宋体" w:hAnsi="宋体"/>
              </w:rPr>
            </w:pPr>
          </w:p>
        </w:tc>
        <w:tc>
          <w:tcPr>
            <w:tcW w:w="1418" w:type="dxa"/>
            <w:vAlign w:val="center"/>
          </w:tcPr>
          <w:p w14:paraId="5C0840CF">
            <w:pPr>
              <w:keepNext/>
              <w:adjustRightInd w:val="0"/>
              <w:ind w:left="63" w:leftChars="30" w:right="63" w:rightChars="30"/>
              <w:jc w:val="center"/>
              <w:textAlignment w:val="baseline"/>
              <w:rPr>
                <w:rFonts w:hint="eastAsia" w:ascii="宋体" w:hAnsi="宋体"/>
              </w:rPr>
            </w:pPr>
          </w:p>
        </w:tc>
        <w:tc>
          <w:tcPr>
            <w:tcW w:w="850" w:type="dxa"/>
            <w:vAlign w:val="center"/>
          </w:tcPr>
          <w:p w14:paraId="0C15703D">
            <w:pPr>
              <w:keepNext/>
              <w:adjustRightInd w:val="0"/>
              <w:ind w:left="63" w:leftChars="30" w:right="63" w:rightChars="30"/>
              <w:jc w:val="center"/>
              <w:textAlignment w:val="baseline"/>
              <w:rPr>
                <w:rFonts w:hint="eastAsia" w:ascii="宋体" w:hAnsi="宋体"/>
              </w:rPr>
            </w:pPr>
          </w:p>
        </w:tc>
        <w:tc>
          <w:tcPr>
            <w:tcW w:w="1058" w:type="dxa"/>
            <w:vAlign w:val="center"/>
          </w:tcPr>
          <w:p w14:paraId="2820266A">
            <w:pPr>
              <w:keepNext/>
              <w:adjustRightInd w:val="0"/>
              <w:ind w:left="63" w:leftChars="30" w:right="63" w:rightChars="30"/>
              <w:jc w:val="center"/>
              <w:textAlignment w:val="baseline"/>
              <w:rPr>
                <w:rFonts w:hint="eastAsia" w:ascii="宋体" w:hAnsi="宋体"/>
              </w:rPr>
            </w:pPr>
          </w:p>
        </w:tc>
        <w:tc>
          <w:tcPr>
            <w:tcW w:w="880" w:type="dxa"/>
            <w:vAlign w:val="center"/>
          </w:tcPr>
          <w:p w14:paraId="5F7E6B49">
            <w:pPr>
              <w:keepNext/>
              <w:adjustRightInd w:val="0"/>
              <w:ind w:left="63" w:leftChars="30" w:right="63" w:rightChars="30"/>
              <w:jc w:val="center"/>
              <w:textAlignment w:val="baseline"/>
              <w:rPr>
                <w:rFonts w:hint="eastAsia" w:ascii="宋体" w:hAnsi="宋体"/>
              </w:rPr>
            </w:pPr>
          </w:p>
        </w:tc>
        <w:tc>
          <w:tcPr>
            <w:tcW w:w="1020" w:type="dxa"/>
            <w:vAlign w:val="center"/>
          </w:tcPr>
          <w:p w14:paraId="52D7B519">
            <w:pPr>
              <w:keepNext/>
              <w:adjustRightInd w:val="0"/>
              <w:ind w:left="63" w:leftChars="30" w:right="63" w:rightChars="30"/>
              <w:jc w:val="center"/>
              <w:textAlignment w:val="baseline"/>
              <w:rPr>
                <w:rFonts w:hint="eastAsia" w:ascii="宋体" w:hAnsi="宋体"/>
              </w:rPr>
            </w:pPr>
          </w:p>
        </w:tc>
        <w:tc>
          <w:tcPr>
            <w:tcW w:w="1480" w:type="dxa"/>
            <w:vAlign w:val="center"/>
          </w:tcPr>
          <w:p w14:paraId="432C3B31">
            <w:pPr>
              <w:keepNext/>
              <w:adjustRightInd w:val="0"/>
              <w:ind w:left="63" w:leftChars="30" w:right="63" w:rightChars="30"/>
              <w:jc w:val="center"/>
              <w:textAlignment w:val="baseline"/>
              <w:rPr>
                <w:rFonts w:hint="eastAsia" w:ascii="宋体" w:hAnsi="宋体"/>
              </w:rPr>
            </w:pPr>
          </w:p>
        </w:tc>
        <w:tc>
          <w:tcPr>
            <w:tcW w:w="1020" w:type="dxa"/>
            <w:vAlign w:val="center"/>
          </w:tcPr>
          <w:p w14:paraId="060A8EBE">
            <w:pPr>
              <w:keepNext/>
              <w:adjustRightInd w:val="0"/>
              <w:ind w:left="63" w:leftChars="30" w:right="63" w:rightChars="30"/>
              <w:jc w:val="center"/>
              <w:textAlignment w:val="baseline"/>
              <w:rPr>
                <w:rFonts w:hint="eastAsia" w:ascii="宋体" w:hAnsi="宋体"/>
              </w:rPr>
            </w:pPr>
          </w:p>
        </w:tc>
        <w:tc>
          <w:tcPr>
            <w:tcW w:w="921" w:type="dxa"/>
            <w:vAlign w:val="center"/>
          </w:tcPr>
          <w:p w14:paraId="188A9B71">
            <w:pPr>
              <w:keepNext/>
              <w:adjustRightInd w:val="0"/>
              <w:ind w:left="63" w:leftChars="30" w:right="63" w:rightChars="30"/>
              <w:jc w:val="center"/>
              <w:textAlignment w:val="baseline"/>
              <w:rPr>
                <w:rFonts w:hint="eastAsia" w:ascii="宋体" w:hAnsi="宋体"/>
              </w:rPr>
            </w:pPr>
          </w:p>
        </w:tc>
      </w:tr>
      <w:tr w14:paraId="38A2B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20C5665">
            <w:pPr>
              <w:keepNext/>
              <w:adjustRightInd w:val="0"/>
              <w:ind w:left="63" w:leftChars="30" w:right="63" w:rightChars="30"/>
              <w:jc w:val="center"/>
              <w:textAlignment w:val="baseline"/>
              <w:rPr>
                <w:rFonts w:hint="eastAsia" w:ascii="宋体" w:hAnsi="宋体"/>
              </w:rPr>
            </w:pPr>
          </w:p>
        </w:tc>
        <w:tc>
          <w:tcPr>
            <w:tcW w:w="1418" w:type="dxa"/>
            <w:vAlign w:val="center"/>
          </w:tcPr>
          <w:p w14:paraId="172C62B4">
            <w:pPr>
              <w:keepNext/>
              <w:adjustRightInd w:val="0"/>
              <w:ind w:left="63" w:leftChars="30" w:right="63" w:rightChars="30"/>
              <w:jc w:val="center"/>
              <w:textAlignment w:val="baseline"/>
              <w:rPr>
                <w:rFonts w:hint="eastAsia" w:ascii="宋体" w:hAnsi="宋体"/>
              </w:rPr>
            </w:pPr>
          </w:p>
        </w:tc>
        <w:tc>
          <w:tcPr>
            <w:tcW w:w="850" w:type="dxa"/>
            <w:vAlign w:val="center"/>
          </w:tcPr>
          <w:p w14:paraId="14B243DE">
            <w:pPr>
              <w:keepNext/>
              <w:adjustRightInd w:val="0"/>
              <w:ind w:left="63" w:leftChars="30" w:right="63" w:rightChars="30"/>
              <w:jc w:val="center"/>
              <w:textAlignment w:val="baseline"/>
              <w:rPr>
                <w:rFonts w:hint="eastAsia" w:ascii="宋体" w:hAnsi="宋体"/>
              </w:rPr>
            </w:pPr>
          </w:p>
        </w:tc>
        <w:tc>
          <w:tcPr>
            <w:tcW w:w="1058" w:type="dxa"/>
            <w:vAlign w:val="center"/>
          </w:tcPr>
          <w:p w14:paraId="19D47931">
            <w:pPr>
              <w:keepNext/>
              <w:adjustRightInd w:val="0"/>
              <w:ind w:left="63" w:leftChars="30" w:right="63" w:rightChars="30"/>
              <w:jc w:val="center"/>
              <w:textAlignment w:val="baseline"/>
              <w:rPr>
                <w:rFonts w:hint="eastAsia" w:ascii="宋体" w:hAnsi="宋体"/>
              </w:rPr>
            </w:pPr>
          </w:p>
        </w:tc>
        <w:tc>
          <w:tcPr>
            <w:tcW w:w="880" w:type="dxa"/>
            <w:vAlign w:val="center"/>
          </w:tcPr>
          <w:p w14:paraId="66356E32">
            <w:pPr>
              <w:keepNext/>
              <w:adjustRightInd w:val="0"/>
              <w:ind w:left="63" w:leftChars="30" w:right="63" w:rightChars="30"/>
              <w:jc w:val="center"/>
              <w:textAlignment w:val="baseline"/>
              <w:rPr>
                <w:rFonts w:hint="eastAsia" w:ascii="宋体" w:hAnsi="宋体"/>
              </w:rPr>
            </w:pPr>
          </w:p>
        </w:tc>
        <w:tc>
          <w:tcPr>
            <w:tcW w:w="1020" w:type="dxa"/>
            <w:vAlign w:val="center"/>
          </w:tcPr>
          <w:p w14:paraId="303771A6">
            <w:pPr>
              <w:keepNext/>
              <w:adjustRightInd w:val="0"/>
              <w:ind w:left="63" w:leftChars="30" w:right="63" w:rightChars="30"/>
              <w:jc w:val="center"/>
              <w:textAlignment w:val="baseline"/>
              <w:rPr>
                <w:rFonts w:hint="eastAsia" w:ascii="宋体" w:hAnsi="宋体"/>
              </w:rPr>
            </w:pPr>
          </w:p>
        </w:tc>
        <w:tc>
          <w:tcPr>
            <w:tcW w:w="1480" w:type="dxa"/>
            <w:vAlign w:val="center"/>
          </w:tcPr>
          <w:p w14:paraId="02721C84">
            <w:pPr>
              <w:keepNext/>
              <w:adjustRightInd w:val="0"/>
              <w:ind w:left="63" w:leftChars="30" w:right="63" w:rightChars="30"/>
              <w:jc w:val="center"/>
              <w:textAlignment w:val="baseline"/>
              <w:rPr>
                <w:rFonts w:hint="eastAsia" w:ascii="宋体" w:hAnsi="宋体"/>
              </w:rPr>
            </w:pPr>
          </w:p>
        </w:tc>
        <w:tc>
          <w:tcPr>
            <w:tcW w:w="1020" w:type="dxa"/>
            <w:vAlign w:val="center"/>
          </w:tcPr>
          <w:p w14:paraId="754B9E72">
            <w:pPr>
              <w:keepNext/>
              <w:adjustRightInd w:val="0"/>
              <w:ind w:left="63" w:leftChars="30" w:right="63" w:rightChars="30"/>
              <w:jc w:val="center"/>
              <w:textAlignment w:val="baseline"/>
              <w:rPr>
                <w:rFonts w:hint="eastAsia" w:ascii="宋体" w:hAnsi="宋体"/>
              </w:rPr>
            </w:pPr>
          </w:p>
        </w:tc>
        <w:tc>
          <w:tcPr>
            <w:tcW w:w="921" w:type="dxa"/>
            <w:vAlign w:val="center"/>
          </w:tcPr>
          <w:p w14:paraId="7B6B4BA0">
            <w:pPr>
              <w:keepNext/>
              <w:adjustRightInd w:val="0"/>
              <w:ind w:left="63" w:leftChars="30" w:right="63" w:rightChars="30"/>
              <w:jc w:val="center"/>
              <w:textAlignment w:val="baseline"/>
              <w:rPr>
                <w:rFonts w:hint="eastAsia" w:ascii="宋体" w:hAnsi="宋体"/>
              </w:rPr>
            </w:pPr>
          </w:p>
        </w:tc>
      </w:tr>
      <w:tr w14:paraId="147C25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537EDD9">
            <w:pPr>
              <w:keepNext/>
              <w:adjustRightInd w:val="0"/>
              <w:ind w:left="63" w:leftChars="30" w:right="63" w:rightChars="30"/>
              <w:jc w:val="center"/>
              <w:textAlignment w:val="baseline"/>
              <w:rPr>
                <w:rFonts w:hint="eastAsia" w:ascii="宋体" w:hAnsi="宋体"/>
              </w:rPr>
            </w:pPr>
          </w:p>
        </w:tc>
        <w:tc>
          <w:tcPr>
            <w:tcW w:w="1418" w:type="dxa"/>
            <w:vAlign w:val="center"/>
          </w:tcPr>
          <w:p w14:paraId="5643EA28">
            <w:pPr>
              <w:keepNext/>
              <w:adjustRightInd w:val="0"/>
              <w:ind w:left="63" w:leftChars="30" w:right="63" w:rightChars="30"/>
              <w:jc w:val="center"/>
              <w:textAlignment w:val="baseline"/>
              <w:rPr>
                <w:rFonts w:hint="eastAsia" w:ascii="宋体" w:hAnsi="宋体"/>
              </w:rPr>
            </w:pPr>
          </w:p>
        </w:tc>
        <w:tc>
          <w:tcPr>
            <w:tcW w:w="850" w:type="dxa"/>
            <w:vAlign w:val="center"/>
          </w:tcPr>
          <w:p w14:paraId="08C0447A">
            <w:pPr>
              <w:keepNext/>
              <w:adjustRightInd w:val="0"/>
              <w:ind w:left="63" w:leftChars="30" w:right="63" w:rightChars="30"/>
              <w:jc w:val="center"/>
              <w:textAlignment w:val="baseline"/>
              <w:rPr>
                <w:rFonts w:hint="eastAsia" w:ascii="宋体" w:hAnsi="宋体"/>
              </w:rPr>
            </w:pPr>
          </w:p>
        </w:tc>
        <w:tc>
          <w:tcPr>
            <w:tcW w:w="1058" w:type="dxa"/>
            <w:vAlign w:val="center"/>
          </w:tcPr>
          <w:p w14:paraId="54792AB4">
            <w:pPr>
              <w:keepNext/>
              <w:adjustRightInd w:val="0"/>
              <w:ind w:left="63" w:leftChars="30" w:right="63" w:rightChars="30"/>
              <w:jc w:val="center"/>
              <w:textAlignment w:val="baseline"/>
              <w:rPr>
                <w:rFonts w:hint="eastAsia" w:ascii="宋体" w:hAnsi="宋体"/>
              </w:rPr>
            </w:pPr>
          </w:p>
        </w:tc>
        <w:tc>
          <w:tcPr>
            <w:tcW w:w="880" w:type="dxa"/>
            <w:vAlign w:val="center"/>
          </w:tcPr>
          <w:p w14:paraId="306D165A">
            <w:pPr>
              <w:keepNext/>
              <w:adjustRightInd w:val="0"/>
              <w:ind w:left="63" w:leftChars="30" w:right="63" w:rightChars="30"/>
              <w:jc w:val="center"/>
              <w:textAlignment w:val="baseline"/>
              <w:rPr>
                <w:rFonts w:hint="eastAsia" w:ascii="宋体" w:hAnsi="宋体"/>
              </w:rPr>
            </w:pPr>
          </w:p>
        </w:tc>
        <w:tc>
          <w:tcPr>
            <w:tcW w:w="1020" w:type="dxa"/>
            <w:vAlign w:val="center"/>
          </w:tcPr>
          <w:p w14:paraId="33D5169B">
            <w:pPr>
              <w:keepNext/>
              <w:adjustRightInd w:val="0"/>
              <w:ind w:left="63" w:leftChars="30" w:right="63" w:rightChars="30"/>
              <w:jc w:val="center"/>
              <w:textAlignment w:val="baseline"/>
              <w:rPr>
                <w:rFonts w:hint="eastAsia" w:ascii="宋体" w:hAnsi="宋体"/>
              </w:rPr>
            </w:pPr>
          </w:p>
        </w:tc>
        <w:tc>
          <w:tcPr>
            <w:tcW w:w="1480" w:type="dxa"/>
            <w:vAlign w:val="center"/>
          </w:tcPr>
          <w:p w14:paraId="12FEF4D6">
            <w:pPr>
              <w:keepNext/>
              <w:adjustRightInd w:val="0"/>
              <w:ind w:left="63" w:leftChars="30" w:right="63" w:rightChars="30"/>
              <w:jc w:val="center"/>
              <w:textAlignment w:val="baseline"/>
              <w:rPr>
                <w:rFonts w:hint="eastAsia" w:ascii="宋体" w:hAnsi="宋体"/>
              </w:rPr>
            </w:pPr>
          </w:p>
        </w:tc>
        <w:tc>
          <w:tcPr>
            <w:tcW w:w="1020" w:type="dxa"/>
            <w:vAlign w:val="center"/>
          </w:tcPr>
          <w:p w14:paraId="462A9D86">
            <w:pPr>
              <w:keepNext/>
              <w:adjustRightInd w:val="0"/>
              <w:ind w:left="63" w:leftChars="30" w:right="63" w:rightChars="30"/>
              <w:jc w:val="center"/>
              <w:textAlignment w:val="baseline"/>
              <w:rPr>
                <w:rFonts w:hint="eastAsia" w:ascii="宋体" w:hAnsi="宋体"/>
              </w:rPr>
            </w:pPr>
          </w:p>
        </w:tc>
        <w:tc>
          <w:tcPr>
            <w:tcW w:w="921" w:type="dxa"/>
            <w:vAlign w:val="center"/>
          </w:tcPr>
          <w:p w14:paraId="5218B0F0">
            <w:pPr>
              <w:keepNext/>
              <w:adjustRightInd w:val="0"/>
              <w:ind w:left="63" w:leftChars="30" w:right="63" w:rightChars="30"/>
              <w:jc w:val="center"/>
              <w:textAlignment w:val="baseline"/>
              <w:rPr>
                <w:rFonts w:hint="eastAsia" w:ascii="宋体" w:hAnsi="宋体"/>
              </w:rPr>
            </w:pPr>
          </w:p>
        </w:tc>
      </w:tr>
      <w:tr w14:paraId="0B526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A1C333D">
            <w:pPr>
              <w:keepNext/>
              <w:adjustRightInd w:val="0"/>
              <w:ind w:left="63" w:leftChars="30" w:right="63" w:rightChars="30"/>
              <w:jc w:val="center"/>
              <w:textAlignment w:val="baseline"/>
              <w:rPr>
                <w:rFonts w:hint="eastAsia" w:ascii="宋体" w:hAnsi="宋体"/>
              </w:rPr>
            </w:pPr>
          </w:p>
        </w:tc>
        <w:tc>
          <w:tcPr>
            <w:tcW w:w="1418" w:type="dxa"/>
            <w:vAlign w:val="center"/>
          </w:tcPr>
          <w:p w14:paraId="61E3950F">
            <w:pPr>
              <w:keepNext/>
              <w:adjustRightInd w:val="0"/>
              <w:ind w:left="63" w:leftChars="30" w:right="63" w:rightChars="30"/>
              <w:jc w:val="center"/>
              <w:textAlignment w:val="baseline"/>
              <w:rPr>
                <w:rFonts w:hint="eastAsia" w:ascii="宋体" w:hAnsi="宋体"/>
              </w:rPr>
            </w:pPr>
          </w:p>
        </w:tc>
        <w:tc>
          <w:tcPr>
            <w:tcW w:w="850" w:type="dxa"/>
            <w:vAlign w:val="center"/>
          </w:tcPr>
          <w:p w14:paraId="2F12FFA0">
            <w:pPr>
              <w:keepNext/>
              <w:adjustRightInd w:val="0"/>
              <w:ind w:left="63" w:leftChars="30" w:right="63" w:rightChars="30"/>
              <w:jc w:val="center"/>
              <w:textAlignment w:val="baseline"/>
              <w:rPr>
                <w:rFonts w:hint="eastAsia" w:ascii="宋体" w:hAnsi="宋体"/>
              </w:rPr>
            </w:pPr>
          </w:p>
        </w:tc>
        <w:tc>
          <w:tcPr>
            <w:tcW w:w="1058" w:type="dxa"/>
            <w:vAlign w:val="center"/>
          </w:tcPr>
          <w:p w14:paraId="659D44A5">
            <w:pPr>
              <w:keepNext/>
              <w:adjustRightInd w:val="0"/>
              <w:ind w:left="63" w:leftChars="30" w:right="63" w:rightChars="30"/>
              <w:jc w:val="center"/>
              <w:textAlignment w:val="baseline"/>
              <w:rPr>
                <w:rFonts w:hint="eastAsia" w:ascii="宋体" w:hAnsi="宋体"/>
              </w:rPr>
            </w:pPr>
          </w:p>
        </w:tc>
        <w:tc>
          <w:tcPr>
            <w:tcW w:w="880" w:type="dxa"/>
            <w:vAlign w:val="center"/>
          </w:tcPr>
          <w:p w14:paraId="65DE9948">
            <w:pPr>
              <w:keepNext/>
              <w:adjustRightInd w:val="0"/>
              <w:ind w:left="63" w:leftChars="30" w:right="63" w:rightChars="30"/>
              <w:jc w:val="center"/>
              <w:textAlignment w:val="baseline"/>
              <w:rPr>
                <w:rFonts w:hint="eastAsia" w:ascii="宋体" w:hAnsi="宋体"/>
              </w:rPr>
            </w:pPr>
          </w:p>
        </w:tc>
        <w:tc>
          <w:tcPr>
            <w:tcW w:w="1020" w:type="dxa"/>
            <w:vAlign w:val="center"/>
          </w:tcPr>
          <w:p w14:paraId="6E1D4BAF">
            <w:pPr>
              <w:keepNext/>
              <w:adjustRightInd w:val="0"/>
              <w:ind w:left="63" w:leftChars="30" w:right="63" w:rightChars="30"/>
              <w:jc w:val="center"/>
              <w:textAlignment w:val="baseline"/>
              <w:rPr>
                <w:rFonts w:hint="eastAsia" w:ascii="宋体" w:hAnsi="宋体"/>
              </w:rPr>
            </w:pPr>
          </w:p>
        </w:tc>
        <w:tc>
          <w:tcPr>
            <w:tcW w:w="1480" w:type="dxa"/>
            <w:vAlign w:val="center"/>
          </w:tcPr>
          <w:p w14:paraId="7D436096">
            <w:pPr>
              <w:keepNext/>
              <w:adjustRightInd w:val="0"/>
              <w:ind w:left="63" w:leftChars="30" w:right="63" w:rightChars="30"/>
              <w:jc w:val="center"/>
              <w:textAlignment w:val="baseline"/>
              <w:rPr>
                <w:rFonts w:hint="eastAsia" w:ascii="宋体" w:hAnsi="宋体"/>
              </w:rPr>
            </w:pPr>
          </w:p>
        </w:tc>
        <w:tc>
          <w:tcPr>
            <w:tcW w:w="1020" w:type="dxa"/>
            <w:vAlign w:val="center"/>
          </w:tcPr>
          <w:p w14:paraId="257A0DB8">
            <w:pPr>
              <w:keepNext/>
              <w:adjustRightInd w:val="0"/>
              <w:ind w:left="63" w:leftChars="30" w:right="63" w:rightChars="30"/>
              <w:jc w:val="center"/>
              <w:textAlignment w:val="baseline"/>
              <w:rPr>
                <w:rFonts w:hint="eastAsia" w:ascii="宋体" w:hAnsi="宋体"/>
              </w:rPr>
            </w:pPr>
          </w:p>
        </w:tc>
        <w:tc>
          <w:tcPr>
            <w:tcW w:w="921" w:type="dxa"/>
            <w:vAlign w:val="center"/>
          </w:tcPr>
          <w:p w14:paraId="6A7BD828">
            <w:pPr>
              <w:keepNext/>
              <w:adjustRightInd w:val="0"/>
              <w:ind w:left="63" w:leftChars="30" w:right="63" w:rightChars="30"/>
              <w:jc w:val="center"/>
              <w:textAlignment w:val="baseline"/>
              <w:rPr>
                <w:rFonts w:hint="eastAsia" w:ascii="宋体" w:hAnsi="宋体"/>
              </w:rPr>
            </w:pPr>
          </w:p>
        </w:tc>
      </w:tr>
      <w:tr w14:paraId="4944C0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3CF4B82">
            <w:pPr>
              <w:rPr>
                <w:rFonts w:hint="eastAsia" w:ascii="宋体" w:hAnsi="宋体"/>
              </w:rPr>
            </w:pPr>
          </w:p>
        </w:tc>
        <w:tc>
          <w:tcPr>
            <w:tcW w:w="1418" w:type="dxa"/>
          </w:tcPr>
          <w:p w14:paraId="2F599582">
            <w:pPr>
              <w:rPr>
                <w:rFonts w:hint="eastAsia" w:ascii="宋体" w:hAnsi="宋体"/>
              </w:rPr>
            </w:pPr>
          </w:p>
        </w:tc>
        <w:tc>
          <w:tcPr>
            <w:tcW w:w="850" w:type="dxa"/>
          </w:tcPr>
          <w:p w14:paraId="53445A6E">
            <w:pPr>
              <w:rPr>
                <w:rFonts w:hint="eastAsia" w:ascii="宋体" w:hAnsi="宋体"/>
              </w:rPr>
            </w:pPr>
          </w:p>
        </w:tc>
        <w:tc>
          <w:tcPr>
            <w:tcW w:w="1058" w:type="dxa"/>
          </w:tcPr>
          <w:p w14:paraId="1BF92170">
            <w:pPr>
              <w:rPr>
                <w:rFonts w:hint="eastAsia" w:ascii="宋体" w:hAnsi="宋体"/>
              </w:rPr>
            </w:pPr>
          </w:p>
        </w:tc>
        <w:tc>
          <w:tcPr>
            <w:tcW w:w="880" w:type="dxa"/>
          </w:tcPr>
          <w:p w14:paraId="064AA9BD">
            <w:pPr>
              <w:rPr>
                <w:rFonts w:hint="eastAsia" w:ascii="宋体" w:hAnsi="宋体"/>
              </w:rPr>
            </w:pPr>
          </w:p>
        </w:tc>
        <w:tc>
          <w:tcPr>
            <w:tcW w:w="1020" w:type="dxa"/>
          </w:tcPr>
          <w:p w14:paraId="6DF1490C">
            <w:pPr>
              <w:rPr>
                <w:rFonts w:hint="eastAsia" w:ascii="宋体" w:hAnsi="宋体"/>
              </w:rPr>
            </w:pPr>
          </w:p>
        </w:tc>
        <w:tc>
          <w:tcPr>
            <w:tcW w:w="1480" w:type="dxa"/>
          </w:tcPr>
          <w:p w14:paraId="1ED9A170">
            <w:pPr>
              <w:rPr>
                <w:rFonts w:hint="eastAsia" w:ascii="宋体" w:hAnsi="宋体"/>
              </w:rPr>
            </w:pPr>
          </w:p>
        </w:tc>
        <w:tc>
          <w:tcPr>
            <w:tcW w:w="1020" w:type="dxa"/>
          </w:tcPr>
          <w:p w14:paraId="7A6C0FFA">
            <w:pPr>
              <w:rPr>
                <w:rFonts w:hint="eastAsia" w:ascii="宋体" w:hAnsi="宋体"/>
              </w:rPr>
            </w:pPr>
          </w:p>
        </w:tc>
        <w:tc>
          <w:tcPr>
            <w:tcW w:w="921" w:type="dxa"/>
          </w:tcPr>
          <w:p w14:paraId="54269151">
            <w:pPr>
              <w:rPr>
                <w:rFonts w:hint="eastAsia" w:ascii="宋体" w:hAnsi="宋体"/>
              </w:rPr>
            </w:pPr>
          </w:p>
        </w:tc>
      </w:tr>
      <w:tr w14:paraId="5AC1A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4431D7B">
            <w:pPr>
              <w:keepNext/>
              <w:adjustRightInd w:val="0"/>
              <w:ind w:left="63" w:leftChars="30" w:right="63" w:rightChars="30"/>
              <w:jc w:val="center"/>
              <w:textAlignment w:val="baseline"/>
              <w:rPr>
                <w:rFonts w:hint="eastAsia" w:ascii="宋体" w:hAnsi="宋体"/>
              </w:rPr>
            </w:pPr>
          </w:p>
        </w:tc>
        <w:tc>
          <w:tcPr>
            <w:tcW w:w="1418" w:type="dxa"/>
            <w:vAlign w:val="center"/>
          </w:tcPr>
          <w:p w14:paraId="54ADECB1">
            <w:pPr>
              <w:keepNext/>
              <w:adjustRightInd w:val="0"/>
              <w:ind w:left="63" w:leftChars="30" w:right="63" w:rightChars="30"/>
              <w:jc w:val="center"/>
              <w:textAlignment w:val="baseline"/>
              <w:rPr>
                <w:rFonts w:hint="eastAsia" w:ascii="宋体" w:hAnsi="宋体"/>
              </w:rPr>
            </w:pPr>
          </w:p>
        </w:tc>
        <w:tc>
          <w:tcPr>
            <w:tcW w:w="850" w:type="dxa"/>
            <w:vAlign w:val="center"/>
          </w:tcPr>
          <w:p w14:paraId="5BF4401E">
            <w:pPr>
              <w:keepNext/>
              <w:adjustRightInd w:val="0"/>
              <w:ind w:left="63" w:leftChars="30" w:right="63" w:rightChars="30"/>
              <w:jc w:val="center"/>
              <w:textAlignment w:val="baseline"/>
              <w:rPr>
                <w:rFonts w:hint="eastAsia" w:ascii="宋体" w:hAnsi="宋体"/>
              </w:rPr>
            </w:pPr>
          </w:p>
        </w:tc>
        <w:tc>
          <w:tcPr>
            <w:tcW w:w="1058" w:type="dxa"/>
            <w:vAlign w:val="center"/>
          </w:tcPr>
          <w:p w14:paraId="1DF572FB">
            <w:pPr>
              <w:keepNext/>
              <w:adjustRightInd w:val="0"/>
              <w:ind w:left="63" w:leftChars="30" w:right="63" w:rightChars="30"/>
              <w:jc w:val="center"/>
              <w:textAlignment w:val="baseline"/>
              <w:rPr>
                <w:rFonts w:hint="eastAsia" w:ascii="宋体" w:hAnsi="宋体"/>
              </w:rPr>
            </w:pPr>
          </w:p>
        </w:tc>
        <w:tc>
          <w:tcPr>
            <w:tcW w:w="880" w:type="dxa"/>
            <w:vAlign w:val="center"/>
          </w:tcPr>
          <w:p w14:paraId="50151D3B">
            <w:pPr>
              <w:keepNext/>
              <w:adjustRightInd w:val="0"/>
              <w:ind w:left="63" w:leftChars="30" w:right="63" w:rightChars="30"/>
              <w:jc w:val="center"/>
              <w:textAlignment w:val="baseline"/>
              <w:rPr>
                <w:rFonts w:hint="eastAsia" w:ascii="宋体" w:hAnsi="宋体"/>
              </w:rPr>
            </w:pPr>
          </w:p>
        </w:tc>
        <w:tc>
          <w:tcPr>
            <w:tcW w:w="1020" w:type="dxa"/>
            <w:vAlign w:val="center"/>
          </w:tcPr>
          <w:p w14:paraId="2C0EB263">
            <w:pPr>
              <w:keepNext/>
              <w:adjustRightInd w:val="0"/>
              <w:ind w:left="63" w:leftChars="30" w:right="63" w:rightChars="30"/>
              <w:jc w:val="center"/>
              <w:textAlignment w:val="baseline"/>
              <w:rPr>
                <w:rFonts w:hint="eastAsia" w:ascii="宋体" w:hAnsi="宋体"/>
              </w:rPr>
            </w:pPr>
          </w:p>
        </w:tc>
        <w:tc>
          <w:tcPr>
            <w:tcW w:w="1480" w:type="dxa"/>
            <w:vAlign w:val="center"/>
          </w:tcPr>
          <w:p w14:paraId="4DE8231D">
            <w:pPr>
              <w:keepNext/>
              <w:adjustRightInd w:val="0"/>
              <w:ind w:left="63" w:leftChars="30" w:right="63" w:rightChars="30"/>
              <w:jc w:val="center"/>
              <w:textAlignment w:val="baseline"/>
              <w:rPr>
                <w:rFonts w:hint="eastAsia" w:ascii="宋体" w:hAnsi="宋体"/>
              </w:rPr>
            </w:pPr>
          </w:p>
        </w:tc>
        <w:tc>
          <w:tcPr>
            <w:tcW w:w="1020" w:type="dxa"/>
            <w:vAlign w:val="center"/>
          </w:tcPr>
          <w:p w14:paraId="5D73063A">
            <w:pPr>
              <w:keepNext/>
              <w:adjustRightInd w:val="0"/>
              <w:ind w:left="63" w:leftChars="30" w:right="63" w:rightChars="30"/>
              <w:jc w:val="center"/>
              <w:textAlignment w:val="baseline"/>
              <w:rPr>
                <w:rFonts w:hint="eastAsia" w:ascii="宋体" w:hAnsi="宋体"/>
              </w:rPr>
            </w:pPr>
          </w:p>
        </w:tc>
        <w:tc>
          <w:tcPr>
            <w:tcW w:w="921" w:type="dxa"/>
            <w:vAlign w:val="center"/>
          </w:tcPr>
          <w:p w14:paraId="57195DA9">
            <w:pPr>
              <w:keepNext/>
              <w:adjustRightInd w:val="0"/>
              <w:ind w:left="63" w:leftChars="30" w:right="63" w:rightChars="30"/>
              <w:jc w:val="center"/>
              <w:textAlignment w:val="baseline"/>
              <w:rPr>
                <w:rFonts w:hint="eastAsia" w:ascii="宋体" w:hAnsi="宋体"/>
              </w:rPr>
            </w:pPr>
          </w:p>
        </w:tc>
      </w:tr>
      <w:tr w14:paraId="17705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617EA83">
            <w:pPr>
              <w:rPr>
                <w:rFonts w:hint="eastAsia" w:ascii="宋体" w:hAnsi="宋体"/>
              </w:rPr>
            </w:pPr>
          </w:p>
        </w:tc>
        <w:tc>
          <w:tcPr>
            <w:tcW w:w="1418" w:type="dxa"/>
          </w:tcPr>
          <w:p w14:paraId="2EB43088">
            <w:pPr>
              <w:rPr>
                <w:rFonts w:hint="eastAsia" w:ascii="宋体" w:hAnsi="宋体"/>
              </w:rPr>
            </w:pPr>
          </w:p>
        </w:tc>
        <w:tc>
          <w:tcPr>
            <w:tcW w:w="850" w:type="dxa"/>
          </w:tcPr>
          <w:p w14:paraId="090DF6E1">
            <w:pPr>
              <w:rPr>
                <w:rFonts w:hint="eastAsia" w:ascii="宋体" w:hAnsi="宋体"/>
              </w:rPr>
            </w:pPr>
          </w:p>
        </w:tc>
        <w:tc>
          <w:tcPr>
            <w:tcW w:w="1058" w:type="dxa"/>
          </w:tcPr>
          <w:p w14:paraId="66A65D9D">
            <w:pPr>
              <w:rPr>
                <w:rFonts w:hint="eastAsia" w:ascii="宋体" w:hAnsi="宋体"/>
              </w:rPr>
            </w:pPr>
          </w:p>
        </w:tc>
        <w:tc>
          <w:tcPr>
            <w:tcW w:w="880" w:type="dxa"/>
          </w:tcPr>
          <w:p w14:paraId="7044BD09">
            <w:pPr>
              <w:rPr>
                <w:rFonts w:hint="eastAsia" w:ascii="宋体" w:hAnsi="宋体"/>
              </w:rPr>
            </w:pPr>
          </w:p>
        </w:tc>
        <w:tc>
          <w:tcPr>
            <w:tcW w:w="1020" w:type="dxa"/>
          </w:tcPr>
          <w:p w14:paraId="6248D280">
            <w:pPr>
              <w:rPr>
                <w:rFonts w:hint="eastAsia" w:ascii="宋体" w:hAnsi="宋体"/>
              </w:rPr>
            </w:pPr>
          </w:p>
        </w:tc>
        <w:tc>
          <w:tcPr>
            <w:tcW w:w="1480" w:type="dxa"/>
          </w:tcPr>
          <w:p w14:paraId="0298E9CB">
            <w:pPr>
              <w:rPr>
                <w:rFonts w:hint="eastAsia" w:ascii="宋体" w:hAnsi="宋体"/>
              </w:rPr>
            </w:pPr>
          </w:p>
        </w:tc>
        <w:tc>
          <w:tcPr>
            <w:tcW w:w="1020" w:type="dxa"/>
          </w:tcPr>
          <w:p w14:paraId="6C23E148">
            <w:pPr>
              <w:rPr>
                <w:rFonts w:hint="eastAsia" w:ascii="宋体" w:hAnsi="宋体"/>
              </w:rPr>
            </w:pPr>
          </w:p>
        </w:tc>
        <w:tc>
          <w:tcPr>
            <w:tcW w:w="921" w:type="dxa"/>
          </w:tcPr>
          <w:p w14:paraId="11A907B6">
            <w:pPr>
              <w:rPr>
                <w:rFonts w:hint="eastAsia" w:ascii="宋体" w:hAnsi="宋体"/>
              </w:rPr>
            </w:pPr>
          </w:p>
        </w:tc>
      </w:tr>
      <w:tr w14:paraId="6D634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77F3CAE4">
            <w:pPr>
              <w:rPr>
                <w:rFonts w:hint="eastAsia" w:ascii="宋体" w:hAnsi="宋体"/>
              </w:rPr>
            </w:pPr>
          </w:p>
        </w:tc>
        <w:tc>
          <w:tcPr>
            <w:tcW w:w="1418" w:type="dxa"/>
          </w:tcPr>
          <w:p w14:paraId="60E04699">
            <w:pPr>
              <w:rPr>
                <w:rFonts w:hint="eastAsia" w:ascii="宋体" w:hAnsi="宋体"/>
              </w:rPr>
            </w:pPr>
          </w:p>
        </w:tc>
        <w:tc>
          <w:tcPr>
            <w:tcW w:w="850" w:type="dxa"/>
          </w:tcPr>
          <w:p w14:paraId="0136430F">
            <w:pPr>
              <w:rPr>
                <w:rFonts w:hint="eastAsia" w:ascii="宋体" w:hAnsi="宋体"/>
              </w:rPr>
            </w:pPr>
          </w:p>
        </w:tc>
        <w:tc>
          <w:tcPr>
            <w:tcW w:w="1058" w:type="dxa"/>
          </w:tcPr>
          <w:p w14:paraId="04263E4A">
            <w:pPr>
              <w:rPr>
                <w:rFonts w:hint="eastAsia" w:ascii="宋体" w:hAnsi="宋体"/>
              </w:rPr>
            </w:pPr>
          </w:p>
        </w:tc>
        <w:tc>
          <w:tcPr>
            <w:tcW w:w="880" w:type="dxa"/>
          </w:tcPr>
          <w:p w14:paraId="38EB430E">
            <w:pPr>
              <w:rPr>
                <w:rFonts w:hint="eastAsia" w:ascii="宋体" w:hAnsi="宋体"/>
              </w:rPr>
            </w:pPr>
          </w:p>
        </w:tc>
        <w:tc>
          <w:tcPr>
            <w:tcW w:w="1020" w:type="dxa"/>
          </w:tcPr>
          <w:p w14:paraId="5965BDDF">
            <w:pPr>
              <w:rPr>
                <w:rFonts w:hint="eastAsia" w:ascii="宋体" w:hAnsi="宋体"/>
              </w:rPr>
            </w:pPr>
          </w:p>
        </w:tc>
        <w:tc>
          <w:tcPr>
            <w:tcW w:w="1480" w:type="dxa"/>
          </w:tcPr>
          <w:p w14:paraId="639EF2C5">
            <w:pPr>
              <w:rPr>
                <w:rFonts w:hint="eastAsia" w:ascii="宋体" w:hAnsi="宋体"/>
              </w:rPr>
            </w:pPr>
          </w:p>
        </w:tc>
        <w:tc>
          <w:tcPr>
            <w:tcW w:w="1020" w:type="dxa"/>
          </w:tcPr>
          <w:p w14:paraId="7DF719AF">
            <w:pPr>
              <w:rPr>
                <w:rFonts w:hint="eastAsia" w:ascii="宋体" w:hAnsi="宋体"/>
              </w:rPr>
            </w:pPr>
          </w:p>
        </w:tc>
        <w:tc>
          <w:tcPr>
            <w:tcW w:w="921" w:type="dxa"/>
          </w:tcPr>
          <w:p w14:paraId="05208414">
            <w:pPr>
              <w:rPr>
                <w:rFonts w:hint="eastAsia" w:ascii="宋体" w:hAnsi="宋体"/>
              </w:rPr>
            </w:pPr>
          </w:p>
        </w:tc>
      </w:tr>
      <w:tr w14:paraId="46312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D7D0D04">
            <w:pPr>
              <w:rPr>
                <w:rFonts w:hint="eastAsia" w:ascii="宋体" w:hAnsi="宋体"/>
              </w:rPr>
            </w:pPr>
          </w:p>
        </w:tc>
        <w:tc>
          <w:tcPr>
            <w:tcW w:w="1418" w:type="dxa"/>
          </w:tcPr>
          <w:p w14:paraId="1605FA37">
            <w:pPr>
              <w:rPr>
                <w:rFonts w:hint="eastAsia" w:ascii="宋体" w:hAnsi="宋体"/>
              </w:rPr>
            </w:pPr>
          </w:p>
        </w:tc>
        <w:tc>
          <w:tcPr>
            <w:tcW w:w="850" w:type="dxa"/>
          </w:tcPr>
          <w:p w14:paraId="084D8D74">
            <w:pPr>
              <w:rPr>
                <w:rFonts w:hint="eastAsia" w:ascii="宋体" w:hAnsi="宋体"/>
              </w:rPr>
            </w:pPr>
          </w:p>
        </w:tc>
        <w:tc>
          <w:tcPr>
            <w:tcW w:w="1058" w:type="dxa"/>
          </w:tcPr>
          <w:p w14:paraId="5EB63BCA">
            <w:pPr>
              <w:rPr>
                <w:rFonts w:hint="eastAsia" w:ascii="宋体" w:hAnsi="宋体"/>
              </w:rPr>
            </w:pPr>
          </w:p>
        </w:tc>
        <w:tc>
          <w:tcPr>
            <w:tcW w:w="880" w:type="dxa"/>
          </w:tcPr>
          <w:p w14:paraId="5AE64460">
            <w:pPr>
              <w:rPr>
                <w:rFonts w:hint="eastAsia" w:ascii="宋体" w:hAnsi="宋体"/>
              </w:rPr>
            </w:pPr>
          </w:p>
        </w:tc>
        <w:tc>
          <w:tcPr>
            <w:tcW w:w="1020" w:type="dxa"/>
          </w:tcPr>
          <w:p w14:paraId="16B4DF7D">
            <w:pPr>
              <w:rPr>
                <w:rFonts w:hint="eastAsia" w:ascii="宋体" w:hAnsi="宋体"/>
              </w:rPr>
            </w:pPr>
          </w:p>
        </w:tc>
        <w:tc>
          <w:tcPr>
            <w:tcW w:w="1480" w:type="dxa"/>
          </w:tcPr>
          <w:p w14:paraId="28931731">
            <w:pPr>
              <w:rPr>
                <w:rFonts w:hint="eastAsia" w:ascii="宋体" w:hAnsi="宋体"/>
              </w:rPr>
            </w:pPr>
          </w:p>
        </w:tc>
        <w:tc>
          <w:tcPr>
            <w:tcW w:w="1020" w:type="dxa"/>
          </w:tcPr>
          <w:p w14:paraId="2C284FEC">
            <w:pPr>
              <w:rPr>
                <w:rFonts w:hint="eastAsia" w:ascii="宋体" w:hAnsi="宋体"/>
              </w:rPr>
            </w:pPr>
          </w:p>
        </w:tc>
        <w:tc>
          <w:tcPr>
            <w:tcW w:w="921" w:type="dxa"/>
          </w:tcPr>
          <w:p w14:paraId="3A9043AD">
            <w:pPr>
              <w:rPr>
                <w:rFonts w:hint="eastAsia" w:ascii="宋体" w:hAnsi="宋体"/>
              </w:rPr>
            </w:pPr>
          </w:p>
        </w:tc>
      </w:tr>
      <w:tr w14:paraId="734F4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AD38728">
            <w:pPr>
              <w:rPr>
                <w:rFonts w:hint="eastAsia" w:ascii="宋体" w:hAnsi="宋体"/>
              </w:rPr>
            </w:pPr>
          </w:p>
        </w:tc>
        <w:tc>
          <w:tcPr>
            <w:tcW w:w="1418" w:type="dxa"/>
          </w:tcPr>
          <w:p w14:paraId="0727ABC1">
            <w:pPr>
              <w:rPr>
                <w:rFonts w:hint="eastAsia" w:ascii="宋体" w:hAnsi="宋体"/>
              </w:rPr>
            </w:pPr>
          </w:p>
        </w:tc>
        <w:tc>
          <w:tcPr>
            <w:tcW w:w="850" w:type="dxa"/>
          </w:tcPr>
          <w:p w14:paraId="5ECB6F65">
            <w:pPr>
              <w:rPr>
                <w:rFonts w:hint="eastAsia" w:ascii="宋体" w:hAnsi="宋体"/>
              </w:rPr>
            </w:pPr>
          </w:p>
        </w:tc>
        <w:tc>
          <w:tcPr>
            <w:tcW w:w="1058" w:type="dxa"/>
          </w:tcPr>
          <w:p w14:paraId="4D2B4059">
            <w:pPr>
              <w:rPr>
                <w:rFonts w:hint="eastAsia" w:ascii="宋体" w:hAnsi="宋体"/>
              </w:rPr>
            </w:pPr>
          </w:p>
        </w:tc>
        <w:tc>
          <w:tcPr>
            <w:tcW w:w="880" w:type="dxa"/>
          </w:tcPr>
          <w:p w14:paraId="2F840BAB">
            <w:pPr>
              <w:rPr>
                <w:rFonts w:hint="eastAsia" w:ascii="宋体" w:hAnsi="宋体"/>
              </w:rPr>
            </w:pPr>
          </w:p>
        </w:tc>
        <w:tc>
          <w:tcPr>
            <w:tcW w:w="1020" w:type="dxa"/>
          </w:tcPr>
          <w:p w14:paraId="6405872F">
            <w:pPr>
              <w:rPr>
                <w:rFonts w:hint="eastAsia" w:ascii="宋体" w:hAnsi="宋体"/>
              </w:rPr>
            </w:pPr>
          </w:p>
        </w:tc>
        <w:tc>
          <w:tcPr>
            <w:tcW w:w="1480" w:type="dxa"/>
          </w:tcPr>
          <w:p w14:paraId="014B5DD8">
            <w:pPr>
              <w:rPr>
                <w:rFonts w:hint="eastAsia" w:ascii="宋体" w:hAnsi="宋体"/>
              </w:rPr>
            </w:pPr>
          </w:p>
        </w:tc>
        <w:tc>
          <w:tcPr>
            <w:tcW w:w="1020" w:type="dxa"/>
          </w:tcPr>
          <w:p w14:paraId="209F2A72">
            <w:pPr>
              <w:rPr>
                <w:rFonts w:hint="eastAsia" w:ascii="宋体" w:hAnsi="宋体"/>
              </w:rPr>
            </w:pPr>
          </w:p>
        </w:tc>
        <w:tc>
          <w:tcPr>
            <w:tcW w:w="921" w:type="dxa"/>
          </w:tcPr>
          <w:p w14:paraId="0964C995">
            <w:pPr>
              <w:rPr>
                <w:rFonts w:hint="eastAsia" w:ascii="宋体" w:hAnsi="宋体"/>
              </w:rPr>
            </w:pPr>
          </w:p>
        </w:tc>
      </w:tr>
      <w:tr w14:paraId="4E084E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42C7EE68">
            <w:pPr>
              <w:rPr>
                <w:rFonts w:hint="eastAsia" w:ascii="宋体" w:hAnsi="宋体"/>
              </w:rPr>
            </w:pPr>
          </w:p>
        </w:tc>
        <w:tc>
          <w:tcPr>
            <w:tcW w:w="1418" w:type="dxa"/>
          </w:tcPr>
          <w:p w14:paraId="2806BCF0">
            <w:pPr>
              <w:rPr>
                <w:rFonts w:hint="eastAsia" w:ascii="宋体" w:hAnsi="宋体"/>
              </w:rPr>
            </w:pPr>
          </w:p>
        </w:tc>
        <w:tc>
          <w:tcPr>
            <w:tcW w:w="850" w:type="dxa"/>
          </w:tcPr>
          <w:p w14:paraId="4FA5AEDC">
            <w:pPr>
              <w:rPr>
                <w:rFonts w:hint="eastAsia" w:ascii="宋体" w:hAnsi="宋体"/>
              </w:rPr>
            </w:pPr>
          </w:p>
        </w:tc>
        <w:tc>
          <w:tcPr>
            <w:tcW w:w="1058" w:type="dxa"/>
          </w:tcPr>
          <w:p w14:paraId="32C9C738">
            <w:pPr>
              <w:rPr>
                <w:rFonts w:hint="eastAsia" w:ascii="宋体" w:hAnsi="宋体"/>
              </w:rPr>
            </w:pPr>
          </w:p>
        </w:tc>
        <w:tc>
          <w:tcPr>
            <w:tcW w:w="880" w:type="dxa"/>
          </w:tcPr>
          <w:p w14:paraId="1AF1C291">
            <w:pPr>
              <w:rPr>
                <w:rFonts w:hint="eastAsia" w:ascii="宋体" w:hAnsi="宋体"/>
              </w:rPr>
            </w:pPr>
          </w:p>
        </w:tc>
        <w:tc>
          <w:tcPr>
            <w:tcW w:w="1020" w:type="dxa"/>
          </w:tcPr>
          <w:p w14:paraId="4BAEF233">
            <w:pPr>
              <w:rPr>
                <w:rFonts w:hint="eastAsia" w:ascii="宋体" w:hAnsi="宋体"/>
              </w:rPr>
            </w:pPr>
          </w:p>
        </w:tc>
        <w:tc>
          <w:tcPr>
            <w:tcW w:w="1480" w:type="dxa"/>
          </w:tcPr>
          <w:p w14:paraId="325B8B85">
            <w:pPr>
              <w:rPr>
                <w:rFonts w:hint="eastAsia" w:ascii="宋体" w:hAnsi="宋体"/>
              </w:rPr>
            </w:pPr>
          </w:p>
        </w:tc>
        <w:tc>
          <w:tcPr>
            <w:tcW w:w="1020" w:type="dxa"/>
          </w:tcPr>
          <w:p w14:paraId="07EE324F">
            <w:pPr>
              <w:rPr>
                <w:rFonts w:hint="eastAsia" w:ascii="宋体" w:hAnsi="宋体"/>
              </w:rPr>
            </w:pPr>
          </w:p>
        </w:tc>
        <w:tc>
          <w:tcPr>
            <w:tcW w:w="921" w:type="dxa"/>
          </w:tcPr>
          <w:p w14:paraId="2236D18B">
            <w:pPr>
              <w:rPr>
                <w:rFonts w:hint="eastAsia" w:ascii="宋体" w:hAnsi="宋体"/>
              </w:rPr>
            </w:pPr>
          </w:p>
        </w:tc>
      </w:tr>
      <w:tr w14:paraId="74D823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875C277">
            <w:pPr>
              <w:rPr>
                <w:rFonts w:hint="eastAsia" w:ascii="宋体" w:hAnsi="宋体"/>
              </w:rPr>
            </w:pPr>
          </w:p>
        </w:tc>
        <w:tc>
          <w:tcPr>
            <w:tcW w:w="1418" w:type="dxa"/>
          </w:tcPr>
          <w:p w14:paraId="631256D2">
            <w:pPr>
              <w:rPr>
                <w:rFonts w:hint="eastAsia" w:ascii="宋体" w:hAnsi="宋体"/>
              </w:rPr>
            </w:pPr>
          </w:p>
        </w:tc>
        <w:tc>
          <w:tcPr>
            <w:tcW w:w="850" w:type="dxa"/>
          </w:tcPr>
          <w:p w14:paraId="2BE5AD1D">
            <w:pPr>
              <w:rPr>
                <w:rFonts w:hint="eastAsia" w:ascii="宋体" w:hAnsi="宋体"/>
              </w:rPr>
            </w:pPr>
          </w:p>
        </w:tc>
        <w:tc>
          <w:tcPr>
            <w:tcW w:w="1058" w:type="dxa"/>
          </w:tcPr>
          <w:p w14:paraId="31A53F8A">
            <w:pPr>
              <w:rPr>
                <w:rFonts w:hint="eastAsia" w:ascii="宋体" w:hAnsi="宋体"/>
              </w:rPr>
            </w:pPr>
          </w:p>
        </w:tc>
        <w:tc>
          <w:tcPr>
            <w:tcW w:w="880" w:type="dxa"/>
          </w:tcPr>
          <w:p w14:paraId="46B0DA26">
            <w:pPr>
              <w:rPr>
                <w:rFonts w:hint="eastAsia" w:ascii="宋体" w:hAnsi="宋体"/>
              </w:rPr>
            </w:pPr>
          </w:p>
        </w:tc>
        <w:tc>
          <w:tcPr>
            <w:tcW w:w="1020" w:type="dxa"/>
          </w:tcPr>
          <w:p w14:paraId="0C4A24D0">
            <w:pPr>
              <w:rPr>
                <w:rFonts w:hint="eastAsia" w:ascii="宋体" w:hAnsi="宋体"/>
              </w:rPr>
            </w:pPr>
          </w:p>
        </w:tc>
        <w:tc>
          <w:tcPr>
            <w:tcW w:w="1480" w:type="dxa"/>
          </w:tcPr>
          <w:p w14:paraId="54FDFD5F">
            <w:pPr>
              <w:rPr>
                <w:rFonts w:hint="eastAsia" w:ascii="宋体" w:hAnsi="宋体"/>
              </w:rPr>
            </w:pPr>
          </w:p>
        </w:tc>
        <w:tc>
          <w:tcPr>
            <w:tcW w:w="1020" w:type="dxa"/>
          </w:tcPr>
          <w:p w14:paraId="73F65E31">
            <w:pPr>
              <w:rPr>
                <w:rFonts w:hint="eastAsia" w:ascii="宋体" w:hAnsi="宋体"/>
              </w:rPr>
            </w:pPr>
          </w:p>
        </w:tc>
        <w:tc>
          <w:tcPr>
            <w:tcW w:w="921" w:type="dxa"/>
          </w:tcPr>
          <w:p w14:paraId="5924246D">
            <w:pPr>
              <w:rPr>
                <w:rFonts w:hint="eastAsia" w:ascii="宋体" w:hAnsi="宋体"/>
              </w:rPr>
            </w:pPr>
          </w:p>
        </w:tc>
      </w:tr>
      <w:tr w14:paraId="3B67E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0F98068F">
            <w:pPr>
              <w:rPr>
                <w:rFonts w:hint="eastAsia" w:ascii="宋体" w:hAnsi="宋体"/>
              </w:rPr>
            </w:pPr>
          </w:p>
        </w:tc>
        <w:tc>
          <w:tcPr>
            <w:tcW w:w="1418" w:type="dxa"/>
          </w:tcPr>
          <w:p w14:paraId="52D433CB">
            <w:pPr>
              <w:rPr>
                <w:rFonts w:hint="eastAsia" w:ascii="宋体" w:hAnsi="宋体"/>
              </w:rPr>
            </w:pPr>
          </w:p>
        </w:tc>
        <w:tc>
          <w:tcPr>
            <w:tcW w:w="850" w:type="dxa"/>
          </w:tcPr>
          <w:p w14:paraId="00D8C72E">
            <w:pPr>
              <w:rPr>
                <w:rFonts w:hint="eastAsia" w:ascii="宋体" w:hAnsi="宋体"/>
              </w:rPr>
            </w:pPr>
          </w:p>
        </w:tc>
        <w:tc>
          <w:tcPr>
            <w:tcW w:w="1058" w:type="dxa"/>
          </w:tcPr>
          <w:p w14:paraId="1819EE3C">
            <w:pPr>
              <w:rPr>
                <w:rFonts w:hint="eastAsia" w:ascii="宋体" w:hAnsi="宋体"/>
              </w:rPr>
            </w:pPr>
          </w:p>
        </w:tc>
        <w:tc>
          <w:tcPr>
            <w:tcW w:w="880" w:type="dxa"/>
          </w:tcPr>
          <w:p w14:paraId="028D5674">
            <w:pPr>
              <w:rPr>
                <w:rFonts w:hint="eastAsia" w:ascii="宋体" w:hAnsi="宋体"/>
              </w:rPr>
            </w:pPr>
          </w:p>
        </w:tc>
        <w:tc>
          <w:tcPr>
            <w:tcW w:w="1020" w:type="dxa"/>
          </w:tcPr>
          <w:p w14:paraId="69E0732F">
            <w:pPr>
              <w:rPr>
                <w:rFonts w:hint="eastAsia" w:ascii="宋体" w:hAnsi="宋体"/>
              </w:rPr>
            </w:pPr>
          </w:p>
        </w:tc>
        <w:tc>
          <w:tcPr>
            <w:tcW w:w="1480" w:type="dxa"/>
          </w:tcPr>
          <w:p w14:paraId="7A38FC93">
            <w:pPr>
              <w:rPr>
                <w:rFonts w:hint="eastAsia" w:ascii="宋体" w:hAnsi="宋体"/>
              </w:rPr>
            </w:pPr>
          </w:p>
        </w:tc>
        <w:tc>
          <w:tcPr>
            <w:tcW w:w="1020" w:type="dxa"/>
          </w:tcPr>
          <w:p w14:paraId="6647501B">
            <w:pPr>
              <w:rPr>
                <w:rFonts w:hint="eastAsia" w:ascii="宋体" w:hAnsi="宋体"/>
              </w:rPr>
            </w:pPr>
          </w:p>
        </w:tc>
        <w:tc>
          <w:tcPr>
            <w:tcW w:w="921" w:type="dxa"/>
          </w:tcPr>
          <w:p w14:paraId="1A8AD4A8">
            <w:pPr>
              <w:rPr>
                <w:rFonts w:hint="eastAsia" w:ascii="宋体" w:hAnsi="宋体"/>
              </w:rPr>
            </w:pPr>
          </w:p>
        </w:tc>
      </w:tr>
      <w:tr w14:paraId="2CD6CA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0F276CA5">
            <w:pPr>
              <w:rPr>
                <w:rFonts w:hint="eastAsia" w:ascii="宋体" w:hAnsi="宋体"/>
              </w:rPr>
            </w:pPr>
          </w:p>
        </w:tc>
        <w:tc>
          <w:tcPr>
            <w:tcW w:w="1418" w:type="dxa"/>
          </w:tcPr>
          <w:p w14:paraId="0F04933D">
            <w:pPr>
              <w:rPr>
                <w:rFonts w:hint="eastAsia" w:ascii="宋体" w:hAnsi="宋体"/>
              </w:rPr>
            </w:pPr>
          </w:p>
        </w:tc>
        <w:tc>
          <w:tcPr>
            <w:tcW w:w="850" w:type="dxa"/>
          </w:tcPr>
          <w:p w14:paraId="29261C5C">
            <w:pPr>
              <w:rPr>
                <w:rFonts w:hint="eastAsia" w:ascii="宋体" w:hAnsi="宋体"/>
              </w:rPr>
            </w:pPr>
          </w:p>
        </w:tc>
        <w:tc>
          <w:tcPr>
            <w:tcW w:w="1058" w:type="dxa"/>
          </w:tcPr>
          <w:p w14:paraId="60D4DAF2">
            <w:pPr>
              <w:rPr>
                <w:rFonts w:hint="eastAsia" w:ascii="宋体" w:hAnsi="宋体"/>
              </w:rPr>
            </w:pPr>
          </w:p>
        </w:tc>
        <w:tc>
          <w:tcPr>
            <w:tcW w:w="880" w:type="dxa"/>
          </w:tcPr>
          <w:p w14:paraId="20BB5748">
            <w:pPr>
              <w:rPr>
                <w:rFonts w:hint="eastAsia" w:ascii="宋体" w:hAnsi="宋体"/>
              </w:rPr>
            </w:pPr>
          </w:p>
        </w:tc>
        <w:tc>
          <w:tcPr>
            <w:tcW w:w="1020" w:type="dxa"/>
          </w:tcPr>
          <w:p w14:paraId="57D1F3F8">
            <w:pPr>
              <w:rPr>
                <w:rFonts w:hint="eastAsia" w:ascii="宋体" w:hAnsi="宋体"/>
              </w:rPr>
            </w:pPr>
          </w:p>
        </w:tc>
        <w:tc>
          <w:tcPr>
            <w:tcW w:w="1480" w:type="dxa"/>
          </w:tcPr>
          <w:p w14:paraId="3F8C5059">
            <w:pPr>
              <w:rPr>
                <w:rFonts w:hint="eastAsia" w:ascii="宋体" w:hAnsi="宋体"/>
              </w:rPr>
            </w:pPr>
          </w:p>
        </w:tc>
        <w:tc>
          <w:tcPr>
            <w:tcW w:w="1020" w:type="dxa"/>
          </w:tcPr>
          <w:p w14:paraId="4D3742D1">
            <w:pPr>
              <w:rPr>
                <w:rFonts w:hint="eastAsia" w:ascii="宋体" w:hAnsi="宋体"/>
              </w:rPr>
            </w:pPr>
          </w:p>
        </w:tc>
        <w:tc>
          <w:tcPr>
            <w:tcW w:w="921" w:type="dxa"/>
          </w:tcPr>
          <w:p w14:paraId="021EB78F">
            <w:pPr>
              <w:rPr>
                <w:rFonts w:hint="eastAsia" w:ascii="宋体" w:hAnsi="宋体"/>
              </w:rPr>
            </w:pPr>
          </w:p>
        </w:tc>
      </w:tr>
      <w:tr w14:paraId="119C5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8954DF9">
            <w:pPr>
              <w:rPr>
                <w:rFonts w:hint="eastAsia" w:ascii="宋体" w:hAnsi="宋体"/>
              </w:rPr>
            </w:pPr>
          </w:p>
        </w:tc>
        <w:tc>
          <w:tcPr>
            <w:tcW w:w="1418" w:type="dxa"/>
          </w:tcPr>
          <w:p w14:paraId="37498483">
            <w:pPr>
              <w:rPr>
                <w:rFonts w:hint="eastAsia" w:ascii="宋体" w:hAnsi="宋体"/>
              </w:rPr>
            </w:pPr>
          </w:p>
        </w:tc>
        <w:tc>
          <w:tcPr>
            <w:tcW w:w="850" w:type="dxa"/>
          </w:tcPr>
          <w:p w14:paraId="0613545E">
            <w:pPr>
              <w:rPr>
                <w:rFonts w:hint="eastAsia" w:ascii="宋体" w:hAnsi="宋体"/>
              </w:rPr>
            </w:pPr>
          </w:p>
        </w:tc>
        <w:tc>
          <w:tcPr>
            <w:tcW w:w="1058" w:type="dxa"/>
          </w:tcPr>
          <w:p w14:paraId="19E4F9F6">
            <w:pPr>
              <w:rPr>
                <w:rFonts w:hint="eastAsia" w:ascii="宋体" w:hAnsi="宋体"/>
              </w:rPr>
            </w:pPr>
          </w:p>
        </w:tc>
        <w:tc>
          <w:tcPr>
            <w:tcW w:w="880" w:type="dxa"/>
          </w:tcPr>
          <w:p w14:paraId="52E41596">
            <w:pPr>
              <w:rPr>
                <w:rFonts w:hint="eastAsia" w:ascii="宋体" w:hAnsi="宋体"/>
              </w:rPr>
            </w:pPr>
          </w:p>
        </w:tc>
        <w:tc>
          <w:tcPr>
            <w:tcW w:w="1020" w:type="dxa"/>
          </w:tcPr>
          <w:p w14:paraId="41AA9706">
            <w:pPr>
              <w:rPr>
                <w:rFonts w:hint="eastAsia" w:ascii="宋体" w:hAnsi="宋体"/>
              </w:rPr>
            </w:pPr>
          </w:p>
        </w:tc>
        <w:tc>
          <w:tcPr>
            <w:tcW w:w="1480" w:type="dxa"/>
          </w:tcPr>
          <w:p w14:paraId="5222A0C6">
            <w:pPr>
              <w:rPr>
                <w:rFonts w:hint="eastAsia" w:ascii="宋体" w:hAnsi="宋体"/>
              </w:rPr>
            </w:pPr>
          </w:p>
        </w:tc>
        <w:tc>
          <w:tcPr>
            <w:tcW w:w="1020" w:type="dxa"/>
          </w:tcPr>
          <w:p w14:paraId="671F0D2C">
            <w:pPr>
              <w:rPr>
                <w:rFonts w:hint="eastAsia" w:ascii="宋体" w:hAnsi="宋体"/>
              </w:rPr>
            </w:pPr>
          </w:p>
        </w:tc>
        <w:tc>
          <w:tcPr>
            <w:tcW w:w="921" w:type="dxa"/>
          </w:tcPr>
          <w:p w14:paraId="4FC10490">
            <w:pPr>
              <w:rPr>
                <w:rFonts w:hint="eastAsia" w:ascii="宋体" w:hAnsi="宋体"/>
              </w:rPr>
            </w:pPr>
          </w:p>
        </w:tc>
      </w:tr>
    </w:tbl>
    <w:p w14:paraId="5D601246">
      <w:pPr>
        <w:spacing w:line="440" w:lineRule="exact"/>
        <w:rPr>
          <w:rFonts w:hint="eastAsia" w:ascii="宋体" w:hAnsi="宋体"/>
        </w:rPr>
      </w:pPr>
    </w:p>
    <w:p w14:paraId="6D9BFA74">
      <w:pPr>
        <w:spacing w:line="440" w:lineRule="exact"/>
        <w:rPr>
          <w:rFonts w:hint="eastAsia" w:ascii="宋体" w:hAnsi="宋体"/>
          <w:b/>
          <w:bCs/>
          <w:sz w:val="32"/>
          <w:szCs w:val="32"/>
        </w:rPr>
      </w:pPr>
      <w:r>
        <w:rPr>
          <w:rFonts w:ascii="宋体" w:hAnsi="宋体"/>
        </w:rPr>
        <w:br w:type="page"/>
      </w:r>
      <w:r>
        <w:rPr>
          <w:rFonts w:ascii="宋体" w:hAnsi="宋体"/>
          <w:b/>
          <w:bCs/>
          <w:sz w:val="32"/>
          <w:szCs w:val="32"/>
        </w:rPr>
        <w:t>附件6：</w:t>
      </w:r>
    </w:p>
    <w:p w14:paraId="5AAFC106">
      <w:pPr>
        <w:spacing w:before="120" w:beforeLines="50" w:after="120" w:afterLines="50" w:line="440" w:lineRule="exact"/>
        <w:jc w:val="center"/>
        <w:rPr>
          <w:rFonts w:hint="eastAsia" w:ascii="宋体" w:hAnsi="宋体"/>
          <w:b/>
          <w:bCs/>
          <w:sz w:val="32"/>
          <w:szCs w:val="32"/>
        </w:rPr>
      </w:pPr>
      <w:r>
        <w:rPr>
          <w:rFonts w:ascii="宋体" w:hAnsi="宋体"/>
          <w:b/>
          <w:bCs/>
          <w:sz w:val="32"/>
          <w:szCs w:val="32"/>
        </w:rPr>
        <w:t>承包人主要施工管理人员表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6DA6C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34C7A960">
            <w:pPr>
              <w:keepNext/>
              <w:adjustRightInd w:val="0"/>
              <w:spacing w:line="440" w:lineRule="exact"/>
              <w:ind w:left="63" w:leftChars="30" w:right="63" w:rightChars="30"/>
              <w:jc w:val="center"/>
              <w:textAlignment w:val="baseline"/>
              <w:rPr>
                <w:rFonts w:hint="eastAsia" w:ascii="宋体" w:hAnsi="宋体"/>
              </w:rPr>
            </w:pPr>
            <w:r>
              <w:rPr>
                <w:rFonts w:ascii="宋体" w:hAnsi="宋体"/>
              </w:rPr>
              <w:t>名    称</w:t>
            </w:r>
          </w:p>
        </w:tc>
        <w:tc>
          <w:tcPr>
            <w:tcW w:w="1418" w:type="dxa"/>
            <w:tcBorders>
              <w:top w:val="single" w:color="auto" w:sz="12" w:space="0"/>
              <w:bottom w:val="double" w:color="auto" w:sz="6" w:space="0"/>
            </w:tcBorders>
            <w:vAlign w:val="center"/>
          </w:tcPr>
          <w:p w14:paraId="512A8538">
            <w:pPr>
              <w:keepNext/>
              <w:adjustRightInd w:val="0"/>
              <w:spacing w:line="440" w:lineRule="exact"/>
              <w:ind w:left="63" w:leftChars="30" w:right="63" w:rightChars="30"/>
              <w:jc w:val="center"/>
              <w:textAlignment w:val="baseline"/>
              <w:rPr>
                <w:rFonts w:hint="eastAsia" w:ascii="宋体" w:hAnsi="宋体"/>
              </w:rPr>
            </w:pPr>
            <w:r>
              <w:rPr>
                <w:rFonts w:ascii="宋体" w:hAnsi="宋体"/>
              </w:rPr>
              <w:t>姓名</w:t>
            </w:r>
          </w:p>
        </w:tc>
        <w:tc>
          <w:tcPr>
            <w:tcW w:w="1134" w:type="dxa"/>
            <w:tcBorders>
              <w:top w:val="single" w:color="auto" w:sz="12" w:space="0"/>
              <w:bottom w:val="double" w:color="auto" w:sz="6" w:space="0"/>
            </w:tcBorders>
            <w:vAlign w:val="center"/>
          </w:tcPr>
          <w:p w14:paraId="7AF1925D">
            <w:pPr>
              <w:keepNext/>
              <w:adjustRightInd w:val="0"/>
              <w:spacing w:line="440" w:lineRule="exact"/>
              <w:ind w:left="63" w:leftChars="30" w:right="63" w:rightChars="30"/>
              <w:jc w:val="center"/>
              <w:textAlignment w:val="baseline"/>
              <w:rPr>
                <w:rFonts w:hint="eastAsia" w:ascii="宋体" w:hAnsi="宋体"/>
              </w:rPr>
            </w:pPr>
            <w:r>
              <w:rPr>
                <w:rFonts w:ascii="宋体" w:hAnsi="宋体"/>
              </w:rPr>
              <w:t>职务</w:t>
            </w:r>
          </w:p>
        </w:tc>
        <w:tc>
          <w:tcPr>
            <w:tcW w:w="1134" w:type="dxa"/>
            <w:tcBorders>
              <w:top w:val="single" w:color="auto" w:sz="12" w:space="0"/>
              <w:bottom w:val="double" w:color="auto" w:sz="6" w:space="0"/>
            </w:tcBorders>
            <w:vAlign w:val="center"/>
          </w:tcPr>
          <w:p w14:paraId="29B8FC76">
            <w:pPr>
              <w:keepNext/>
              <w:adjustRightInd w:val="0"/>
              <w:spacing w:line="440" w:lineRule="exact"/>
              <w:ind w:left="63" w:leftChars="30" w:right="63" w:rightChars="30"/>
              <w:jc w:val="center"/>
              <w:textAlignment w:val="baseline"/>
              <w:rPr>
                <w:rFonts w:hint="eastAsia" w:ascii="宋体" w:hAnsi="宋体"/>
              </w:rPr>
            </w:pPr>
            <w:r>
              <w:rPr>
                <w:rFonts w:ascii="宋体" w:hAnsi="宋体"/>
              </w:rPr>
              <w:t>职称</w:t>
            </w:r>
          </w:p>
        </w:tc>
        <w:tc>
          <w:tcPr>
            <w:tcW w:w="4252" w:type="dxa"/>
            <w:tcBorders>
              <w:top w:val="single" w:color="auto" w:sz="12" w:space="0"/>
              <w:bottom w:val="double" w:color="auto" w:sz="6" w:space="0"/>
            </w:tcBorders>
            <w:vAlign w:val="center"/>
          </w:tcPr>
          <w:p w14:paraId="6BA8B3C8">
            <w:pPr>
              <w:keepNext/>
              <w:adjustRightInd w:val="0"/>
              <w:spacing w:line="440" w:lineRule="exact"/>
              <w:ind w:left="63" w:leftChars="30" w:right="63" w:rightChars="30"/>
              <w:jc w:val="center"/>
              <w:textAlignment w:val="baseline"/>
              <w:rPr>
                <w:rFonts w:hint="eastAsia" w:ascii="宋体" w:hAnsi="宋体"/>
              </w:rPr>
            </w:pPr>
            <w:r>
              <w:rPr>
                <w:rFonts w:ascii="宋体" w:hAnsi="宋体"/>
              </w:rPr>
              <w:t>主要资历、经验及承担过的项目</w:t>
            </w:r>
          </w:p>
        </w:tc>
      </w:tr>
      <w:tr w14:paraId="2D5B5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14:paraId="47AF7F08">
            <w:pPr>
              <w:keepNext/>
              <w:adjustRightInd w:val="0"/>
              <w:spacing w:line="440" w:lineRule="exact"/>
              <w:ind w:left="63" w:leftChars="30" w:right="63" w:rightChars="30"/>
              <w:jc w:val="center"/>
              <w:textAlignment w:val="baseline"/>
              <w:rPr>
                <w:rFonts w:hint="eastAsia" w:ascii="宋体" w:hAnsi="宋体"/>
              </w:rPr>
            </w:pPr>
            <w:r>
              <w:rPr>
                <w:rFonts w:ascii="宋体" w:hAnsi="宋体"/>
              </w:rPr>
              <w:t>一、总部人员</w:t>
            </w:r>
          </w:p>
        </w:tc>
      </w:tr>
      <w:tr w14:paraId="199CB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3FAFDBF7">
            <w:pPr>
              <w:keepNext/>
              <w:adjustRightInd w:val="0"/>
              <w:spacing w:line="440" w:lineRule="exact"/>
              <w:ind w:left="63" w:leftChars="30" w:right="63" w:rightChars="30"/>
              <w:jc w:val="center"/>
              <w:textAlignment w:val="baseline"/>
              <w:rPr>
                <w:rFonts w:hint="eastAsia" w:ascii="宋体" w:hAnsi="宋体"/>
              </w:rPr>
            </w:pPr>
            <w:r>
              <w:rPr>
                <w:rFonts w:ascii="宋体" w:hAnsi="宋体"/>
              </w:rPr>
              <w:t>项目主管</w:t>
            </w:r>
          </w:p>
        </w:tc>
        <w:tc>
          <w:tcPr>
            <w:tcW w:w="1418" w:type="dxa"/>
            <w:tcBorders>
              <w:top w:val="nil"/>
            </w:tcBorders>
            <w:vAlign w:val="center"/>
          </w:tcPr>
          <w:p w14:paraId="121D6CBB">
            <w:pPr>
              <w:keepNext/>
              <w:adjustRightInd w:val="0"/>
              <w:spacing w:line="440" w:lineRule="exact"/>
              <w:ind w:left="63" w:leftChars="30" w:right="63" w:rightChars="30"/>
              <w:jc w:val="center"/>
              <w:textAlignment w:val="baseline"/>
              <w:rPr>
                <w:rFonts w:hint="eastAsia" w:ascii="宋体" w:hAnsi="宋体"/>
              </w:rPr>
            </w:pPr>
          </w:p>
        </w:tc>
        <w:tc>
          <w:tcPr>
            <w:tcW w:w="1134" w:type="dxa"/>
            <w:tcBorders>
              <w:top w:val="nil"/>
            </w:tcBorders>
            <w:vAlign w:val="center"/>
          </w:tcPr>
          <w:p w14:paraId="43916E8B">
            <w:pPr>
              <w:keepNext/>
              <w:adjustRightInd w:val="0"/>
              <w:spacing w:line="440" w:lineRule="exact"/>
              <w:ind w:left="63" w:leftChars="30" w:right="63" w:rightChars="30"/>
              <w:jc w:val="center"/>
              <w:textAlignment w:val="baseline"/>
              <w:rPr>
                <w:rFonts w:hint="eastAsia" w:ascii="宋体" w:hAnsi="宋体"/>
              </w:rPr>
            </w:pPr>
          </w:p>
        </w:tc>
        <w:tc>
          <w:tcPr>
            <w:tcW w:w="1134" w:type="dxa"/>
            <w:tcBorders>
              <w:top w:val="nil"/>
            </w:tcBorders>
            <w:vAlign w:val="center"/>
          </w:tcPr>
          <w:p w14:paraId="25EB8AD3">
            <w:pPr>
              <w:keepNext/>
              <w:adjustRightInd w:val="0"/>
              <w:spacing w:line="440" w:lineRule="exact"/>
              <w:ind w:left="63" w:leftChars="30" w:right="63" w:rightChars="30"/>
              <w:jc w:val="center"/>
              <w:textAlignment w:val="baseline"/>
              <w:rPr>
                <w:rFonts w:hint="eastAsia" w:ascii="宋体" w:hAnsi="宋体"/>
              </w:rPr>
            </w:pPr>
          </w:p>
        </w:tc>
        <w:tc>
          <w:tcPr>
            <w:tcW w:w="4252" w:type="dxa"/>
            <w:tcBorders>
              <w:top w:val="nil"/>
            </w:tcBorders>
            <w:vAlign w:val="center"/>
          </w:tcPr>
          <w:p w14:paraId="529379C0">
            <w:pPr>
              <w:keepNext/>
              <w:adjustRightInd w:val="0"/>
              <w:spacing w:line="440" w:lineRule="exact"/>
              <w:ind w:left="63" w:leftChars="30" w:right="63" w:rightChars="30"/>
              <w:jc w:val="center"/>
              <w:textAlignment w:val="baseline"/>
              <w:rPr>
                <w:rFonts w:hint="eastAsia" w:ascii="宋体" w:hAnsi="宋体"/>
              </w:rPr>
            </w:pPr>
          </w:p>
        </w:tc>
      </w:tr>
      <w:tr w14:paraId="44D5A2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2F471A7E">
            <w:pPr>
              <w:keepNext/>
              <w:adjustRightInd w:val="0"/>
              <w:spacing w:line="440" w:lineRule="exact"/>
              <w:ind w:left="63" w:leftChars="30" w:right="63" w:rightChars="30"/>
              <w:jc w:val="center"/>
              <w:textAlignment w:val="baseline"/>
              <w:rPr>
                <w:rFonts w:hint="eastAsia" w:ascii="宋体" w:hAnsi="宋体"/>
              </w:rPr>
            </w:pPr>
          </w:p>
        </w:tc>
        <w:tc>
          <w:tcPr>
            <w:tcW w:w="1418" w:type="dxa"/>
            <w:vAlign w:val="center"/>
          </w:tcPr>
          <w:p w14:paraId="77FD78CD">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0333FAC2">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49C8628F">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283756F2">
            <w:pPr>
              <w:keepNext/>
              <w:adjustRightInd w:val="0"/>
              <w:spacing w:line="440" w:lineRule="exact"/>
              <w:ind w:left="63" w:leftChars="30" w:right="63" w:rightChars="30"/>
              <w:jc w:val="center"/>
              <w:textAlignment w:val="baseline"/>
              <w:rPr>
                <w:rFonts w:hint="eastAsia" w:ascii="宋体" w:hAnsi="宋体"/>
              </w:rPr>
            </w:pPr>
          </w:p>
        </w:tc>
      </w:tr>
      <w:tr w14:paraId="34721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0AE763A0">
            <w:pPr>
              <w:keepNext/>
              <w:adjustRightInd w:val="0"/>
              <w:spacing w:line="440" w:lineRule="exact"/>
              <w:ind w:left="63" w:leftChars="30" w:right="63" w:rightChars="30"/>
              <w:jc w:val="center"/>
              <w:textAlignment w:val="baseline"/>
              <w:rPr>
                <w:rFonts w:hint="eastAsia" w:ascii="宋体" w:hAnsi="宋体"/>
              </w:rPr>
            </w:pPr>
            <w:r>
              <w:rPr>
                <w:rFonts w:ascii="宋体" w:hAnsi="宋体"/>
              </w:rPr>
              <w:t>其他人员</w:t>
            </w:r>
          </w:p>
        </w:tc>
        <w:tc>
          <w:tcPr>
            <w:tcW w:w="1418" w:type="dxa"/>
            <w:vAlign w:val="center"/>
          </w:tcPr>
          <w:p w14:paraId="12DCB155">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07BC869D">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62AD504E">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0065092A">
            <w:pPr>
              <w:keepNext/>
              <w:adjustRightInd w:val="0"/>
              <w:spacing w:line="440" w:lineRule="exact"/>
              <w:ind w:left="63" w:leftChars="30" w:right="63" w:rightChars="30"/>
              <w:jc w:val="center"/>
              <w:textAlignment w:val="baseline"/>
              <w:rPr>
                <w:rFonts w:hint="eastAsia" w:ascii="宋体" w:hAnsi="宋体"/>
              </w:rPr>
            </w:pPr>
          </w:p>
        </w:tc>
      </w:tr>
      <w:tr w14:paraId="22741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68440EE8">
            <w:pPr>
              <w:keepNext/>
              <w:adjustRightInd w:val="0"/>
              <w:spacing w:line="440" w:lineRule="exact"/>
              <w:ind w:left="63" w:leftChars="30" w:right="63" w:rightChars="30"/>
              <w:jc w:val="center"/>
              <w:textAlignment w:val="baseline"/>
              <w:rPr>
                <w:rFonts w:hint="eastAsia" w:ascii="宋体" w:hAnsi="宋体"/>
              </w:rPr>
            </w:pPr>
          </w:p>
        </w:tc>
        <w:tc>
          <w:tcPr>
            <w:tcW w:w="1418" w:type="dxa"/>
            <w:vAlign w:val="center"/>
          </w:tcPr>
          <w:p w14:paraId="3611603A">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4F8F22EA">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6BBDBF69">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53D1EC6A">
            <w:pPr>
              <w:keepNext/>
              <w:adjustRightInd w:val="0"/>
              <w:spacing w:line="440" w:lineRule="exact"/>
              <w:ind w:left="63" w:leftChars="30" w:right="63" w:rightChars="30"/>
              <w:jc w:val="center"/>
              <w:textAlignment w:val="baseline"/>
              <w:rPr>
                <w:rFonts w:hint="eastAsia" w:ascii="宋体" w:hAnsi="宋体"/>
              </w:rPr>
            </w:pPr>
          </w:p>
        </w:tc>
      </w:tr>
      <w:tr w14:paraId="012243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016FB452">
            <w:pPr>
              <w:keepNext/>
              <w:adjustRightInd w:val="0"/>
              <w:spacing w:line="440" w:lineRule="exact"/>
              <w:ind w:left="63" w:leftChars="30" w:right="63" w:rightChars="30"/>
              <w:jc w:val="center"/>
              <w:textAlignment w:val="baseline"/>
              <w:rPr>
                <w:rFonts w:hint="eastAsia" w:ascii="宋体" w:hAnsi="宋体"/>
              </w:rPr>
            </w:pPr>
            <w:r>
              <w:rPr>
                <w:rFonts w:ascii="宋体" w:hAnsi="宋体"/>
              </w:rPr>
              <w:t>二、现场人员</w:t>
            </w:r>
          </w:p>
        </w:tc>
      </w:tr>
      <w:tr w14:paraId="0FCD5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28D1BC0">
            <w:pPr>
              <w:keepNext/>
              <w:adjustRightInd w:val="0"/>
              <w:spacing w:line="440" w:lineRule="exact"/>
              <w:ind w:left="63" w:leftChars="30" w:right="63" w:rightChars="30"/>
              <w:jc w:val="center"/>
              <w:textAlignment w:val="baseline"/>
              <w:rPr>
                <w:rFonts w:hint="eastAsia" w:ascii="宋体" w:hAnsi="宋体"/>
              </w:rPr>
            </w:pPr>
            <w:r>
              <w:rPr>
                <w:rFonts w:ascii="宋体" w:hAnsi="宋体"/>
              </w:rPr>
              <w:t>项目经理</w:t>
            </w:r>
          </w:p>
        </w:tc>
        <w:tc>
          <w:tcPr>
            <w:tcW w:w="1418" w:type="dxa"/>
            <w:vAlign w:val="center"/>
          </w:tcPr>
          <w:p w14:paraId="1181923E">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1617E8E4">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47459970">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129F9A2D">
            <w:pPr>
              <w:keepNext/>
              <w:adjustRightInd w:val="0"/>
              <w:spacing w:line="440" w:lineRule="exact"/>
              <w:ind w:left="63" w:leftChars="30" w:right="63" w:rightChars="30"/>
              <w:jc w:val="center"/>
              <w:textAlignment w:val="baseline"/>
              <w:rPr>
                <w:rFonts w:hint="eastAsia" w:ascii="宋体" w:hAnsi="宋体"/>
              </w:rPr>
            </w:pPr>
          </w:p>
        </w:tc>
      </w:tr>
      <w:tr w14:paraId="7E02A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050644C">
            <w:pPr>
              <w:keepNext/>
              <w:adjustRightInd w:val="0"/>
              <w:spacing w:line="440" w:lineRule="exact"/>
              <w:ind w:left="63" w:leftChars="30" w:right="63" w:rightChars="30"/>
              <w:jc w:val="center"/>
              <w:textAlignment w:val="baseline"/>
              <w:rPr>
                <w:rFonts w:hint="eastAsia" w:ascii="宋体" w:hAnsi="宋体"/>
              </w:rPr>
            </w:pPr>
            <w:r>
              <w:rPr>
                <w:rFonts w:ascii="宋体" w:hAnsi="宋体"/>
              </w:rPr>
              <w:t>项目副经理</w:t>
            </w:r>
          </w:p>
        </w:tc>
        <w:tc>
          <w:tcPr>
            <w:tcW w:w="1418" w:type="dxa"/>
            <w:vAlign w:val="center"/>
          </w:tcPr>
          <w:p w14:paraId="5390D14B">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0BC23D7A">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56DECD12">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7BD07D73">
            <w:pPr>
              <w:keepNext/>
              <w:adjustRightInd w:val="0"/>
              <w:spacing w:line="440" w:lineRule="exact"/>
              <w:ind w:left="63" w:leftChars="30" w:right="63" w:rightChars="30"/>
              <w:jc w:val="center"/>
              <w:textAlignment w:val="baseline"/>
              <w:rPr>
                <w:rFonts w:hint="eastAsia" w:ascii="宋体" w:hAnsi="宋体"/>
              </w:rPr>
            </w:pPr>
          </w:p>
        </w:tc>
      </w:tr>
      <w:tr w14:paraId="2ED50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F7750C1">
            <w:pPr>
              <w:keepNext/>
              <w:adjustRightInd w:val="0"/>
              <w:spacing w:line="440" w:lineRule="exact"/>
              <w:ind w:left="63" w:leftChars="30" w:right="63" w:rightChars="30"/>
              <w:jc w:val="center"/>
              <w:textAlignment w:val="baseline"/>
              <w:rPr>
                <w:rFonts w:hint="eastAsia" w:ascii="宋体" w:hAnsi="宋体"/>
              </w:rPr>
            </w:pPr>
            <w:r>
              <w:rPr>
                <w:rFonts w:ascii="宋体" w:hAnsi="宋体"/>
              </w:rPr>
              <w:t>技术负责人</w:t>
            </w:r>
          </w:p>
        </w:tc>
        <w:tc>
          <w:tcPr>
            <w:tcW w:w="1418" w:type="dxa"/>
            <w:vAlign w:val="center"/>
          </w:tcPr>
          <w:p w14:paraId="66C5566B">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3D353A36">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46EB164D">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169F0E8C">
            <w:pPr>
              <w:keepNext/>
              <w:adjustRightInd w:val="0"/>
              <w:spacing w:line="440" w:lineRule="exact"/>
              <w:ind w:left="63" w:leftChars="30" w:right="63" w:rightChars="30"/>
              <w:jc w:val="center"/>
              <w:textAlignment w:val="baseline"/>
              <w:rPr>
                <w:rFonts w:hint="eastAsia" w:ascii="宋体" w:hAnsi="宋体"/>
              </w:rPr>
            </w:pPr>
          </w:p>
        </w:tc>
      </w:tr>
      <w:tr w14:paraId="764F0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9ADACA7">
            <w:pPr>
              <w:keepNext/>
              <w:adjustRightInd w:val="0"/>
              <w:spacing w:line="440" w:lineRule="exact"/>
              <w:ind w:left="63" w:leftChars="30" w:right="63" w:rightChars="30"/>
              <w:jc w:val="center"/>
              <w:textAlignment w:val="baseline"/>
              <w:rPr>
                <w:rFonts w:hint="eastAsia" w:ascii="宋体" w:hAnsi="宋体"/>
              </w:rPr>
            </w:pPr>
            <w:r>
              <w:rPr>
                <w:rFonts w:ascii="宋体" w:hAnsi="宋体"/>
              </w:rPr>
              <w:t>造价管理</w:t>
            </w:r>
          </w:p>
        </w:tc>
        <w:tc>
          <w:tcPr>
            <w:tcW w:w="1418" w:type="dxa"/>
            <w:vAlign w:val="center"/>
          </w:tcPr>
          <w:p w14:paraId="470B34C2">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7C728543">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44831EE6">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6EA3D7B2">
            <w:pPr>
              <w:keepNext/>
              <w:adjustRightInd w:val="0"/>
              <w:spacing w:line="440" w:lineRule="exact"/>
              <w:ind w:left="63" w:leftChars="30" w:right="63" w:rightChars="30"/>
              <w:jc w:val="center"/>
              <w:textAlignment w:val="baseline"/>
              <w:rPr>
                <w:rFonts w:hint="eastAsia" w:ascii="宋体" w:hAnsi="宋体"/>
              </w:rPr>
            </w:pPr>
          </w:p>
        </w:tc>
      </w:tr>
      <w:tr w14:paraId="3A11B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E4CC3E4">
            <w:pPr>
              <w:keepNext/>
              <w:adjustRightInd w:val="0"/>
              <w:spacing w:line="440" w:lineRule="exact"/>
              <w:ind w:left="63" w:leftChars="30" w:right="63" w:rightChars="30"/>
              <w:jc w:val="center"/>
              <w:textAlignment w:val="baseline"/>
              <w:rPr>
                <w:rFonts w:hint="eastAsia" w:ascii="宋体" w:hAnsi="宋体"/>
              </w:rPr>
            </w:pPr>
            <w:r>
              <w:rPr>
                <w:rFonts w:ascii="宋体" w:hAnsi="宋体"/>
              </w:rPr>
              <w:t>质量管理</w:t>
            </w:r>
          </w:p>
        </w:tc>
        <w:tc>
          <w:tcPr>
            <w:tcW w:w="1418" w:type="dxa"/>
            <w:vAlign w:val="center"/>
          </w:tcPr>
          <w:p w14:paraId="17CF23D5">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689D379B">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31DED2E2">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7D993618">
            <w:pPr>
              <w:keepNext/>
              <w:adjustRightInd w:val="0"/>
              <w:spacing w:line="440" w:lineRule="exact"/>
              <w:ind w:left="63" w:leftChars="30" w:right="63" w:rightChars="30"/>
              <w:jc w:val="center"/>
              <w:textAlignment w:val="baseline"/>
              <w:rPr>
                <w:rFonts w:hint="eastAsia" w:ascii="宋体" w:hAnsi="宋体"/>
              </w:rPr>
            </w:pPr>
          </w:p>
        </w:tc>
      </w:tr>
      <w:tr w14:paraId="07D61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266977D">
            <w:pPr>
              <w:keepNext/>
              <w:adjustRightInd w:val="0"/>
              <w:spacing w:line="440" w:lineRule="exact"/>
              <w:ind w:left="63" w:leftChars="30" w:right="63" w:rightChars="30"/>
              <w:jc w:val="center"/>
              <w:textAlignment w:val="baseline"/>
              <w:rPr>
                <w:rFonts w:hint="eastAsia" w:ascii="宋体" w:hAnsi="宋体"/>
              </w:rPr>
            </w:pPr>
            <w:r>
              <w:rPr>
                <w:rFonts w:ascii="宋体" w:hAnsi="宋体"/>
              </w:rPr>
              <w:t>材料管理</w:t>
            </w:r>
          </w:p>
        </w:tc>
        <w:tc>
          <w:tcPr>
            <w:tcW w:w="1418" w:type="dxa"/>
            <w:vAlign w:val="center"/>
          </w:tcPr>
          <w:p w14:paraId="0E87FAE1">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2799CA4D">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0D2B4181">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7FF99154">
            <w:pPr>
              <w:keepNext/>
              <w:adjustRightInd w:val="0"/>
              <w:spacing w:line="440" w:lineRule="exact"/>
              <w:ind w:left="63" w:leftChars="30" w:right="63" w:rightChars="30"/>
              <w:jc w:val="center"/>
              <w:textAlignment w:val="baseline"/>
              <w:rPr>
                <w:rFonts w:hint="eastAsia" w:ascii="宋体" w:hAnsi="宋体"/>
              </w:rPr>
            </w:pPr>
          </w:p>
        </w:tc>
      </w:tr>
      <w:tr w14:paraId="22853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434954F">
            <w:pPr>
              <w:keepNext/>
              <w:adjustRightInd w:val="0"/>
              <w:spacing w:line="440" w:lineRule="exact"/>
              <w:ind w:left="63" w:leftChars="30" w:right="63" w:rightChars="30"/>
              <w:jc w:val="center"/>
              <w:textAlignment w:val="baseline"/>
              <w:rPr>
                <w:rFonts w:hint="eastAsia" w:ascii="宋体" w:hAnsi="宋体"/>
              </w:rPr>
            </w:pPr>
            <w:r>
              <w:rPr>
                <w:rFonts w:ascii="宋体" w:hAnsi="宋体"/>
              </w:rPr>
              <w:t>计划管理</w:t>
            </w:r>
          </w:p>
        </w:tc>
        <w:tc>
          <w:tcPr>
            <w:tcW w:w="1418" w:type="dxa"/>
            <w:vAlign w:val="center"/>
          </w:tcPr>
          <w:p w14:paraId="147F0E12">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0383E8A1">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0EF609F1">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1DBED7A8">
            <w:pPr>
              <w:keepNext/>
              <w:adjustRightInd w:val="0"/>
              <w:spacing w:line="440" w:lineRule="exact"/>
              <w:ind w:left="63" w:leftChars="30" w:right="63" w:rightChars="30"/>
              <w:jc w:val="center"/>
              <w:textAlignment w:val="baseline"/>
              <w:rPr>
                <w:rFonts w:hint="eastAsia" w:ascii="宋体" w:hAnsi="宋体"/>
              </w:rPr>
            </w:pPr>
          </w:p>
        </w:tc>
      </w:tr>
      <w:tr w14:paraId="42D48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B886C30">
            <w:pPr>
              <w:keepNext/>
              <w:adjustRightInd w:val="0"/>
              <w:spacing w:line="440" w:lineRule="exact"/>
              <w:ind w:left="63" w:leftChars="30" w:right="63" w:rightChars="30"/>
              <w:jc w:val="center"/>
              <w:textAlignment w:val="baseline"/>
              <w:rPr>
                <w:rFonts w:hint="eastAsia" w:ascii="宋体" w:hAnsi="宋体"/>
              </w:rPr>
            </w:pPr>
            <w:r>
              <w:rPr>
                <w:rFonts w:ascii="宋体" w:hAnsi="宋体"/>
              </w:rPr>
              <w:t>安全管理</w:t>
            </w:r>
          </w:p>
        </w:tc>
        <w:tc>
          <w:tcPr>
            <w:tcW w:w="1418" w:type="dxa"/>
            <w:vAlign w:val="center"/>
          </w:tcPr>
          <w:p w14:paraId="6788C059">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78E432BD">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4943176A">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2BAB7135">
            <w:pPr>
              <w:keepNext/>
              <w:adjustRightInd w:val="0"/>
              <w:spacing w:line="440" w:lineRule="exact"/>
              <w:ind w:left="63" w:leftChars="30" w:right="63" w:rightChars="30"/>
              <w:jc w:val="center"/>
              <w:textAlignment w:val="baseline"/>
              <w:rPr>
                <w:rFonts w:hint="eastAsia" w:ascii="宋体" w:hAnsi="宋体"/>
              </w:rPr>
            </w:pPr>
          </w:p>
        </w:tc>
      </w:tr>
      <w:tr w14:paraId="7E47A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6FBCFAAB">
            <w:pPr>
              <w:keepNext/>
              <w:adjustRightInd w:val="0"/>
              <w:spacing w:line="440" w:lineRule="exact"/>
              <w:ind w:left="63" w:leftChars="30" w:right="63" w:rightChars="30"/>
              <w:jc w:val="center"/>
              <w:textAlignment w:val="baseline"/>
              <w:rPr>
                <w:rFonts w:hint="eastAsia" w:ascii="宋体" w:hAnsi="宋体"/>
              </w:rPr>
            </w:pPr>
            <w:r>
              <w:rPr>
                <w:rFonts w:ascii="宋体" w:hAnsi="宋体"/>
              </w:rPr>
              <w:t>其他人员</w:t>
            </w:r>
          </w:p>
        </w:tc>
        <w:tc>
          <w:tcPr>
            <w:tcW w:w="1418" w:type="dxa"/>
            <w:vAlign w:val="center"/>
          </w:tcPr>
          <w:p w14:paraId="4CCF105E">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1FDE5AF8">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133ED7BB">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4CDA4C65">
            <w:pPr>
              <w:keepNext/>
              <w:adjustRightInd w:val="0"/>
              <w:spacing w:line="440" w:lineRule="exact"/>
              <w:ind w:left="63" w:leftChars="30" w:right="63" w:rightChars="30"/>
              <w:jc w:val="center"/>
              <w:textAlignment w:val="baseline"/>
              <w:rPr>
                <w:rFonts w:hint="eastAsia" w:ascii="宋体" w:hAnsi="宋体"/>
              </w:rPr>
            </w:pPr>
          </w:p>
        </w:tc>
      </w:tr>
      <w:tr w14:paraId="48A9E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2B2A038E">
            <w:pPr>
              <w:keepNext/>
              <w:adjustRightInd w:val="0"/>
              <w:spacing w:line="440" w:lineRule="exact"/>
              <w:ind w:left="63" w:leftChars="30" w:right="63" w:rightChars="30"/>
              <w:jc w:val="center"/>
              <w:textAlignment w:val="baseline"/>
              <w:rPr>
                <w:rFonts w:hint="eastAsia" w:ascii="宋体" w:hAnsi="宋体"/>
              </w:rPr>
            </w:pPr>
          </w:p>
        </w:tc>
        <w:tc>
          <w:tcPr>
            <w:tcW w:w="1418" w:type="dxa"/>
            <w:tcBorders>
              <w:bottom w:val="nil"/>
            </w:tcBorders>
            <w:vAlign w:val="center"/>
          </w:tcPr>
          <w:p w14:paraId="52E6C960">
            <w:pPr>
              <w:keepNext/>
              <w:adjustRightInd w:val="0"/>
              <w:spacing w:line="440" w:lineRule="exact"/>
              <w:ind w:left="63" w:leftChars="30" w:right="63" w:rightChars="30"/>
              <w:jc w:val="center"/>
              <w:textAlignment w:val="baseline"/>
              <w:rPr>
                <w:rFonts w:hint="eastAsia" w:ascii="宋体" w:hAnsi="宋体"/>
              </w:rPr>
            </w:pPr>
          </w:p>
        </w:tc>
        <w:tc>
          <w:tcPr>
            <w:tcW w:w="1134" w:type="dxa"/>
            <w:tcBorders>
              <w:bottom w:val="nil"/>
            </w:tcBorders>
            <w:vAlign w:val="center"/>
          </w:tcPr>
          <w:p w14:paraId="779E5598">
            <w:pPr>
              <w:keepNext/>
              <w:adjustRightInd w:val="0"/>
              <w:spacing w:line="440" w:lineRule="exact"/>
              <w:ind w:left="63" w:leftChars="30" w:right="63" w:rightChars="30"/>
              <w:jc w:val="center"/>
              <w:textAlignment w:val="baseline"/>
              <w:rPr>
                <w:rFonts w:hint="eastAsia" w:ascii="宋体" w:hAnsi="宋体"/>
              </w:rPr>
            </w:pPr>
          </w:p>
        </w:tc>
        <w:tc>
          <w:tcPr>
            <w:tcW w:w="1134" w:type="dxa"/>
            <w:tcBorders>
              <w:bottom w:val="nil"/>
            </w:tcBorders>
            <w:vAlign w:val="center"/>
          </w:tcPr>
          <w:p w14:paraId="6FF9217B">
            <w:pPr>
              <w:keepNext/>
              <w:adjustRightInd w:val="0"/>
              <w:spacing w:line="440" w:lineRule="exact"/>
              <w:ind w:left="63" w:leftChars="30" w:right="63" w:rightChars="30"/>
              <w:jc w:val="center"/>
              <w:textAlignment w:val="baseline"/>
              <w:rPr>
                <w:rFonts w:hint="eastAsia" w:ascii="宋体" w:hAnsi="宋体"/>
              </w:rPr>
            </w:pPr>
          </w:p>
        </w:tc>
        <w:tc>
          <w:tcPr>
            <w:tcW w:w="4252" w:type="dxa"/>
            <w:tcBorders>
              <w:bottom w:val="nil"/>
            </w:tcBorders>
            <w:vAlign w:val="center"/>
          </w:tcPr>
          <w:p w14:paraId="3A1F5245">
            <w:pPr>
              <w:keepNext/>
              <w:adjustRightInd w:val="0"/>
              <w:spacing w:line="440" w:lineRule="exact"/>
              <w:ind w:left="63" w:leftChars="30" w:right="63" w:rightChars="30"/>
              <w:jc w:val="center"/>
              <w:textAlignment w:val="baseline"/>
              <w:rPr>
                <w:rFonts w:hint="eastAsia" w:ascii="宋体" w:hAnsi="宋体"/>
              </w:rPr>
            </w:pPr>
          </w:p>
        </w:tc>
      </w:tr>
      <w:tr w14:paraId="75D6B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1C9A16BE">
            <w:pPr>
              <w:keepNext/>
              <w:adjustRightInd w:val="0"/>
              <w:spacing w:line="440" w:lineRule="exact"/>
              <w:ind w:left="63" w:leftChars="30" w:right="63" w:rightChars="30"/>
              <w:jc w:val="center"/>
              <w:textAlignment w:val="baseline"/>
              <w:rPr>
                <w:rFonts w:hint="eastAsia" w:ascii="宋体" w:hAnsi="宋体"/>
              </w:rPr>
            </w:pPr>
          </w:p>
        </w:tc>
        <w:tc>
          <w:tcPr>
            <w:tcW w:w="1418" w:type="dxa"/>
            <w:vAlign w:val="center"/>
          </w:tcPr>
          <w:p w14:paraId="785546DE">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0A675420">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0F772E0F">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572A41D8">
            <w:pPr>
              <w:keepNext/>
              <w:adjustRightInd w:val="0"/>
              <w:spacing w:line="440" w:lineRule="exact"/>
              <w:ind w:left="63" w:leftChars="30" w:right="63" w:rightChars="30"/>
              <w:jc w:val="center"/>
              <w:textAlignment w:val="baseline"/>
              <w:rPr>
                <w:rFonts w:hint="eastAsia" w:ascii="宋体" w:hAnsi="宋体"/>
              </w:rPr>
            </w:pPr>
          </w:p>
        </w:tc>
      </w:tr>
      <w:tr w14:paraId="72B83B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30B74622">
            <w:pPr>
              <w:keepNext/>
              <w:adjustRightInd w:val="0"/>
              <w:spacing w:line="440" w:lineRule="exact"/>
              <w:ind w:left="63" w:leftChars="30" w:right="63" w:rightChars="30"/>
              <w:jc w:val="center"/>
              <w:textAlignment w:val="baseline"/>
              <w:rPr>
                <w:rFonts w:hint="eastAsia" w:ascii="宋体" w:hAnsi="宋体"/>
              </w:rPr>
            </w:pPr>
          </w:p>
        </w:tc>
        <w:tc>
          <w:tcPr>
            <w:tcW w:w="1418" w:type="dxa"/>
            <w:vAlign w:val="center"/>
          </w:tcPr>
          <w:p w14:paraId="1C040241">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63D49F80">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6F9D255A">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0D6D9D91">
            <w:pPr>
              <w:keepNext/>
              <w:adjustRightInd w:val="0"/>
              <w:spacing w:line="440" w:lineRule="exact"/>
              <w:ind w:left="63" w:leftChars="30" w:right="63" w:rightChars="30"/>
              <w:jc w:val="center"/>
              <w:textAlignment w:val="baseline"/>
              <w:rPr>
                <w:rFonts w:hint="eastAsia" w:ascii="宋体" w:hAnsi="宋体"/>
              </w:rPr>
            </w:pPr>
          </w:p>
        </w:tc>
      </w:tr>
      <w:tr w14:paraId="111D5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09584CC">
            <w:pPr>
              <w:keepNext/>
              <w:adjustRightInd w:val="0"/>
              <w:spacing w:line="440" w:lineRule="exact"/>
              <w:ind w:left="63" w:leftChars="30" w:right="63" w:rightChars="30"/>
              <w:jc w:val="center"/>
              <w:textAlignment w:val="baseline"/>
              <w:rPr>
                <w:rFonts w:hint="eastAsia" w:ascii="宋体" w:hAnsi="宋体"/>
              </w:rPr>
            </w:pPr>
          </w:p>
        </w:tc>
        <w:tc>
          <w:tcPr>
            <w:tcW w:w="1418" w:type="dxa"/>
            <w:vAlign w:val="center"/>
          </w:tcPr>
          <w:p w14:paraId="602E3B1B">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5E187684">
            <w:pPr>
              <w:keepNext/>
              <w:adjustRightInd w:val="0"/>
              <w:spacing w:line="440" w:lineRule="exact"/>
              <w:ind w:left="63" w:leftChars="30" w:right="63" w:rightChars="30"/>
              <w:jc w:val="center"/>
              <w:textAlignment w:val="baseline"/>
              <w:rPr>
                <w:rFonts w:hint="eastAsia" w:ascii="宋体" w:hAnsi="宋体"/>
              </w:rPr>
            </w:pPr>
          </w:p>
        </w:tc>
        <w:tc>
          <w:tcPr>
            <w:tcW w:w="1134" w:type="dxa"/>
            <w:vAlign w:val="center"/>
          </w:tcPr>
          <w:p w14:paraId="550D0674">
            <w:pPr>
              <w:keepNext/>
              <w:adjustRightInd w:val="0"/>
              <w:spacing w:line="440" w:lineRule="exact"/>
              <w:ind w:left="63" w:leftChars="30" w:right="63" w:rightChars="30"/>
              <w:jc w:val="center"/>
              <w:textAlignment w:val="baseline"/>
              <w:rPr>
                <w:rFonts w:hint="eastAsia" w:ascii="宋体" w:hAnsi="宋体"/>
              </w:rPr>
            </w:pPr>
          </w:p>
        </w:tc>
        <w:tc>
          <w:tcPr>
            <w:tcW w:w="4252" w:type="dxa"/>
            <w:vAlign w:val="center"/>
          </w:tcPr>
          <w:p w14:paraId="28199FBA">
            <w:pPr>
              <w:keepNext/>
              <w:adjustRightInd w:val="0"/>
              <w:spacing w:line="440" w:lineRule="exact"/>
              <w:ind w:left="63" w:leftChars="30" w:right="63" w:rightChars="30"/>
              <w:jc w:val="center"/>
              <w:textAlignment w:val="baseline"/>
              <w:rPr>
                <w:rFonts w:hint="eastAsia" w:ascii="宋体" w:hAnsi="宋体"/>
              </w:rPr>
            </w:pPr>
          </w:p>
        </w:tc>
      </w:tr>
      <w:tr w14:paraId="499DF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4FAFA4B8">
            <w:pPr>
              <w:keepNext/>
              <w:adjustRightInd w:val="0"/>
              <w:spacing w:line="440" w:lineRule="exact"/>
              <w:ind w:left="63" w:leftChars="30" w:right="63" w:rightChars="30"/>
              <w:jc w:val="center"/>
              <w:textAlignment w:val="baseline"/>
              <w:rPr>
                <w:rFonts w:hint="eastAsia" w:ascii="宋体" w:hAnsi="宋体"/>
              </w:rPr>
            </w:pPr>
          </w:p>
        </w:tc>
        <w:tc>
          <w:tcPr>
            <w:tcW w:w="1418" w:type="dxa"/>
            <w:tcBorders>
              <w:bottom w:val="single" w:color="auto" w:sz="12" w:space="0"/>
            </w:tcBorders>
            <w:vAlign w:val="center"/>
          </w:tcPr>
          <w:p w14:paraId="25F30679">
            <w:pPr>
              <w:keepNext/>
              <w:adjustRightInd w:val="0"/>
              <w:spacing w:line="440" w:lineRule="exact"/>
              <w:ind w:left="63" w:leftChars="30" w:right="63" w:rightChars="30"/>
              <w:jc w:val="center"/>
              <w:textAlignment w:val="baseline"/>
              <w:rPr>
                <w:rFonts w:hint="eastAsia" w:ascii="宋体" w:hAnsi="宋体"/>
              </w:rPr>
            </w:pPr>
          </w:p>
        </w:tc>
        <w:tc>
          <w:tcPr>
            <w:tcW w:w="1134" w:type="dxa"/>
            <w:tcBorders>
              <w:bottom w:val="single" w:color="auto" w:sz="12" w:space="0"/>
            </w:tcBorders>
            <w:vAlign w:val="center"/>
          </w:tcPr>
          <w:p w14:paraId="09D33CC7">
            <w:pPr>
              <w:keepNext/>
              <w:adjustRightInd w:val="0"/>
              <w:spacing w:line="440" w:lineRule="exact"/>
              <w:ind w:left="63" w:leftChars="30" w:right="63" w:rightChars="30"/>
              <w:jc w:val="center"/>
              <w:textAlignment w:val="baseline"/>
              <w:rPr>
                <w:rFonts w:hint="eastAsia" w:ascii="宋体" w:hAnsi="宋体"/>
              </w:rPr>
            </w:pPr>
          </w:p>
        </w:tc>
        <w:tc>
          <w:tcPr>
            <w:tcW w:w="1134" w:type="dxa"/>
            <w:tcBorders>
              <w:bottom w:val="single" w:color="auto" w:sz="12" w:space="0"/>
            </w:tcBorders>
            <w:vAlign w:val="center"/>
          </w:tcPr>
          <w:p w14:paraId="4D853E78">
            <w:pPr>
              <w:keepNext/>
              <w:adjustRightInd w:val="0"/>
              <w:spacing w:line="440" w:lineRule="exact"/>
              <w:ind w:left="63" w:leftChars="30" w:right="63" w:rightChars="30"/>
              <w:jc w:val="center"/>
              <w:textAlignment w:val="baseline"/>
              <w:rPr>
                <w:rFonts w:hint="eastAsia" w:ascii="宋体" w:hAnsi="宋体"/>
              </w:rPr>
            </w:pPr>
          </w:p>
        </w:tc>
        <w:tc>
          <w:tcPr>
            <w:tcW w:w="4252" w:type="dxa"/>
            <w:tcBorders>
              <w:bottom w:val="single" w:color="auto" w:sz="12" w:space="0"/>
            </w:tcBorders>
            <w:vAlign w:val="center"/>
          </w:tcPr>
          <w:p w14:paraId="6F3268F5">
            <w:pPr>
              <w:keepNext/>
              <w:adjustRightInd w:val="0"/>
              <w:spacing w:line="440" w:lineRule="exact"/>
              <w:ind w:left="63" w:leftChars="30" w:right="63" w:rightChars="30"/>
              <w:jc w:val="center"/>
              <w:textAlignment w:val="baseline"/>
              <w:rPr>
                <w:rFonts w:hint="eastAsia" w:ascii="宋体" w:hAnsi="宋体"/>
              </w:rPr>
            </w:pPr>
          </w:p>
        </w:tc>
      </w:tr>
    </w:tbl>
    <w:p w14:paraId="43ED2342">
      <w:pPr>
        <w:spacing w:line="360" w:lineRule="auto"/>
      </w:pPr>
    </w:p>
    <w:sectPr>
      <w:pgSz w:w="11910" w:h="16840"/>
      <w:pgMar w:top="1340" w:right="1500" w:bottom="1338" w:left="1502"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auto"/>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Segoe UI Symbol">
    <w:panose1 w:val="020B0502040204020203"/>
    <w:charset w:val="00"/>
    <w:family w:val="swiss"/>
    <w:pitch w:val="default"/>
    <w:sig w:usb0="8000006F" w:usb1="1200FBEF" w:usb2="0064C000" w:usb3="00000002" w:csb0="00000001" w:csb1="40000000"/>
  </w:font>
  <w:font w:name="Helvetica">
    <w:altName w:val="Arial"/>
    <w:panose1 w:val="020B0604020202020204"/>
    <w:charset w:val="00"/>
    <w:family w:val="swiss"/>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MingLiU_HKSCS">
    <w:panose1 w:val="02020500000000000000"/>
    <w:charset w:val="88"/>
    <w:family w:val="roman"/>
    <w:pitch w:val="default"/>
    <w:sig w:usb0="A00002FF" w:usb1="3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E4931">
    <w:pPr>
      <w:pStyle w:val="20"/>
      <w:ind w:firstLine="360"/>
      <w:jc w:val="center"/>
    </w:pPr>
  </w:p>
  <w:p w14:paraId="7B1A18E6">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1FD10">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92B36">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FD296">
    <w:pPr>
      <w:pStyle w:val="20"/>
      <w:jc w:val="center"/>
    </w:pPr>
    <w:r>
      <w:fldChar w:fldCharType="begin"/>
    </w:r>
    <w:r>
      <w:instrText xml:space="preserve"> PAGE   \* MERGEFORMAT </w:instrText>
    </w:r>
    <w:r>
      <w:fldChar w:fldCharType="separate"/>
    </w:r>
    <w:r>
      <w:rPr>
        <w:lang w:val="zh-CN"/>
      </w:rPr>
      <w:t>1</w:t>
    </w:r>
    <w:r>
      <w:rPr>
        <w:lang w:val="zh-CN"/>
      </w:rPr>
      <w:fldChar w:fldCharType="end"/>
    </w:r>
  </w:p>
  <w:p w14:paraId="14BC410D">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B57FF">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F99C5B3">
                          <w:pPr>
                            <w:pStyle w:val="2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WUsMhdABAACqAwAADgAAAAAAAAABACAAAAAeAQAAZHJz&#10;L2Uyb0RvYy54bWxQSwUGAAAAAAYABgBZAQAAYAUAAAAA&#10;">
              <v:fill on="f" focussize="0,0"/>
              <v:stroke on="f"/>
              <v:imagedata o:title=""/>
              <o:lock v:ext="edit" aspectratio="f"/>
              <v:textbox inset="0mm,0mm,0mm,0mm" style="mso-fit-shape-to-text:t;">
                <w:txbxContent>
                  <w:p w14:paraId="4F99C5B3">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0D6FA">
    <w:pPr>
      <w:spacing w:line="186" w:lineRule="auto"/>
      <w:ind w:left="4410"/>
      <w:rPr>
        <w:rFonts w:eastAsia="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ECA74D">
                          <w:pPr>
                            <w:pStyle w:val="20"/>
                          </w:pPr>
                          <w:r>
                            <w:fldChar w:fldCharType="begin"/>
                          </w:r>
                          <w:r>
                            <w:instrText xml:space="preserve"> PAGE  \* MERGEFORMAT </w:instrText>
                          </w:r>
                          <w:r>
                            <w:fldChar w:fldCharType="separate"/>
                          </w:r>
                          <w:r>
                            <w:t>55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7DECA74D">
                    <w:pPr>
                      <w:pStyle w:val="2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8D187">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D7411C">
                          <w:pPr>
                            <w:pStyle w:val="20"/>
                          </w:pPr>
                          <w:r>
                            <w:fldChar w:fldCharType="begin"/>
                          </w:r>
                          <w:r>
                            <w:instrText xml:space="preserve"> PAGE  \* MERGEFORMAT </w:instrText>
                          </w:r>
                          <w:r>
                            <w:fldChar w:fldCharType="separate"/>
                          </w:r>
                          <w:r>
                            <w:t>67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30D7411C">
                    <w:pPr>
                      <w:pStyle w:val="2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9E4D6">
    <w:pPr>
      <w:pStyle w:val="2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A40CB">
    <w:pPr>
      <w:pStyle w:val="21"/>
      <w:pBdr>
        <w:top w:val="none" w:color="auto" w:sz="0" w:space="0"/>
        <w:left w:val="none" w:color="auto" w:sz="0" w:space="0"/>
        <w:bottom w:val="none" w:color="auto" w:sz="0" w:space="1"/>
        <w:right w:val="none" w:color="auto" w:sz="0" w:space="0"/>
        <w:between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59541">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1F6E0E"/>
    <w:multiLevelType w:val="singleLevel"/>
    <w:tmpl w:val="BA1F6E0E"/>
    <w:lvl w:ilvl="0" w:tentative="0">
      <w:start w:val="1"/>
      <w:numFmt w:val="decimal"/>
      <w:suff w:val="space"/>
      <w:lvlText w:val="%1."/>
      <w:lvlJc w:val="left"/>
    </w:lvl>
  </w:abstractNum>
  <w:abstractNum w:abstractNumId="1">
    <w:nsid w:val="3E6A01AB"/>
    <w:multiLevelType w:val="singleLevel"/>
    <w:tmpl w:val="3E6A01AB"/>
    <w:lvl w:ilvl="0" w:tentative="0">
      <w:start w:val="1"/>
      <w:numFmt w:val="decimal"/>
      <w:suff w:val="nothing"/>
      <w:lvlText w:val="%1、"/>
      <w:lvlJc w:val="left"/>
    </w:lvl>
  </w:abstractNum>
  <w:abstractNum w:abstractNumId="2">
    <w:nsid w:val="408860E8"/>
    <w:multiLevelType w:val="single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
    <w:nsid w:val="6EDD6597"/>
    <w:multiLevelType w:val="singleLevel"/>
    <w:tmpl w:val="6EDD6597"/>
    <w:lvl w:ilvl="0" w:tentative="0">
      <w:start w:val="11"/>
      <w:numFmt w:val="decimal"/>
      <w:suff w:val="space"/>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wZTQxYjgzMDhjODgzM2MxNDAyM2ZlNzI0Y2Y4NDgifQ=="/>
    <w:docVar w:name="KSO_WPS_MARK_KEY" w:val="0c5b94d8-b111-41e2-bfbe-f5ae64f1cae3"/>
  </w:docVars>
  <w:rsids>
    <w:rsidRoot w:val="003512C6"/>
    <w:rsid w:val="00000672"/>
    <w:rsid w:val="00000B45"/>
    <w:rsid w:val="00001799"/>
    <w:rsid w:val="00002D29"/>
    <w:rsid w:val="000040C5"/>
    <w:rsid w:val="00004514"/>
    <w:rsid w:val="00004A8A"/>
    <w:rsid w:val="00005E55"/>
    <w:rsid w:val="00005FDF"/>
    <w:rsid w:val="00006586"/>
    <w:rsid w:val="0000768A"/>
    <w:rsid w:val="00010D39"/>
    <w:rsid w:val="000112BB"/>
    <w:rsid w:val="0001149B"/>
    <w:rsid w:val="0001172C"/>
    <w:rsid w:val="00012854"/>
    <w:rsid w:val="00012EA6"/>
    <w:rsid w:val="000139DC"/>
    <w:rsid w:val="00013D8C"/>
    <w:rsid w:val="00013DFE"/>
    <w:rsid w:val="000141EA"/>
    <w:rsid w:val="00014385"/>
    <w:rsid w:val="00014B02"/>
    <w:rsid w:val="000166C4"/>
    <w:rsid w:val="00016960"/>
    <w:rsid w:val="00017396"/>
    <w:rsid w:val="000177DB"/>
    <w:rsid w:val="00020227"/>
    <w:rsid w:val="000203E4"/>
    <w:rsid w:val="00020455"/>
    <w:rsid w:val="00022731"/>
    <w:rsid w:val="00022792"/>
    <w:rsid w:val="0002392D"/>
    <w:rsid w:val="00024B43"/>
    <w:rsid w:val="00025382"/>
    <w:rsid w:val="00025636"/>
    <w:rsid w:val="00025E36"/>
    <w:rsid w:val="00026627"/>
    <w:rsid w:val="00026886"/>
    <w:rsid w:val="000273E6"/>
    <w:rsid w:val="00030496"/>
    <w:rsid w:val="000329A1"/>
    <w:rsid w:val="000329E0"/>
    <w:rsid w:val="000333A0"/>
    <w:rsid w:val="000352E9"/>
    <w:rsid w:val="00036A07"/>
    <w:rsid w:val="00036E33"/>
    <w:rsid w:val="00037E2D"/>
    <w:rsid w:val="00040571"/>
    <w:rsid w:val="0004156E"/>
    <w:rsid w:val="00041597"/>
    <w:rsid w:val="00041655"/>
    <w:rsid w:val="0004440C"/>
    <w:rsid w:val="00045880"/>
    <w:rsid w:val="000462CB"/>
    <w:rsid w:val="00046B5E"/>
    <w:rsid w:val="00047618"/>
    <w:rsid w:val="0004783A"/>
    <w:rsid w:val="000509D9"/>
    <w:rsid w:val="000552A6"/>
    <w:rsid w:val="00055D41"/>
    <w:rsid w:val="00056975"/>
    <w:rsid w:val="00057CEC"/>
    <w:rsid w:val="000602C0"/>
    <w:rsid w:val="00060DCE"/>
    <w:rsid w:val="000623B4"/>
    <w:rsid w:val="000634A7"/>
    <w:rsid w:val="00063E85"/>
    <w:rsid w:val="00063F81"/>
    <w:rsid w:val="00064847"/>
    <w:rsid w:val="0006484B"/>
    <w:rsid w:val="00065BBC"/>
    <w:rsid w:val="000673E2"/>
    <w:rsid w:val="000711E4"/>
    <w:rsid w:val="00071627"/>
    <w:rsid w:val="00072AED"/>
    <w:rsid w:val="00073F47"/>
    <w:rsid w:val="00075B7E"/>
    <w:rsid w:val="00077C70"/>
    <w:rsid w:val="00080B57"/>
    <w:rsid w:val="000817D1"/>
    <w:rsid w:val="00081BA3"/>
    <w:rsid w:val="00081D2E"/>
    <w:rsid w:val="0008267B"/>
    <w:rsid w:val="00082D02"/>
    <w:rsid w:val="00083B91"/>
    <w:rsid w:val="000840BE"/>
    <w:rsid w:val="0008520B"/>
    <w:rsid w:val="0008530A"/>
    <w:rsid w:val="00085518"/>
    <w:rsid w:val="000871B8"/>
    <w:rsid w:val="00087DB6"/>
    <w:rsid w:val="00090639"/>
    <w:rsid w:val="000913BE"/>
    <w:rsid w:val="000913F6"/>
    <w:rsid w:val="000918F8"/>
    <w:rsid w:val="00092442"/>
    <w:rsid w:val="0009588E"/>
    <w:rsid w:val="000959EE"/>
    <w:rsid w:val="00095B2F"/>
    <w:rsid w:val="00095B51"/>
    <w:rsid w:val="00097DA0"/>
    <w:rsid w:val="000A0D6B"/>
    <w:rsid w:val="000A0EEE"/>
    <w:rsid w:val="000A1389"/>
    <w:rsid w:val="000A166E"/>
    <w:rsid w:val="000A17D0"/>
    <w:rsid w:val="000A2B0E"/>
    <w:rsid w:val="000A398F"/>
    <w:rsid w:val="000A4AEE"/>
    <w:rsid w:val="000A509C"/>
    <w:rsid w:val="000A6007"/>
    <w:rsid w:val="000A65A6"/>
    <w:rsid w:val="000A7275"/>
    <w:rsid w:val="000A7A12"/>
    <w:rsid w:val="000A7AD8"/>
    <w:rsid w:val="000A7CA5"/>
    <w:rsid w:val="000B039A"/>
    <w:rsid w:val="000B1801"/>
    <w:rsid w:val="000B19B3"/>
    <w:rsid w:val="000B1D0C"/>
    <w:rsid w:val="000B2D03"/>
    <w:rsid w:val="000B3815"/>
    <w:rsid w:val="000B3C7B"/>
    <w:rsid w:val="000B6C95"/>
    <w:rsid w:val="000B728B"/>
    <w:rsid w:val="000C03DC"/>
    <w:rsid w:val="000C0C58"/>
    <w:rsid w:val="000C1679"/>
    <w:rsid w:val="000C2898"/>
    <w:rsid w:val="000C2F89"/>
    <w:rsid w:val="000C435F"/>
    <w:rsid w:val="000C4635"/>
    <w:rsid w:val="000C548E"/>
    <w:rsid w:val="000C5A33"/>
    <w:rsid w:val="000C6DE4"/>
    <w:rsid w:val="000C74F6"/>
    <w:rsid w:val="000D01EB"/>
    <w:rsid w:val="000D056E"/>
    <w:rsid w:val="000D0675"/>
    <w:rsid w:val="000D0A89"/>
    <w:rsid w:val="000D1389"/>
    <w:rsid w:val="000D1798"/>
    <w:rsid w:val="000D1A2A"/>
    <w:rsid w:val="000D2626"/>
    <w:rsid w:val="000D31DB"/>
    <w:rsid w:val="000D390C"/>
    <w:rsid w:val="000D4528"/>
    <w:rsid w:val="000D4A06"/>
    <w:rsid w:val="000D54D4"/>
    <w:rsid w:val="000D73AF"/>
    <w:rsid w:val="000D73DD"/>
    <w:rsid w:val="000D7D9B"/>
    <w:rsid w:val="000E18E2"/>
    <w:rsid w:val="000E28AB"/>
    <w:rsid w:val="000E2E3E"/>
    <w:rsid w:val="000E33C5"/>
    <w:rsid w:val="000E3583"/>
    <w:rsid w:val="000E3AF0"/>
    <w:rsid w:val="000E3D53"/>
    <w:rsid w:val="000E4E04"/>
    <w:rsid w:val="000E6EC9"/>
    <w:rsid w:val="000E70B4"/>
    <w:rsid w:val="000F3281"/>
    <w:rsid w:val="000F3733"/>
    <w:rsid w:val="000F4D88"/>
    <w:rsid w:val="000F5B1B"/>
    <w:rsid w:val="000F64AA"/>
    <w:rsid w:val="000F7AF4"/>
    <w:rsid w:val="000F7C33"/>
    <w:rsid w:val="000F7F0C"/>
    <w:rsid w:val="00100246"/>
    <w:rsid w:val="001004D6"/>
    <w:rsid w:val="00100D90"/>
    <w:rsid w:val="00103918"/>
    <w:rsid w:val="00104324"/>
    <w:rsid w:val="00104889"/>
    <w:rsid w:val="00104897"/>
    <w:rsid w:val="00104EDE"/>
    <w:rsid w:val="00105372"/>
    <w:rsid w:val="001058F3"/>
    <w:rsid w:val="00106BEE"/>
    <w:rsid w:val="00113134"/>
    <w:rsid w:val="00113AC0"/>
    <w:rsid w:val="00113E75"/>
    <w:rsid w:val="00114851"/>
    <w:rsid w:val="00115E11"/>
    <w:rsid w:val="00115F56"/>
    <w:rsid w:val="00117CBD"/>
    <w:rsid w:val="0012006A"/>
    <w:rsid w:val="00120990"/>
    <w:rsid w:val="001217B5"/>
    <w:rsid w:val="00121979"/>
    <w:rsid w:val="00122064"/>
    <w:rsid w:val="00125004"/>
    <w:rsid w:val="001263B8"/>
    <w:rsid w:val="00126763"/>
    <w:rsid w:val="00130217"/>
    <w:rsid w:val="00130783"/>
    <w:rsid w:val="001312CB"/>
    <w:rsid w:val="00131B75"/>
    <w:rsid w:val="00132B47"/>
    <w:rsid w:val="00132E64"/>
    <w:rsid w:val="001351CB"/>
    <w:rsid w:val="001359A2"/>
    <w:rsid w:val="00135E37"/>
    <w:rsid w:val="00136020"/>
    <w:rsid w:val="00136445"/>
    <w:rsid w:val="00140132"/>
    <w:rsid w:val="00141C9C"/>
    <w:rsid w:val="001434BE"/>
    <w:rsid w:val="0014479F"/>
    <w:rsid w:val="001452B4"/>
    <w:rsid w:val="0014550E"/>
    <w:rsid w:val="00145A9C"/>
    <w:rsid w:val="00146EC6"/>
    <w:rsid w:val="001478D2"/>
    <w:rsid w:val="00150CC9"/>
    <w:rsid w:val="00152A87"/>
    <w:rsid w:val="00154486"/>
    <w:rsid w:val="00156D0E"/>
    <w:rsid w:val="0016086E"/>
    <w:rsid w:val="00160D0C"/>
    <w:rsid w:val="00160E95"/>
    <w:rsid w:val="00161172"/>
    <w:rsid w:val="0016139E"/>
    <w:rsid w:val="00161E65"/>
    <w:rsid w:val="00162597"/>
    <w:rsid w:val="001629AF"/>
    <w:rsid w:val="0016428A"/>
    <w:rsid w:val="001647C9"/>
    <w:rsid w:val="001661A3"/>
    <w:rsid w:val="0016782B"/>
    <w:rsid w:val="00167E78"/>
    <w:rsid w:val="00173256"/>
    <w:rsid w:val="001733E1"/>
    <w:rsid w:val="00173F74"/>
    <w:rsid w:val="00175086"/>
    <w:rsid w:val="00175BA6"/>
    <w:rsid w:val="00176CA7"/>
    <w:rsid w:val="001778C5"/>
    <w:rsid w:val="00177E56"/>
    <w:rsid w:val="00177F0A"/>
    <w:rsid w:val="00180669"/>
    <w:rsid w:val="00182B6B"/>
    <w:rsid w:val="00183088"/>
    <w:rsid w:val="00185617"/>
    <w:rsid w:val="0019171E"/>
    <w:rsid w:val="0019220F"/>
    <w:rsid w:val="001928B1"/>
    <w:rsid w:val="00194ED5"/>
    <w:rsid w:val="00195424"/>
    <w:rsid w:val="001955FF"/>
    <w:rsid w:val="001971D3"/>
    <w:rsid w:val="00197EDD"/>
    <w:rsid w:val="001A02B3"/>
    <w:rsid w:val="001A04BB"/>
    <w:rsid w:val="001A08D0"/>
    <w:rsid w:val="001A14B1"/>
    <w:rsid w:val="001A1B39"/>
    <w:rsid w:val="001A2492"/>
    <w:rsid w:val="001A2E69"/>
    <w:rsid w:val="001A3377"/>
    <w:rsid w:val="001A3C34"/>
    <w:rsid w:val="001A3EDE"/>
    <w:rsid w:val="001A4222"/>
    <w:rsid w:val="001A50EA"/>
    <w:rsid w:val="001A5AB8"/>
    <w:rsid w:val="001A5E24"/>
    <w:rsid w:val="001A6A49"/>
    <w:rsid w:val="001A6D8B"/>
    <w:rsid w:val="001B079E"/>
    <w:rsid w:val="001B0CDA"/>
    <w:rsid w:val="001B0E26"/>
    <w:rsid w:val="001B125A"/>
    <w:rsid w:val="001B1E05"/>
    <w:rsid w:val="001B1EBA"/>
    <w:rsid w:val="001B1EFE"/>
    <w:rsid w:val="001B2142"/>
    <w:rsid w:val="001B26CF"/>
    <w:rsid w:val="001B2F2B"/>
    <w:rsid w:val="001B327A"/>
    <w:rsid w:val="001B35DE"/>
    <w:rsid w:val="001B35E7"/>
    <w:rsid w:val="001B3A13"/>
    <w:rsid w:val="001B59FF"/>
    <w:rsid w:val="001B636D"/>
    <w:rsid w:val="001B65D7"/>
    <w:rsid w:val="001B6752"/>
    <w:rsid w:val="001B6768"/>
    <w:rsid w:val="001B6F1F"/>
    <w:rsid w:val="001B7ECC"/>
    <w:rsid w:val="001C1AED"/>
    <w:rsid w:val="001C1B38"/>
    <w:rsid w:val="001C25A7"/>
    <w:rsid w:val="001C318C"/>
    <w:rsid w:val="001C4287"/>
    <w:rsid w:val="001C4479"/>
    <w:rsid w:val="001C5A0A"/>
    <w:rsid w:val="001C76B7"/>
    <w:rsid w:val="001C76FB"/>
    <w:rsid w:val="001D2764"/>
    <w:rsid w:val="001D3697"/>
    <w:rsid w:val="001D51DE"/>
    <w:rsid w:val="001D540E"/>
    <w:rsid w:val="001D58A1"/>
    <w:rsid w:val="001D5A8A"/>
    <w:rsid w:val="001D709B"/>
    <w:rsid w:val="001D735E"/>
    <w:rsid w:val="001D73C8"/>
    <w:rsid w:val="001D74D4"/>
    <w:rsid w:val="001D7E1F"/>
    <w:rsid w:val="001E0756"/>
    <w:rsid w:val="001E0A8D"/>
    <w:rsid w:val="001E0FFB"/>
    <w:rsid w:val="001E129E"/>
    <w:rsid w:val="001E26F5"/>
    <w:rsid w:val="001E28DF"/>
    <w:rsid w:val="001E2B9F"/>
    <w:rsid w:val="001E4A8D"/>
    <w:rsid w:val="001E5A94"/>
    <w:rsid w:val="001E7648"/>
    <w:rsid w:val="001F127B"/>
    <w:rsid w:val="001F2A2E"/>
    <w:rsid w:val="001F2E3D"/>
    <w:rsid w:val="001F3B72"/>
    <w:rsid w:val="001F3C63"/>
    <w:rsid w:val="001F4460"/>
    <w:rsid w:val="001F5C1C"/>
    <w:rsid w:val="001F5DAF"/>
    <w:rsid w:val="001F637C"/>
    <w:rsid w:val="001F6B6C"/>
    <w:rsid w:val="001F711A"/>
    <w:rsid w:val="001F728A"/>
    <w:rsid w:val="001F75B0"/>
    <w:rsid w:val="001F7686"/>
    <w:rsid w:val="00200CE5"/>
    <w:rsid w:val="002014DB"/>
    <w:rsid w:val="00201E12"/>
    <w:rsid w:val="002031E2"/>
    <w:rsid w:val="002033B5"/>
    <w:rsid w:val="0020382C"/>
    <w:rsid w:val="00203CB0"/>
    <w:rsid w:val="0020437A"/>
    <w:rsid w:val="00204B5F"/>
    <w:rsid w:val="0020532C"/>
    <w:rsid w:val="00205D23"/>
    <w:rsid w:val="0021036C"/>
    <w:rsid w:val="0021064F"/>
    <w:rsid w:val="002114C7"/>
    <w:rsid w:val="002118F3"/>
    <w:rsid w:val="00212756"/>
    <w:rsid w:val="00212A7A"/>
    <w:rsid w:val="0021302C"/>
    <w:rsid w:val="00213045"/>
    <w:rsid w:val="00213483"/>
    <w:rsid w:val="00213B1C"/>
    <w:rsid w:val="00214202"/>
    <w:rsid w:val="002146F3"/>
    <w:rsid w:val="002148E3"/>
    <w:rsid w:val="00215373"/>
    <w:rsid w:val="0021552D"/>
    <w:rsid w:val="002156AE"/>
    <w:rsid w:val="00217861"/>
    <w:rsid w:val="002204C9"/>
    <w:rsid w:val="0022054D"/>
    <w:rsid w:val="0022290A"/>
    <w:rsid w:val="00224DE1"/>
    <w:rsid w:val="00225664"/>
    <w:rsid w:val="002269DC"/>
    <w:rsid w:val="00227F2D"/>
    <w:rsid w:val="0023089D"/>
    <w:rsid w:val="00231851"/>
    <w:rsid w:val="002319FB"/>
    <w:rsid w:val="00231B89"/>
    <w:rsid w:val="002355BE"/>
    <w:rsid w:val="00236DE9"/>
    <w:rsid w:val="00237D5A"/>
    <w:rsid w:val="00237EA9"/>
    <w:rsid w:val="00241300"/>
    <w:rsid w:val="00241D3C"/>
    <w:rsid w:val="0024274D"/>
    <w:rsid w:val="002439AB"/>
    <w:rsid w:val="002450D5"/>
    <w:rsid w:val="00245587"/>
    <w:rsid w:val="00245F2B"/>
    <w:rsid w:val="00246E2D"/>
    <w:rsid w:val="00246F95"/>
    <w:rsid w:val="00247F3A"/>
    <w:rsid w:val="00250122"/>
    <w:rsid w:val="00250755"/>
    <w:rsid w:val="00250AE3"/>
    <w:rsid w:val="00251C4A"/>
    <w:rsid w:val="0025271C"/>
    <w:rsid w:val="00252A91"/>
    <w:rsid w:val="002533CD"/>
    <w:rsid w:val="002544C1"/>
    <w:rsid w:val="00254EAB"/>
    <w:rsid w:val="002557AF"/>
    <w:rsid w:val="002559BE"/>
    <w:rsid w:val="002561FA"/>
    <w:rsid w:val="00256474"/>
    <w:rsid w:val="002566B1"/>
    <w:rsid w:val="002575E3"/>
    <w:rsid w:val="002603C1"/>
    <w:rsid w:val="002609A1"/>
    <w:rsid w:val="002612B1"/>
    <w:rsid w:val="00266165"/>
    <w:rsid w:val="0027125E"/>
    <w:rsid w:val="00271767"/>
    <w:rsid w:val="00272293"/>
    <w:rsid w:val="002723C8"/>
    <w:rsid w:val="00272676"/>
    <w:rsid w:val="00273104"/>
    <w:rsid w:val="00273CBE"/>
    <w:rsid w:val="00275800"/>
    <w:rsid w:val="00277441"/>
    <w:rsid w:val="002802D7"/>
    <w:rsid w:val="0028232C"/>
    <w:rsid w:val="002827F1"/>
    <w:rsid w:val="00282EC3"/>
    <w:rsid w:val="002835B0"/>
    <w:rsid w:val="0028407E"/>
    <w:rsid w:val="0028410F"/>
    <w:rsid w:val="00286603"/>
    <w:rsid w:val="00286A98"/>
    <w:rsid w:val="00286FB5"/>
    <w:rsid w:val="00287763"/>
    <w:rsid w:val="00290606"/>
    <w:rsid w:val="00290E61"/>
    <w:rsid w:val="00290F9D"/>
    <w:rsid w:val="002918A7"/>
    <w:rsid w:val="00291D6D"/>
    <w:rsid w:val="00291FF1"/>
    <w:rsid w:val="002923F6"/>
    <w:rsid w:val="00293361"/>
    <w:rsid w:val="00293770"/>
    <w:rsid w:val="00293D05"/>
    <w:rsid w:val="00295287"/>
    <w:rsid w:val="002952B1"/>
    <w:rsid w:val="00295D11"/>
    <w:rsid w:val="00295FA0"/>
    <w:rsid w:val="00297A7A"/>
    <w:rsid w:val="002A0C3A"/>
    <w:rsid w:val="002A1130"/>
    <w:rsid w:val="002A14D3"/>
    <w:rsid w:val="002A1880"/>
    <w:rsid w:val="002A1D47"/>
    <w:rsid w:val="002A23B7"/>
    <w:rsid w:val="002A3A57"/>
    <w:rsid w:val="002A67D6"/>
    <w:rsid w:val="002A6D22"/>
    <w:rsid w:val="002A6DEF"/>
    <w:rsid w:val="002A734A"/>
    <w:rsid w:val="002A7411"/>
    <w:rsid w:val="002A7C24"/>
    <w:rsid w:val="002A7E3B"/>
    <w:rsid w:val="002B013E"/>
    <w:rsid w:val="002B058D"/>
    <w:rsid w:val="002B0C16"/>
    <w:rsid w:val="002B11C9"/>
    <w:rsid w:val="002B169E"/>
    <w:rsid w:val="002B2621"/>
    <w:rsid w:val="002B2AC5"/>
    <w:rsid w:val="002B2F4F"/>
    <w:rsid w:val="002B3528"/>
    <w:rsid w:val="002B3539"/>
    <w:rsid w:val="002B3B2B"/>
    <w:rsid w:val="002B6D17"/>
    <w:rsid w:val="002C0C1C"/>
    <w:rsid w:val="002C184E"/>
    <w:rsid w:val="002C29C1"/>
    <w:rsid w:val="002C54C2"/>
    <w:rsid w:val="002C58F6"/>
    <w:rsid w:val="002C5D34"/>
    <w:rsid w:val="002C5EA7"/>
    <w:rsid w:val="002C661A"/>
    <w:rsid w:val="002C730C"/>
    <w:rsid w:val="002D0AF5"/>
    <w:rsid w:val="002D1C54"/>
    <w:rsid w:val="002D2231"/>
    <w:rsid w:val="002D25FC"/>
    <w:rsid w:val="002D318B"/>
    <w:rsid w:val="002D3380"/>
    <w:rsid w:val="002D4925"/>
    <w:rsid w:val="002D4AC6"/>
    <w:rsid w:val="002D5C7B"/>
    <w:rsid w:val="002D6DFC"/>
    <w:rsid w:val="002D7648"/>
    <w:rsid w:val="002D7909"/>
    <w:rsid w:val="002D7E56"/>
    <w:rsid w:val="002E109C"/>
    <w:rsid w:val="002E115E"/>
    <w:rsid w:val="002E193E"/>
    <w:rsid w:val="002E1D76"/>
    <w:rsid w:val="002E243C"/>
    <w:rsid w:val="002E26C4"/>
    <w:rsid w:val="002E48DC"/>
    <w:rsid w:val="002E4B37"/>
    <w:rsid w:val="002E4BF9"/>
    <w:rsid w:val="002E6F5B"/>
    <w:rsid w:val="002F0631"/>
    <w:rsid w:val="002F16DD"/>
    <w:rsid w:val="002F199D"/>
    <w:rsid w:val="002F23B2"/>
    <w:rsid w:val="002F2AC5"/>
    <w:rsid w:val="002F4084"/>
    <w:rsid w:val="002F4672"/>
    <w:rsid w:val="002F4A08"/>
    <w:rsid w:val="002F4ADB"/>
    <w:rsid w:val="002F50E5"/>
    <w:rsid w:val="002F531E"/>
    <w:rsid w:val="002F5ACC"/>
    <w:rsid w:val="002F6C2C"/>
    <w:rsid w:val="002F704B"/>
    <w:rsid w:val="002F70A6"/>
    <w:rsid w:val="002F72C3"/>
    <w:rsid w:val="002F768C"/>
    <w:rsid w:val="002F77E6"/>
    <w:rsid w:val="002F7D1E"/>
    <w:rsid w:val="00300F92"/>
    <w:rsid w:val="00301839"/>
    <w:rsid w:val="00302929"/>
    <w:rsid w:val="00302F0F"/>
    <w:rsid w:val="00303243"/>
    <w:rsid w:val="00303BCC"/>
    <w:rsid w:val="00303F2B"/>
    <w:rsid w:val="00303F8D"/>
    <w:rsid w:val="00304541"/>
    <w:rsid w:val="00304580"/>
    <w:rsid w:val="0030586A"/>
    <w:rsid w:val="003074C5"/>
    <w:rsid w:val="00307A3C"/>
    <w:rsid w:val="00307FA4"/>
    <w:rsid w:val="00310CC1"/>
    <w:rsid w:val="003111F8"/>
    <w:rsid w:val="0031202C"/>
    <w:rsid w:val="00313026"/>
    <w:rsid w:val="0031421F"/>
    <w:rsid w:val="0031471D"/>
    <w:rsid w:val="00314B31"/>
    <w:rsid w:val="00314B36"/>
    <w:rsid w:val="00315158"/>
    <w:rsid w:val="00315346"/>
    <w:rsid w:val="00315A65"/>
    <w:rsid w:val="00316CEC"/>
    <w:rsid w:val="00317BA7"/>
    <w:rsid w:val="00320BE2"/>
    <w:rsid w:val="00321886"/>
    <w:rsid w:val="00321902"/>
    <w:rsid w:val="00322F03"/>
    <w:rsid w:val="00323694"/>
    <w:rsid w:val="00324D63"/>
    <w:rsid w:val="003255AF"/>
    <w:rsid w:val="003256EB"/>
    <w:rsid w:val="003259DB"/>
    <w:rsid w:val="00331060"/>
    <w:rsid w:val="00331A48"/>
    <w:rsid w:val="003330C9"/>
    <w:rsid w:val="0033364C"/>
    <w:rsid w:val="00334415"/>
    <w:rsid w:val="0033445C"/>
    <w:rsid w:val="00334F92"/>
    <w:rsid w:val="0033691E"/>
    <w:rsid w:val="00336CCB"/>
    <w:rsid w:val="0033745F"/>
    <w:rsid w:val="00337631"/>
    <w:rsid w:val="00337F44"/>
    <w:rsid w:val="003411D1"/>
    <w:rsid w:val="003416BA"/>
    <w:rsid w:val="00341BD6"/>
    <w:rsid w:val="00342A8A"/>
    <w:rsid w:val="00342F99"/>
    <w:rsid w:val="00343958"/>
    <w:rsid w:val="00344726"/>
    <w:rsid w:val="003454A4"/>
    <w:rsid w:val="00350E6C"/>
    <w:rsid w:val="003512C6"/>
    <w:rsid w:val="003518A6"/>
    <w:rsid w:val="00351CB0"/>
    <w:rsid w:val="00351E7F"/>
    <w:rsid w:val="00352953"/>
    <w:rsid w:val="00354062"/>
    <w:rsid w:val="00355C0D"/>
    <w:rsid w:val="003566A9"/>
    <w:rsid w:val="00356988"/>
    <w:rsid w:val="00356B20"/>
    <w:rsid w:val="00356E94"/>
    <w:rsid w:val="00357128"/>
    <w:rsid w:val="0035755E"/>
    <w:rsid w:val="00357A80"/>
    <w:rsid w:val="00361B8B"/>
    <w:rsid w:val="00361B95"/>
    <w:rsid w:val="00363A11"/>
    <w:rsid w:val="00363F39"/>
    <w:rsid w:val="00364738"/>
    <w:rsid w:val="00364AB0"/>
    <w:rsid w:val="003667B0"/>
    <w:rsid w:val="003667DD"/>
    <w:rsid w:val="00366B48"/>
    <w:rsid w:val="00367764"/>
    <w:rsid w:val="00370316"/>
    <w:rsid w:val="00370DC7"/>
    <w:rsid w:val="0037156C"/>
    <w:rsid w:val="00371CBD"/>
    <w:rsid w:val="00373CBE"/>
    <w:rsid w:val="003740CC"/>
    <w:rsid w:val="0037435E"/>
    <w:rsid w:val="00374E79"/>
    <w:rsid w:val="00375388"/>
    <w:rsid w:val="00375FB9"/>
    <w:rsid w:val="00376851"/>
    <w:rsid w:val="00376FA2"/>
    <w:rsid w:val="0037738D"/>
    <w:rsid w:val="00377A3B"/>
    <w:rsid w:val="00377E3C"/>
    <w:rsid w:val="0038099C"/>
    <w:rsid w:val="00380BBE"/>
    <w:rsid w:val="00381775"/>
    <w:rsid w:val="00381D70"/>
    <w:rsid w:val="00382128"/>
    <w:rsid w:val="0038235E"/>
    <w:rsid w:val="003829D0"/>
    <w:rsid w:val="00382FBA"/>
    <w:rsid w:val="0038444F"/>
    <w:rsid w:val="00384E83"/>
    <w:rsid w:val="00385333"/>
    <w:rsid w:val="00387051"/>
    <w:rsid w:val="00387712"/>
    <w:rsid w:val="00387ECF"/>
    <w:rsid w:val="0039021B"/>
    <w:rsid w:val="00390429"/>
    <w:rsid w:val="00392A7A"/>
    <w:rsid w:val="0039327C"/>
    <w:rsid w:val="003933A2"/>
    <w:rsid w:val="0039366C"/>
    <w:rsid w:val="003938F3"/>
    <w:rsid w:val="00393EC8"/>
    <w:rsid w:val="00394BC6"/>
    <w:rsid w:val="00395E42"/>
    <w:rsid w:val="00396052"/>
    <w:rsid w:val="00396A2D"/>
    <w:rsid w:val="00396FC3"/>
    <w:rsid w:val="003A0B61"/>
    <w:rsid w:val="003A1554"/>
    <w:rsid w:val="003A1A94"/>
    <w:rsid w:val="003A204E"/>
    <w:rsid w:val="003A277E"/>
    <w:rsid w:val="003A2D25"/>
    <w:rsid w:val="003A39B2"/>
    <w:rsid w:val="003A4DDB"/>
    <w:rsid w:val="003A60E7"/>
    <w:rsid w:val="003A6E03"/>
    <w:rsid w:val="003B0B6A"/>
    <w:rsid w:val="003B0F79"/>
    <w:rsid w:val="003B1483"/>
    <w:rsid w:val="003B1CFD"/>
    <w:rsid w:val="003B29CF"/>
    <w:rsid w:val="003B41B5"/>
    <w:rsid w:val="003B54DF"/>
    <w:rsid w:val="003B5F96"/>
    <w:rsid w:val="003B6659"/>
    <w:rsid w:val="003B7733"/>
    <w:rsid w:val="003C0166"/>
    <w:rsid w:val="003C350C"/>
    <w:rsid w:val="003C3903"/>
    <w:rsid w:val="003C3BA0"/>
    <w:rsid w:val="003C4580"/>
    <w:rsid w:val="003C52D8"/>
    <w:rsid w:val="003C5496"/>
    <w:rsid w:val="003C5C5E"/>
    <w:rsid w:val="003C6746"/>
    <w:rsid w:val="003C7133"/>
    <w:rsid w:val="003C7555"/>
    <w:rsid w:val="003C7898"/>
    <w:rsid w:val="003D010A"/>
    <w:rsid w:val="003D0FF5"/>
    <w:rsid w:val="003D2D1B"/>
    <w:rsid w:val="003D30AB"/>
    <w:rsid w:val="003D3D94"/>
    <w:rsid w:val="003D48C7"/>
    <w:rsid w:val="003D4B26"/>
    <w:rsid w:val="003D4C08"/>
    <w:rsid w:val="003D51ED"/>
    <w:rsid w:val="003D71A6"/>
    <w:rsid w:val="003D7CE8"/>
    <w:rsid w:val="003E1032"/>
    <w:rsid w:val="003E163B"/>
    <w:rsid w:val="003E1904"/>
    <w:rsid w:val="003E285E"/>
    <w:rsid w:val="003E3300"/>
    <w:rsid w:val="003E65AC"/>
    <w:rsid w:val="003E6E24"/>
    <w:rsid w:val="003E72B9"/>
    <w:rsid w:val="003E7A18"/>
    <w:rsid w:val="003E7ED4"/>
    <w:rsid w:val="003F0E52"/>
    <w:rsid w:val="003F0EF2"/>
    <w:rsid w:val="003F0F6B"/>
    <w:rsid w:val="003F1F40"/>
    <w:rsid w:val="003F1FE3"/>
    <w:rsid w:val="003F3865"/>
    <w:rsid w:val="003F3A0A"/>
    <w:rsid w:val="003F4632"/>
    <w:rsid w:val="003F47BA"/>
    <w:rsid w:val="003F6617"/>
    <w:rsid w:val="00402332"/>
    <w:rsid w:val="004025C2"/>
    <w:rsid w:val="004037E5"/>
    <w:rsid w:val="00403E55"/>
    <w:rsid w:val="00404532"/>
    <w:rsid w:val="00404681"/>
    <w:rsid w:val="0040496D"/>
    <w:rsid w:val="00405010"/>
    <w:rsid w:val="0040595A"/>
    <w:rsid w:val="00406923"/>
    <w:rsid w:val="0040713A"/>
    <w:rsid w:val="0040763D"/>
    <w:rsid w:val="004105B0"/>
    <w:rsid w:val="00410624"/>
    <w:rsid w:val="00410EC5"/>
    <w:rsid w:val="0041250F"/>
    <w:rsid w:val="004133A8"/>
    <w:rsid w:val="00413821"/>
    <w:rsid w:val="00413D43"/>
    <w:rsid w:val="004141A3"/>
    <w:rsid w:val="00414909"/>
    <w:rsid w:val="00415E66"/>
    <w:rsid w:val="00416112"/>
    <w:rsid w:val="00416D0C"/>
    <w:rsid w:val="00416DF0"/>
    <w:rsid w:val="00417AE0"/>
    <w:rsid w:val="00417BAA"/>
    <w:rsid w:val="00420BA9"/>
    <w:rsid w:val="00420D7A"/>
    <w:rsid w:val="004223DE"/>
    <w:rsid w:val="0042293E"/>
    <w:rsid w:val="00422A10"/>
    <w:rsid w:val="00423D86"/>
    <w:rsid w:val="00424D17"/>
    <w:rsid w:val="00425DFD"/>
    <w:rsid w:val="004263A3"/>
    <w:rsid w:val="00427713"/>
    <w:rsid w:val="00427CCC"/>
    <w:rsid w:val="0043013A"/>
    <w:rsid w:val="00430421"/>
    <w:rsid w:val="00430B4F"/>
    <w:rsid w:val="004314B1"/>
    <w:rsid w:val="004319FF"/>
    <w:rsid w:val="00431E65"/>
    <w:rsid w:val="00432589"/>
    <w:rsid w:val="00432A94"/>
    <w:rsid w:val="0043366D"/>
    <w:rsid w:val="00433827"/>
    <w:rsid w:val="00434D2E"/>
    <w:rsid w:val="004360C8"/>
    <w:rsid w:val="0044006B"/>
    <w:rsid w:val="0044033F"/>
    <w:rsid w:val="00440630"/>
    <w:rsid w:val="00441123"/>
    <w:rsid w:val="00441B74"/>
    <w:rsid w:val="00442095"/>
    <w:rsid w:val="00442965"/>
    <w:rsid w:val="00444157"/>
    <w:rsid w:val="0044417C"/>
    <w:rsid w:val="00444DB3"/>
    <w:rsid w:val="004452B9"/>
    <w:rsid w:val="00445A2F"/>
    <w:rsid w:val="00446328"/>
    <w:rsid w:val="00446341"/>
    <w:rsid w:val="00446648"/>
    <w:rsid w:val="0044684E"/>
    <w:rsid w:val="004479CA"/>
    <w:rsid w:val="004503A4"/>
    <w:rsid w:val="00450555"/>
    <w:rsid w:val="00450DC6"/>
    <w:rsid w:val="004516A5"/>
    <w:rsid w:val="00451FE8"/>
    <w:rsid w:val="00452179"/>
    <w:rsid w:val="004522E3"/>
    <w:rsid w:val="00452E99"/>
    <w:rsid w:val="004535AE"/>
    <w:rsid w:val="00453C42"/>
    <w:rsid w:val="0045463A"/>
    <w:rsid w:val="00454AC9"/>
    <w:rsid w:val="00454E26"/>
    <w:rsid w:val="004554A3"/>
    <w:rsid w:val="00455A6E"/>
    <w:rsid w:val="00456758"/>
    <w:rsid w:val="004569CD"/>
    <w:rsid w:val="004578EB"/>
    <w:rsid w:val="00460303"/>
    <w:rsid w:val="00460697"/>
    <w:rsid w:val="00462593"/>
    <w:rsid w:val="00463B5B"/>
    <w:rsid w:val="00465EEF"/>
    <w:rsid w:val="00466D03"/>
    <w:rsid w:val="0046711B"/>
    <w:rsid w:val="00467312"/>
    <w:rsid w:val="00471156"/>
    <w:rsid w:val="00472429"/>
    <w:rsid w:val="004725E5"/>
    <w:rsid w:val="004726FE"/>
    <w:rsid w:val="00472751"/>
    <w:rsid w:val="00473128"/>
    <w:rsid w:val="00475078"/>
    <w:rsid w:val="00475226"/>
    <w:rsid w:val="004779A0"/>
    <w:rsid w:val="004808E3"/>
    <w:rsid w:val="00481016"/>
    <w:rsid w:val="004814D3"/>
    <w:rsid w:val="0048204C"/>
    <w:rsid w:val="004821BB"/>
    <w:rsid w:val="00482233"/>
    <w:rsid w:val="0048261A"/>
    <w:rsid w:val="004826FE"/>
    <w:rsid w:val="004827D5"/>
    <w:rsid w:val="004830C9"/>
    <w:rsid w:val="00483347"/>
    <w:rsid w:val="00483E2E"/>
    <w:rsid w:val="00484B69"/>
    <w:rsid w:val="0048514F"/>
    <w:rsid w:val="00485406"/>
    <w:rsid w:val="004858FE"/>
    <w:rsid w:val="0048590F"/>
    <w:rsid w:val="004867A5"/>
    <w:rsid w:val="00486D60"/>
    <w:rsid w:val="00487C87"/>
    <w:rsid w:val="00490BB8"/>
    <w:rsid w:val="00492A25"/>
    <w:rsid w:val="0049474A"/>
    <w:rsid w:val="004961EA"/>
    <w:rsid w:val="00496350"/>
    <w:rsid w:val="00496F91"/>
    <w:rsid w:val="00497274"/>
    <w:rsid w:val="00497708"/>
    <w:rsid w:val="0049797C"/>
    <w:rsid w:val="00497C2C"/>
    <w:rsid w:val="00497E9D"/>
    <w:rsid w:val="004A07AC"/>
    <w:rsid w:val="004A1405"/>
    <w:rsid w:val="004A1FC6"/>
    <w:rsid w:val="004A3C03"/>
    <w:rsid w:val="004A3DB7"/>
    <w:rsid w:val="004A3FB3"/>
    <w:rsid w:val="004A404F"/>
    <w:rsid w:val="004A5088"/>
    <w:rsid w:val="004A5255"/>
    <w:rsid w:val="004A6097"/>
    <w:rsid w:val="004A6CB0"/>
    <w:rsid w:val="004A70FF"/>
    <w:rsid w:val="004A7CCC"/>
    <w:rsid w:val="004B1B84"/>
    <w:rsid w:val="004B29AC"/>
    <w:rsid w:val="004B35DF"/>
    <w:rsid w:val="004B3627"/>
    <w:rsid w:val="004B3F3A"/>
    <w:rsid w:val="004B4779"/>
    <w:rsid w:val="004B4922"/>
    <w:rsid w:val="004B57DF"/>
    <w:rsid w:val="004C03A0"/>
    <w:rsid w:val="004C04AB"/>
    <w:rsid w:val="004C2138"/>
    <w:rsid w:val="004C2ED0"/>
    <w:rsid w:val="004C32D4"/>
    <w:rsid w:val="004C3940"/>
    <w:rsid w:val="004C51FD"/>
    <w:rsid w:val="004C534B"/>
    <w:rsid w:val="004C65A8"/>
    <w:rsid w:val="004C6F74"/>
    <w:rsid w:val="004C786C"/>
    <w:rsid w:val="004C7963"/>
    <w:rsid w:val="004D2F63"/>
    <w:rsid w:val="004D35BA"/>
    <w:rsid w:val="004D4701"/>
    <w:rsid w:val="004D47C7"/>
    <w:rsid w:val="004D618D"/>
    <w:rsid w:val="004D62A9"/>
    <w:rsid w:val="004D6AEE"/>
    <w:rsid w:val="004D6FC3"/>
    <w:rsid w:val="004D7476"/>
    <w:rsid w:val="004E0306"/>
    <w:rsid w:val="004E0572"/>
    <w:rsid w:val="004E25A8"/>
    <w:rsid w:val="004E2AA0"/>
    <w:rsid w:val="004E37C0"/>
    <w:rsid w:val="004E3930"/>
    <w:rsid w:val="004E3ED9"/>
    <w:rsid w:val="004E5866"/>
    <w:rsid w:val="004E5D94"/>
    <w:rsid w:val="004E6097"/>
    <w:rsid w:val="004E61EF"/>
    <w:rsid w:val="004E6772"/>
    <w:rsid w:val="004E76A7"/>
    <w:rsid w:val="004E7736"/>
    <w:rsid w:val="004E7B03"/>
    <w:rsid w:val="004F0064"/>
    <w:rsid w:val="004F06AC"/>
    <w:rsid w:val="004F0C76"/>
    <w:rsid w:val="004F1AE6"/>
    <w:rsid w:val="004F243F"/>
    <w:rsid w:val="004F3E0C"/>
    <w:rsid w:val="004F4B37"/>
    <w:rsid w:val="004F6272"/>
    <w:rsid w:val="004F6A2D"/>
    <w:rsid w:val="004F7160"/>
    <w:rsid w:val="00500258"/>
    <w:rsid w:val="0050175E"/>
    <w:rsid w:val="00501A99"/>
    <w:rsid w:val="00503180"/>
    <w:rsid w:val="0050417C"/>
    <w:rsid w:val="0050437F"/>
    <w:rsid w:val="00505450"/>
    <w:rsid w:val="00505D22"/>
    <w:rsid w:val="005100B7"/>
    <w:rsid w:val="005113C9"/>
    <w:rsid w:val="0051280C"/>
    <w:rsid w:val="00512842"/>
    <w:rsid w:val="005128BE"/>
    <w:rsid w:val="00512B7B"/>
    <w:rsid w:val="00512E6C"/>
    <w:rsid w:val="0051356F"/>
    <w:rsid w:val="00513E7C"/>
    <w:rsid w:val="005140BB"/>
    <w:rsid w:val="005143C2"/>
    <w:rsid w:val="0051454F"/>
    <w:rsid w:val="00514FD9"/>
    <w:rsid w:val="0051608F"/>
    <w:rsid w:val="005210F7"/>
    <w:rsid w:val="00521753"/>
    <w:rsid w:val="00521A44"/>
    <w:rsid w:val="00521D16"/>
    <w:rsid w:val="005222BE"/>
    <w:rsid w:val="005224EE"/>
    <w:rsid w:val="00523BB1"/>
    <w:rsid w:val="00524217"/>
    <w:rsid w:val="0052451A"/>
    <w:rsid w:val="00524737"/>
    <w:rsid w:val="00526265"/>
    <w:rsid w:val="0052652D"/>
    <w:rsid w:val="0052655D"/>
    <w:rsid w:val="005265E0"/>
    <w:rsid w:val="00526BC3"/>
    <w:rsid w:val="00530F9E"/>
    <w:rsid w:val="0053274E"/>
    <w:rsid w:val="0053358A"/>
    <w:rsid w:val="0053408B"/>
    <w:rsid w:val="00534668"/>
    <w:rsid w:val="00534DDD"/>
    <w:rsid w:val="00535291"/>
    <w:rsid w:val="00535A94"/>
    <w:rsid w:val="00537874"/>
    <w:rsid w:val="00540204"/>
    <w:rsid w:val="00540578"/>
    <w:rsid w:val="005407D2"/>
    <w:rsid w:val="00540808"/>
    <w:rsid w:val="0054080E"/>
    <w:rsid w:val="00540EA1"/>
    <w:rsid w:val="00541F62"/>
    <w:rsid w:val="00542AD8"/>
    <w:rsid w:val="0054358E"/>
    <w:rsid w:val="00543AF4"/>
    <w:rsid w:val="00544191"/>
    <w:rsid w:val="00544F39"/>
    <w:rsid w:val="0054515D"/>
    <w:rsid w:val="00547EFB"/>
    <w:rsid w:val="00552563"/>
    <w:rsid w:val="005531DF"/>
    <w:rsid w:val="00553874"/>
    <w:rsid w:val="00553ACC"/>
    <w:rsid w:val="00554AD8"/>
    <w:rsid w:val="00554F78"/>
    <w:rsid w:val="005556A5"/>
    <w:rsid w:val="00556BF7"/>
    <w:rsid w:val="00562149"/>
    <w:rsid w:val="005630D8"/>
    <w:rsid w:val="00563FFD"/>
    <w:rsid w:val="00565855"/>
    <w:rsid w:val="005677CE"/>
    <w:rsid w:val="00567B5D"/>
    <w:rsid w:val="00573733"/>
    <w:rsid w:val="00574554"/>
    <w:rsid w:val="00576089"/>
    <w:rsid w:val="005764B1"/>
    <w:rsid w:val="00576A56"/>
    <w:rsid w:val="00576D06"/>
    <w:rsid w:val="00577853"/>
    <w:rsid w:val="005779E4"/>
    <w:rsid w:val="00577A3F"/>
    <w:rsid w:val="00580AC5"/>
    <w:rsid w:val="00580EB3"/>
    <w:rsid w:val="00581A2A"/>
    <w:rsid w:val="0058289C"/>
    <w:rsid w:val="00582C35"/>
    <w:rsid w:val="00582DC6"/>
    <w:rsid w:val="005836C7"/>
    <w:rsid w:val="00583E30"/>
    <w:rsid w:val="0058408E"/>
    <w:rsid w:val="005845AF"/>
    <w:rsid w:val="00585374"/>
    <w:rsid w:val="00586F3C"/>
    <w:rsid w:val="00590B77"/>
    <w:rsid w:val="005913A3"/>
    <w:rsid w:val="00591DCD"/>
    <w:rsid w:val="00591E6C"/>
    <w:rsid w:val="00594A7B"/>
    <w:rsid w:val="00594AFA"/>
    <w:rsid w:val="0059580E"/>
    <w:rsid w:val="00596A6F"/>
    <w:rsid w:val="005976E1"/>
    <w:rsid w:val="005A0541"/>
    <w:rsid w:val="005A1525"/>
    <w:rsid w:val="005A1EC3"/>
    <w:rsid w:val="005A252B"/>
    <w:rsid w:val="005A2A71"/>
    <w:rsid w:val="005A3204"/>
    <w:rsid w:val="005A3341"/>
    <w:rsid w:val="005A3FA1"/>
    <w:rsid w:val="005A46EC"/>
    <w:rsid w:val="005A4847"/>
    <w:rsid w:val="005A494F"/>
    <w:rsid w:val="005B0160"/>
    <w:rsid w:val="005B0185"/>
    <w:rsid w:val="005B07EC"/>
    <w:rsid w:val="005B09D8"/>
    <w:rsid w:val="005B120C"/>
    <w:rsid w:val="005B24F3"/>
    <w:rsid w:val="005B2B11"/>
    <w:rsid w:val="005B2E00"/>
    <w:rsid w:val="005B30C3"/>
    <w:rsid w:val="005B370E"/>
    <w:rsid w:val="005B4DA3"/>
    <w:rsid w:val="005B5BEE"/>
    <w:rsid w:val="005B77D2"/>
    <w:rsid w:val="005C019B"/>
    <w:rsid w:val="005C144E"/>
    <w:rsid w:val="005C14A8"/>
    <w:rsid w:val="005C30F5"/>
    <w:rsid w:val="005C357E"/>
    <w:rsid w:val="005C3951"/>
    <w:rsid w:val="005C51A5"/>
    <w:rsid w:val="005C557A"/>
    <w:rsid w:val="005C61DD"/>
    <w:rsid w:val="005C6438"/>
    <w:rsid w:val="005C6B8B"/>
    <w:rsid w:val="005C7B87"/>
    <w:rsid w:val="005D02E3"/>
    <w:rsid w:val="005D0310"/>
    <w:rsid w:val="005D039C"/>
    <w:rsid w:val="005D1370"/>
    <w:rsid w:val="005D1F34"/>
    <w:rsid w:val="005D2529"/>
    <w:rsid w:val="005D2C1F"/>
    <w:rsid w:val="005D34B2"/>
    <w:rsid w:val="005D3B54"/>
    <w:rsid w:val="005D40CD"/>
    <w:rsid w:val="005D4546"/>
    <w:rsid w:val="005D6B59"/>
    <w:rsid w:val="005D7037"/>
    <w:rsid w:val="005E03E4"/>
    <w:rsid w:val="005E0454"/>
    <w:rsid w:val="005E0BF4"/>
    <w:rsid w:val="005E171D"/>
    <w:rsid w:val="005E34C2"/>
    <w:rsid w:val="005E35C6"/>
    <w:rsid w:val="005E417A"/>
    <w:rsid w:val="005E5B01"/>
    <w:rsid w:val="005E6E3B"/>
    <w:rsid w:val="005E7933"/>
    <w:rsid w:val="005E7E0B"/>
    <w:rsid w:val="005F009E"/>
    <w:rsid w:val="005F0A88"/>
    <w:rsid w:val="005F0DF1"/>
    <w:rsid w:val="005F1516"/>
    <w:rsid w:val="005F229E"/>
    <w:rsid w:val="005F2564"/>
    <w:rsid w:val="005F3822"/>
    <w:rsid w:val="005F3E0B"/>
    <w:rsid w:val="005F4D16"/>
    <w:rsid w:val="005F4E52"/>
    <w:rsid w:val="005F5590"/>
    <w:rsid w:val="005F5967"/>
    <w:rsid w:val="005F6A62"/>
    <w:rsid w:val="005F77C8"/>
    <w:rsid w:val="0060058E"/>
    <w:rsid w:val="00602740"/>
    <w:rsid w:val="00602A3C"/>
    <w:rsid w:val="00603BE3"/>
    <w:rsid w:val="00603EFD"/>
    <w:rsid w:val="006041DF"/>
    <w:rsid w:val="0060475B"/>
    <w:rsid w:val="00604BBB"/>
    <w:rsid w:val="00604FB6"/>
    <w:rsid w:val="00605387"/>
    <w:rsid w:val="00606302"/>
    <w:rsid w:val="006072EF"/>
    <w:rsid w:val="006076FD"/>
    <w:rsid w:val="00607BA3"/>
    <w:rsid w:val="0061143F"/>
    <w:rsid w:val="006114D8"/>
    <w:rsid w:val="00611585"/>
    <w:rsid w:val="00612931"/>
    <w:rsid w:val="00613601"/>
    <w:rsid w:val="00613791"/>
    <w:rsid w:val="00613AAB"/>
    <w:rsid w:val="00614505"/>
    <w:rsid w:val="006148C7"/>
    <w:rsid w:val="006150D6"/>
    <w:rsid w:val="00617EEE"/>
    <w:rsid w:val="006210FE"/>
    <w:rsid w:val="00622811"/>
    <w:rsid w:val="00622894"/>
    <w:rsid w:val="00622BB7"/>
    <w:rsid w:val="00622F3B"/>
    <w:rsid w:val="00623389"/>
    <w:rsid w:val="0062352A"/>
    <w:rsid w:val="00625E45"/>
    <w:rsid w:val="006265C4"/>
    <w:rsid w:val="00627383"/>
    <w:rsid w:val="00627733"/>
    <w:rsid w:val="006301BB"/>
    <w:rsid w:val="00632605"/>
    <w:rsid w:val="00633F8D"/>
    <w:rsid w:val="006341EF"/>
    <w:rsid w:val="00634BED"/>
    <w:rsid w:val="00635A4A"/>
    <w:rsid w:val="00635FB9"/>
    <w:rsid w:val="00636148"/>
    <w:rsid w:val="006370CF"/>
    <w:rsid w:val="00637774"/>
    <w:rsid w:val="0064024C"/>
    <w:rsid w:val="00640291"/>
    <w:rsid w:val="0064103F"/>
    <w:rsid w:val="00641FAC"/>
    <w:rsid w:val="006432A5"/>
    <w:rsid w:val="00643664"/>
    <w:rsid w:val="00643CAA"/>
    <w:rsid w:val="00644075"/>
    <w:rsid w:val="00652137"/>
    <w:rsid w:val="00652680"/>
    <w:rsid w:val="00652A09"/>
    <w:rsid w:val="00652CCD"/>
    <w:rsid w:val="006530A1"/>
    <w:rsid w:val="00653CDE"/>
    <w:rsid w:val="006540B4"/>
    <w:rsid w:val="0065636A"/>
    <w:rsid w:val="0065669F"/>
    <w:rsid w:val="00656C3C"/>
    <w:rsid w:val="00657003"/>
    <w:rsid w:val="00657126"/>
    <w:rsid w:val="006572C1"/>
    <w:rsid w:val="00657930"/>
    <w:rsid w:val="00660238"/>
    <w:rsid w:val="006602EF"/>
    <w:rsid w:val="00660F41"/>
    <w:rsid w:val="00661277"/>
    <w:rsid w:val="006616FE"/>
    <w:rsid w:val="006619D1"/>
    <w:rsid w:val="00663FEA"/>
    <w:rsid w:val="00664253"/>
    <w:rsid w:val="006647AE"/>
    <w:rsid w:val="00664803"/>
    <w:rsid w:val="006661A4"/>
    <w:rsid w:val="006670E0"/>
    <w:rsid w:val="00667532"/>
    <w:rsid w:val="006704FD"/>
    <w:rsid w:val="0067294B"/>
    <w:rsid w:val="00673AA4"/>
    <w:rsid w:val="00674187"/>
    <w:rsid w:val="006744E8"/>
    <w:rsid w:val="0067508F"/>
    <w:rsid w:val="00675349"/>
    <w:rsid w:val="00675E7E"/>
    <w:rsid w:val="00676111"/>
    <w:rsid w:val="0068051E"/>
    <w:rsid w:val="00680B9D"/>
    <w:rsid w:val="00681F13"/>
    <w:rsid w:val="0068231C"/>
    <w:rsid w:val="00682344"/>
    <w:rsid w:val="00682939"/>
    <w:rsid w:val="00682F28"/>
    <w:rsid w:val="00684842"/>
    <w:rsid w:val="00685BD6"/>
    <w:rsid w:val="006878A6"/>
    <w:rsid w:val="00690437"/>
    <w:rsid w:val="00690E65"/>
    <w:rsid w:val="0069188E"/>
    <w:rsid w:val="00691974"/>
    <w:rsid w:val="00692CE6"/>
    <w:rsid w:val="00693B6C"/>
    <w:rsid w:val="00694202"/>
    <w:rsid w:val="006942AE"/>
    <w:rsid w:val="0069483C"/>
    <w:rsid w:val="0069522E"/>
    <w:rsid w:val="00695421"/>
    <w:rsid w:val="00696D4B"/>
    <w:rsid w:val="00697BD3"/>
    <w:rsid w:val="00697DFA"/>
    <w:rsid w:val="006A0C53"/>
    <w:rsid w:val="006A10F3"/>
    <w:rsid w:val="006A16D5"/>
    <w:rsid w:val="006A1772"/>
    <w:rsid w:val="006A1780"/>
    <w:rsid w:val="006A25A5"/>
    <w:rsid w:val="006A2790"/>
    <w:rsid w:val="006A3CEC"/>
    <w:rsid w:val="006A3F75"/>
    <w:rsid w:val="006A4FB3"/>
    <w:rsid w:val="006A54F7"/>
    <w:rsid w:val="006A5A3E"/>
    <w:rsid w:val="006A6CA7"/>
    <w:rsid w:val="006A703E"/>
    <w:rsid w:val="006A7BE3"/>
    <w:rsid w:val="006B01D1"/>
    <w:rsid w:val="006B16EA"/>
    <w:rsid w:val="006B1780"/>
    <w:rsid w:val="006B20CB"/>
    <w:rsid w:val="006B224E"/>
    <w:rsid w:val="006B376E"/>
    <w:rsid w:val="006B4589"/>
    <w:rsid w:val="006B6805"/>
    <w:rsid w:val="006B6BBE"/>
    <w:rsid w:val="006B6DE0"/>
    <w:rsid w:val="006B7D5F"/>
    <w:rsid w:val="006C32F4"/>
    <w:rsid w:val="006C3C54"/>
    <w:rsid w:val="006C40F4"/>
    <w:rsid w:val="006C427B"/>
    <w:rsid w:val="006C4D5D"/>
    <w:rsid w:val="006C4E5A"/>
    <w:rsid w:val="006C4F9F"/>
    <w:rsid w:val="006C61AB"/>
    <w:rsid w:val="006C650D"/>
    <w:rsid w:val="006C748D"/>
    <w:rsid w:val="006C74E2"/>
    <w:rsid w:val="006D0C1D"/>
    <w:rsid w:val="006D0CE1"/>
    <w:rsid w:val="006D2004"/>
    <w:rsid w:val="006D2A8C"/>
    <w:rsid w:val="006D2E9D"/>
    <w:rsid w:val="006D4214"/>
    <w:rsid w:val="006D4C1E"/>
    <w:rsid w:val="006D4C42"/>
    <w:rsid w:val="006D5809"/>
    <w:rsid w:val="006D630A"/>
    <w:rsid w:val="006D668D"/>
    <w:rsid w:val="006D7363"/>
    <w:rsid w:val="006D74F2"/>
    <w:rsid w:val="006E04C8"/>
    <w:rsid w:val="006E0712"/>
    <w:rsid w:val="006E0754"/>
    <w:rsid w:val="006E1004"/>
    <w:rsid w:val="006E2668"/>
    <w:rsid w:val="006E2D39"/>
    <w:rsid w:val="006E32B0"/>
    <w:rsid w:val="006E36D8"/>
    <w:rsid w:val="006E396A"/>
    <w:rsid w:val="006E3A73"/>
    <w:rsid w:val="006E5DD8"/>
    <w:rsid w:val="006E5EA1"/>
    <w:rsid w:val="006E626A"/>
    <w:rsid w:val="006E7ABC"/>
    <w:rsid w:val="006F0760"/>
    <w:rsid w:val="006F0FF1"/>
    <w:rsid w:val="006F11E2"/>
    <w:rsid w:val="006F12F5"/>
    <w:rsid w:val="006F2574"/>
    <w:rsid w:val="006F3231"/>
    <w:rsid w:val="006F3DE3"/>
    <w:rsid w:val="006F511F"/>
    <w:rsid w:val="006F54B3"/>
    <w:rsid w:val="006F61D8"/>
    <w:rsid w:val="006F62B7"/>
    <w:rsid w:val="006F70BC"/>
    <w:rsid w:val="006F713A"/>
    <w:rsid w:val="006F76BF"/>
    <w:rsid w:val="00700077"/>
    <w:rsid w:val="00704994"/>
    <w:rsid w:val="007066A4"/>
    <w:rsid w:val="00706F37"/>
    <w:rsid w:val="00707D09"/>
    <w:rsid w:val="00711208"/>
    <w:rsid w:val="0071209F"/>
    <w:rsid w:val="007125A2"/>
    <w:rsid w:val="00712DA3"/>
    <w:rsid w:val="00713F79"/>
    <w:rsid w:val="007148A8"/>
    <w:rsid w:val="00714AA4"/>
    <w:rsid w:val="007171E0"/>
    <w:rsid w:val="0072033C"/>
    <w:rsid w:val="00720B1B"/>
    <w:rsid w:val="00720EC1"/>
    <w:rsid w:val="00721062"/>
    <w:rsid w:val="00721E5D"/>
    <w:rsid w:val="00722573"/>
    <w:rsid w:val="007229D4"/>
    <w:rsid w:val="00722CD9"/>
    <w:rsid w:val="007230F8"/>
    <w:rsid w:val="007233F4"/>
    <w:rsid w:val="00723C94"/>
    <w:rsid w:val="00724044"/>
    <w:rsid w:val="007244E1"/>
    <w:rsid w:val="007248D3"/>
    <w:rsid w:val="00725137"/>
    <w:rsid w:val="007263ED"/>
    <w:rsid w:val="00727A43"/>
    <w:rsid w:val="00727FF2"/>
    <w:rsid w:val="007306C7"/>
    <w:rsid w:val="007309DE"/>
    <w:rsid w:val="007323E0"/>
    <w:rsid w:val="00733791"/>
    <w:rsid w:val="0073391B"/>
    <w:rsid w:val="00733DE2"/>
    <w:rsid w:val="007352EA"/>
    <w:rsid w:val="0073544F"/>
    <w:rsid w:val="007364E5"/>
    <w:rsid w:val="0073792F"/>
    <w:rsid w:val="00740367"/>
    <w:rsid w:val="00740BAD"/>
    <w:rsid w:val="00740DA6"/>
    <w:rsid w:val="00741A0E"/>
    <w:rsid w:val="00741D1E"/>
    <w:rsid w:val="00741EE2"/>
    <w:rsid w:val="00742367"/>
    <w:rsid w:val="00742EAA"/>
    <w:rsid w:val="00743818"/>
    <w:rsid w:val="007439E2"/>
    <w:rsid w:val="00743D6F"/>
    <w:rsid w:val="00743DD8"/>
    <w:rsid w:val="007441FB"/>
    <w:rsid w:val="00744517"/>
    <w:rsid w:val="00744810"/>
    <w:rsid w:val="00747DE2"/>
    <w:rsid w:val="007504BF"/>
    <w:rsid w:val="007506CD"/>
    <w:rsid w:val="0075267F"/>
    <w:rsid w:val="007526EC"/>
    <w:rsid w:val="0075310C"/>
    <w:rsid w:val="00753347"/>
    <w:rsid w:val="00753C48"/>
    <w:rsid w:val="00754C97"/>
    <w:rsid w:val="00754FE4"/>
    <w:rsid w:val="00755538"/>
    <w:rsid w:val="00756236"/>
    <w:rsid w:val="00756271"/>
    <w:rsid w:val="00756521"/>
    <w:rsid w:val="00756AB7"/>
    <w:rsid w:val="00760477"/>
    <w:rsid w:val="00761AF4"/>
    <w:rsid w:val="00762071"/>
    <w:rsid w:val="007623FB"/>
    <w:rsid w:val="0076376A"/>
    <w:rsid w:val="0076500F"/>
    <w:rsid w:val="0076504E"/>
    <w:rsid w:val="00765E3D"/>
    <w:rsid w:val="00765E6A"/>
    <w:rsid w:val="00767EA0"/>
    <w:rsid w:val="0077068F"/>
    <w:rsid w:val="007707D2"/>
    <w:rsid w:val="0077408D"/>
    <w:rsid w:val="00774270"/>
    <w:rsid w:val="00775679"/>
    <w:rsid w:val="00775803"/>
    <w:rsid w:val="00777B32"/>
    <w:rsid w:val="0078051E"/>
    <w:rsid w:val="00781FDD"/>
    <w:rsid w:val="00782A9F"/>
    <w:rsid w:val="0078508A"/>
    <w:rsid w:val="00786D5C"/>
    <w:rsid w:val="00786E96"/>
    <w:rsid w:val="00787F93"/>
    <w:rsid w:val="007907CA"/>
    <w:rsid w:val="007913A1"/>
    <w:rsid w:val="00791E6D"/>
    <w:rsid w:val="007928DC"/>
    <w:rsid w:val="007939CC"/>
    <w:rsid w:val="00794AD7"/>
    <w:rsid w:val="00796FB8"/>
    <w:rsid w:val="007977A2"/>
    <w:rsid w:val="007A0A5E"/>
    <w:rsid w:val="007A11C2"/>
    <w:rsid w:val="007A2367"/>
    <w:rsid w:val="007A41BF"/>
    <w:rsid w:val="007A490A"/>
    <w:rsid w:val="007A581D"/>
    <w:rsid w:val="007A683E"/>
    <w:rsid w:val="007A7B95"/>
    <w:rsid w:val="007B0297"/>
    <w:rsid w:val="007B0F53"/>
    <w:rsid w:val="007B1DD8"/>
    <w:rsid w:val="007B21AE"/>
    <w:rsid w:val="007B2570"/>
    <w:rsid w:val="007B3113"/>
    <w:rsid w:val="007B31B7"/>
    <w:rsid w:val="007B3304"/>
    <w:rsid w:val="007B332B"/>
    <w:rsid w:val="007B394D"/>
    <w:rsid w:val="007B7490"/>
    <w:rsid w:val="007B774A"/>
    <w:rsid w:val="007C0525"/>
    <w:rsid w:val="007C0B56"/>
    <w:rsid w:val="007C13F7"/>
    <w:rsid w:val="007C218D"/>
    <w:rsid w:val="007C2D28"/>
    <w:rsid w:val="007C3E22"/>
    <w:rsid w:val="007C3FDA"/>
    <w:rsid w:val="007C5153"/>
    <w:rsid w:val="007C5234"/>
    <w:rsid w:val="007C67C6"/>
    <w:rsid w:val="007C707A"/>
    <w:rsid w:val="007C7E59"/>
    <w:rsid w:val="007D0B91"/>
    <w:rsid w:val="007D0F53"/>
    <w:rsid w:val="007D1452"/>
    <w:rsid w:val="007D1E29"/>
    <w:rsid w:val="007D460C"/>
    <w:rsid w:val="007D4AD3"/>
    <w:rsid w:val="007D4C8D"/>
    <w:rsid w:val="007D5D19"/>
    <w:rsid w:val="007D5FDC"/>
    <w:rsid w:val="007D6232"/>
    <w:rsid w:val="007D6D68"/>
    <w:rsid w:val="007E01DA"/>
    <w:rsid w:val="007E1603"/>
    <w:rsid w:val="007E32DA"/>
    <w:rsid w:val="007E44FB"/>
    <w:rsid w:val="007E4998"/>
    <w:rsid w:val="007E4A9C"/>
    <w:rsid w:val="007E6914"/>
    <w:rsid w:val="007E7C9B"/>
    <w:rsid w:val="007E7F78"/>
    <w:rsid w:val="007F0C8B"/>
    <w:rsid w:val="007F1517"/>
    <w:rsid w:val="007F1BD7"/>
    <w:rsid w:val="007F1D44"/>
    <w:rsid w:val="007F2C13"/>
    <w:rsid w:val="007F2CEC"/>
    <w:rsid w:val="007F55DE"/>
    <w:rsid w:val="007F5605"/>
    <w:rsid w:val="007F6147"/>
    <w:rsid w:val="007F6FCD"/>
    <w:rsid w:val="007F7654"/>
    <w:rsid w:val="007F78FF"/>
    <w:rsid w:val="00800F6C"/>
    <w:rsid w:val="008025BE"/>
    <w:rsid w:val="00804C86"/>
    <w:rsid w:val="008051FC"/>
    <w:rsid w:val="008055A9"/>
    <w:rsid w:val="008070EB"/>
    <w:rsid w:val="00807376"/>
    <w:rsid w:val="00810E8E"/>
    <w:rsid w:val="0081142D"/>
    <w:rsid w:val="00812462"/>
    <w:rsid w:val="008131C3"/>
    <w:rsid w:val="008140A5"/>
    <w:rsid w:val="0081481D"/>
    <w:rsid w:val="00814BE8"/>
    <w:rsid w:val="00814F6E"/>
    <w:rsid w:val="00815B84"/>
    <w:rsid w:val="00821A3D"/>
    <w:rsid w:val="00821B36"/>
    <w:rsid w:val="00822037"/>
    <w:rsid w:val="00823E0A"/>
    <w:rsid w:val="00823FC6"/>
    <w:rsid w:val="00823FFC"/>
    <w:rsid w:val="00824811"/>
    <w:rsid w:val="00825C74"/>
    <w:rsid w:val="00826AB9"/>
    <w:rsid w:val="00826E0E"/>
    <w:rsid w:val="0082731F"/>
    <w:rsid w:val="00827D11"/>
    <w:rsid w:val="00827E0F"/>
    <w:rsid w:val="00827F6E"/>
    <w:rsid w:val="00831758"/>
    <w:rsid w:val="0083279F"/>
    <w:rsid w:val="00833B7F"/>
    <w:rsid w:val="00834906"/>
    <w:rsid w:val="00836075"/>
    <w:rsid w:val="00836417"/>
    <w:rsid w:val="00840140"/>
    <w:rsid w:val="008411F9"/>
    <w:rsid w:val="008413AB"/>
    <w:rsid w:val="00842D10"/>
    <w:rsid w:val="0084322B"/>
    <w:rsid w:val="00843B93"/>
    <w:rsid w:val="00843F81"/>
    <w:rsid w:val="00844087"/>
    <w:rsid w:val="0084519E"/>
    <w:rsid w:val="00846370"/>
    <w:rsid w:val="00847C2B"/>
    <w:rsid w:val="0085270D"/>
    <w:rsid w:val="008532BF"/>
    <w:rsid w:val="00853BF4"/>
    <w:rsid w:val="00854294"/>
    <w:rsid w:val="0085595B"/>
    <w:rsid w:val="00855F80"/>
    <w:rsid w:val="008566B8"/>
    <w:rsid w:val="008576EF"/>
    <w:rsid w:val="0085788B"/>
    <w:rsid w:val="00857A9E"/>
    <w:rsid w:val="00857DE2"/>
    <w:rsid w:val="0086353C"/>
    <w:rsid w:val="0086407F"/>
    <w:rsid w:val="00864E79"/>
    <w:rsid w:val="00865F52"/>
    <w:rsid w:val="00866111"/>
    <w:rsid w:val="0086661F"/>
    <w:rsid w:val="00866A0D"/>
    <w:rsid w:val="00866DB5"/>
    <w:rsid w:val="0086784E"/>
    <w:rsid w:val="00867AF1"/>
    <w:rsid w:val="00870445"/>
    <w:rsid w:val="00872118"/>
    <w:rsid w:val="00872827"/>
    <w:rsid w:val="00872888"/>
    <w:rsid w:val="00872A32"/>
    <w:rsid w:val="00872D92"/>
    <w:rsid w:val="00872E21"/>
    <w:rsid w:val="00874C70"/>
    <w:rsid w:val="00874ECA"/>
    <w:rsid w:val="00876EAE"/>
    <w:rsid w:val="00880F95"/>
    <w:rsid w:val="008819C6"/>
    <w:rsid w:val="00882B44"/>
    <w:rsid w:val="00882E73"/>
    <w:rsid w:val="00882FE5"/>
    <w:rsid w:val="008845A4"/>
    <w:rsid w:val="00886138"/>
    <w:rsid w:val="00886E66"/>
    <w:rsid w:val="008871B0"/>
    <w:rsid w:val="0089217C"/>
    <w:rsid w:val="008928A1"/>
    <w:rsid w:val="00893671"/>
    <w:rsid w:val="00895838"/>
    <w:rsid w:val="00895A72"/>
    <w:rsid w:val="00895CDF"/>
    <w:rsid w:val="008968C7"/>
    <w:rsid w:val="008971DB"/>
    <w:rsid w:val="00897A55"/>
    <w:rsid w:val="008A0FC9"/>
    <w:rsid w:val="008A1956"/>
    <w:rsid w:val="008A2B5F"/>
    <w:rsid w:val="008A40D3"/>
    <w:rsid w:val="008A469C"/>
    <w:rsid w:val="008A484A"/>
    <w:rsid w:val="008A5877"/>
    <w:rsid w:val="008A6539"/>
    <w:rsid w:val="008A701C"/>
    <w:rsid w:val="008A79F6"/>
    <w:rsid w:val="008B05DD"/>
    <w:rsid w:val="008B17E8"/>
    <w:rsid w:val="008B1925"/>
    <w:rsid w:val="008B266C"/>
    <w:rsid w:val="008B2D03"/>
    <w:rsid w:val="008B2E7C"/>
    <w:rsid w:val="008B42EB"/>
    <w:rsid w:val="008B45A7"/>
    <w:rsid w:val="008B49D8"/>
    <w:rsid w:val="008B4A70"/>
    <w:rsid w:val="008B502F"/>
    <w:rsid w:val="008B5A88"/>
    <w:rsid w:val="008B5BB4"/>
    <w:rsid w:val="008B6AFE"/>
    <w:rsid w:val="008B7034"/>
    <w:rsid w:val="008B7227"/>
    <w:rsid w:val="008C191C"/>
    <w:rsid w:val="008C1DA4"/>
    <w:rsid w:val="008C2CD5"/>
    <w:rsid w:val="008C3618"/>
    <w:rsid w:val="008C37C2"/>
    <w:rsid w:val="008C3F20"/>
    <w:rsid w:val="008C43AD"/>
    <w:rsid w:val="008C59FB"/>
    <w:rsid w:val="008C6687"/>
    <w:rsid w:val="008C68F0"/>
    <w:rsid w:val="008C6F92"/>
    <w:rsid w:val="008C731F"/>
    <w:rsid w:val="008C74D9"/>
    <w:rsid w:val="008D01FF"/>
    <w:rsid w:val="008D1052"/>
    <w:rsid w:val="008D124C"/>
    <w:rsid w:val="008D1BB3"/>
    <w:rsid w:val="008D22AE"/>
    <w:rsid w:val="008D234A"/>
    <w:rsid w:val="008D2600"/>
    <w:rsid w:val="008D566C"/>
    <w:rsid w:val="008D58D9"/>
    <w:rsid w:val="008D6426"/>
    <w:rsid w:val="008D66EA"/>
    <w:rsid w:val="008D6E59"/>
    <w:rsid w:val="008D7155"/>
    <w:rsid w:val="008D7DE4"/>
    <w:rsid w:val="008E09B3"/>
    <w:rsid w:val="008E141A"/>
    <w:rsid w:val="008E1A44"/>
    <w:rsid w:val="008E28E6"/>
    <w:rsid w:val="008E2B60"/>
    <w:rsid w:val="008E3232"/>
    <w:rsid w:val="008E3674"/>
    <w:rsid w:val="008E3B6C"/>
    <w:rsid w:val="008E68BB"/>
    <w:rsid w:val="008E6C9B"/>
    <w:rsid w:val="008E77D4"/>
    <w:rsid w:val="008F0981"/>
    <w:rsid w:val="008F0AFD"/>
    <w:rsid w:val="008F17B2"/>
    <w:rsid w:val="008F28EE"/>
    <w:rsid w:val="008F357B"/>
    <w:rsid w:val="008F4381"/>
    <w:rsid w:val="008F44CA"/>
    <w:rsid w:val="008F49B9"/>
    <w:rsid w:val="008F49D3"/>
    <w:rsid w:val="008F6519"/>
    <w:rsid w:val="008F7012"/>
    <w:rsid w:val="008F7B17"/>
    <w:rsid w:val="00900042"/>
    <w:rsid w:val="0090034B"/>
    <w:rsid w:val="00902623"/>
    <w:rsid w:val="00902890"/>
    <w:rsid w:val="00904BE4"/>
    <w:rsid w:val="0090504A"/>
    <w:rsid w:val="00905D7E"/>
    <w:rsid w:val="009063B7"/>
    <w:rsid w:val="00906B83"/>
    <w:rsid w:val="00907037"/>
    <w:rsid w:val="0091114B"/>
    <w:rsid w:val="0091160A"/>
    <w:rsid w:val="00913258"/>
    <w:rsid w:val="0091564D"/>
    <w:rsid w:val="009156DA"/>
    <w:rsid w:val="00916BC5"/>
    <w:rsid w:val="0091726A"/>
    <w:rsid w:val="00920184"/>
    <w:rsid w:val="00920A19"/>
    <w:rsid w:val="00920EA4"/>
    <w:rsid w:val="00921792"/>
    <w:rsid w:val="00921BEA"/>
    <w:rsid w:val="00923998"/>
    <w:rsid w:val="00923DB4"/>
    <w:rsid w:val="0092430E"/>
    <w:rsid w:val="009249D7"/>
    <w:rsid w:val="0092625F"/>
    <w:rsid w:val="009268A9"/>
    <w:rsid w:val="00927B37"/>
    <w:rsid w:val="009301B2"/>
    <w:rsid w:val="009313DD"/>
    <w:rsid w:val="00931BDE"/>
    <w:rsid w:val="009321B1"/>
    <w:rsid w:val="00932ED7"/>
    <w:rsid w:val="0093357E"/>
    <w:rsid w:val="0093422D"/>
    <w:rsid w:val="00934325"/>
    <w:rsid w:val="00934DD7"/>
    <w:rsid w:val="00935287"/>
    <w:rsid w:val="009369A9"/>
    <w:rsid w:val="00936CF7"/>
    <w:rsid w:val="00937201"/>
    <w:rsid w:val="0093734A"/>
    <w:rsid w:val="00937783"/>
    <w:rsid w:val="00940FE1"/>
    <w:rsid w:val="00942306"/>
    <w:rsid w:val="009424B8"/>
    <w:rsid w:val="00942D53"/>
    <w:rsid w:val="009433A4"/>
    <w:rsid w:val="0094435B"/>
    <w:rsid w:val="00944668"/>
    <w:rsid w:val="00944DC6"/>
    <w:rsid w:val="0094515F"/>
    <w:rsid w:val="0094537D"/>
    <w:rsid w:val="0094573F"/>
    <w:rsid w:val="009458B0"/>
    <w:rsid w:val="00945B52"/>
    <w:rsid w:val="00945DC0"/>
    <w:rsid w:val="00945F05"/>
    <w:rsid w:val="00946348"/>
    <w:rsid w:val="00946C8E"/>
    <w:rsid w:val="009471AD"/>
    <w:rsid w:val="009478A2"/>
    <w:rsid w:val="00950404"/>
    <w:rsid w:val="00952060"/>
    <w:rsid w:val="00954800"/>
    <w:rsid w:val="00955643"/>
    <w:rsid w:val="00955FBB"/>
    <w:rsid w:val="0095694B"/>
    <w:rsid w:val="00956BD5"/>
    <w:rsid w:val="009574BB"/>
    <w:rsid w:val="009577B5"/>
    <w:rsid w:val="009608E6"/>
    <w:rsid w:val="00961779"/>
    <w:rsid w:val="00962EB1"/>
    <w:rsid w:val="00966522"/>
    <w:rsid w:val="00967D3F"/>
    <w:rsid w:val="00967E78"/>
    <w:rsid w:val="00970D7E"/>
    <w:rsid w:val="00970F18"/>
    <w:rsid w:val="00971786"/>
    <w:rsid w:val="00971CF1"/>
    <w:rsid w:val="009721E9"/>
    <w:rsid w:val="00972A58"/>
    <w:rsid w:val="00973772"/>
    <w:rsid w:val="009738FC"/>
    <w:rsid w:val="00975E1E"/>
    <w:rsid w:val="00975E70"/>
    <w:rsid w:val="00977CD6"/>
    <w:rsid w:val="00982481"/>
    <w:rsid w:val="00982D26"/>
    <w:rsid w:val="0098330E"/>
    <w:rsid w:val="009833DD"/>
    <w:rsid w:val="00983A87"/>
    <w:rsid w:val="009840AB"/>
    <w:rsid w:val="009849E9"/>
    <w:rsid w:val="009866F3"/>
    <w:rsid w:val="00987812"/>
    <w:rsid w:val="00990225"/>
    <w:rsid w:val="0099244B"/>
    <w:rsid w:val="00993186"/>
    <w:rsid w:val="009947B6"/>
    <w:rsid w:val="00994FCC"/>
    <w:rsid w:val="00995150"/>
    <w:rsid w:val="009957F3"/>
    <w:rsid w:val="00995D67"/>
    <w:rsid w:val="009970BF"/>
    <w:rsid w:val="009A013B"/>
    <w:rsid w:val="009A02F4"/>
    <w:rsid w:val="009A1844"/>
    <w:rsid w:val="009A1F12"/>
    <w:rsid w:val="009A2494"/>
    <w:rsid w:val="009A26CA"/>
    <w:rsid w:val="009A36F2"/>
    <w:rsid w:val="009A5749"/>
    <w:rsid w:val="009A57D0"/>
    <w:rsid w:val="009A6559"/>
    <w:rsid w:val="009A68FC"/>
    <w:rsid w:val="009A7514"/>
    <w:rsid w:val="009A7E7A"/>
    <w:rsid w:val="009B1584"/>
    <w:rsid w:val="009B1585"/>
    <w:rsid w:val="009B2469"/>
    <w:rsid w:val="009B314F"/>
    <w:rsid w:val="009B439C"/>
    <w:rsid w:val="009B4A6C"/>
    <w:rsid w:val="009B5777"/>
    <w:rsid w:val="009B5779"/>
    <w:rsid w:val="009B6753"/>
    <w:rsid w:val="009B6A26"/>
    <w:rsid w:val="009C079D"/>
    <w:rsid w:val="009C0D70"/>
    <w:rsid w:val="009C13D1"/>
    <w:rsid w:val="009C1BFF"/>
    <w:rsid w:val="009C2913"/>
    <w:rsid w:val="009C3008"/>
    <w:rsid w:val="009C5AFE"/>
    <w:rsid w:val="009C6606"/>
    <w:rsid w:val="009C6CE5"/>
    <w:rsid w:val="009C6D50"/>
    <w:rsid w:val="009C7547"/>
    <w:rsid w:val="009D1678"/>
    <w:rsid w:val="009D1693"/>
    <w:rsid w:val="009D2721"/>
    <w:rsid w:val="009D2F60"/>
    <w:rsid w:val="009D338C"/>
    <w:rsid w:val="009D3D0D"/>
    <w:rsid w:val="009D5BAC"/>
    <w:rsid w:val="009D64BD"/>
    <w:rsid w:val="009E0D0A"/>
    <w:rsid w:val="009E0D1A"/>
    <w:rsid w:val="009E153F"/>
    <w:rsid w:val="009E1581"/>
    <w:rsid w:val="009E2D6C"/>
    <w:rsid w:val="009E367E"/>
    <w:rsid w:val="009E388B"/>
    <w:rsid w:val="009E393E"/>
    <w:rsid w:val="009E444E"/>
    <w:rsid w:val="009E4968"/>
    <w:rsid w:val="009E663C"/>
    <w:rsid w:val="009E6BB1"/>
    <w:rsid w:val="009F0092"/>
    <w:rsid w:val="009F0CD9"/>
    <w:rsid w:val="009F1A79"/>
    <w:rsid w:val="009F1F57"/>
    <w:rsid w:val="009F2635"/>
    <w:rsid w:val="009F2E26"/>
    <w:rsid w:val="009F4FCF"/>
    <w:rsid w:val="009F5DE2"/>
    <w:rsid w:val="009F65F4"/>
    <w:rsid w:val="009F676B"/>
    <w:rsid w:val="009F6EA6"/>
    <w:rsid w:val="00A004DF"/>
    <w:rsid w:val="00A00D29"/>
    <w:rsid w:val="00A00FD5"/>
    <w:rsid w:val="00A019A8"/>
    <w:rsid w:val="00A01B03"/>
    <w:rsid w:val="00A02C66"/>
    <w:rsid w:val="00A03861"/>
    <w:rsid w:val="00A0464C"/>
    <w:rsid w:val="00A04D48"/>
    <w:rsid w:val="00A054E0"/>
    <w:rsid w:val="00A05ABE"/>
    <w:rsid w:val="00A061EA"/>
    <w:rsid w:val="00A0663F"/>
    <w:rsid w:val="00A066CE"/>
    <w:rsid w:val="00A0740B"/>
    <w:rsid w:val="00A075A9"/>
    <w:rsid w:val="00A11042"/>
    <w:rsid w:val="00A11805"/>
    <w:rsid w:val="00A133D8"/>
    <w:rsid w:val="00A14E97"/>
    <w:rsid w:val="00A20069"/>
    <w:rsid w:val="00A20280"/>
    <w:rsid w:val="00A2244D"/>
    <w:rsid w:val="00A2253D"/>
    <w:rsid w:val="00A22AEC"/>
    <w:rsid w:val="00A23592"/>
    <w:rsid w:val="00A2418A"/>
    <w:rsid w:val="00A247B8"/>
    <w:rsid w:val="00A24D39"/>
    <w:rsid w:val="00A24D8F"/>
    <w:rsid w:val="00A252D3"/>
    <w:rsid w:val="00A25B8B"/>
    <w:rsid w:val="00A26130"/>
    <w:rsid w:val="00A269AF"/>
    <w:rsid w:val="00A269C3"/>
    <w:rsid w:val="00A26ECA"/>
    <w:rsid w:val="00A30D5A"/>
    <w:rsid w:val="00A3142C"/>
    <w:rsid w:val="00A324C1"/>
    <w:rsid w:val="00A337DB"/>
    <w:rsid w:val="00A3467F"/>
    <w:rsid w:val="00A34E27"/>
    <w:rsid w:val="00A3551A"/>
    <w:rsid w:val="00A376E8"/>
    <w:rsid w:val="00A37E69"/>
    <w:rsid w:val="00A37F8E"/>
    <w:rsid w:val="00A41737"/>
    <w:rsid w:val="00A42B8F"/>
    <w:rsid w:val="00A43254"/>
    <w:rsid w:val="00A43896"/>
    <w:rsid w:val="00A43A26"/>
    <w:rsid w:val="00A447A0"/>
    <w:rsid w:val="00A4598B"/>
    <w:rsid w:val="00A459F5"/>
    <w:rsid w:val="00A45FC0"/>
    <w:rsid w:val="00A46B32"/>
    <w:rsid w:val="00A46D04"/>
    <w:rsid w:val="00A47301"/>
    <w:rsid w:val="00A47448"/>
    <w:rsid w:val="00A47ECC"/>
    <w:rsid w:val="00A5008C"/>
    <w:rsid w:val="00A50171"/>
    <w:rsid w:val="00A5102E"/>
    <w:rsid w:val="00A51083"/>
    <w:rsid w:val="00A5132E"/>
    <w:rsid w:val="00A51533"/>
    <w:rsid w:val="00A51547"/>
    <w:rsid w:val="00A51E68"/>
    <w:rsid w:val="00A52F3B"/>
    <w:rsid w:val="00A531D4"/>
    <w:rsid w:val="00A55ACD"/>
    <w:rsid w:val="00A55CFA"/>
    <w:rsid w:val="00A575B8"/>
    <w:rsid w:val="00A647B1"/>
    <w:rsid w:val="00A64DEF"/>
    <w:rsid w:val="00A65E4E"/>
    <w:rsid w:val="00A665DF"/>
    <w:rsid w:val="00A67F1B"/>
    <w:rsid w:val="00A67FCC"/>
    <w:rsid w:val="00A70599"/>
    <w:rsid w:val="00A716DC"/>
    <w:rsid w:val="00A71ABE"/>
    <w:rsid w:val="00A7217B"/>
    <w:rsid w:val="00A7293E"/>
    <w:rsid w:val="00A72EE4"/>
    <w:rsid w:val="00A73067"/>
    <w:rsid w:val="00A737C4"/>
    <w:rsid w:val="00A739A6"/>
    <w:rsid w:val="00A73BB5"/>
    <w:rsid w:val="00A75EF9"/>
    <w:rsid w:val="00A76BC9"/>
    <w:rsid w:val="00A76FD8"/>
    <w:rsid w:val="00A77566"/>
    <w:rsid w:val="00A80563"/>
    <w:rsid w:val="00A8311C"/>
    <w:rsid w:val="00A84BC8"/>
    <w:rsid w:val="00A84C5F"/>
    <w:rsid w:val="00A86973"/>
    <w:rsid w:val="00A8721F"/>
    <w:rsid w:val="00A8740B"/>
    <w:rsid w:val="00A87519"/>
    <w:rsid w:val="00A90B55"/>
    <w:rsid w:val="00A90DE4"/>
    <w:rsid w:val="00A9246D"/>
    <w:rsid w:val="00A93644"/>
    <w:rsid w:val="00A93BD0"/>
    <w:rsid w:val="00A95D69"/>
    <w:rsid w:val="00A975A4"/>
    <w:rsid w:val="00A97872"/>
    <w:rsid w:val="00AA2001"/>
    <w:rsid w:val="00AA2B5C"/>
    <w:rsid w:val="00AA2CEF"/>
    <w:rsid w:val="00AA4E59"/>
    <w:rsid w:val="00AA5328"/>
    <w:rsid w:val="00AA5393"/>
    <w:rsid w:val="00AA5771"/>
    <w:rsid w:val="00AA63D4"/>
    <w:rsid w:val="00AA6767"/>
    <w:rsid w:val="00AA6DAE"/>
    <w:rsid w:val="00AB03FD"/>
    <w:rsid w:val="00AB38CB"/>
    <w:rsid w:val="00AB3BEC"/>
    <w:rsid w:val="00AB44E4"/>
    <w:rsid w:val="00AB4AEB"/>
    <w:rsid w:val="00AB5352"/>
    <w:rsid w:val="00AB56AE"/>
    <w:rsid w:val="00AB62D5"/>
    <w:rsid w:val="00AB65B5"/>
    <w:rsid w:val="00AB6DCD"/>
    <w:rsid w:val="00AB6EE0"/>
    <w:rsid w:val="00AB7D91"/>
    <w:rsid w:val="00AC2DFD"/>
    <w:rsid w:val="00AC352D"/>
    <w:rsid w:val="00AC39B7"/>
    <w:rsid w:val="00AC40B7"/>
    <w:rsid w:val="00AC531F"/>
    <w:rsid w:val="00AC6121"/>
    <w:rsid w:val="00AC626D"/>
    <w:rsid w:val="00AC6CB1"/>
    <w:rsid w:val="00AC6F9B"/>
    <w:rsid w:val="00AC733E"/>
    <w:rsid w:val="00AD0091"/>
    <w:rsid w:val="00AD23D8"/>
    <w:rsid w:val="00AD23EF"/>
    <w:rsid w:val="00AD307B"/>
    <w:rsid w:val="00AD41B3"/>
    <w:rsid w:val="00AD4C48"/>
    <w:rsid w:val="00AD57AF"/>
    <w:rsid w:val="00AD6267"/>
    <w:rsid w:val="00AD7317"/>
    <w:rsid w:val="00AE01A8"/>
    <w:rsid w:val="00AE0CBD"/>
    <w:rsid w:val="00AE123A"/>
    <w:rsid w:val="00AE28A7"/>
    <w:rsid w:val="00AE33A6"/>
    <w:rsid w:val="00AE3446"/>
    <w:rsid w:val="00AE3715"/>
    <w:rsid w:val="00AE3729"/>
    <w:rsid w:val="00AE55B2"/>
    <w:rsid w:val="00AE5C6A"/>
    <w:rsid w:val="00AE65F7"/>
    <w:rsid w:val="00AE7280"/>
    <w:rsid w:val="00AF033A"/>
    <w:rsid w:val="00AF1699"/>
    <w:rsid w:val="00AF3896"/>
    <w:rsid w:val="00AF6C33"/>
    <w:rsid w:val="00B0098A"/>
    <w:rsid w:val="00B00A5F"/>
    <w:rsid w:val="00B0225F"/>
    <w:rsid w:val="00B029B8"/>
    <w:rsid w:val="00B02F60"/>
    <w:rsid w:val="00B032B8"/>
    <w:rsid w:val="00B04B46"/>
    <w:rsid w:val="00B0534D"/>
    <w:rsid w:val="00B06368"/>
    <w:rsid w:val="00B06FC6"/>
    <w:rsid w:val="00B07163"/>
    <w:rsid w:val="00B07429"/>
    <w:rsid w:val="00B12FE6"/>
    <w:rsid w:val="00B1303F"/>
    <w:rsid w:val="00B1364A"/>
    <w:rsid w:val="00B13D3C"/>
    <w:rsid w:val="00B1525C"/>
    <w:rsid w:val="00B1537C"/>
    <w:rsid w:val="00B16715"/>
    <w:rsid w:val="00B171B4"/>
    <w:rsid w:val="00B174A8"/>
    <w:rsid w:val="00B17910"/>
    <w:rsid w:val="00B20F18"/>
    <w:rsid w:val="00B21516"/>
    <w:rsid w:val="00B22CE0"/>
    <w:rsid w:val="00B23738"/>
    <w:rsid w:val="00B23BEF"/>
    <w:rsid w:val="00B247BB"/>
    <w:rsid w:val="00B25806"/>
    <w:rsid w:val="00B25C11"/>
    <w:rsid w:val="00B25EDF"/>
    <w:rsid w:val="00B25EE6"/>
    <w:rsid w:val="00B26B53"/>
    <w:rsid w:val="00B3115A"/>
    <w:rsid w:val="00B31A5C"/>
    <w:rsid w:val="00B33C19"/>
    <w:rsid w:val="00B34861"/>
    <w:rsid w:val="00B34BBC"/>
    <w:rsid w:val="00B34CB7"/>
    <w:rsid w:val="00B35F6E"/>
    <w:rsid w:val="00B363BD"/>
    <w:rsid w:val="00B369F7"/>
    <w:rsid w:val="00B36A99"/>
    <w:rsid w:val="00B37537"/>
    <w:rsid w:val="00B41B81"/>
    <w:rsid w:val="00B42980"/>
    <w:rsid w:val="00B434B2"/>
    <w:rsid w:val="00B434C7"/>
    <w:rsid w:val="00B43D45"/>
    <w:rsid w:val="00B443B4"/>
    <w:rsid w:val="00B44771"/>
    <w:rsid w:val="00B4650E"/>
    <w:rsid w:val="00B468F2"/>
    <w:rsid w:val="00B46B45"/>
    <w:rsid w:val="00B46F6B"/>
    <w:rsid w:val="00B47286"/>
    <w:rsid w:val="00B47894"/>
    <w:rsid w:val="00B50234"/>
    <w:rsid w:val="00B51794"/>
    <w:rsid w:val="00B51BF4"/>
    <w:rsid w:val="00B52C68"/>
    <w:rsid w:val="00B542FE"/>
    <w:rsid w:val="00B55A1B"/>
    <w:rsid w:val="00B561DB"/>
    <w:rsid w:val="00B57494"/>
    <w:rsid w:val="00B61DCE"/>
    <w:rsid w:val="00B62188"/>
    <w:rsid w:val="00B62467"/>
    <w:rsid w:val="00B62F79"/>
    <w:rsid w:val="00B62F82"/>
    <w:rsid w:val="00B6325B"/>
    <w:rsid w:val="00B648FA"/>
    <w:rsid w:val="00B662FF"/>
    <w:rsid w:val="00B67408"/>
    <w:rsid w:val="00B7102F"/>
    <w:rsid w:val="00B72C80"/>
    <w:rsid w:val="00B730B4"/>
    <w:rsid w:val="00B74340"/>
    <w:rsid w:val="00B744E0"/>
    <w:rsid w:val="00B7481A"/>
    <w:rsid w:val="00B74F2F"/>
    <w:rsid w:val="00B756FB"/>
    <w:rsid w:val="00B769BC"/>
    <w:rsid w:val="00B77349"/>
    <w:rsid w:val="00B7761E"/>
    <w:rsid w:val="00B80A37"/>
    <w:rsid w:val="00B80A3D"/>
    <w:rsid w:val="00B823E0"/>
    <w:rsid w:val="00B82B78"/>
    <w:rsid w:val="00B83199"/>
    <w:rsid w:val="00B83E3C"/>
    <w:rsid w:val="00B84662"/>
    <w:rsid w:val="00B85402"/>
    <w:rsid w:val="00B864A3"/>
    <w:rsid w:val="00B86C2A"/>
    <w:rsid w:val="00B902A5"/>
    <w:rsid w:val="00B90420"/>
    <w:rsid w:val="00B913E4"/>
    <w:rsid w:val="00B91DB9"/>
    <w:rsid w:val="00B93EFE"/>
    <w:rsid w:val="00B944FF"/>
    <w:rsid w:val="00B94956"/>
    <w:rsid w:val="00B94C7F"/>
    <w:rsid w:val="00B94DF6"/>
    <w:rsid w:val="00B956B5"/>
    <w:rsid w:val="00B95904"/>
    <w:rsid w:val="00B95C3A"/>
    <w:rsid w:val="00B95FCE"/>
    <w:rsid w:val="00BA0A23"/>
    <w:rsid w:val="00BA0D44"/>
    <w:rsid w:val="00BA0E26"/>
    <w:rsid w:val="00BA11BB"/>
    <w:rsid w:val="00BA2B61"/>
    <w:rsid w:val="00BA31BF"/>
    <w:rsid w:val="00BA43FC"/>
    <w:rsid w:val="00BA478B"/>
    <w:rsid w:val="00BA5224"/>
    <w:rsid w:val="00BA7456"/>
    <w:rsid w:val="00BA7925"/>
    <w:rsid w:val="00BA7B27"/>
    <w:rsid w:val="00BA7E3B"/>
    <w:rsid w:val="00BB079C"/>
    <w:rsid w:val="00BB32A1"/>
    <w:rsid w:val="00BB39C1"/>
    <w:rsid w:val="00BB52AF"/>
    <w:rsid w:val="00BB5555"/>
    <w:rsid w:val="00BB5D16"/>
    <w:rsid w:val="00BB6180"/>
    <w:rsid w:val="00BB6595"/>
    <w:rsid w:val="00BB69E6"/>
    <w:rsid w:val="00BB6DEF"/>
    <w:rsid w:val="00BB7714"/>
    <w:rsid w:val="00BC1B7A"/>
    <w:rsid w:val="00BC2BC7"/>
    <w:rsid w:val="00BC2C17"/>
    <w:rsid w:val="00BC3ACD"/>
    <w:rsid w:val="00BC506D"/>
    <w:rsid w:val="00BC5C09"/>
    <w:rsid w:val="00BC63C3"/>
    <w:rsid w:val="00BC6E73"/>
    <w:rsid w:val="00BD0014"/>
    <w:rsid w:val="00BD01D8"/>
    <w:rsid w:val="00BD1B17"/>
    <w:rsid w:val="00BD2512"/>
    <w:rsid w:val="00BD255F"/>
    <w:rsid w:val="00BD383D"/>
    <w:rsid w:val="00BD4236"/>
    <w:rsid w:val="00BD5CCA"/>
    <w:rsid w:val="00BD5CD4"/>
    <w:rsid w:val="00BD6EF9"/>
    <w:rsid w:val="00BD77DD"/>
    <w:rsid w:val="00BE0ACB"/>
    <w:rsid w:val="00BE1A90"/>
    <w:rsid w:val="00BE2113"/>
    <w:rsid w:val="00BE2C0A"/>
    <w:rsid w:val="00BE3537"/>
    <w:rsid w:val="00BE360F"/>
    <w:rsid w:val="00BE367B"/>
    <w:rsid w:val="00BE50FD"/>
    <w:rsid w:val="00BE51CA"/>
    <w:rsid w:val="00BE5E5A"/>
    <w:rsid w:val="00BE6D47"/>
    <w:rsid w:val="00BE7032"/>
    <w:rsid w:val="00BE7330"/>
    <w:rsid w:val="00BF01C5"/>
    <w:rsid w:val="00BF045B"/>
    <w:rsid w:val="00BF066A"/>
    <w:rsid w:val="00BF32AA"/>
    <w:rsid w:val="00BF361C"/>
    <w:rsid w:val="00BF39A0"/>
    <w:rsid w:val="00BF4342"/>
    <w:rsid w:val="00BF4B18"/>
    <w:rsid w:val="00BF5050"/>
    <w:rsid w:val="00BF5422"/>
    <w:rsid w:val="00BF54CF"/>
    <w:rsid w:val="00BF59B1"/>
    <w:rsid w:val="00BF6A78"/>
    <w:rsid w:val="00BF6E19"/>
    <w:rsid w:val="00BF79B4"/>
    <w:rsid w:val="00C0099F"/>
    <w:rsid w:val="00C01427"/>
    <w:rsid w:val="00C016A1"/>
    <w:rsid w:val="00C04AAB"/>
    <w:rsid w:val="00C058AF"/>
    <w:rsid w:val="00C05A11"/>
    <w:rsid w:val="00C06F5A"/>
    <w:rsid w:val="00C124C1"/>
    <w:rsid w:val="00C128AE"/>
    <w:rsid w:val="00C136D6"/>
    <w:rsid w:val="00C13D5B"/>
    <w:rsid w:val="00C16615"/>
    <w:rsid w:val="00C17AE2"/>
    <w:rsid w:val="00C20F27"/>
    <w:rsid w:val="00C215CF"/>
    <w:rsid w:val="00C2244B"/>
    <w:rsid w:val="00C2263D"/>
    <w:rsid w:val="00C22B0D"/>
    <w:rsid w:val="00C22F55"/>
    <w:rsid w:val="00C240C1"/>
    <w:rsid w:val="00C250D0"/>
    <w:rsid w:val="00C252AC"/>
    <w:rsid w:val="00C255AB"/>
    <w:rsid w:val="00C27214"/>
    <w:rsid w:val="00C27597"/>
    <w:rsid w:val="00C30382"/>
    <w:rsid w:val="00C30D6F"/>
    <w:rsid w:val="00C31063"/>
    <w:rsid w:val="00C31B7E"/>
    <w:rsid w:val="00C3242A"/>
    <w:rsid w:val="00C32AE2"/>
    <w:rsid w:val="00C33117"/>
    <w:rsid w:val="00C33201"/>
    <w:rsid w:val="00C332C4"/>
    <w:rsid w:val="00C33A63"/>
    <w:rsid w:val="00C34183"/>
    <w:rsid w:val="00C360B3"/>
    <w:rsid w:val="00C36363"/>
    <w:rsid w:val="00C3679B"/>
    <w:rsid w:val="00C37027"/>
    <w:rsid w:val="00C3778D"/>
    <w:rsid w:val="00C405A3"/>
    <w:rsid w:val="00C41DB7"/>
    <w:rsid w:val="00C42752"/>
    <w:rsid w:val="00C42973"/>
    <w:rsid w:val="00C44F9C"/>
    <w:rsid w:val="00C46D58"/>
    <w:rsid w:val="00C4730E"/>
    <w:rsid w:val="00C47EE9"/>
    <w:rsid w:val="00C5019C"/>
    <w:rsid w:val="00C5034F"/>
    <w:rsid w:val="00C514D3"/>
    <w:rsid w:val="00C516D3"/>
    <w:rsid w:val="00C52479"/>
    <w:rsid w:val="00C5291F"/>
    <w:rsid w:val="00C52BC8"/>
    <w:rsid w:val="00C52C59"/>
    <w:rsid w:val="00C5349E"/>
    <w:rsid w:val="00C5354B"/>
    <w:rsid w:val="00C54467"/>
    <w:rsid w:val="00C54D3D"/>
    <w:rsid w:val="00C55116"/>
    <w:rsid w:val="00C55A30"/>
    <w:rsid w:val="00C57C58"/>
    <w:rsid w:val="00C6028F"/>
    <w:rsid w:val="00C6036D"/>
    <w:rsid w:val="00C608F1"/>
    <w:rsid w:val="00C619B9"/>
    <w:rsid w:val="00C631E1"/>
    <w:rsid w:val="00C638D8"/>
    <w:rsid w:val="00C63C84"/>
    <w:rsid w:val="00C63D26"/>
    <w:rsid w:val="00C641EB"/>
    <w:rsid w:val="00C65053"/>
    <w:rsid w:val="00C65BD9"/>
    <w:rsid w:val="00C66061"/>
    <w:rsid w:val="00C661D6"/>
    <w:rsid w:val="00C66F69"/>
    <w:rsid w:val="00C67223"/>
    <w:rsid w:val="00C67CFF"/>
    <w:rsid w:val="00C707B8"/>
    <w:rsid w:val="00C7084B"/>
    <w:rsid w:val="00C71C15"/>
    <w:rsid w:val="00C71F3D"/>
    <w:rsid w:val="00C72B53"/>
    <w:rsid w:val="00C72F53"/>
    <w:rsid w:val="00C74035"/>
    <w:rsid w:val="00C76FF4"/>
    <w:rsid w:val="00C77818"/>
    <w:rsid w:val="00C77AE3"/>
    <w:rsid w:val="00C8063F"/>
    <w:rsid w:val="00C81549"/>
    <w:rsid w:val="00C816C8"/>
    <w:rsid w:val="00C829A1"/>
    <w:rsid w:val="00C83B36"/>
    <w:rsid w:val="00C84F8A"/>
    <w:rsid w:val="00C85209"/>
    <w:rsid w:val="00C8618F"/>
    <w:rsid w:val="00C90372"/>
    <w:rsid w:val="00C9041F"/>
    <w:rsid w:val="00C91A45"/>
    <w:rsid w:val="00C91ED2"/>
    <w:rsid w:val="00C91F66"/>
    <w:rsid w:val="00C91FB4"/>
    <w:rsid w:val="00C94D41"/>
    <w:rsid w:val="00C95745"/>
    <w:rsid w:val="00C962E3"/>
    <w:rsid w:val="00C965BD"/>
    <w:rsid w:val="00C96717"/>
    <w:rsid w:val="00C97997"/>
    <w:rsid w:val="00CA08FE"/>
    <w:rsid w:val="00CA0FAC"/>
    <w:rsid w:val="00CA2513"/>
    <w:rsid w:val="00CA25C0"/>
    <w:rsid w:val="00CA3451"/>
    <w:rsid w:val="00CA4948"/>
    <w:rsid w:val="00CA52F9"/>
    <w:rsid w:val="00CA568B"/>
    <w:rsid w:val="00CA6870"/>
    <w:rsid w:val="00CA7500"/>
    <w:rsid w:val="00CA7C34"/>
    <w:rsid w:val="00CB0696"/>
    <w:rsid w:val="00CB1239"/>
    <w:rsid w:val="00CB19FE"/>
    <w:rsid w:val="00CB2EEF"/>
    <w:rsid w:val="00CB304C"/>
    <w:rsid w:val="00CB53E8"/>
    <w:rsid w:val="00CB594A"/>
    <w:rsid w:val="00CB5CB2"/>
    <w:rsid w:val="00CB6979"/>
    <w:rsid w:val="00CC0484"/>
    <w:rsid w:val="00CC0A3D"/>
    <w:rsid w:val="00CC2373"/>
    <w:rsid w:val="00CC3D24"/>
    <w:rsid w:val="00CC3F91"/>
    <w:rsid w:val="00CC40B6"/>
    <w:rsid w:val="00CC4B0A"/>
    <w:rsid w:val="00CC544A"/>
    <w:rsid w:val="00CC57EA"/>
    <w:rsid w:val="00CC5954"/>
    <w:rsid w:val="00CC6C4E"/>
    <w:rsid w:val="00CC6DD8"/>
    <w:rsid w:val="00CD05A2"/>
    <w:rsid w:val="00CD19DA"/>
    <w:rsid w:val="00CD29D4"/>
    <w:rsid w:val="00CD38F5"/>
    <w:rsid w:val="00CD437E"/>
    <w:rsid w:val="00CD4AE5"/>
    <w:rsid w:val="00CD5833"/>
    <w:rsid w:val="00CD5A89"/>
    <w:rsid w:val="00CD5DAD"/>
    <w:rsid w:val="00CD614A"/>
    <w:rsid w:val="00CD72C5"/>
    <w:rsid w:val="00CD79A7"/>
    <w:rsid w:val="00CE0789"/>
    <w:rsid w:val="00CE1A03"/>
    <w:rsid w:val="00CE2260"/>
    <w:rsid w:val="00CE2346"/>
    <w:rsid w:val="00CE3529"/>
    <w:rsid w:val="00CE35C8"/>
    <w:rsid w:val="00CE3962"/>
    <w:rsid w:val="00CE5105"/>
    <w:rsid w:val="00CE56BD"/>
    <w:rsid w:val="00CE5EC0"/>
    <w:rsid w:val="00CE6F9F"/>
    <w:rsid w:val="00CE773B"/>
    <w:rsid w:val="00CE781A"/>
    <w:rsid w:val="00CF10FC"/>
    <w:rsid w:val="00CF1D74"/>
    <w:rsid w:val="00CF2BE2"/>
    <w:rsid w:val="00CF55F9"/>
    <w:rsid w:val="00CF71A6"/>
    <w:rsid w:val="00CF7495"/>
    <w:rsid w:val="00CF7671"/>
    <w:rsid w:val="00CF7C5B"/>
    <w:rsid w:val="00CF7FFC"/>
    <w:rsid w:val="00D01CF9"/>
    <w:rsid w:val="00D02246"/>
    <w:rsid w:val="00D0334D"/>
    <w:rsid w:val="00D0374D"/>
    <w:rsid w:val="00D05A76"/>
    <w:rsid w:val="00D07BEF"/>
    <w:rsid w:val="00D07F1D"/>
    <w:rsid w:val="00D10558"/>
    <w:rsid w:val="00D1203E"/>
    <w:rsid w:val="00D13E70"/>
    <w:rsid w:val="00D16C58"/>
    <w:rsid w:val="00D17019"/>
    <w:rsid w:val="00D170C1"/>
    <w:rsid w:val="00D178DE"/>
    <w:rsid w:val="00D17C6E"/>
    <w:rsid w:val="00D21168"/>
    <w:rsid w:val="00D235C8"/>
    <w:rsid w:val="00D2384A"/>
    <w:rsid w:val="00D2438C"/>
    <w:rsid w:val="00D26C3F"/>
    <w:rsid w:val="00D27185"/>
    <w:rsid w:val="00D31CA2"/>
    <w:rsid w:val="00D32B84"/>
    <w:rsid w:val="00D337AE"/>
    <w:rsid w:val="00D33AB3"/>
    <w:rsid w:val="00D33CEC"/>
    <w:rsid w:val="00D33F24"/>
    <w:rsid w:val="00D346B7"/>
    <w:rsid w:val="00D346B8"/>
    <w:rsid w:val="00D35AC8"/>
    <w:rsid w:val="00D35D34"/>
    <w:rsid w:val="00D36F87"/>
    <w:rsid w:val="00D37E4E"/>
    <w:rsid w:val="00D42E6C"/>
    <w:rsid w:val="00D43218"/>
    <w:rsid w:val="00D43B80"/>
    <w:rsid w:val="00D44236"/>
    <w:rsid w:val="00D44AE2"/>
    <w:rsid w:val="00D45B1E"/>
    <w:rsid w:val="00D45BA4"/>
    <w:rsid w:val="00D471AF"/>
    <w:rsid w:val="00D4724F"/>
    <w:rsid w:val="00D50519"/>
    <w:rsid w:val="00D516A5"/>
    <w:rsid w:val="00D5264C"/>
    <w:rsid w:val="00D5289A"/>
    <w:rsid w:val="00D537FE"/>
    <w:rsid w:val="00D538F0"/>
    <w:rsid w:val="00D54A6A"/>
    <w:rsid w:val="00D54BF8"/>
    <w:rsid w:val="00D54D7C"/>
    <w:rsid w:val="00D55951"/>
    <w:rsid w:val="00D55C6A"/>
    <w:rsid w:val="00D572BE"/>
    <w:rsid w:val="00D57EB6"/>
    <w:rsid w:val="00D60ED7"/>
    <w:rsid w:val="00D63586"/>
    <w:rsid w:val="00D63E6B"/>
    <w:rsid w:val="00D65538"/>
    <w:rsid w:val="00D664BF"/>
    <w:rsid w:val="00D668CA"/>
    <w:rsid w:val="00D66D8B"/>
    <w:rsid w:val="00D67D04"/>
    <w:rsid w:val="00D70C06"/>
    <w:rsid w:val="00D72A1C"/>
    <w:rsid w:val="00D73580"/>
    <w:rsid w:val="00D73802"/>
    <w:rsid w:val="00D73868"/>
    <w:rsid w:val="00D73C2C"/>
    <w:rsid w:val="00D73D52"/>
    <w:rsid w:val="00D74042"/>
    <w:rsid w:val="00D7453F"/>
    <w:rsid w:val="00D745E7"/>
    <w:rsid w:val="00D77495"/>
    <w:rsid w:val="00D774ED"/>
    <w:rsid w:val="00D777F6"/>
    <w:rsid w:val="00D77F88"/>
    <w:rsid w:val="00D8002D"/>
    <w:rsid w:val="00D8047C"/>
    <w:rsid w:val="00D81EAA"/>
    <w:rsid w:val="00D8232B"/>
    <w:rsid w:val="00D8259F"/>
    <w:rsid w:val="00D825F2"/>
    <w:rsid w:val="00D828B1"/>
    <w:rsid w:val="00D83E88"/>
    <w:rsid w:val="00D84F27"/>
    <w:rsid w:val="00D850D4"/>
    <w:rsid w:val="00D862D1"/>
    <w:rsid w:val="00D873C6"/>
    <w:rsid w:val="00D91027"/>
    <w:rsid w:val="00D9393E"/>
    <w:rsid w:val="00D93B66"/>
    <w:rsid w:val="00D94C7D"/>
    <w:rsid w:val="00D94CA4"/>
    <w:rsid w:val="00D94FB4"/>
    <w:rsid w:val="00D95E99"/>
    <w:rsid w:val="00DA098C"/>
    <w:rsid w:val="00DA1A3A"/>
    <w:rsid w:val="00DA2712"/>
    <w:rsid w:val="00DA2C65"/>
    <w:rsid w:val="00DA395D"/>
    <w:rsid w:val="00DA6229"/>
    <w:rsid w:val="00DA6D33"/>
    <w:rsid w:val="00DB16B8"/>
    <w:rsid w:val="00DB1869"/>
    <w:rsid w:val="00DB1D52"/>
    <w:rsid w:val="00DB1F62"/>
    <w:rsid w:val="00DB2852"/>
    <w:rsid w:val="00DB2E03"/>
    <w:rsid w:val="00DB3369"/>
    <w:rsid w:val="00DB3742"/>
    <w:rsid w:val="00DB3F4B"/>
    <w:rsid w:val="00DB61A4"/>
    <w:rsid w:val="00DB67C1"/>
    <w:rsid w:val="00DB70CD"/>
    <w:rsid w:val="00DB70F4"/>
    <w:rsid w:val="00DB7343"/>
    <w:rsid w:val="00DC1056"/>
    <w:rsid w:val="00DC211E"/>
    <w:rsid w:val="00DC21D8"/>
    <w:rsid w:val="00DC282A"/>
    <w:rsid w:val="00DC34C5"/>
    <w:rsid w:val="00DC34DC"/>
    <w:rsid w:val="00DC3CC6"/>
    <w:rsid w:val="00DC514A"/>
    <w:rsid w:val="00DC64EC"/>
    <w:rsid w:val="00DC67B1"/>
    <w:rsid w:val="00DC7833"/>
    <w:rsid w:val="00DC7CE9"/>
    <w:rsid w:val="00DD132B"/>
    <w:rsid w:val="00DD1725"/>
    <w:rsid w:val="00DD2427"/>
    <w:rsid w:val="00DD2A18"/>
    <w:rsid w:val="00DD36DA"/>
    <w:rsid w:val="00DD4C61"/>
    <w:rsid w:val="00DD5B1A"/>
    <w:rsid w:val="00DD61E8"/>
    <w:rsid w:val="00DD62C0"/>
    <w:rsid w:val="00DD7859"/>
    <w:rsid w:val="00DE03AC"/>
    <w:rsid w:val="00DE0A1D"/>
    <w:rsid w:val="00DE15B2"/>
    <w:rsid w:val="00DE1A9A"/>
    <w:rsid w:val="00DE3D2C"/>
    <w:rsid w:val="00DE59F8"/>
    <w:rsid w:val="00DE5E82"/>
    <w:rsid w:val="00DE5FA6"/>
    <w:rsid w:val="00DE6494"/>
    <w:rsid w:val="00DE6AA1"/>
    <w:rsid w:val="00DE74D7"/>
    <w:rsid w:val="00DE7EF7"/>
    <w:rsid w:val="00DF106A"/>
    <w:rsid w:val="00DF1185"/>
    <w:rsid w:val="00DF1299"/>
    <w:rsid w:val="00DF1A70"/>
    <w:rsid w:val="00DF23A8"/>
    <w:rsid w:val="00DF269C"/>
    <w:rsid w:val="00DF2F27"/>
    <w:rsid w:val="00DF6CCC"/>
    <w:rsid w:val="00DF6D0C"/>
    <w:rsid w:val="00DF6DC2"/>
    <w:rsid w:val="00DF6F64"/>
    <w:rsid w:val="00DF721E"/>
    <w:rsid w:val="00DF7C87"/>
    <w:rsid w:val="00E009B0"/>
    <w:rsid w:val="00E031C0"/>
    <w:rsid w:val="00E03AFE"/>
    <w:rsid w:val="00E03D5C"/>
    <w:rsid w:val="00E046A9"/>
    <w:rsid w:val="00E04C0F"/>
    <w:rsid w:val="00E0570B"/>
    <w:rsid w:val="00E057B2"/>
    <w:rsid w:val="00E05996"/>
    <w:rsid w:val="00E068D9"/>
    <w:rsid w:val="00E10B87"/>
    <w:rsid w:val="00E12EE5"/>
    <w:rsid w:val="00E1478B"/>
    <w:rsid w:val="00E14FAC"/>
    <w:rsid w:val="00E15007"/>
    <w:rsid w:val="00E16EC7"/>
    <w:rsid w:val="00E1714F"/>
    <w:rsid w:val="00E17995"/>
    <w:rsid w:val="00E21576"/>
    <w:rsid w:val="00E21801"/>
    <w:rsid w:val="00E219CE"/>
    <w:rsid w:val="00E23961"/>
    <w:rsid w:val="00E24071"/>
    <w:rsid w:val="00E24EBC"/>
    <w:rsid w:val="00E2522C"/>
    <w:rsid w:val="00E2599B"/>
    <w:rsid w:val="00E27383"/>
    <w:rsid w:val="00E2793D"/>
    <w:rsid w:val="00E31AFA"/>
    <w:rsid w:val="00E324EE"/>
    <w:rsid w:val="00E359FF"/>
    <w:rsid w:val="00E36083"/>
    <w:rsid w:val="00E36AA7"/>
    <w:rsid w:val="00E36E39"/>
    <w:rsid w:val="00E405F1"/>
    <w:rsid w:val="00E43054"/>
    <w:rsid w:val="00E434C4"/>
    <w:rsid w:val="00E44FE4"/>
    <w:rsid w:val="00E46013"/>
    <w:rsid w:val="00E477C3"/>
    <w:rsid w:val="00E5048D"/>
    <w:rsid w:val="00E50AC4"/>
    <w:rsid w:val="00E51077"/>
    <w:rsid w:val="00E5132D"/>
    <w:rsid w:val="00E51741"/>
    <w:rsid w:val="00E51E16"/>
    <w:rsid w:val="00E52151"/>
    <w:rsid w:val="00E53730"/>
    <w:rsid w:val="00E53C46"/>
    <w:rsid w:val="00E54511"/>
    <w:rsid w:val="00E548BE"/>
    <w:rsid w:val="00E54978"/>
    <w:rsid w:val="00E55DC3"/>
    <w:rsid w:val="00E57577"/>
    <w:rsid w:val="00E62043"/>
    <w:rsid w:val="00E626B9"/>
    <w:rsid w:val="00E627C9"/>
    <w:rsid w:val="00E630F3"/>
    <w:rsid w:val="00E65198"/>
    <w:rsid w:val="00E664FB"/>
    <w:rsid w:val="00E66F0D"/>
    <w:rsid w:val="00E70615"/>
    <w:rsid w:val="00E71A5E"/>
    <w:rsid w:val="00E7207B"/>
    <w:rsid w:val="00E7347A"/>
    <w:rsid w:val="00E746F4"/>
    <w:rsid w:val="00E75325"/>
    <w:rsid w:val="00E75A47"/>
    <w:rsid w:val="00E75D8C"/>
    <w:rsid w:val="00E77771"/>
    <w:rsid w:val="00E777F2"/>
    <w:rsid w:val="00E779ED"/>
    <w:rsid w:val="00E802C9"/>
    <w:rsid w:val="00E809A6"/>
    <w:rsid w:val="00E80EDD"/>
    <w:rsid w:val="00E80F0A"/>
    <w:rsid w:val="00E81A6A"/>
    <w:rsid w:val="00E8291B"/>
    <w:rsid w:val="00E8395F"/>
    <w:rsid w:val="00E83BAE"/>
    <w:rsid w:val="00E8473F"/>
    <w:rsid w:val="00E850B2"/>
    <w:rsid w:val="00E857EB"/>
    <w:rsid w:val="00E85E41"/>
    <w:rsid w:val="00E85EA1"/>
    <w:rsid w:val="00E8610B"/>
    <w:rsid w:val="00E86C86"/>
    <w:rsid w:val="00E91044"/>
    <w:rsid w:val="00E910D3"/>
    <w:rsid w:val="00E9214B"/>
    <w:rsid w:val="00E923CF"/>
    <w:rsid w:val="00E9335F"/>
    <w:rsid w:val="00E95111"/>
    <w:rsid w:val="00E9783B"/>
    <w:rsid w:val="00EA061E"/>
    <w:rsid w:val="00EA14C8"/>
    <w:rsid w:val="00EA19D3"/>
    <w:rsid w:val="00EA2358"/>
    <w:rsid w:val="00EA2C8B"/>
    <w:rsid w:val="00EA3582"/>
    <w:rsid w:val="00EA6649"/>
    <w:rsid w:val="00EB05D0"/>
    <w:rsid w:val="00EB07C5"/>
    <w:rsid w:val="00EB107E"/>
    <w:rsid w:val="00EB11D8"/>
    <w:rsid w:val="00EB1D49"/>
    <w:rsid w:val="00EB42DD"/>
    <w:rsid w:val="00EB559F"/>
    <w:rsid w:val="00EB5F3D"/>
    <w:rsid w:val="00EB6EC2"/>
    <w:rsid w:val="00EC0090"/>
    <w:rsid w:val="00EC1CEB"/>
    <w:rsid w:val="00EC268C"/>
    <w:rsid w:val="00EC3602"/>
    <w:rsid w:val="00EC3753"/>
    <w:rsid w:val="00EC3CB8"/>
    <w:rsid w:val="00EC3D46"/>
    <w:rsid w:val="00EC4E71"/>
    <w:rsid w:val="00EC569A"/>
    <w:rsid w:val="00EC6667"/>
    <w:rsid w:val="00EC676D"/>
    <w:rsid w:val="00ED0365"/>
    <w:rsid w:val="00ED0865"/>
    <w:rsid w:val="00ED094F"/>
    <w:rsid w:val="00ED16B6"/>
    <w:rsid w:val="00ED1C60"/>
    <w:rsid w:val="00ED2EB9"/>
    <w:rsid w:val="00ED4469"/>
    <w:rsid w:val="00ED5F23"/>
    <w:rsid w:val="00ED6DC0"/>
    <w:rsid w:val="00ED6EC1"/>
    <w:rsid w:val="00ED79CE"/>
    <w:rsid w:val="00ED7A7A"/>
    <w:rsid w:val="00EE038C"/>
    <w:rsid w:val="00EE040B"/>
    <w:rsid w:val="00EE47C5"/>
    <w:rsid w:val="00EE490C"/>
    <w:rsid w:val="00EE4E02"/>
    <w:rsid w:val="00EE5619"/>
    <w:rsid w:val="00EE613B"/>
    <w:rsid w:val="00EE6911"/>
    <w:rsid w:val="00EE7E17"/>
    <w:rsid w:val="00EF2C8E"/>
    <w:rsid w:val="00EF37E4"/>
    <w:rsid w:val="00EF3A0D"/>
    <w:rsid w:val="00EF3CEB"/>
    <w:rsid w:val="00EF41A8"/>
    <w:rsid w:val="00EF44FB"/>
    <w:rsid w:val="00EF4D3C"/>
    <w:rsid w:val="00EF5554"/>
    <w:rsid w:val="00EF5AD8"/>
    <w:rsid w:val="00EF5D2F"/>
    <w:rsid w:val="00EF63F5"/>
    <w:rsid w:val="00EF6758"/>
    <w:rsid w:val="00EF6B90"/>
    <w:rsid w:val="00EF70AE"/>
    <w:rsid w:val="00EF79F7"/>
    <w:rsid w:val="00F00418"/>
    <w:rsid w:val="00F006C0"/>
    <w:rsid w:val="00F019AA"/>
    <w:rsid w:val="00F02018"/>
    <w:rsid w:val="00F0267E"/>
    <w:rsid w:val="00F02686"/>
    <w:rsid w:val="00F0366B"/>
    <w:rsid w:val="00F0459B"/>
    <w:rsid w:val="00F04E15"/>
    <w:rsid w:val="00F05DF3"/>
    <w:rsid w:val="00F0641B"/>
    <w:rsid w:val="00F069EA"/>
    <w:rsid w:val="00F07B6E"/>
    <w:rsid w:val="00F07DF8"/>
    <w:rsid w:val="00F11461"/>
    <w:rsid w:val="00F11675"/>
    <w:rsid w:val="00F1182D"/>
    <w:rsid w:val="00F12557"/>
    <w:rsid w:val="00F13A8F"/>
    <w:rsid w:val="00F144F8"/>
    <w:rsid w:val="00F14DF8"/>
    <w:rsid w:val="00F164A3"/>
    <w:rsid w:val="00F17281"/>
    <w:rsid w:val="00F17AD9"/>
    <w:rsid w:val="00F17F74"/>
    <w:rsid w:val="00F202C2"/>
    <w:rsid w:val="00F22756"/>
    <w:rsid w:val="00F23890"/>
    <w:rsid w:val="00F2447A"/>
    <w:rsid w:val="00F24638"/>
    <w:rsid w:val="00F2504D"/>
    <w:rsid w:val="00F25FB2"/>
    <w:rsid w:val="00F2637F"/>
    <w:rsid w:val="00F263A8"/>
    <w:rsid w:val="00F268F7"/>
    <w:rsid w:val="00F27280"/>
    <w:rsid w:val="00F3053D"/>
    <w:rsid w:val="00F30BDB"/>
    <w:rsid w:val="00F30CF8"/>
    <w:rsid w:val="00F30EE8"/>
    <w:rsid w:val="00F317E3"/>
    <w:rsid w:val="00F31EDF"/>
    <w:rsid w:val="00F32CDE"/>
    <w:rsid w:val="00F32D4C"/>
    <w:rsid w:val="00F34811"/>
    <w:rsid w:val="00F34B14"/>
    <w:rsid w:val="00F36A6A"/>
    <w:rsid w:val="00F40101"/>
    <w:rsid w:val="00F404F7"/>
    <w:rsid w:val="00F40CCA"/>
    <w:rsid w:val="00F41521"/>
    <w:rsid w:val="00F41975"/>
    <w:rsid w:val="00F41B5A"/>
    <w:rsid w:val="00F41C0E"/>
    <w:rsid w:val="00F42D97"/>
    <w:rsid w:val="00F43F09"/>
    <w:rsid w:val="00F45A72"/>
    <w:rsid w:val="00F46723"/>
    <w:rsid w:val="00F50016"/>
    <w:rsid w:val="00F50647"/>
    <w:rsid w:val="00F5118A"/>
    <w:rsid w:val="00F51A21"/>
    <w:rsid w:val="00F5276E"/>
    <w:rsid w:val="00F529F9"/>
    <w:rsid w:val="00F52E9F"/>
    <w:rsid w:val="00F53304"/>
    <w:rsid w:val="00F53D40"/>
    <w:rsid w:val="00F545ED"/>
    <w:rsid w:val="00F5687F"/>
    <w:rsid w:val="00F575C7"/>
    <w:rsid w:val="00F57B30"/>
    <w:rsid w:val="00F60305"/>
    <w:rsid w:val="00F61B12"/>
    <w:rsid w:val="00F61CC5"/>
    <w:rsid w:val="00F62398"/>
    <w:rsid w:val="00F631E8"/>
    <w:rsid w:val="00F63223"/>
    <w:rsid w:val="00F63264"/>
    <w:rsid w:val="00F6379E"/>
    <w:rsid w:val="00F64142"/>
    <w:rsid w:val="00F657E9"/>
    <w:rsid w:val="00F70799"/>
    <w:rsid w:val="00F70906"/>
    <w:rsid w:val="00F70A8B"/>
    <w:rsid w:val="00F724FB"/>
    <w:rsid w:val="00F72578"/>
    <w:rsid w:val="00F72A26"/>
    <w:rsid w:val="00F733C3"/>
    <w:rsid w:val="00F756DD"/>
    <w:rsid w:val="00F75DB3"/>
    <w:rsid w:val="00F80047"/>
    <w:rsid w:val="00F8104D"/>
    <w:rsid w:val="00F81587"/>
    <w:rsid w:val="00F82571"/>
    <w:rsid w:val="00F83379"/>
    <w:rsid w:val="00F85B72"/>
    <w:rsid w:val="00F86B6D"/>
    <w:rsid w:val="00F8766F"/>
    <w:rsid w:val="00F87A81"/>
    <w:rsid w:val="00F9104C"/>
    <w:rsid w:val="00F91082"/>
    <w:rsid w:val="00F91A9A"/>
    <w:rsid w:val="00F93ABB"/>
    <w:rsid w:val="00F940EF"/>
    <w:rsid w:val="00F94D79"/>
    <w:rsid w:val="00F97E7E"/>
    <w:rsid w:val="00FA118A"/>
    <w:rsid w:val="00FA31C7"/>
    <w:rsid w:val="00FA472D"/>
    <w:rsid w:val="00FA7254"/>
    <w:rsid w:val="00FA7972"/>
    <w:rsid w:val="00FB0214"/>
    <w:rsid w:val="00FB080C"/>
    <w:rsid w:val="00FB0FAF"/>
    <w:rsid w:val="00FB12BC"/>
    <w:rsid w:val="00FB18F6"/>
    <w:rsid w:val="00FB2056"/>
    <w:rsid w:val="00FB2A52"/>
    <w:rsid w:val="00FB2F13"/>
    <w:rsid w:val="00FB31FD"/>
    <w:rsid w:val="00FB6E19"/>
    <w:rsid w:val="00FB71F6"/>
    <w:rsid w:val="00FC1339"/>
    <w:rsid w:val="00FC1483"/>
    <w:rsid w:val="00FC1C47"/>
    <w:rsid w:val="00FC2CED"/>
    <w:rsid w:val="00FC39ED"/>
    <w:rsid w:val="00FC4419"/>
    <w:rsid w:val="00FC47E2"/>
    <w:rsid w:val="00FC4AA5"/>
    <w:rsid w:val="00FC5148"/>
    <w:rsid w:val="00FC5528"/>
    <w:rsid w:val="00FC75AC"/>
    <w:rsid w:val="00FD01BF"/>
    <w:rsid w:val="00FD0525"/>
    <w:rsid w:val="00FD297D"/>
    <w:rsid w:val="00FD298C"/>
    <w:rsid w:val="00FD2D13"/>
    <w:rsid w:val="00FD3D26"/>
    <w:rsid w:val="00FD4789"/>
    <w:rsid w:val="00FD59FE"/>
    <w:rsid w:val="00FD6071"/>
    <w:rsid w:val="00FE0794"/>
    <w:rsid w:val="00FE1041"/>
    <w:rsid w:val="00FE24CB"/>
    <w:rsid w:val="00FE2D46"/>
    <w:rsid w:val="00FE3166"/>
    <w:rsid w:val="00FE3320"/>
    <w:rsid w:val="00FE3473"/>
    <w:rsid w:val="00FE353B"/>
    <w:rsid w:val="00FE3E81"/>
    <w:rsid w:val="00FE4049"/>
    <w:rsid w:val="00FE4794"/>
    <w:rsid w:val="00FE5DF7"/>
    <w:rsid w:val="00FE5F72"/>
    <w:rsid w:val="00FF0231"/>
    <w:rsid w:val="00FF1C9B"/>
    <w:rsid w:val="00FF1D49"/>
    <w:rsid w:val="00FF2562"/>
    <w:rsid w:val="00FF2CE1"/>
    <w:rsid w:val="00FF3A41"/>
    <w:rsid w:val="00FF3E5B"/>
    <w:rsid w:val="00FF544F"/>
    <w:rsid w:val="00FF57E4"/>
    <w:rsid w:val="00FF75D9"/>
    <w:rsid w:val="00FF78E5"/>
    <w:rsid w:val="01FE4B70"/>
    <w:rsid w:val="02511F9D"/>
    <w:rsid w:val="0266371C"/>
    <w:rsid w:val="03056ED3"/>
    <w:rsid w:val="03206A39"/>
    <w:rsid w:val="03A314B8"/>
    <w:rsid w:val="03A907BD"/>
    <w:rsid w:val="03D82B98"/>
    <w:rsid w:val="03F83E8B"/>
    <w:rsid w:val="04F96FF0"/>
    <w:rsid w:val="052D1C23"/>
    <w:rsid w:val="05B74650"/>
    <w:rsid w:val="06B4072D"/>
    <w:rsid w:val="06D84CC3"/>
    <w:rsid w:val="06DB44C7"/>
    <w:rsid w:val="073250B2"/>
    <w:rsid w:val="07A70F85"/>
    <w:rsid w:val="07B72767"/>
    <w:rsid w:val="08077E72"/>
    <w:rsid w:val="08AB4A0D"/>
    <w:rsid w:val="08AF6849"/>
    <w:rsid w:val="08E729B2"/>
    <w:rsid w:val="09053F2C"/>
    <w:rsid w:val="09270E73"/>
    <w:rsid w:val="092C43F4"/>
    <w:rsid w:val="09AF221A"/>
    <w:rsid w:val="09CC2AAC"/>
    <w:rsid w:val="09D820EE"/>
    <w:rsid w:val="0A652D3E"/>
    <w:rsid w:val="0AAD7F01"/>
    <w:rsid w:val="0AB063A2"/>
    <w:rsid w:val="0B253A7F"/>
    <w:rsid w:val="0B3A48F0"/>
    <w:rsid w:val="0B4B7C0B"/>
    <w:rsid w:val="0B7A1444"/>
    <w:rsid w:val="0C671F47"/>
    <w:rsid w:val="0C92213C"/>
    <w:rsid w:val="0D0B5B12"/>
    <w:rsid w:val="0D4F221D"/>
    <w:rsid w:val="0D84032B"/>
    <w:rsid w:val="0DD01512"/>
    <w:rsid w:val="0EAB6328"/>
    <w:rsid w:val="0EB83A78"/>
    <w:rsid w:val="0ED317E0"/>
    <w:rsid w:val="0F0A0484"/>
    <w:rsid w:val="0F2C39E7"/>
    <w:rsid w:val="0F3B6457"/>
    <w:rsid w:val="101533CE"/>
    <w:rsid w:val="10702130"/>
    <w:rsid w:val="10910627"/>
    <w:rsid w:val="10953945"/>
    <w:rsid w:val="10A27F31"/>
    <w:rsid w:val="10AC2CA2"/>
    <w:rsid w:val="10CA487C"/>
    <w:rsid w:val="112A4DB2"/>
    <w:rsid w:val="11927058"/>
    <w:rsid w:val="12130FC5"/>
    <w:rsid w:val="126537F7"/>
    <w:rsid w:val="12A14437"/>
    <w:rsid w:val="12FE1C75"/>
    <w:rsid w:val="136A6610"/>
    <w:rsid w:val="137F3543"/>
    <w:rsid w:val="13AF4F03"/>
    <w:rsid w:val="13DA7A94"/>
    <w:rsid w:val="13FA5909"/>
    <w:rsid w:val="14661880"/>
    <w:rsid w:val="14736E66"/>
    <w:rsid w:val="14832587"/>
    <w:rsid w:val="148A75E9"/>
    <w:rsid w:val="149B6AC2"/>
    <w:rsid w:val="15293653"/>
    <w:rsid w:val="1534169A"/>
    <w:rsid w:val="15C03E03"/>
    <w:rsid w:val="162163A6"/>
    <w:rsid w:val="162A25EB"/>
    <w:rsid w:val="16386AF3"/>
    <w:rsid w:val="16FD2A55"/>
    <w:rsid w:val="17366761"/>
    <w:rsid w:val="177C01F0"/>
    <w:rsid w:val="178057B9"/>
    <w:rsid w:val="178868A6"/>
    <w:rsid w:val="17CE6630"/>
    <w:rsid w:val="17E12B8F"/>
    <w:rsid w:val="18AC1971"/>
    <w:rsid w:val="19167A27"/>
    <w:rsid w:val="191775ED"/>
    <w:rsid w:val="19820BA0"/>
    <w:rsid w:val="19C03CF6"/>
    <w:rsid w:val="19C150EF"/>
    <w:rsid w:val="19F6167D"/>
    <w:rsid w:val="1AD9F6BD"/>
    <w:rsid w:val="1AFA16D5"/>
    <w:rsid w:val="1AFA743B"/>
    <w:rsid w:val="1B4F19F8"/>
    <w:rsid w:val="1B7F0E94"/>
    <w:rsid w:val="1BCD0EF8"/>
    <w:rsid w:val="1BD92184"/>
    <w:rsid w:val="1C406A69"/>
    <w:rsid w:val="1C5170A2"/>
    <w:rsid w:val="1D4061A8"/>
    <w:rsid w:val="1D634A51"/>
    <w:rsid w:val="1D723DB3"/>
    <w:rsid w:val="1DDA616F"/>
    <w:rsid w:val="1E326C77"/>
    <w:rsid w:val="1E8A07BD"/>
    <w:rsid w:val="1E9B4F4B"/>
    <w:rsid w:val="1E9D669E"/>
    <w:rsid w:val="1EB55010"/>
    <w:rsid w:val="1ECE5138"/>
    <w:rsid w:val="1EEA76BF"/>
    <w:rsid w:val="1F063325"/>
    <w:rsid w:val="1F4655C1"/>
    <w:rsid w:val="1F5275D0"/>
    <w:rsid w:val="1FBC5DF5"/>
    <w:rsid w:val="1FC55574"/>
    <w:rsid w:val="2030310A"/>
    <w:rsid w:val="213A2640"/>
    <w:rsid w:val="21735FAB"/>
    <w:rsid w:val="21B83F86"/>
    <w:rsid w:val="21C114E2"/>
    <w:rsid w:val="21C67CEA"/>
    <w:rsid w:val="21E55E66"/>
    <w:rsid w:val="221178A8"/>
    <w:rsid w:val="221213CF"/>
    <w:rsid w:val="22327A92"/>
    <w:rsid w:val="228269AC"/>
    <w:rsid w:val="22965435"/>
    <w:rsid w:val="2297354C"/>
    <w:rsid w:val="22BD6F35"/>
    <w:rsid w:val="231D53A2"/>
    <w:rsid w:val="232D67A5"/>
    <w:rsid w:val="232E65F7"/>
    <w:rsid w:val="23333275"/>
    <w:rsid w:val="236F29AB"/>
    <w:rsid w:val="23B7504C"/>
    <w:rsid w:val="23B75A6A"/>
    <w:rsid w:val="24194213"/>
    <w:rsid w:val="24571307"/>
    <w:rsid w:val="24BA2984"/>
    <w:rsid w:val="24C54C65"/>
    <w:rsid w:val="25093D59"/>
    <w:rsid w:val="25246333"/>
    <w:rsid w:val="2628108B"/>
    <w:rsid w:val="26446DE3"/>
    <w:rsid w:val="264D165B"/>
    <w:rsid w:val="26B30F70"/>
    <w:rsid w:val="26C06B34"/>
    <w:rsid w:val="26D7699F"/>
    <w:rsid w:val="27242B56"/>
    <w:rsid w:val="274A5E17"/>
    <w:rsid w:val="27612030"/>
    <w:rsid w:val="278A04EA"/>
    <w:rsid w:val="27FF051D"/>
    <w:rsid w:val="28223894"/>
    <w:rsid w:val="288451FA"/>
    <w:rsid w:val="288C51AC"/>
    <w:rsid w:val="29C76E0D"/>
    <w:rsid w:val="29F362EF"/>
    <w:rsid w:val="2A433A32"/>
    <w:rsid w:val="2A851825"/>
    <w:rsid w:val="2AE95142"/>
    <w:rsid w:val="2B09065E"/>
    <w:rsid w:val="2B225732"/>
    <w:rsid w:val="2B774624"/>
    <w:rsid w:val="2BC068DD"/>
    <w:rsid w:val="2C7A72BE"/>
    <w:rsid w:val="2D1C0637"/>
    <w:rsid w:val="2DA52307"/>
    <w:rsid w:val="2DAA05D8"/>
    <w:rsid w:val="2DF94920"/>
    <w:rsid w:val="2E2619C5"/>
    <w:rsid w:val="2E6B4F22"/>
    <w:rsid w:val="2E8E15B6"/>
    <w:rsid w:val="2ECD0A22"/>
    <w:rsid w:val="2F401D3C"/>
    <w:rsid w:val="2FA95C88"/>
    <w:rsid w:val="3041370F"/>
    <w:rsid w:val="309A577C"/>
    <w:rsid w:val="30BD6874"/>
    <w:rsid w:val="31083A05"/>
    <w:rsid w:val="31307046"/>
    <w:rsid w:val="315E681B"/>
    <w:rsid w:val="32453A27"/>
    <w:rsid w:val="3263064A"/>
    <w:rsid w:val="32AC0C06"/>
    <w:rsid w:val="32CD2047"/>
    <w:rsid w:val="32D4763D"/>
    <w:rsid w:val="33863895"/>
    <w:rsid w:val="345F4273"/>
    <w:rsid w:val="34AB16EB"/>
    <w:rsid w:val="34E74919"/>
    <w:rsid w:val="35134CB4"/>
    <w:rsid w:val="3537750C"/>
    <w:rsid w:val="3537798C"/>
    <w:rsid w:val="357F7ED5"/>
    <w:rsid w:val="35C13FC9"/>
    <w:rsid w:val="35ED7BFB"/>
    <w:rsid w:val="362E6D87"/>
    <w:rsid w:val="364257B6"/>
    <w:rsid w:val="366F50BD"/>
    <w:rsid w:val="36A918A9"/>
    <w:rsid w:val="36D45041"/>
    <w:rsid w:val="36DB32EF"/>
    <w:rsid w:val="36E96615"/>
    <w:rsid w:val="36F834D1"/>
    <w:rsid w:val="371F5B92"/>
    <w:rsid w:val="374264D3"/>
    <w:rsid w:val="376E40E2"/>
    <w:rsid w:val="37AD5029"/>
    <w:rsid w:val="37D746BF"/>
    <w:rsid w:val="37DB7874"/>
    <w:rsid w:val="37EA5922"/>
    <w:rsid w:val="380D1E8F"/>
    <w:rsid w:val="38276B93"/>
    <w:rsid w:val="383E029A"/>
    <w:rsid w:val="38687C86"/>
    <w:rsid w:val="38C23ED4"/>
    <w:rsid w:val="38E05CE7"/>
    <w:rsid w:val="39096AFA"/>
    <w:rsid w:val="39900922"/>
    <w:rsid w:val="3A0B64A7"/>
    <w:rsid w:val="3A107D3F"/>
    <w:rsid w:val="3A1A29A4"/>
    <w:rsid w:val="3AE24DAE"/>
    <w:rsid w:val="3AF74C02"/>
    <w:rsid w:val="3B2E729B"/>
    <w:rsid w:val="3BB5271A"/>
    <w:rsid w:val="3BBC14A9"/>
    <w:rsid w:val="3BF17FE4"/>
    <w:rsid w:val="3C004876"/>
    <w:rsid w:val="3C0059A5"/>
    <w:rsid w:val="3C134E78"/>
    <w:rsid w:val="3C460065"/>
    <w:rsid w:val="3CE7667B"/>
    <w:rsid w:val="3DD521AA"/>
    <w:rsid w:val="3DF6345D"/>
    <w:rsid w:val="3EB048FD"/>
    <w:rsid w:val="3EC357A9"/>
    <w:rsid w:val="3EC80E72"/>
    <w:rsid w:val="3EE13701"/>
    <w:rsid w:val="3F1A4BB3"/>
    <w:rsid w:val="3FFA671B"/>
    <w:rsid w:val="40192BA6"/>
    <w:rsid w:val="40695D14"/>
    <w:rsid w:val="41354782"/>
    <w:rsid w:val="42003213"/>
    <w:rsid w:val="42290BC1"/>
    <w:rsid w:val="42550A18"/>
    <w:rsid w:val="42CF7BF2"/>
    <w:rsid w:val="42F473A1"/>
    <w:rsid w:val="43B315F1"/>
    <w:rsid w:val="43BD4B90"/>
    <w:rsid w:val="43E066A9"/>
    <w:rsid w:val="43F6248D"/>
    <w:rsid w:val="441E62C0"/>
    <w:rsid w:val="44274ACD"/>
    <w:rsid w:val="44455A14"/>
    <w:rsid w:val="44B21FC2"/>
    <w:rsid w:val="4547018E"/>
    <w:rsid w:val="455E1F7C"/>
    <w:rsid w:val="45811C7C"/>
    <w:rsid w:val="45857C70"/>
    <w:rsid w:val="45BF6C73"/>
    <w:rsid w:val="46053138"/>
    <w:rsid w:val="46745B6C"/>
    <w:rsid w:val="468B3EFB"/>
    <w:rsid w:val="470A6193"/>
    <w:rsid w:val="47135B09"/>
    <w:rsid w:val="477C1E20"/>
    <w:rsid w:val="47AE1782"/>
    <w:rsid w:val="47DC4F5C"/>
    <w:rsid w:val="48B40671"/>
    <w:rsid w:val="493523C3"/>
    <w:rsid w:val="493F3E17"/>
    <w:rsid w:val="49717773"/>
    <w:rsid w:val="49892943"/>
    <w:rsid w:val="499B5738"/>
    <w:rsid w:val="499F244D"/>
    <w:rsid w:val="49F032CD"/>
    <w:rsid w:val="4A1922FA"/>
    <w:rsid w:val="4A8F58C2"/>
    <w:rsid w:val="4AEC627C"/>
    <w:rsid w:val="4AF96BC7"/>
    <w:rsid w:val="4AFD2237"/>
    <w:rsid w:val="4B513A02"/>
    <w:rsid w:val="4B9A1D7B"/>
    <w:rsid w:val="4BFB4050"/>
    <w:rsid w:val="4C530B9C"/>
    <w:rsid w:val="4C9E7102"/>
    <w:rsid w:val="4CED76B0"/>
    <w:rsid w:val="4CEF36E2"/>
    <w:rsid w:val="4D0B1DBF"/>
    <w:rsid w:val="4D3B1120"/>
    <w:rsid w:val="4D7B235A"/>
    <w:rsid w:val="4E2875CB"/>
    <w:rsid w:val="4E736E68"/>
    <w:rsid w:val="4EA12ED9"/>
    <w:rsid w:val="4EC6759F"/>
    <w:rsid w:val="4EEC05F8"/>
    <w:rsid w:val="4EFD2515"/>
    <w:rsid w:val="4EFF70DC"/>
    <w:rsid w:val="4F372FFB"/>
    <w:rsid w:val="4FA76FA4"/>
    <w:rsid w:val="4FC4552E"/>
    <w:rsid w:val="4FD47893"/>
    <w:rsid w:val="513F391C"/>
    <w:rsid w:val="51564E44"/>
    <w:rsid w:val="518427E0"/>
    <w:rsid w:val="51843A53"/>
    <w:rsid w:val="51F36455"/>
    <w:rsid w:val="52500E9E"/>
    <w:rsid w:val="529A4CBF"/>
    <w:rsid w:val="52C10D75"/>
    <w:rsid w:val="52C911A4"/>
    <w:rsid w:val="53186A49"/>
    <w:rsid w:val="53635735"/>
    <w:rsid w:val="5385101B"/>
    <w:rsid w:val="53894668"/>
    <w:rsid w:val="53CF12BA"/>
    <w:rsid w:val="541859EC"/>
    <w:rsid w:val="54721D56"/>
    <w:rsid w:val="54E25955"/>
    <w:rsid w:val="550C4BD7"/>
    <w:rsid w:val="55572986"/>
    <w:rsid w:val="5583446C"/>
    <w:rsid w:val="558F7F2F"/>
    <w:rsid w:val="55EE1F77"/>
    <w:rsid w:val="56005D19"/>
    <w:rsid w:val="5628215A"/>
    <w:rsid w:val="56386683"/>
    <w:rsid w:val="56537644"/>
    <w:rsid w:val="575612BA"/>
    <w:rsid w:val="5795565B"/>
    <w:rsid w:val="57D91936"/>
    <w:rsid w:val="57F66C4E"/>
    <w:rsid w:val="581513C1"/>
    <w:rsid w:val="58432358"/>
    <w:rsid w:val="5859176C"/>
    <w:rsid w:val="58A10F2E"/>
    <w:rsid w:val="58BE5CBA"/>
    <w:rsid w:val="58FC2A8C"/>
    <w:rsid w:val="590045DF"/>
    <w:rsid w:val="591E5852"/>
    <w:rsid w:val="59837DAB"/>
    <w:rsid w:val="599F06CE"/>
    <w:rsid w:val="59B754D5"/>
    <w:rsid w:val="59DF3174"/>
    <w:rsid w:val="5A11145A"/>
    <w:rsid w:val="5A3A1A12"/>
    <w:rsid w:val="5A957D93"/>
    <w:rsid w:val="5B3760D9"/>
    <w:rsid w:val="5BD87FA2"/>
    <w:rsid w:val="5C1F382B"/>
    <w:rsid w:val="5C312D64"/>
    <w:rsid w:val="5C54025F"/>
    <w:rsid w:val="5D2317D1"/>
    <w:rsid w:val="5E437B09"/>
    <w:rsid w:val="5E632EE2"/>
    <w:rsid w:val="5F801A3E"/>
    <w:rsid w:val="5F80710D"/>
    <w:rsid w:val="5FAE5456"/>
    <w:rsid w:val="5FDB60F0"/>
    <w:rsid w:val="601E522F"/>
    <w:rsid w:val="606007BB"/>
    <w:rsid w:val="609E54CA"/>
    <w:rsid w:val="60AC7F66"/>
    <w:rsid w:val="60EB3EF5"/>
    <w:rsid w:val="610B3705"/>
    <w:rsid w:val="614D7F45"/>
    <w:rsid w:val="616109D2"/>
    <w:rsid w:val="618835DC"/>
    <w:rsid w:val="61BF10D9"/>
    <w:rsid w:val="61DE64C6"/>
    <w:rsid w:val="62491E66"/>
    <w:rsid w:val="62816E52"/>
    <w:rsid w:val="629F7BDB"/>
    <w:rsid w:val="630F25FC"/>
    <w:rsid w:val="63343F7A"/>
    <w:rsid w:val="640C7C21"/>
    <w:rsid w:val="644E0701"/>
    <w:rsid w:val="64956BCA"/>
    <w:rsid w:val="64E45EF7"/>
    <w:rsid w:val="65444892"/>
    <w:rsid w:val="655507E8"/>
    <w:rsid w:val="65680D32"/>
    <w:rsid w:val="662B0176"/>
    <w:rsid w:val="66A57729"/>
    <w:rsid w:val="677368EF"/>
    <w:rsid w:val="677435B2"/>
    <w:rsid w:val="67A57EB3"/>
    <w:rsid w:val="67EF75F1"/>
    <w:rsid w:val="68030C53"/>
    <w:rsid w:val="680C6C71"/>
    <w:rsid w:val="68815E47"/>
    <w:rsid w:val="68983B76"/>
    <w:rsid w:val="68B037C9"/>
    <w:rsid w:val="68BC6E36"/>
    <w:rsid w:val="68DA695F"/>
    <w:rsid w:val="6902517F"/>
    <w:rsid w:val="69124F16"/>
    <w:rsid w:val="69A71894"/>
    <w:rsid w:val="69C64B0E"/>
    <w:rsid w:val="69CD5C14"/>
    <w:rsid w:val="69CF0D33"/>
    <w:rsid w:val="6A240149"/>
    <w:rsid w:val="6A525A4E"/>
    <w:rsid w:val="6A6C2A79"/>
    <w:rsid w:val="6AB24495"/>
    <w:rsid w:val="6B9946B3"/>
    <w:rsid w:val="6BDE1D62"/>
    <w:rsid w:val="6BE20961"/>
    <w:rsid w:val="6C132738"/>
    <w:rsid w:val="6D1837C6"/>
    <w:rsid w:val="6DE76850"/>
    <w:rsid w:val="6DF777CB"/>
    <w:rsid w:val="6E485BC3"/>
    <w:rsid w:val="6E870EE9"/>
    <w:rsid w:val="6E9A1018"/>
    <w:rsid w:val="6EB365E5"/>
    <w:rsid w:val="6FB20BD4"/>
    <w:rsid w:val="6FBA59BE"/>
    <w:rsid w:val="6FE56C72"/>
    <w:rsid w:val="70296B3E"/>
    <w:rsid w:val="70611204"/>
    <w:rsid w:val="70F804E8"/>
    <w:rsid w:val="710F1CFB"/>
    <w:rsid w:val="7148570A"/>
    <w:rsid w:val="71C121AE"/>
    <w:rsid w:val="7234593E"/>
    <w:rsid w:val="726133FE"/>
    <w:rsid w:val="7282487D"/>
    <w:rsid w:val="72EF4CB6"/>
    <w:rsid w:val="730668BB"/>
    <w:rsid w:val="733E6C54"/>
    <w:rsid w:val="736E5255"/>
    <w:rsid w:val="73E86D31"/>
    <w:rsid w:val="73FB69F1"/>
    <w:rsid w:val="74490570"/>
    <w:rsid w:val="74FA2C30"/>
    <w:rsid w:val="750006C1"/>
    <w:rsid w:val="7530273D"/>
    <w:rsid w:val="76026CDD"/>
    <w:rsid w:val="762F6ED4"/>
    <w:rsid w:val="76A17ED6"/>
    <w:rsid w:val="76BC49EB"/>
    <w:rsid w:val="76CA6BC2"/>
    <w:rsid w:val="76E02279"/>
    <w:rsid w:val="77000DA2"/>
    <w:rsid w:val="770B16B4"/>
    <w:rsid w:val="773D0BA8"/>
    <w:rsid w:val="7778536A"/>
    <w:rsid w:val="779A3235"/>
    <w:rsid w:val="77A902F6"/>
    <w:rsid w:val="781E69D1"/>
    <w:rsid w:val="78281DF2"/>
    <w:rsid w:val="78340059"/>
    <w:rsid w:val="78970D25"/>
    <w:rsid w:val="78BE3CEB"/>
    <w:rsid w:val="78EF4FEB"/>
    <w:rsid w:val="793F7A9B"/>
    <w:rsid w:val="796778E1"/>
    <w:rsid w:val="79C00A32"/>
    <w:rsid w:val="79F36E1F"/>
    <w:rsid w:val="7A5D0830"/>
    <w:rsid w:val="7AA939B2"/>
    <w:rsid w:val="7ADD0453"/>
    <w:rsid w:val="7AF46346"/>
    <w:rsid w:val="7B0F5EBF"/>
    <w:rsid w:val="7B130FB9"/>
    <w:rsid w:val="7B7A4261"/>
    <w:rsid w:val="7B875081"/>
    <w:rsid w:val="7BDE0625"/>
    <w:rsid w:val="7BF64EDE"/>
    <w:rsid w:val="7C400C1E"/>
    <w:rsid w:val="7D3A1897"/>
    <w:rsid w:val="7DA168CE"/>
    <w:rsid w:val="7DD11708"/>
    <w:rsid w:val="7E0D4442"/>
    <w:rsid w:val="7E6202F1"/>
    <w:rsid w:val="7E6A3164"/>
    <w:rsid w:val="7EB125FB"/>
    <w:rsid w:val="7EBC46EA"/>
    <w:rsid w:val="7EC167BD"/>
    <w:rsid w:val="7F621E96"/>
    <w:rsid w:val="7F7B071E"/>
    <w:rsid w:val="7FF82C26"/>
    <w:rsid w:val="B7FE75DB"/>
    <w:rsid w:val="BDB71DA2"/>
    <w:rsid w:val="BF7E5054"/>
    <w:rsid w:val="DBBD0684"/>
    <w:rsid w:val="DFBFDA76"/>
    <w:rsid w:val="FDFC3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99"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8"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9"/>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0"/>
    <w:pPr>
      <w:tabs>
        <w:tab w:val="left" w:pos="432"/>
        <w:tab w:val="left" w:pos="3981"/>
      </w:tabs>
      <w:snapToGrid w:val="0"/>
      <w:jc w:val="left"/>
      <w:outlineLvl w:val="2"/>
    </w:pPr>
    <w:rPr>
      <w:rFonts w:ascii="微软雅黑" w:hAnsi="微软雅黑" w:eastAsia="微软雅黑" w:cs="宋体"/>
      <w:b/>
      <w:bCs/>
      <w:sz w:val="24"/>
      <w:szCs w:val="32"/>
    </w:rPr>
  </w:style>
  <w:style w:type="paragraph" w:styleId="6">
    <w:name w:val="heading 4"/>
    <w:basedOn w:val="1"/>
    <w:next w:val="1"/>
    <w:link w:val="70"/>
    <w:semiHidden/>
    <w:unhideWhenUsed/>
    <w:qFormat/>
    <w:uiPriority w:val="9"/>
    <w:pPr>
      <w:keepNext/>
      <w:keepLines/>
      <w:spacing w:before="280" w:after="290" w:line="374" w:lineRule="auto"/>
      <w:outlineLvl w:val="3"/>
    </w:pPr>
    <w:rPr>
      <w:rFonts w:ascii="Arial" w:hAnsi="Arial" w:eastAsia="黑体"/>
      <w:b/>
      <w:bCs/>
      <w:sz w:val="28"/>
      <w:szCs w:val="28"/>
    </w:rPr>
  </w:style>
  <w:style w:type="paragraph" w:styleId="7">
    <w:name w:val="heading 5"/>
    <w:basedOn w:val="1"/>
    <w:next w:val="2"/>
    <w:link w:val="40"/>
    <w:qFormat/>
    <w:uiPriority w:val="9"/>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pPr>
    <w:rPr>
      <w:szCs w:val="20"/>
    </w:rPr>
  </w:style>
  <w:style w:type="paragraph" w:styleId="8">
    <w:name w:val="List Number"/>
    <w:basedOn w:val="1"/>
    <w:qFormat/>
    <w:uiPriority w:val="99"/>
    <w:pPr>
      <w:widowControl/>
      <w:tabs>
        <w:tab w:val="left" w:pos="454"/>
        <w:tab w:val="left" w:pos="720"/>
        <w:tab w:val="left" w:pos="840"/>
      </w:tabs>
      <w:spacing w:afterLines="50"/>
      <w:ind w:left="454" w:hanging="284"/>
      <w:jc w:val="left"/>
    </w:pPr>
    <w:rPr>
      <w:kern w:val="0"/>
      <w:sz w:val="24"/>
      <w:szCs w:val="20"/>
    </w:rPr>
  </w:style>
  <w:style w:type="paragraph" w:styleId="9">
    <w:name w:val="annotation text"/>
    <w:basedOn w:val="1"/>
    <w:link w:val="41"/>
    <w:qFormat/>
    <w:uiPriority w:val="99"/>
    <w:pPr>
      <w:jc w:val="left"/>
    </w:pPr>
  </w:style>
  <w:style w:type="paragraph" w:styleId="10">
    <w:name w:val="Body Text 3"/>
    <w:basedOn w:val="1"/>
    <w:link w:val="42"/>
    <w:unhideWhenUsed/>
    <w:qFormat/>
    <w:uiPriority w:val="99"/>
    <w:pPr>
      <w:spacing w:after="120"/>
    </w:pPr>
    <w:rPr>
      <w:sz w:val="16"/>
      <w:szCs w:val="16"/>
    </w:rPr>
  </w:style>
  <w:style w:type="paragraph" w:styleId="11">
    <w:name w:val="Body Text"/>
    <w:basedOn w:val="1"/>
    <w:next w:val="12"/>
    <w:link w:val="43"/>
    <w:unhideWhenUsed/>
    <w:qFormat/>
    <w:uiPriority w:val="99"/>
    <w:pPr>
      <w:spacing w:after="120"/>
    </w:pPr>
  </w:style>
  <w:style w:type="paragraph" w:styleId="12">
    <w:name w:val="toc 2"/>
    <w:basedOn w:val="1"/>
    <w:next w:val="1"/>
    <w:unhideWhenUsed/>
    <w:qFormat/>
    <w:uiPriority w:val="39"/>
    <w:pPr>
      <w:tabs>
        <w:tab w:val="right" w:leader="dot" w:pos="8296"/>
      </w:tabs>
      <w:ind w:left="420" w:leftChars="200"/>
    </w:pPr>
  </w:style>
  <w:style w:type="paragraph" w:styleId="13">
    <w:name w:val="Body Text Indent"/>
    <w:basedOn w:val="1"/>
    <w:next w:val="14"/>
    <w:link w:val="44"/>
    <w:qFormat/>
    <w:uiPriority w:val="99"/>
    <w:pPr>
      <w:ind w:firstLine="830" w:firstLineChars="352"/>
    </w:pPr>
    <w:rPr>
      <w:rFonts w:ascii="仿宋_GB2312" w:eastAsia="仿宋_GB2312"/>
      <w:kern w:val="0"/>
      <w:sz w:val="32"/>
      <w:szCs w:val="20"/>
    </w:rPr>
  </w:style>
  <w:style w:type="paragraph" w:styleId="14">
    <w:name w:val="envelope return"/>
    <w:basedOn w:val="1"/>
    <w:qFormat/>
    <w:uiPriority w:val="0"/>
    <w:pPr>
      <w:snapToGrid w:val="0"/>
    </w:pPr>
    <w:rPr>
      <w:rFonts w:ascii="Arial" w:hAnsi="Arial" w:cs="Arial"/>
      <w:kern w:val="0"/>
      <w:sz w:val="24"/>
      <w:szCs w:val="20"/>
    </w:rPr>
  </w:style>
  <w:style w:type="paragraph" w:styleId="15">
    <w:name w:val="List 2"/>
    <w:basedOn w:val="1"/>
    <w:unhideWhenUsed/>
    <w:qFormat/>
    <w:uiPriority w:val="99"/>
    <w:pPr>
      <w:ind w:left="100" w:leftChars="200" w:hanging="200" w:hangingChars="200"/>
      <w:contextualSpacing/>
    </w:pPr>
  </w:style>
  <w:style w:type="paragraph" w:styleId="16">
    <w:name w:val="toc 3"/>
    <w:basedOn w:val="1"/>
    <w:next w:val="1"/>
    <w:semiHidden/>
    <w:unhideWhenUsed/>
    <w:qFormat/>
    <w:uiPriority w:val="39"/>
    <w:pPr>
      <w:ind w:left="840" w:leftChars="400"/>
    </w:pPr>
  </w:style>
  <w:style w:type="paragraph" w:styleId="17">
    <w:name w:val="Plain Text"/>
    <w:basedOn w:val="1"/>
    <w:next w:val="6"/>
    <w:link w:val="45"/>
    <w:qFormat/>
    <w:uiPriority w:val="99"/>
    <w:rPr>
      <w:rFonts w:ascii="宋体" w:hAnsi="Courier New"/>
      <w:kern w:val="0"/>
      <w:sz w:val="20"/>
      <w:szCs w:val="21"/>
    </w:rPr>
  </w:style>
  <w:style w:type="paragraph" w:styleId="18">
    <w:name w:val="Date"/>
    <w:basedOn w:val="1"/>
    <w:next w:val="1"/>
    <w:link w:val="46"/>
    <w:unhideWhenUsed/>
    <w:qFormat/>
    <w:uiPriority w:val="99"/>
    <w:pPr>
      <w:ind w:left="100" w:leftChars="2500"/>
    </w:pPr>
  </w:style>
  <w:style w:type="paragraph" w:styleId="19">
    <w:name w:val="Balloon Text"/>
    <w:basedOn w:val="1"/>
    <w:link w:val="71"/>
    <w:semiHidden/>
    <w:qFormat/>
    <w:uiPriority w:val="99"/>
    <w:rPr>
      <w:sz w:val="18"/>
      <w:szCs w:val="18"/>
    </w:rPr>
  </w:style>
  <w:style w:type="paragraph" w:styleId="20">
    <w:name w:val="footer"/>
    <w:basedOn w:val="1"/>
    <w:link w:val="47"/>
    <w:unhideWhenUsed/>
    <w:qFormat/>
    <w:uiPriority w:val="99"/>
    <w:pPr>
      <w:tabs>
        <w:tab w:val="center" w:pos="4153"/>
        <w:tab w:val="right" w:pos="8306"/>
      </w:tabs>
      <w:snapToGrid w:val="0"/>
      <w:jc w:val="left"/>
    </w:pPr>
    <w:rPr>
      <w:kern w:val="0"/>
      <w:sz w:val="18"/>
      <w:szCs w:val="18"/>
    </w:rPr>
  </w:style>
  <w:style w:type="paragraph" w:styleId="21">
    <w:name w:val="header"/>
    <w:basedOn w:val="1"/>
    <w:link w:val="48"/>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style>
  <w:style w:type="paragraph" w:styleId="23">
    <w:name w:val="Body Text 2"/>
    <w:basedOn w:val="1"/>
    <w:unhideWhenUsed/>
    <w:qFormat/>
    <w:uiPriority w:val="8"/>
    <w:pPr>
      <w:jc w:val="center"/>
    </w:pPr>
    <w:rPr>
      <w:sz w:val="18"/>
    </w:rPr>
  </w:style>
  <w:style w:type="paragraph" w:styleId="24">
    <w:name w:val="Normal (Web)"/>
    <w:basedOn w:val="1"/>
    <w:unhideWhenUsed/>
    <w:qFormat/>
    <w:uiPriority w:val="99"/>
    <w:rPr>
      <w:rFonts w:ascii="Calibri" w:hAnsi="Calibri"/>
      <w:kern w:val="0"/>
      <w:sz w:val="24"/>
    </w:rPr>
  </w:style>
  <w:style w:type="paragraph" w:styleId="25">
    <w:name w:val="index 1"/>
    <w:basedOn w:val="1"/>
    <w:next w:val="1"/>
    <w:semiHidden/>
    <w:qFormat/>
    <w:uiPriority w:val="99"/>
    <w:pPr>
      <w:spacing w:line="400" w:lineRule="exact"/>
      <w:ind w:firstLine="420" w:firstLineChars="200"/>
    </w:pPr>
    <w:rPr>
      <w:rFonts w:ascii="宋体" w:hAnsi="Courier New"/>
      <w:b/>
      <w:szCs w:val="20"/>
    </w:rPr>
  </w:style>
  <w:style w:type="paragraph" w:styleId="26">
    <w:name w:val="annotation subject"/>
    <w:basedOn w:val="9"/>
    <w:next w:val="9"/>
    <w:link w:val="49"/>
    <w:qFormat/>
    <w:uiPriority w:val="99"/>
    <w:rPr>
      <w:b/>
      <w:bCs/>
    </w:rPr>
  </w:style>
  <w:style w:type="paragraph" w:styleId="27">
    <w:name w:val="Body Text First Indent"/>
    <w:basedOn w:val="11"/>
    <w:qFormat/>
    <w:uiPriority w:val="0"/>
    <w:pPr>
      <w:ind w:firstLine="420" w:firstLineChars="100"/>
    </w:pPr>
  </w:style>
  <w:style w:type="paragraph" w:styleId="28">
    <w:name w:val="Body Text First Indent 2"/>
    <w:basedOn w:val="13"/>
    <w:next w:val="1"/>
    <w:qFormat/>
    <w:uiPriority w:val="0"/>
    <w:pPr>
      <w:widowControl/>
      <w:spacing w:line="360" w:lineRule="auto"/>
      <w:ind w:left="-358" w:leftChars="-128" w:firstLine="560" w:firstLineChars="200"/>
      <w:jc w:val="left"/>
    </w:pPr>
    <w:rPr>
      <w:rFonts w:ascii="Times New Roman"/>
      <w:sz w:val="28"/>
    </w:r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basedOn w:val="31"/>
    <w:qFormat/>
    <w:uiPriority w:val="22"/>
    <w:rPr>
      <w:b/>
    </w:rPr>
  </w:style>
  <w:style w:type="character" w:styleId="33">
    <w:name w:val="FollowedHyperlink"/>
    <w:basedOn w:val="31"/>
    <w:semiHidden/>
    <w:unhideWhenUsed/>
    <w:qFormat/>
    <w:uiPriority w:val="99"/>
    <w:rPr>
      <w:color w:val="800080" w:themeColor="followedHyperlink"/>
      <w:u w:val="single"/>
      <w14:textFill>
        <w14:solidFill>
          <w14:schemeClr w14:val="folHlink"/>
        </w14:solidFill>
      </w14:textFill>
    </w:rPr>
  </w:style>
  <w:style w:type="character" w:styleId="34">
    <w:name w:val="Emphasis"/>
    <w:basedOn w:val="31"/>
    <w:qFormat/>
    <w:uiPriority w:val="20"/>
    <w:rPr>
      <w:i/>
    </w:rPr>
  </w:style>
  <w:style w:type="character" w:styleId="35">
    <w:name w:val="Hyperlink"/>
    <w:unhideWhenUsed/>
    <w:qFormat/>
    <w:uiPriority w:val="99"/>
    <w:rPr>
      <w:color w:val="0000FF"/>
      <w:u w:val="single"/>
    </w:rPr>
  </w:style>
  <w:style w:type="character" w:styleId="36">
    <w:name w:val="HTML Code"/>
    <w:basedOn w:val="31"/>
    <w:semiHidden/>
    <w:unhideWhenUsed/>
    <w:qFormat/>
    <w:uiPriority w:val="99"/>
    <w:rPr>
      <w:rFonts w:ascii="Courier New" w:hAnsi="Courier New"/>
      <w:sz w:val="20"/>
    </w:rPr>
  </w:style>
  <w:style w:type="character" w:styleId="37">
    <w:name w:val="annotation reference"/>
    <w:qFormat/>
    <w:uiPriority w:val="99"/>
    <w:rPr>
      <w:sz w:val="21"/>
      <w:szCs w:val="21"/>
    </w:rPr>
  </w:style>
  <w:style w:type="character" w:customStyle="1" w:styleId="38">
    <w:name w:val="标题 1 字符1"/>
    <w:link w:val="3"/>
    <w:qFormat/>
    <w:uiPriority w:val="0"/>
    <w:rPr>
      <w:b/>
      <w:bCs/>
      <w:kern w:val="44"/>
      <w:sz w:val="44"/>
      <w:szCs w:val="44"/>
    </w:rPr>
  </w:style>
  <w:style w:type="character" w:customStyle="1" w:styleId="39">
    <w:name w:val="标题 2 字符"/>
    <w:link w:val="4"/>
    <w:qFormat/>
    <w:uiPriority w:val="9"/>
    <w:rPr>
      <w:rFonts w:ascii="Cambria" w:hAnsi="Cambria" w:eastAsia="宋体" w:cs="Times New Roman"/>
      <w:b/>
      <w:bCs/>
      <w:kern w:val="2"/>
      <w:sz w:val="32"/>
      <w:szCs w:val="32"/>
    </w:rPr>
  </w:style>
  <w:style w:type="character" w:customStyle="1" w:styleId="40">
    <w:name w:val="标题 5 字符"/>
    <w:link w:val="7"/>
    <w:semiHidden/>
    <w:qFormat/>
    <w:uiPriority w:val="9"/>
    <w:rPr>
      <w:rFonts w:ascii="Times New Roman" w:hAnsi="Times New Roman"/>
      <w:b/>
      <w:bCs/>
      <w:kern w:val="2"/>
      <w:sz w:val="28"/>
      <w:szCs w:val="28"/>
    </w:rPr>
  </w:style>
  <w:style w:type="character" w:customStyle="1" w:styleId="41">
    <w:name w:val="批注文字 字符"/>
    <w:link w:val="9"/>
    <w:qFormat/>
    <w:uiPriority w:val="99"/>
    <w:rPr>
      <w:rFonts w:ascii="Times New Roman" w:hAnsi="Times New Roman"/>
      <w:kern w:val="2"/>
      <w:sz w:val="21"/>
      <w:szCs w:val="24"/>
    </w:rPr>
  </w:style>
  <w:style w:type="character" w:customStyle="1" w:styleId="42">
    <w:name w:val="正文文本 3 字符"/>
    <w:link w:val="10"/>
    <w:semiHidden/>
    <w:qFormat/>
    <w:uiPriority w:val="99"/>
    <w:rPr>
      <w:rFonts w:ascii="Times New Roman" w:hAnsi="Times New Roman"/>
      <w:kern w:val="2"/>
      <w:sz w:val="16"/>
      <w:szCs w:val="16"/>
    </w:rPr>
  </w:style>
  <w:style w:type="character" w:customStyle="1" w:styleId="43">
    <w:name w:val="正文文本 字符"/>
    <w:link w:val="11"/>
    <w:qFormat/>
    <w:uiPriority w:val="99"/>
    <w:rPr>
      <w:rFonts w:ascii="Times New Roman" w:hAnsi="Times New Roman"/>
      <w:kern w:val="2"/>
      <w:sz w:val="21"/>
      <w:szCs w:val="24"/>
    </w:rPr>
  </w:style>
  <w:style w:type="character" w:customStyle="1" w:styleId="44">
    <w:name w:val="正文文本缩进 字符"/>
    <w:link w:val="13"/>
    <w:qFormat/>
    <w:uiPriority w:val="99"/>
    <w:rPr>
      <w:rFonts w:ascii="仿宋_GB2312" w:hAnsi="Times New Roman" w:eastAsia="仿宋_GB2312" w:cs="Times New Roman"/>
      <w:sz w:val="32"/>
      <w:szCs w:val="20"/>
    </w:rPr>
  </w:style>
  <w:style w:type="character" w:customStyle="1" w:styleId="45">
    <w:name w:val="纯文本 字符"/>
    <w:link w:val="17"/>
    <w:qFormat/>
    <w:uiPriority w:val="99"/>
    <w:rPr>
      <w:rFonts w:ascii="宋体" w:hAnsi="Courier New" w:eastAsia="宋体" w:cs="Courier New"/>
      <w:szCs w:val="21"/>
    </w:rPr>
  </w:style>
  <w:style w:type="character" w:customStyle="1" w:styleId="46">
    <w:name w:val="日期 字符"/>
    <w:link w:val="18"/>
    <w:semiHidden/>
    <w:qFormat/>
    <w:uiPriority w:val="99"/>
    <w:rPr>
      <w:rFonts w:ascii="Times New Roman" w:hAnsi="Times New Roman"/>
      <w:kern w:val="2"/>
      <w:sz w:val="21"/>
      <w:szCs w:val="24"/>
    </w:rPr>
  </w:style>
  <w:style w:type="character" w:customStyle="1" w:styleId="47">
    <w:name w:val="页脚 字符"/>
    <w:link w:val="20"/>
    <w:qFormat/>
    <w:uiPriority w:val="99"/>
    <w:rPr>
      <w:sz w:val="18"/>
      <w:szCs w:val="18"/>
    </w:rPr>
  </w:style>
  <w:style w:type="character" w:customStyle="1" w:styleId="48">
    <w:name w:val="页眉 字符"/>
    <w:link w:val="21"/>
    <w:qFormat/>
    <w:uiPriority w:val="99"/>
    <w:rPr>
      <w:sz w:val="18"/>
      <w:szCs w:val="18"/>
    </w:rPr>
  </w:style>
  <w:style w:type="character" w:customStyle="1" w:styleId="49">
    <w:name w:val="批注主题 字符"/>
    <w:link w:val="26"/>
    <w:qFormat/>
    <w:uiPriority w:val="99"/>
    <w:rPr>
      <w:rFonts w:ascii="Times New Roman" w:hAnsi="Times New Roman"/>
      <w:b/>
      <w:bCs/>
      <w:kern w:val="2"/>
      <w:sz w:val="21"/>
      <w:szCs w:val="24"/>
    </w:rPr>
  </w:style>
  <w:style w:type="character" w:customStyle="1" w:styleId="50">
    <w:name w:val="正文文本缩进 字符1"/>
    <w:qFormat/>
    <w:uiPriority w:val="0"/>
    <w:rPr>
      <w:rFonts w:ascii="仿宋_GB2312" w:hAnsi="Times New Roman" w:eastAsia="仿宋_GB2312" w:cs="Times New Roman"/>
      <w:sz w:val="32"/>
      <w:szCs w:val="20"/>
    </w:rPr>
  </w:style>
  <w:style w:type="character" w:customStyle="1" w:styleId="51">
    <w:name w:val="apple-style-span"/>
    <w:qFormat/>
    <w:uiPriority w:val="0"/>
  </w:style>
  <w:style w:type="character" w:customStyle="1" w:styleId="52">
    <w:name w:val="标题 1 字符"/>
    <w:qFormat/>
    <w:uiPriority w:val="9"/>
    <w:rPr>
      <w:b/>
      <w:bCs/>
      <w:kern w:val="44"/>
      <w:sz w:val="44"/>
      <w:szCs w:val="44"/>
    </w:rPr>
  </w:style>
  <w:style w:type="character" w:customStyle="1" w:styleId="53">
    <w:name w:val="textcontents"/>
    <w:qFormat/>
    <w:uiPriority w:val="0"/>
  </w:style>
  <w:style w:type="character" w:customStyle="1" w:styleId="54">
    <w:name w:val="纯文本 字符1"/>
    <w:qFormat/>
    <w:uiPriority w:val="0"/>
    <w:rPr>
      <w:rFonts w:ascii="宋体" w:hAnsi="Courier New"/>
    </w:rPr>
  </w:style>
  <w:style w:type="character" w:customStyle="1" w:styleId="55">
    <w:name w:val="批注文字 字符1"/>
    <w:qFormat/>
    <w:uiPriority w:val="0"/>
    <w:rPr>
      <w:kern w:val="2"/>
      <w:sz w:val="21"/>
      <w:szCs w:val="24"/>
    </w:rPr>
  </w:style>
  <w:style w:type="character" w:customStyle="1" w:styleId="56">
    <w:name w:val="纯文本 字符2"/>
    <w:qFormat/>
    <w:uiPriority w:val="0"/>
    <w:rPr>
      <w:rFonts w:ascii="宋体" w:hAnsi="Courier New" w:eastAsia="宋体" w:cs="Courier New"/>
      <w:szCs w:val="21"/>
    </w:rPr>
  </w:style>
  <w:style w:type="character" w:customStyle="1" w:styleId="57">
    <w:name w:val="页脚 Char"/>
    <w:qFormat/>
    <w:uiPriority w:val="99"/>
    <w:rPr>
      <w:lang w:eastAsia="zh-CN"/>
    </w:rPr>
  </w:style>
  <w:style w:type="paragraph" w:customStyle="1" w:styleId="58">
    <w:name w:val="默认段落字体 Para Char Char Char Char Char Char Char Char Char1 Char Char Char Char"/>
    <w:basedOn w:val="1"/>
    <w:qFormat/>
    <w:uiPriority w:val="99"/>
    <w:rPr>
      <w:rFonts w:ascii="Tahoma" w:hAnsi="Tahoma"/>
      <w:sz w:val="24"/>
      <w:szCs w:val="20"/>
    </w:rPr>
  </w:style>
  <w:style w:type="paragraph" w:customStyle="1" w:styleId="59">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styleId="60">
    <w:name w:val="List Paragraph"/>
    <w:basedOn w:val="1"/>
    <w:qFormat/>
    <w:uiPriority w:val="34"/>
    <w:pPr>
      <w:ind w:firstLine="420" w:firstLineChars="200"/>
    </w:pPr>
  </w:style>
  <w:style w:type="paragraph" w:customStyle="1" w:styleId="61">
    <w:name w:val="Table Paragraph"/>
    <w:basedOn w:val="1"/>
    <w:qFormat/>
    <w:uiPriority w:val="1"/>
    <w:pPr>
      <w:jc w:val="left"/>
    </w:pPr>
    <w:rPr>
      <w:rFonts w:ascii="Calibri" w:hAnsi="Calibri"/>
      <w:kern w:val="0"/>
      <w:sz w:val="22"/>
      <w:szCs w:val="22"/>
      <w:lang w:eastAsia="en-US"/>
    </w:rPr>
  </w:style>
  <w:style w:type="character" w:customStyle="1" w:styleId="62">
    <w:name w:val="批注文字 Char1"/>
    <w:qFormat/>
    <w:uiPriority w:val="0"/>
    <w:rPr>
      <w:rFonts w:ascii="Times New Roman" w:hAnsi="Times New Roman"/>
      <w:kern w:val="2"/>
      <w:sz w:val="21"/>
      <w:szCs w:val="24"/>
    </w:rPr>
  </w:style>
  <w:style w:type="character" w:customStyle="1" w:styleId="63">
    <w:name w:val="批注文字 字符2"/>
    <w:qFormat/>
    <w:uiPriority w:val="0"/>
    <w:rPr>
      <w:rFonts w:ascii="Times New Roman" w:hAnsi="Times New Roman"/>
      <w:kern w:val="2"/>
      <w:sz w:val="21"/>
      <w:szCs w:val="24"/>
    </w:rPr>
  </w:style>
  <w:style w:type="character" w:customStyle="1" w:styleId="64">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65">
    <w:name w:val="纯文本 Char1"/>
    <w:qFormat/>
    <w:uiPriority w:val="0"/>
    <w:rPr>
      <w:rFonts w:ascii="宋体" w:hAnsi="Courier New" w:eastAsia="宋体" w:cs="Courier New"/>
      <w:szCs w:val="21"/>
    </w:rPr>
  </w:style>
  <w:style w:type="character" w:customStyle="1" w:styleId="66">
    <w:name w:val="批注文字 Char2"/>
    <w:qFormat/>
    <w:uiPriority w:val="0"/>
    <w:rPr>
      <w:rFonts w:ascii="Times New Roman" w:hAnsi="Times New Roman"/>
      <w:kern w:val="2"/>
      <w:sz w:val="21"/>
      <w:szCs w:val="24"/>
    </w:rPr>
  </w:style>
  <w:style w:type="character" w:customStyle="1" w:styleId="67">
    <w:name w:val="正文2 Char Char"/>
    <w:link w:val="68"/>
    <w:qFormat/>
    <w:uiPriority w:val="0"/>
    <w:rPr>
      <w:kern w:val="2"/>
      <w:sz w:val="24"/>
    </w:rPr>
  </w:style>
  <w:style w:type="paragraph" w:customStyle="1" w:styleId="68">
    <w:name w:val="正文2"/>
    <w:basedOn w:val="1"/>
    <w:link w:val="67"/>
    <w:qFormat/>
    <w:uiPriority w:val="0"/>
    <w:pPr>
      <w:adjustRightInd w:val="0"/>
      <w:spacing w:before="156" w:line="360" w:lineRule="auto"/>
      <w:ind w:firstLine="510" w:firstLineChars="200"/>
    </w:pPr>
    <w:rPr>
      <w:sz w:val="24"/>
      <w:szCs w:val="20"/>
    </w:rPr>
  </w:style>
  <w:style w:type="paragraph" w:customStyle="1" w:styleId="69">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70">
    <w:name w:val="标题 4 字符"/>
    <w:basedOn w:val="31"/>
    <w:link w:val="6"/>
    <w:semiHidden/>
    <w:qFormat/>
    <w:uiPriority w:val="9"/>
    <w:rPr>
      <w:rFonts w:ascii="Arial" w:hAnsi="Arial" w:eastAsia="黑体"/>
      <w:b/>
      <w:bCs/>
      <w:kern w:val="2"/>
      <w:sz w:val="28"/>
      <w:szCs w:val="28"/>
    </w:rPr>
  </w:style>
  <w:style w:type="character" w:customStyle="1" w:styleId="71">
    <w:name w:val="批注框文本 字符"/>
    <w:basedOn w:val="31"/>
    <w:link w:val="19"/>
    <w:semiHidden/>
    <w:qFormat/>
    <w:uiPriority w:val="99"/>
    <w:rPr>
      <w:kern w:val="2"/>
      <w:sz w:val="18"/>
      <w:szCs w:val="18"/>
    </w:rPr>
  </w:style>
  <w:style w:type="paragraph" w:styleId="72">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3">
    <w:name w:val="表格文字115"/>
    <w:basedOn w:val="1"/>
    <w:qFormat/>
    <w:uiPriority w:val="99"/>
    <w:pPr>
      <w:spacing w:before="25" w:after="25"/>
      <w:jc w:val="left"/>
    </w:pPr>
    <w:rPr>
      <w:bCs/>
      <w:spacing w:val="10"/>
      <w:kern w:val="0"/>
      <w:sz w:val="24"/>
    </w:rPr>
  </w:style>
  <w:style w:type="paragraph" w:customStyle="1" w:styleId="74">
    <w:name w:val="Body Text Indent1"/>
    <w:basedOn w:val="1"/>
    <w:qFormat/>
    <w:uiPriority w:val="99"/>
    <w:pPr>
      <w:spacing w:after="120"/>
      <w:ind w:left="420" w:leftChars="200"/>
    </w:pPr>
  </w:style>
  <w:style w:type="character" w:customStyle="1" w:styleId="75">
    <w:name w:val="font51"/>
    <w:basedOn w:val="31"/>
    <w:qFormat/>
    <w:uiPriority w:val="0"/>
    <w:rPr>
      <w:rFonts w:hint="eastAsia" w:ascii="宋体" w:hAnsi="宋体" w:eastAsia="宋体" w:cs="宋体"/>
      <w:color w:val="000000"/>
      <w:sz w:val="20"/>
      <w:szCs w:val="20"/>
      <w:u w:val="none"/>
    </w:rPr>
  </w:style>
  <w:style w:type="character" w:customStyle="1" w:styleId="76">
    <w:name w:val="font21"/>
    <w:basedOn w:val="31"/>
    <w:qFormat/>
    <w:uiPriority w:val="0"/>
    <w:rPr>
      <w:rFonts w:hint="eastAsia" w:ascii="宋体" w:hAnsi="宋体" w:eastAsia="宋体" w:cs="宋体"/>
      <w:color w:val="000000"/>
      <w:sz w:val="20"/>
      <w:szCs w:val="20"/>
      <w:u w:val="none"/>
    </w:rPr>
  </w:style>
  <w:style w:type="character" w:customStyle="1" w:styleId="77">
    <w:name w:val="font41"/>
    <w:basedOn w:val="31"/>
    <w:qFormat/>
    <w:uiPriority w:val="0"/>
    <w:rPr>
      <w:rFonts w:hint="default" w:ascii="Arial" w:hAnsi="Arial" w:cs="Arial"/>
      <w:color w:val="000000"/>
      <w:sz w:val="20"/>
      <w:szCs w:val="20"/>
      <w:u w:val="none"/>
    </w:rPr>
  </w:style>
  <w:style w:type="paragraph" w:customStyle="1" w:styleId="78">
    <w:name w:val="正文首行缩进 21"/>
    <w:basedOn w:val="74"/>
    <w:qFormat/>
    <w:uiPriority w:val="99"/>
    <w:pPr>
      <w:ind w:firstLine="420" w:firstLineChars="200"/>
    </w:pPr>
    <w:rPr>
      <w:rFonts w:ascii="Calibri" w:hAnsi="Calibri"/>
      <w:szCs w:val="22"/>
    </w:rPr>
  </w:style>
  <w:style w:type="character" w:customStyle="1" w:styleId="79">
    <w:name w:val="font01"/>
    <w:basedOn w:val="31"/>
    <w:qFormat/>
    <w:uiPriority w:val="0"/>
    <w:rPr>
      <w:rFonts w:hint="eastAsia" w:ascii="宋体" w:hAnsi="宋体" w:eastAsia="宋体" w:cs="宋体"/>
      <w:color w:val="000000"/>
      <w:sz w:val="22"/>
      <w:szCs w:val="22"/>
      <w:u w:val="none"/>
    </w:rPr>
  </w:style>
  <w:style w:type="character" w:customStyle="1" w:styleId="80">
    <w:name w:val="font11"/>
    <w:basedOn w:val="31"/>
    <w:qFormat/>
    <w:uiPriority w:val="0"/>
    <w:rPr>
      <w:rFonts w:hint="eastAsia" w:ascii="宋体" w:hAnsi="宋体" w:eastAsia="宋体" w:cs="宋体"/>
      <w:color w:val="FF0000"/>
      <w:sz w:val="22"/>
      <w:szCs w:val="22"/>
      <w:u w:val="none"/>
    </w:rPr>
  </w:style>
  <w:style w:type="paragraph" w:customStyle="1" w:styleId="81">
    <w:name w:val="Body text|1"/>
    <w:basedOn w:val="1"/>
    <w:qFormat/>
    <w:uiPriority w:val="0"/>
    <w:pPr>
      <w:spacing w:line="360" w:lineRule="auto"/>
      <w:ind w:firstLine="400"/>
    </w:pPr>
    <w:rPr>
      <w:rFonts w:ascii="宋体" w:hAnsi="宋体" w:cs="宋体"/>
      <w:szCs w:val="20"/>
      <w:lang w:val="zh-CN" w:bidi="zh-CN"/>
    </w:rPr>
  </w:style>
  <w:style w:type="paragraph" w:customStyle="1" w:styleId="82">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84">
    <w:name w:val="正文缩进_1"/>
    <w:basedOn w:val="83"/>
    <w:qFormat/>
    <w:uiPriority w:val="99"/>
    <w:pPr>
      <w:adjustRightInd w:val="0"/>
      <w:spacing w:line="360" w:lineRule="atLeast"/>
      <w:ind w:firstLine="482"/>
      <w:textAlignment w:val="baseline"/>
    </w:pPr>
    <w:rPr>
      <w:rFonts w:ascii="Times New Roman" w:hAnsi="Times New Roman"/>
      <w:kern w:val="0"/>
      <w:sz w:val="24"/>
      <w:szCs w:val="20"/>
    </w:rPr>
  </w:style>
  <w:style w:type="paragraph" w:customStyle="1" w:styleId="85">
    <w:name w:val="纯文本_0"/>
    <w:qFormat/>
    <w:uiPriority w:val="0"/>
    <w:pPr>
      <w:widowControl w:val="0"/>
      <w:jc w:val="both"/>
    </w:pPr>
    <w:rPr>
      <w:rFonts w:ascii="宋体" w:hAnsi="Courier New" w:eastAsia="宋体" w:cs="Times New Roman"/>
      <w:kern w:val="2"/>
      <w:sz w:val="21"/>
      <w:szCs w:val="24"/>
      <w:lang w:val="en-US" w:eastAsia="zh-CN" w:bidi="ar-SA"/>
    </w:rPr>
  </w:style>
  <w:style w:type="paragraph" w:customStyle="1" w:styleId="86">
    <w:name w:val="Normal_0"/>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142</Pages>
  <Words>21583</Words>
  <Characters>23037</Characters>
  <Lines>699</Lines>
  <Paragraphs>197</Paragraphs>
  <TotalTime>18</TotalTime>
  <ScaleCrop>false</ScaleCrop>
  <LinksUpToDate>false</LinksUpToDate>
  <CharactersWithSpaces>24203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2023-03-22T23:18:00Z</dcterms:created>
  <dc:creator>周振新</dc:creator>
  <cp:lastModifiedBy>QXL</cp:lastModifiedBy>
  <cp:lastPrinted>2023-06-15T17:05:00Z</cp:lastPrinted>
  <dcterms:modified xsi:type="dcterms:W3CDTF">2025-11-04T10:09:32Z</dcterms:modified>
  <dc:title>竞争性谈判文件规范</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584B6DEB67F94B3E9714D3BCF7DDEE7A_13</vt:lpwstr>
  </property>
  <property fmtid="{D5CDD505-2E9C-101B-9397-08002B2CF9AE}" pid="4" name="KSOTemplateDocerSaveRecord">
    <vt:lpwstr>eyJoZGlkIjoiNTYwZTQxYjgzMDhjODgzM2MxNDAyM2ZlNzI0Y2Y4NDgiLCJ1c2VySWQiOiI5Njg0NDYzNDQifQ==</vt:lpwstr>
  </property>
</Properties>
</file>