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73A4E">
      <w:pPr>
        <w:tabs>
          <w:tab w:val="left" w:pos="7931"/>
        </w:tabs>
        <w:jc w:val="center"/>
        <w:rPr>
          <w:rFonts w:hint="eastAsia" w:ascii="宋体" w:hAnsi="宋体" w:eastAsia="宋体" w:cs="宋体"/>
          <w:color w:val="auto"/>
          <w:spacing w:val="100"/>
          <w:sz w:val="44"/>
          <w:szCs w:val="44"/>
        </w:rPr>
      </w:pPr>
      <w:r>
        <w:rPr>
          <w:rFonts w:hint="eastAsia" w:ascii="宋体" w:hAnsi="宋体" w:eastAsia="宋体" w:cs="宋体"/>
          <w:b/>
          <w:bCs/>
          <w:color w:val="auto"/>
          <w:sz w:val="60"/>
          <w:szCs w:val="60"/>
          <w:u w:val="single"/>
        </w:rPr>
        <w:drawing>
          <wp:anchor distT="0" distB="0" distL="114300" distR="114300" simplePos="0" relativeHeight="251659264" behindDoc="0" locked="0" layoutInCell="1" allowOverlap="1">
            <wp:simplePos x="0" y="0"/>
            <wp:positionH relativeFrom="column">
              <wp:posOffset>-196850</wp:posOffset>
            </wp:positionH>
            <wp:positionV relativeFrom="paragraph">
              <wp:posOffset>63500</wp:posOffset>
            </wp:positionV>
            <wp:extent cx="6437630" cy="9105900"/>
            <wp:effectExtent l="0" t="0" r="8890" b="7620"/>
            <wp:wrapNone/>
            <wp:docPr id="1" name="图片 1" descr="标书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书封面"/>
                    <pic:cNvPicPr>
                      <a:picLocks noChangeAspect="1"/>
                    </pic:cNvPicPr>
                  </pic:nvPicPr>
                  <pic:blipFill>
                    <a:blip r:embed="rId8"/>
                    <a:stretch>
                      <a:fillRect/>
                    </a:stretch>
                  </pic:blipFill>
                  <pic:spPr>
                    <a:xfrm rot="10800000">
                      <a:off x="0" y="0"/>
                      <a:ext cx="6437630" cy="9105900"/>
                    </a:xfrm>
                    <a:prstGeom prst="rect">
                      <a:avLst/>
                    </a:prstGeom>
                  </pic:spPr>
                </pic:pic>
              </a:graphicData>
            </a:graphic>
          </wp:anchor>
        </w:drawing>
      </w:r>
      <w:r>
        <w:rPr>
          <w:rFonts w:hint="eastAsia" w:ascii="宋体" w:hAnsi="宋体" w:eastAsia="宋体" w:cs="宋体"/>
          <w:b/>
          <w:bCs/>
          <w:color w:val="auto"/>
          <w:sz w:val="60"/>
          <w:szCs w:val="60"/>
          <w:u w:val="single"/>
        </w:rPr>
        <w:t>广西汉昌工程咨询有限公司</w:t>
      </w:r>
      <w:r>
        <w:rPr>
          <w:rFonts w:hint="eastAsia" w:ascii="宋体" w:hAnsi="宋体" w:eastAsia="宋体" w:cs="宋体"/>
          <w:color w:val="auto"/>
          <w:sz w:val="52"/>
        </w:rPr>
        <w:cr/>
      </w:r>
    </w:p>
    <w:p w14:paraId="656A17D2">
      <w:pPr>
        <w:tabs>
          <w:tab w:val="left" w:pos="7931"/>
        </w:tabs>
        <w:jc w:val="center"/>
        <w:rPr>
          <w:rFonts w:hint="eastAsia" w:ascii="宋体" w:hAnsi="宋体" w:eastAsia="宋体" w:cs="宋体"/>
          <w:color w:val="auto"/>
          <w:sz w:val="52"/>
        </w:rPr>
      </w:pPr>
    </w:p>
    <w:p w14:paraId="191CF9BA">
      <w:pPr>
        <w:tabs>
          <w:tab w:val="left" w:pos="7931"/>
        </w:tabs>
        <w:rPr>
          <w:rFonts w:hint="eastAsia" w:ascii="宋体" w:hAnsi="宋体" w:eastAsia="宋体" w:cs="宋体"/>
          <w:color w:val="auto"/>
          <w:sz w:val="52"/>
        </w:rPr>
      </w:pPr>
    </w:p>
    <w:p w14:paraId="108B050B">
      <w:pPr>
        <w:jc w:val="center"/>
        <w:rPr>
          <w:rFonts w:hint="eastAsia" w:ascii="宋体" w:hAnsi="宋体" w:eastAsia="宋体" w:cs="宋体"/>
          <w:b/>
          <w:color w:val="auto"/>
          <w:sz w:val="72"/>
        </w:rPr>
      </w:pPr>
      <w:r>
        <w:rPr>
          <w:rFonts w:hint="eastAsia" w:ascii="宋体" w:hAnsi="宋体" w:eastAsia="宋体" w:cs="宋体"/>
          <w:b/>
          <w:color w:val="auto"/>
          <w:sz w:val="72"/>
          <w:lang w:eastAsia="zh-CN"/>
        </w:rPr>
        <w:t>竞争性磋商</w:t>
      </w:r>
      <w:r>
        <w:rPr>
          <w:rFonts w:hint="eastAsia" w:ascii="宋体" w:hAnsi="宋体" w:cs="宋体"/>
          <w:b/>
          <w:color w:val="auto"/>
          <w:sz w:val="72"/>
          <w:lang w:eastAsia="zh-CN"/>
        </w:rPr>
        <w:t>文件</w:t>
      </w:r>
      <w:r>
        <w:rPr>
          <w:rFonts w:hint="eastAsia" w:ascii="宋体" w:hAnsi="宋体" w:eastAsia="宋体" w:cs="宋体"/>
          <w:b/>
          <w:color w:val="auto"/>
          <w:sz w:val="72"/>
        </w:rPr>
        <w:cr/>
      </w:r>
    </w:p>
    <w:p w14:paraId="5B9CB717">
      <w:pPr>
        <w:rPr>
          <w:rFonts w:hint="eastAsia" w:ascii="宋体" w:hAnsi="宋体" w:eastAsia="宋体" w:cs="宋体"/>
          <w:b/>
          <w:color w:val="auto"/>
          <w:szCs w:val="21"/>
        </w:rPr>
      </w:pPr>
    </w:p>
    <w:p w14:paraId="3F33D8AB">
      <w:pPr>
        <w:rPr>
          <w:rFonts w:hint="eastAsia" w:ascii="宋体" w:hAnsi="宋体" w:eastAsia="宋体" w:cs="宋体"/>
          <w:b/>
          <w:color w:val="auto"/>
          <w:szCs w:val="21"/>
        </w:rPr>
      </w:pPr>
    </w:p>
    <w:p w14:paraId="50BB76F9">
      <w:pPr>
        <w:rPr>
          <w:rFonts w:hint="eastAsia" w:ascii="宋体" w:hAnsi="宋体" w:eastAsia="宋体" w:cs="宋体"/>
          <w:b/>
          <w:color w:val="auto"/>
          <w:szCs w:val="21"/>
        </w:rPr>
      </w:pPr>
    </w:p>
    <w:p w14:paraId="70C1DF08">
      <w:pPr>
        <w:rPr>
          <w:rFonts w:hint="eastAsia" w:ascii="宋体" w:hAnsi="宋体" w:eastAsia="宋体" w:cs="宋体"/>
          <w:b/>
          <w:color w:val="auto"/>
          <w:szCs w:val="21"/>
        </w:rPr>
      </w:pPr>
    </w:p>
    <w:p w14:paraId="7FEC9C86">
      <w:pPr>
        <w:widowControl/>
        <w:tabs>
          <w:tab w:val="left" w:pos="455"/>
        </w:tabs>
        <w:spacing w:line="480" w:lineRule="auto"/>
        <w:ind w:left="3771" w:leftChars="800" w:hanging="2091" w:hangingChars="651"/>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项目名称：玉林市科技馆物业管理服务项目（2025年9月至2026年8月）</w:t>
      </w:r>
    </w:p>
    <w:p w14:paraId="3E9E24D9">
      <w:pPr>
        <w:widowControl/>
        <w:tabs>
          <w:tab w:val="left" w:pos="455"/>
        </w:tabs>
        <w:spacing w:line="48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p>
    <w:p w14:paraId="6B974B41">
      <w:pPr>
        <w:widowControl/>
        <w:tabs>
          <w:tab w:val="left" w:pos="455"/>
        </w:tabs>
        <w:spacing w:line="480" w:lineRule="auto"/>
        <w:ind w:left="0" w:leftChars="0" w:firstLine="1687" w:firstLineChars="525"/>
        <w:rPr>
          <w:rFonts w:hint="eastAsia" w:ascii="宋体" w:hAnsi="宋体" w:eastAsia="宋体" w:cs="宋体"/>
          <w:b/>
          <w:color w:val="auto"/>
          <w:sz w:val="32"/>
          <w:szCs w:val="32"/>
        </w:rPr>
      </w:pPr>
      <w:r>
        <w:rPr>
          <w:rFonts w:hint="eastAsia" w:ascii="宋体" w:hAnsi="宋体" w:eastAsia="宋体" w:cs="宋体"/>
          <w:b/>
          <w:color w:val="auto"/>
          <w:sz w:val="32"/>
          <w:szCs w:val="32"/>
        </w:rPr>
        <w:t>项目编号：YLZC2025-C3-990309-HCZX</w:t>
      </w:r>
    </w:p>
    <w:p w14:paraId="285F0EF8">
      <w:pPr>
        <w:widowControl/>
        <w:tabs>
          <w:tab w:val="left" w:pos="455"/>
        </w:tabs>
        <w:spacing w:line="360" w:lineRule="auto"/>
        <w:jc w:val="left"/>
        <w:rPr>
          <w:rFonts w:hint="eastAsia" w:ascii="宋体" w:hAnsi="宋体" w:eastAsia="宋体" w:cs="宋体"/>
          <w:b/>
          <w:color w:val="auto"/>
          <w:sz w:val="32"/>
          <w:szCs w:val="32"/>
          <w:u w:val="single"/>
        </w:rPr>
      </w:pPr>
    </w:p>
    <w:p w14:paraId="0D075BAA">
      <w:pPr>
        <w:widowControl/>
        <w:tabs>
          <w:tab w:val="left" w:pos="455"/>
        </w:tabs>
        <w:spacing w:line="360" w:lineRule="auto"/>
        <w:jc w:val="left"/>
        <w:rPr>
          <w:rFonts w:hint="eastAsia" w:ascii="宋体" w:hAnsi="宋体" w:eastAsia="宋体" w:cs="宋体"/>
          <w:b/>
          <w:color w:val="auto"/>
          <w:sz w:val="32"/>
          <w:szCs w:val="32"/>
          <w:u w:val="single"/>
        </w:rPr>
      </w:pPr>
    </w:p>
    <w:p w14:paraId="19B097B4">
      <w:pPr>
        <w:widowControl/>
        <w:tabs>
          <w:tab w:val="left" w:pos="455"/>
        </w:tabs>
        <w:spacing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p>
    <w:p w14:paraId="690B05CB">
      <w:pPr>
        <w:widowControl/>
        <w:tabs>
          <w:tab w:val="left" w:pos="455"/>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采购</w:t>
      </w:r>
      <w:r>
        <w:rPr>
          <w:rFonts w:hint="eastAsia" w:ascii="宋体" w:hAnsi="宋体" w:eastAsia="宋体" w:cs="宋体"/>
          <w:b/>
          <w:color w:val="auto"/>
          <w:sz w:val="28"/>
          <w:szCs w:val="28"/>
          <w:lang w:eastAsia="zh-CN"/>
        </w:rPr>
        <w:t>人</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玉林市科技馆</w:t>
      </w:r>
    </w:p>
    <w:p w14:paraId="6E12563B">
      <w:pPr>
        <w:widowControl/>
        <w:tabs>
          <w:tab w:val="left" w:pos="455"/>
        </w:tabs>
        <w:ind w:firstLine="736" w:firstLineChars="262"/>
        <w:jc w:val="center"/>
        <w:rPr>
          <w:rFonts w:hint="eastAsia" w:ascii="宋体" w:hAnsi="宋体" w:eastAsia="宋体" w:cs="宋体"/>
          <w:b/>
          <w:color w:val="auto"/>
          <w:sz w:val="28"/>
          <w:szCs w:val="28"/>
        </w:rPr>
      </w:pPr>
    </w:p>
    <w:p w14:paraId="304E7138">
      <w:pPr>
        <w:widowControl/>
        <w:tabs>
          <w:tab w:val="left" w:pos="455"/>
        </w:tabs>
        <w:ind w:firstLine="736" w:firstLineChars="262"/>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采购代理机构：广西汉昌工程咨询有限公司</w:t>
      </w:r>
    </w:p>
    <w:p w14:paraId="02B0BC87">
      <w:pPr>
        <w:jc w:val="center"/>
        <w:rPr>
          <w:rFonts w:hint="eastAsia" w:ascii="宋体" w:hAnsi="宋体" w:cs="宋体"/>
          <w:b/>
          <w:color w:val="auto"/>
          <w:sz w:val="28"/>
          <w:szCs w:val="28"/>
          <w:lang w:val="en-US" w:eastAsia="zh-CN"/>
        </w:rPr>
      </w:pPr>
    </w:p>
    <w:p w14:paraId="42F28ADB">
      <w:pPr>
        <w:jc w:val="center"/>
        <w:rPr>
          <w:rFonts w:hint="eastAsia" w:ascii="宋体" w:hAnsi="宋体" w:eastAsia="宋体" w:cs="宋体"/>
          <w:b/>
          <w:color w:val="auto"/>
          <w:sz w:val="28"/>
          <w:szCs w:val="28"/>
        </w:rPr>
      </w:pPr>
      <w:r>
        <w:rPr>
          <w:rFonts w:hint="eastAsia" w:ascii="宋体" w:hAnsi="宋体" w:cs="宋体"/>
          <w:b/>
          <w:color w:val="auto"/>
          <w:sz w:val="28"/>
          <w:szCs w:val="28"/>
          <w:lang w:val="en-US" w:eastAsia="zh-CN"/>
        </w:rPr>
        <w:t>2025年9月</w:t>
      </w:r>
    </w:p>
    <w:p w14:paraId="397AB18E">
      <w:pPr>
        <w:pStyle w:val="2"/>
        <w:rPr>
          <w:rFonts w:hint="eastAsia" w:ascii="宋体" w:hAnsi="宋体" w:eastAsia="宋体" w:cs="宋体"/>
          <w:color w:val="auto"/>
          <w:highlight w:val="none"/>
        </w:rPr>
      </w:pPr>
    </w:p>
    <w:p w14:paraId="62E87331">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rPr>
        <w:t>目  录</w:t>
      </w:r>
    </w:p>
    <w:p w14:paraId="51C3E754">
      <w:pPr>
        <w:pStyle w:val="24"/>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color w:val="auto"/>
          <w:sz w:val="28"/>
          <w:szCs w:val="28"/>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TOC \o "1-3" \h \z \u</w:instrText>
      </w:r>
      <w:r>
        <w:rPr>
          <w:rFonts w:hint="eastAsia" w:ascii="宋体" w:hAnsi="宋体" w:eastAsia="宋体" w:cs="宋体"/>
          <w:b/>
          <w:color w:val="auto"/>
          <w:sz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_Toc26243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_Toc26243 \h </w:instrText>
      </w:r>
      <w:r>
        <w:rPr>
          <w:color w:val="auto"/>
          <w:sz w:val="28"/>
          <w:szCs w:val="28"/>
        </w:rPr>
        <w:fldChar w:fldCharType="separate"/>
      </w:r>
      <w:r>
        <w:rPr>
          <w:color w:val="auto"/>
          <w:sz w:val="28"/>
          <w:szCs w:val="28"/>
        </w:rPr>
        <w:t>3</w:t>
      </w:r>
      <w:r>
        <w:rPr>
          <w:color w:val="auto"/>
          <w:sz w:val="28"/>
          <w:szCs w:val="28"/>
        </w:rPr>
        <w:fldChar w:fldCharType="end"/>
      </w:r>
      <w:r>
        <w:rPr>
          <w:rFonts w:hint="eastAsia" w:ascii="宋体" w:hAnsi="宋体" w:eastAsia="宋体" w:cs="宋体"/>
          <w:color w:val="auto"/>
          <w:sz w:val="28"/>
          <w:szCs w:val="28"/>
          <w:highlight w:val="none"/>
        </w:rPr>
        <w:fldChar w:fldCharType="end"/>
      </w:r>
    </w:p>
    <w:p w14:paraId="4B2046C7">
      <w:pPr>
        <w:pStyle w:val="24"/>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_Toc8713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color w:val="auto"/>
          <w:sz w:val="28"/>
          <w:szCs w:val="28"/>
        </w:rPr>
        <w:tab/>
      </w:r>
      <w:r>
        <w:rPr>
          <w:color w:val="auto"/>
          <w:sz w:val="28"/>
          <w:szCs w:val="28"/>
        </w:rPr>
        <w:fldChar w:fldCharType="begin"/>
      </w:r>
      <w:r>
        <w:rPr>
          <w:color w:val="auto"/>
          <w:sz w:val="28"/>
          <w:szCs w:val="28"/>
        </w:rPr>
        <w:instrText xml:space="preserve"> PAGEREF _Toc8713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eastAsia="宋体" w:cs="宋体"/>
          <w:color w:val="auto"/>
          <w:sz w:val="28"/>
          <w:szCs w:val="28"/>
          <w:highlight w:val="none"/>
        </w:rPr>
        <w:fldChar w:fldCharType="end"/>
      </w:r>
    </w:p>
    <w:p w14:paraId="39D571CA">
      <w:pPr>
        <w:pStyle w:val="24"/>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_Toc32468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color w:val="auto"/>
          <w:sz w:val="28"/>
          <w:szCs w:val="28"/>
        </w:rPr>
        <w:tab/>
      </w:r>
      <w:r>
        <w:rPr>
          <w:color w:val="auto"/>
          <w:sz w:val="28"/>
          <w:szCs w:val="28"/>
        </w:rPr>
        <w:fldChar w:fldCharType="begin"/>
      </w:r>
      <w:r>
        <w:rPr>
          <w:color w:val="auto"/>
          <w:sz w:val="28"/>
          <w:szCs w:val="28"/>
        </w:rPr>
        <w:instrText xml:space="preserve"> PAGEREF _Toc32468 \h </w:instrText>
      </w:r>
      <w:r>
        <w:rPr>
          <w:color w:val="auto"/>
          <w:sz w:val="28"/>
          <w:szCs w:val="28"/>
        </w:rPr>
        <w:fldChar w:fldCharType="separate"/>
      </w:r>
      <w:r>
        <w:rPr>
          <w:color w:val="auto"/>
          <w:sz w:val="28"/>
          <w:szCs w:val="28"/>
        </w:rPr>
        <w:t>23</w:t>
      </w:r>
      <w:r>
        <w:rPr>
          <w:color w:val="auto"/>
          <w:sz w:val="28"/>
          <w:szCs w:val="28"/>
        </w:rPr>
        <w:fldChar w:fldCharType="end"/>
      </w:r>
      <w:r>
        <w:rPr>
          <w:rFonts w:hint="eastAsia" w:ascii="宋体" w:hAnsi="宋体" w:eastAsia="宋体" w:cs="宋体"/>
          <w:color w:val="auto"/>
          <w:sz w:val="28"/>
          <w:szCs w:val="28"/>
          <w:highlight w:val="none"/>
        </w:rPr>
        <w:fldChar w:fldCharType="end"/>
      </w:r>
    </w:p>
    <w:p w14:paraId="5EFB6F1B">
      <w:pPr>
        <w:pStyle w:val="24"/>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rPr>
        <w:t>第</w:t>
      </w:r>
      <w:r>
        <w:rPr>
          <w:rFonts w:hint="eastAsia" w:ascii="宋体" w:hAnsi="宋体" w:eastAsia="宋体" w:cs="宋体"/>
          <w:color w:val="auto"/>
          <w:sz w:val="28"/>
          <w:szCs w:val="28"/>
          <w:highlight w:val="none"/>
        </w:rPr>
        <w:t>四章  评审程序、评审方法和评审标准</w:t>
      </w:r>
      <w:r>
        <w:rPr>
          <w:color w:val="auto"/>
          <w:sz w:val="28"/>
          <w:szCs w:val="28"/>
        </w:rPr>
        <w:tab/>
      </w:r>
      <w:r>
        <w:rPr>
          <w:color w:val="auto"/>
          <w:sz w:val="28"/>
          <w:szCs w:val="28"/>
        </w:rPr>
        <w:fldChar w:fldCharType="begin"/>
      </w:r>
      <w:r>
        <w:rPr>
          <w:color w:val="auto"/>
          <w:sz w:val="28"/>
          <w:szCs w:val="28"/>
        </w:rPr>
        <w:instrText xml:space="preserve"> PAGEREF _Toc2797 \h </w:instrText>
      </w:r>
      <w:r>
        <w:rPr>
          <w:color w:val="auto"/>
          <w:sz w:val="28"/>
          <w:szCs w:val="28"/>
        </w:rPr>
        <w:fldChar w:fldCharType="separate"/>
      </w:r>
      <w:r>
        <w:rPr>
          <w:color w:val="auto"/>
          <w:sz w:val="28"/>
          <w:szCs w:val="28"/>
        </w:rPr>
        <w:t>36</w:t>
      </w:r>
      <w:r>
        <w:rPr>
          <w:color w:val="auto"/>
          <w:sz w:val="28"/>
          <w:szCs w:val="28"/>
        </w:rPr>
        <w:fldChar w:fldCharType="end"/>
      </w:r>
      <w:r>
        <w:rPr>
          <w:rFonts w:hint="eastAsia" w:ascii="宋体" w:hAnsi="宋体" w:eastAsia="宋体" w:cs="宋体"/>
          <w:color w:val="auto"/>
          <w:sz w:val="28"/>
          <w:szCs w:val="28"/>
          <w:highlight w:val="none"/>
        </w:rPr>
        <w:fldChar w:fldCharType="end"/>
      </w:r>
    </w:p>
    <w:p w14:paraId="29810EBD">
      <w:pPr>
        <w:pStyle w:val="24"/>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color w:val="auto"/>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响应文件格式</w:t>
      </w:r>
      <w:r>
        <w:rPr>
          <w:color w:val="auto"/>
          <w:sz w:val="28"/>
          <w:szCs w:val="28"/>
        </w:rPr>
        <w:tab/>
      </w:r>
      <w:r>
        <w:rPr>
          <w:color w:val="auto"/>
          <w:sz w:val="28"/>
          <w:szCs w:val="28"/>
        </w:rPr>
        <w:fldChar w:fldCharType="begin"/>
      </w:r>
      <w:r>
        <w:rPr>
          <w:color w:val="auto"/>
          <w:sz w:val="28"/>
          <w:szCs w:val="28"/>
        </w:rPr>
        <w:instrText xml:space="preserve"> PAGEREF _Toc22707 \h </w:instrText>
      </w:r>
      <w:r>
        <w:rPr>
          <w:color w:val="auto"/>
          <w:sz w:val="28"/>
          <w:szCs w:val="28"/>
        </w:rPr>
        <w:fldChar w:fldCharType="separate"/>
      </w:r>
      <w:r>
        <w:rPr>
          <w:color w:val="auto"/>
          <w:sz w:val="28"/>
          <w:szCs w:val="28"/>
        </w:rPr>
        <w:t>44</w:t>
      </w:r>
      <w:r>
        <w:rPr>
          <w:color w:val="auto"/>
          <w:sz w:val="28"/>
          <w:szCs w:val="28"/>
        </w:rPr>
        <w:fldChar w:fldCharType="end"/>
      </w:r>
      <w:r>
        <w:rPr>
          <w:rFonts w:hint="eastAsia" w:ascii="宋体" w:hAnsi="宋体" w:eastAsia="宋体" w:cs="宋体"/>
          <w:color w:val="auto"/>
          <w:sz w:val="28"/>
          <w:szCs w:val="28"/>
          <w:highlight w:val="none"/>
        </w:rPr>
        <w:fldChar w:fldCharType="end"/>
      </w:r>
    </w:p>
    <w:p w14:paraId="5E253FD1">
      <w:pPr>
        <w:pStyle w:val="24"/>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color w:val="auto"/>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合同文本</w:t>
      </w:r>
      <w:r>
        <w:rPr>
          <w:color w:val="auto"/>
          <w:sz w:val="28"/>
          <w:szCs w:val="28"/>
        </w:rPr>
        <w:tab/>
      </w:r>
      <w:r>
        <w:rPr>
          <w:color w:val="auto"/>
          <w:sz w:val="28"/>
          <w:szCs w:val="28"/>
        </w:rPr>
        <w:fldChar w:fldCharType="begin"/>
      </w:r>
      <w:r>
        <w:rPr>
          <w:color w:val="auto"/>
          <w:sz w:val="28"/>
          <w:szCs w:val="28"/>
        </w:rPr>
        <w:instrText xml:space="preserve"> PAGEREF _Toc398 \h </w:instrText>
      </w:r>
      <w:r>
        <w:rPr>
          <w:color w:val="auto"/>
          <w:sz w:val="28"/>
          <w:szCs w:val="28"/>
        </w:rPr>
        <w:fldChar w:fldCharType="separate"/>
      </w:r>
      <w:r>
        <w:rPr>
          <w:color w:val="auto"/>
          <w:sz w:val="28"/>
          <w:szCs w:val="28"/>
        </w:rPr>
        <w:t>73</w:t>
      </w:r>
      <w:r>
        <w:rPr>
          <w:color w:val="auto"/>
          <w:sz w:val="28"/>
          <w:szCs w:val="28"/>
        </w:rPr>
        <w:fldChar w:fldCharType="end"/>
      </w:r>
      <w:r>
        <w:rPr>
          <w:rFonts w:hint="eastAsia" w:ascii="宋体" w:hAnsi="宋体" w:eastAsia="宋体" w:cs="宋体"/>
          <w:color w:val="auto"/>
          <w:sz w:val="28"/>
          <w:szCs w:val="28"/>
          <w:highlight w:val="none"/>
        </w:rPr>
        <w:fldChar w:fldCharType="end"/>
      </w:r>
    </w:p>
    <w:p w14:paraId="3641C1E7">
      <w:pPr>
        <w:pStyle w:val="24"/>
        <w:tabs>
          <w:tab w:val="right" w:leader="dot" w:pos="9240"/>
        </w:tabs>
        <w:rPr>
          <w:color w:val="auto"/>
        </w:rPr>
      </w:pPr>
    </w:p>
    <w:p w14:paraId="0DC24664">
      <w:pPr>
        <w:pStyle w:val="27"/>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r>
        <w:rPr>
          <w:rFonts w:hint="eastAsia" w:ascii="宋体" w:hAnsi="宋体" w:eastAsia="宋体" w:cs="宋体"/>
          <w:color w:val="auto"/>
          <w:highlight w:val="none"/>
        </w:rPr>
        <w:fldChar w:fldCharType="end"/>
      </w:r>
    </w:p>
    <w:p w14:paraId="7C261DE2">
      <w:pPr>
        <w:spacing w:line="400" w:lineRule="exact"/>
        <w:jc w:val="left"/>
        <w:rPr>
          <w:rFonts w:hint="eastAsia" w:ascii="宋体" w:hAnsi="宋体" w:eastAsia="宋体" w:cs="宋体"/>
          <w:b/>
          <w:color w:val="auto"/>
          <w:sz w:val="32"/>
          <w:szCs w:val="32"/>
          <w:highlight w:val="none"/>
        </w:rPr>
      </w:pPr>
    </w:p>
    <w:p w14:paraId="51D1EA4D">
      <w:pPr>
        <w:spacing w:line="400" w:lineRule="exact"/>
        <w:jc w:val="center"/>
        <w:rPr>
          <w:rFonts w:hint="eastAsia" w:ascii="宋体" w:hAnsi="宋体" w:eastAsia="宋体" w:cs="宋体"/>
          <w:b/>
          <w:color w:val="auto"/>
          <w:sz w:val="32"/>
          <w:szCs w:val="32"/>
          <w:highlight w:val="none"/>
        </w:rPr>
      </w:pPr>
    </w:p>
    <w:p w14:paraId="26A80E80">
      <w:pPr>
        <w:spacing w:line="400" w:lineRule="exact"/>
        <w:jc w:val="center"/>
        <w:rPr>
          <w:rFonts w:hint="eastAsia" w:ascii="宋体" w:hAnsi="宋体" w:eastAsia="宋体" w:cs="宋体"/>
          <w:b/>
          <w:color w:val="auto"/>
          <w:sz w:val="32"/>
          <w:szCs w:val="32"/>
          <w:highlight w:val="none"/>
        </w:rPr>
      </w:pPr>
    </w:p>
    <w:p w14:paraId="40F5D0D3">
      <w:pPr>
        <w:spacing w:line="400" w:lineRule="exact"/>
        <w:jc w:val="center"/>
        <w:rPr>
          <w:rFonts w:hint="eastAsia" w:ascii="宋体" w:hAnsi="宋体" w:eastAsia="宋体" w:cs="宋体"/>
          <w:b/>
          <w:color w:val="auto"/>
          <w:sz w:val="32"/>
          <w:szCs w:val="32"/>
          <w:highlight w:val="none"/>
        </w:rPr>
      </w:pPr>
    </w:p>
    <w:p w14:paraId="59F23D44">
      <w:pPr>
        <w:spacing w:line="400" w:lineRule="exact"/>
        <w:jc w:val="center"/>
        <w:rPr>
          <w:rFonts w:hint="eastAsia" w:ascii="宋体" w:hAnsi="宋体" w:eastAsia="宋体" w:cs="宋体"/>
          <w:b/>
          <w:color w:val="auto"/>
          <w:sz w:val="32"/>
          <w:szCs w:val="32"/>
          <w:highlight w:val="none"/>
        </w:rPr>
      </w:pPr>
    </w:p>
    <w:p w14:paraId="66C802D2">
      <w:pPr>
        <w:spacing w:line="400" w:lineRule="exact"/>
        <w:rPr>
          <w:rFonts w:hint="eastAsia" w:ascii="宋体" w:hAnsi="宋体" w:eastAsia="宋体" w:cs="宋体"/>
          <w:b/>
          <w:color w:val="auto"/>
          <w:sz w:val="32"/>
          <w:szCs w:val="32"/>
          <w:highlight w:val="none"/>
        </w:rPr>
        <w:sectPr>
          <w:headerReference r:id="rId3" w:type="default"/>
          <w:footerReference r:id="rId4" w:type="default"/>
          <w:pgSz w:w="11906" w:h="16838"/>
          <w:pgMar w:top="1440" w:right="1286" w:bottom="1440" w:left="1380" w:header="851" w:footer="992" w:gutter="0"/>
          <w:pgNumType w:fmt="decimal" w:start="1"/>
          <w:cols w:space="425" w:num="1"/>
          <w:docGrid w:type="lines" w:linePitch="312" w:charSpace="0"/>
        </w:sectPr>
      </w:pPr>
    </w:p>
    <w:p w14:paraId="7AD8CA3C">
      <w:pPr>
        <w:pStyle w:val="3"/>
        <w:jc w:val="center"/>
        <w:rPr>
          <w:rFonts w:hint="eastAsia" w:ascii="宋体" w:hAnsi="宋体" w:eastAsia="宋体" w:cs="宋体"/>
          <w:color w:val="auto"/>
          <w:highlight w:val="none"/>
        </w:rPr>
      </w:pPr>
      <w:bookmarkStart w:id="0" w:name="_Toc26243"/>
      <w:r>
        <w:rPr>
          <w:rFonts w:hint="eastAsia" w:ascii="宋体" w:hAnsi="宋体" w:eastAsia="宋体" w:cs="宋体"/>
          <w:color w:val="auto"/>
          <w:highlight w:val="none"/>
        </w:rPr>
        <w:t>第一章 竞争性磋商公告</w:t>
      </w:r>
      <w:bookmarkEnd w:id="0"/>
    </w:p>
    <w:tbl>
      <w:tblPr>
        <w:tblStyle w:val="33"/>
        <w:tblpPr w:leftFromText="180" w:rightFromText="180" w:vertAnchor="text" w:horzAnchor="page" w:tblpX="1592" w:tblpY="302"/>
        <w:tblOverlap w:val="never"/>
        <w:tblW w:w="89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0"/>
      </w:tblGrid>
      <w:tr w14:paraId="09F60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3" w:hRule="atLeast"/>
        </w:trPr>
        <w:tc>
          <w:tcPr>
            <w:tcW w:w="8950" w:type="dxa"/>
            <w:vAlign w:val="center"/>
          </w:tcPr>
          <w:p w14:paraId="0B2D060D">
            <w:pPr>
              <w:wordWrap w:val="0"/>
              <w:snapToGrid w:val="0"/>
              <w:spacing w:line="360" w:lineRule="auto"/>
              <w:jc w:val="left"/>
              <w:rPr>
                <w:rFonts w:hint="eastAsia" w:ascii="宋体" w:hAnsi="宋体" w:eastAsia="宋体" w:cs="宋体"/>
                <w:color w:val="auto"/>
                <w:szCs w:val="21"/>
                <w:highlight w:val="none"/>
              </w:rPr>
            </w:pPr>
            <w:bookmarkStart w:id="1" w:name="_Toc35393798"/>
            <w:bookmarkStart w:id="2" w:name="_Toc44229878"/>
            <w:bookmarkStart w:id="3" w:name="_Toc71365905"/>
            <w:bookmarkStart w:id="4" w:name="_Toc28359012"/>
            <w:bookmarkStart w:id="5" w:name="_Toc35393629"/>
            <w:bookmarkStart w:id="6" w:name="_Toc28359089"/>
            <w:bookmarkStart w:id="7" w:name="_Hlk37430271"/>
            <w:r>
              <w:rPr>
                <w:rFonts w:hint="eastAsia" w:ascii="宋体" w:hAnsi="宋体" w:eastAsia="宋体" w:cs="宋体"/>
                <w:color w:val="auto"/>
                <w:szCs w:val="21"/>
                <w:highlight w:val="none"/>
              </w:rPr>
              <w:t>项目概况</w:t>
            </w:r>
          </w:p>
          <w:p w14:paraId="5A47B7C3">
            <w:pP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lang w:eastAsia="zh-CN"/>
              </w:rPr>
              <w:t>玉林市科技馆物业管理服务项目（2025年9月至2026年8月）</w:t>
            </w:r>
            <w:r>
              <w:rPr>
                <w:rFonts w:hint="eastAsia" w:ascii="宋体" w:hAnsi="宋体" w:eastAsia="宋体" w:cs="宋体"/>
                <w:bCs/>
                <w:color w:val="auto"/>
                <w:szCs w:val="21"/>
                <w:highlight w:val="none"/>
                <w:u w:val="none"/>
                <w:lang w:eastAsia="zh-CN"/>
              </w:rPr>
              <w:t>采购项目</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文件，并于</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17</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日9</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0</w:t>
            </w:r>
            <w:r>
              <w:rPr>
                <w:rFonts w:hint="eastAsia" w:ascii="宋体" w:hAnsi="宋体" w:eastAsia="宋体" w:cs="宋体"/>
                <w:bCs/>
                <w:color w:val="auto"/>
                <w:szCs w:val="21"/>
                <w:highlight w:val="none"/>
              </w:rPr>
              <w:t>（北京时间）前提交响应文件。</w:t>
            </w:r>
          </w:p>
        </w:tc>
      </w:tr>
    </w:tbl>
    <w:p w14:paraId="7D3F4EAE">
      <w:pP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bookmarkEnd w:id="1"/>
      <w:bookmarkEnd w:id="2"/>
      <w:bookmarkEnd w:id="3"/>
      <w:bookmarkEnd w:id="4"/>
      <w:bookmarkEnd w:id="5"/>
      <w:bookmarkEnd w:id="6"/>
    </w:p>
    <w:p w14:paraId="6F9162F0">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YLZC2025-C3-990309-HCZX</w:t>
      </w:r>
    </w:p>
    <w:p w14:paraId="3A3928CB">
      <w:pPr>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bCs/>
          <w:color w:val="auto"/>
          <w:szCs w:val="21"/>
          <w:highlight w:val="none"/>
          <w:u w:val="none"/>
          <w:lang w:eastAsia="zh-CN"/>
        </w:rPr>
        <w:t>玉林市科技馆物业管理服务项目（2025年9月至2026年8月）</w:t>
      </w:r>
    </w:p>
    <w:p w14:paraId="32CBCA64">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11D54F2E">
      <w:pPr>
        <w:spacing w:line="400" w:lineRule="exact"/>
        <w:ind w:firstLine="420" w:firstLineChars="200"/>
        <w:rPr>
          <w:rFonts w:hint="default" w:ascii="宋体" w:hAnsi="宋体" w:cs="宋体"/>
          <w:color w:val="auto"/>
          <w:highlight w:val="none"/>
          <w:lang w:val="en-US" w:eastAsia="zh-CN"/>
        </w:rPr>
      </w:pPr>
      <w:r>
        <w:rPr>
          <w:rFonts w:hint="eastAsia" w:ascii="宋体" w:hAnsi="宋体" w:eastAsia="宋体" w:cs="宋体"/>
          <w:color w:val="auto"/>
          <w:highlight w:val="none"/>
        </w:rPr>
        <w:t>预算总金额（元）</w:t>
      </w:r>
      <w:r>
        <w:rPr>
          <w:rFonts w:hint="eastAsia" w:ascii="宋体" w:hAnsi="宋体" w:eastAsia="宋体" w:cs="宋体"/>
          <w:color w:val="auto"/>
          <w:highlight w:val="none"/>
          <w:lang w:eastAsia="zh-CN"/>
        </w:rPr>
        <w:t>：1186028</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8</w:t>
      </w:r>
      <w:r>
        <w:rPr>
          <w:rFonts w:hint="eastAsia" w:ascii="宋体" w:hAnsi="宋体" w:cs="宋体"/>
          <w:color w:val="auto"/>
          <w:highlight w:val="none"/>
          <w:lang w:val="en-US" w:eastAsia="zh-CN"/>
        </w:rPr>
        <w:t>8</w:t>
      </w:r>
    </w:p>
    <w:p w14:paraId="21C5771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2D565339">
      <w:pPr>
        <w:spacing w:line="40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highlight w:val="none"/>
        </w:rPr>
        <w:t>标项名称：</w:t>
      </w:r>
      <w:r>
        <w:rPr>
          <w:rFonts w:hint="eastAsia" w:ascii="宋体" w:hAnsi="宋体" w:eastAsia="宋体" w:cs="宋体"/>
          <w:bCs/>
          <w:color w:val="auto"/>
          <w:szCs w:val="21"/>
          <w:highlight w:val="none"/>
          <w:u w:val="none"/>
          <w:lang w:eastAsia="zh-CN"/>
        </w:rPr>
        <w:t>玉林市科技馆物业管理服务项</w:t>
      </w:r>
      <w:r>
        <w:rPr>
          <w:rFonts w:hint="eastAsia" w:ascii="宋体" w:hAnsi="宋体" w:eastAsia="宋体" w:cs="宋体"/>
          <w:bCs/>
          <w:color w:val="auto"/>
          <w:szCs w:val="21"/>
          <w:highlight w:val="none"/>
          <w:u w:val="none"/>
          <w:lang w:val="en-US" w:eastAsia="zh-CN"/>
        </w:rPr>
        <w:t>目（2025年9月至2026年8月）</w:t>
      </w:r>
    </w:p>
    <w:p w14:paraId="24AC328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数量：1</w:t>
      </w:r>
    </w:p>
    <w:p w14:paraId="2E060378">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eastAsia="zh-CN"/>
        </w:rPr>
        <w:t>1186028</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8</w:t>
      </w:r>
      <w:r>
        <w:rPr>
          <w:rFonts w:hint="eastAsia" w:ascii="宋体" w:hAnsi="宋体" w:cs="宋体"/>
          <w:color w:val="auto"/>
          <w:highlight w:val="none"/>
          <w:lang w:val="en-US" w:eastAsia="zh-CN"/>
        </w:rPr>
        <w:t>8</w:t>
      </w:r>
    </w:p>
    <w:p w14:paraId="76AF1B7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设立专门的物业管理机构，配备符合要求的各类人员，制定完整有效的内部管理机制和日常运营服务管理制度等，对场馆各种基础设施设备进行维护，确保房屋建筑的完好和设施设备的正常运行；提供全天候的公共秩序维护服务和安全服务，保证房屋建筑设施、人员和财产的安全；确保房屋建筑环境的整洁、卫生、美观；负责日常工作、咨询、广播、会议会务及场馆各类科学普及、教学培训、学术讨论等活动服务工作；开展人员培训、应急演练，配合业主及时应对和处理自然灾害、事故灾害、公共卫生事件和社会安全事件等突发公共事件；配合业主做好有关单位对卫生、消防、质检等方面的检查等，满足科技馆正常运营要求</w:t>
      </w:r>
      <w:r>
        <w:rPr>
          <w:rFonts w:hint="eastAsia" w:ascii="宋体" w:hAnsi="宋体" w:eastAsia="宋体" w:cs="宋体"/>
          <w:color w:val="auto"/>
          <w:highlight w:val="none"/>
          <w:lang w:val="en-US" w:eastAsia="zh-CN"/>
        </w:rPr>
        <w:t>，</w:t>
      </w:r>
      <w:r>
        <w:rPr>
          <w:rFonts w:hint="eastAsia" w:ascii="宋体" w:hAnsi="宋体" w:eastAsia="宋体" w:cs="宋体"/>
          <w:i w:val="0"/>
          <w:iCs w:val="0"/>
          <w:caps w:val="0"/>
          <w:color w:val="auto"/>
          <w:spacing w:val="0"/>
          <w:sz w:val="21"/>
          <w:szCs w:val="21"/>
          <w:highlight w:val="none"/>
          <w:shd w:val="clear" w:color="auto" w:fill="FFFFFF"/>
          <w:lang w:eastAsia="zh-CN"/>
        </w:rPr>
        <w:t>详细内容见竞争性磋商文件。</w:t>
      </w:r>
    </w:p>
    <w:p w14:paraId="50D5A7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最高限价(如有)：</w:t>
      </w:r>
      <w:r>
        <w:rPr>
          <w:rFonts w:hint="eastAsia" w:ascii="宋体" w:hAnsi="宋体" w:eastAsia="宋体" w:cs="宋体"/>
          <w:color w:val="auto"/>
          <w:highlight w:val="none"/>
          <w:lang w:eastAsia="zh-CN"/>
        </w:rPr>
        <w:t>1186028</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8</w:t>
      </w:r>
      <w:r>
        <w:rPr>
          <w:rFonts w:hint="eastAsia" w:ascii="宋体" w:hAnsi="宋体" w:cs="宋体"/>
          <w:color w:val="auto"/>
          <w:highlight w:val="none"/>
          <w:lang w:val="en-US" w:eastAsia="zh-CN"/>
        </w:rPr>
        <w:t>8元</w:t>
      </w:r>
    </w:p>
    <w:p w14:paraId="7FDC893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合同履行期限：自合同规定提供服务之日起壹年。 </w:t>
      </w:r>
    </w:p>
    <w:p w14:paraId="28AF9ECC">
      <w:pPr>
        <w:wordWrap w:val="0"/>
        <w:spacing w:line="360" w:lineRule="auto"/>
        <w:ind w:firstLine="420" w:firstLineChars="200"/>
        <w:rPr>
          <w:rFonts w:hint="eastAsia" w:ascii="宋体" w:hAnsi="宋体" w:eastAsia="宋体" w:cs="宋体"/>
          <w:color w:val="auto"/>
          <w:szCs w:val="21"/>
          <w:highlight w:val="none"/>
        </w:rPr>
      </w:pPr>
      <w:bookmarkStart w:id="8" w:name="_Toc44229879"/>
      <w:bookmarkStart w:id="9" w:name="_Toc28359013"/>
      <w:bookmarkStart w:id="10" w:name="_Toc35393630"/>
      <w:bookmarkStart w:id="11" w:name="_Toc71365906"/>
      <w:bookmarkStart w:id="12" w:name="_Toc28359090"/>
      <w:bookmarkStart w:id="13" w:name="_Toc35393799"/>
      <w:r>
        <w:rPr>
          <w:rFonts w:hint="eastAsia" w:ascii="宋体" w:hAnsi="宋体" w:eastAsia="宋体" w:cs="宋体"/>
          <w:color w:val="auto"/>
          <w:szCs w:val="21"/>
          <w:highlight w:val="none"/>
        </w:rPr>
        <w:t>本标项（否）接受联合体投标</w:t>
      </w:r>
    </w:p>
    <w:p w14:paraId="29063E79">
      <w:pPr>
        <w:tabs>
          <w:tab w:val="left" w:pos="3478"/>
        </w:tabs>
        <w:wordWrap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二、申请人的资格条件：</w:t>
      </w:r>
      <w:bookmarkEnd w:id="8"/>
      <w:bookmarkEnd w:id="9"/>
      <w:bookmarkEnd w:id="10"/>
      <w:bookmarkEnd w:id="11"/>
      <w:bookmarkEnd w:id="12"/>
      <w:bookmarkEnd w:id="13"/>
      <w:r>
        <w:rPr>
          <w:rFonts w:hint="eastAsia" w:ascii="宋体" w:hAnsi="宋体" w:eastAsia="宋体" w:cs="宋体"/>
          <w:b/>
          <w:color w:val="auto"/>
          <w:szCs w:val="21"/>
          <w:highlight w:val="none"/>
        </w:rPr>
        <w:tab/>
      </w:r>
    </w:p>
    <w:p w14:paraId="549F3A20">
      <w:pPr>
        <w:spacing w:line="380" w:lineRule="exact"/>
        <w:ind w:firstLine="420" w:firstLineChars="200"/>
        <w:rPr>
          <w:rFonts w:hint="eastAsia" w:ascii="宋体" w:hAnsi="宋体" w:eastAsia="宋体" w:cs="宋体"/>
          <w:color w:val="auto"/>
          <w:szCs w:val="21"/>
          <w:highlight w:val="none"/>
        </w:rPr>
      </w:pPr>
      <w:bookmarkStart w:id="14" w:name="_Toc28359014"/>
      <w:bookmarkStart w:id="15" w:name="_Toc44229880"/>
      <w:bookmarkStart w:id="16" w:name="_Toc35393631"/>
      <w:bookmarkStart w:id="17" w:name="_Toc35393800"/>
      <w:bookmarkStart w:id="18" w:name="_Toc71365907"/>
      <w:bookmarkStart w:id="19" w:name="_Toc28359091"/>
      <w:r>
        <w:rPr>
          <w:rFonts w:hint="eastAsia" w:ascii="宋体" w:hAnsi="宋体" w:eastAsia="宋体" w:cs="宋体"/>
          <w:color w:val="auto"/>
          <w:szCs w:val="21"/>
          <w:highlight w:val="none"/>
        </w:rPr>
        <w:t>1.满足《中华人民共和国政府采购法》第二十二条规定；</w:t>
      </w:r>
    </w:p>
    <w:p w14:paraId="427B50C0">
      <w:pPr>
        <w:pStyle w:val="30"/>
        <w:widowControl/>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2.落实政府采购政策需满足的资格要求：专门面向中小企业采购的项目（供应商应为中小微企业、监狱企业、残疾人福利性单位）</w:t>
      </w:r>
    </w:p>
    <w:p w14:paraId="7D89822C">
      <w:pPr>
        <w:wordWrap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三、获取竞争性磋商文件</w:t>
      </w:r>
      <w:bookmarkEnd w:id="14"/>
      <w:bookmarkEnd w:id="15"/>
      <w:bookmarkEnd w:id="16"/>
      <w:bookmarkEnd w:id="17"/>
      <w:bookmarkEnd w:id="18"/>
      <w:bookmarkEnd w:id="19"/>
    </w:p>
    <w:p w14:paraId="0AC1889A">
      <w:pPr>
        <w:wordWrap w:val="0"/>
        <w:spacing w:line="400" w:lineRule="exact"/>
        <w:ind w:firstLine="420" w:firstLineChars="200"/>
        <w:rPr>
          <w:rFonts w:hint="eastAsia" w:ascii="宋体" w:hAnsi="宋体" w:eastAsia="宋体" w:cs="宋体"/>
          <w:bCs/>
          <w:color w:val="auto"/>
          <w:kern w:val="0"/>
          <w:szCs w:val="21"/>
          <w:highlight w:val="none"/>
        </w:rPr>
      </w:pPr>
      <w:bookmarkStart w:id="20" w:name="_Toc44229881"/>
      <w:bookmarkStart w:id="21" w:name="_Toc35393632"/>
      <w:bookmarkStart w:id="22" w:name="_Toc35393801"/>
      <w:bookmarkStart w:id="23" w:name="_Toc28359092"/>
      <w:bookmarkStart w:id="24" w:name="_Toc28359015"/>
      <w:r>
        <w:rPr>
          <w:rFonts w:hint="eastAsia" w:ascii="宋体" w:hAnsi="宋体" w:eastAsia="宋体" w:cs="宋体"/>
          <w:bCs/>
          <w:color w:val="auto"/>
          <w:kern w:val="0"/>
          <w:szCs w:val="21"/>
          <w:highlight w:val="none"/>
        </w:rPr>
        <w:t>时间：</w:t>
      </w:r>
      <w:r>
        <w:rPr>
          <w:rFonts w:hint="eastAsia" w:ascii="宋体" w:hAnsi="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29</w:t>
      </w:r>
      <w:r>
        <w:rPr>
          <w:rFonts w:hint="eastAsia" w:ascii="宋体" w:hAnsi="宋体" w:eastAsia="宋体" w:cs="宋体"/>
          <w:color w:val="auto"/>
          <w:kern w:val="0"/>
          <w:szCs w:val="21"/>
          <w:highlight w:val="none"/>
        </w:rPr>
        <w:t>日至</w:t>
      </w:r>
      <w:r>
        <w:rPr>
          <w:rFonts w:hint="eastAsia" w:ascii="宋体" w:hAnsi="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rPr>
        <w:t>日，</w:t>
      </w:r>
      <w:r>
        <w:rPr>
          <w:rFonts w:hint="eastAsia" w:ascii="宋体" w:hAnsi="宋体" w:eastAsia="宋体" w:cs="宋体"/>
          <w:color w:val="auto"/>
          <w:highlight w:val="none"/>
        </w:rPr>
        <w:t>每天上午</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:00至12:00，下午</w:t>
      </w:r>
      <w:r>
        <w:rPr>
          <w:rFonts w:hint="eastAsia" w:ascii="宋体" w:hAnsi="宋体" w:cs="宋体"/>
          <w:color w:val="auto"/>
          <w:highlight w:val="none"/>
          <w:lang w:val="en-US" w:eastAsia="zh-CN"/>
        </w:rPr>
        <w:t>1</w:t>
      </w:r>
      <w:r>
        <w:rPr>
          <w:rFonts w:hint="eastAsia" w:ascii="宋体" w:hAnsi="宋体" w:eastAsia="宋体" w:cs="宋体"/>
          <w:color w:val="auto"/>
          <w:highlight w:val="none"/>
        </w:rPr>
        <w:t>:00至</w:t>
      </w:r>
      <w:r>
        <w:rPr>
          <w:rFonts w:hint="eastAsia" w:ascii="宋体" w:hAnsi="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（北京时间，法定节假日除外）</w:t>
      </w:r>
    </w:p>
    <w:p w14:paraId="5CEA571D">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地点（网址）：广西政府采购云平台（https://www.gcy.zfcg.gxzf.gov.cn/）</w:t>
      </w:r>
    </w:p>
    <w:p w14:paraId="3908448E">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方式：供应商登录广西政府采购云平台https://www.gcy.zfcg.gxzf.gov.cn/在线申请获取采购文件（进入“项目采购”应用，在获取采购文件菜单中选择项目，申请获取采购文件）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highlight w:val="none"/>
          <w:lang w:eastAsia="zh-CN"/>
        </w:rPr>
        <w:t>。</w:t>
      </w:r>
    </w:p>
    <w:p w14:paraId="7D940C74">
      <w:pPr>
        <w:widowControl/>
        <w:shd w:val="clear" w:color="auto" w:fill="auto"/>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售价：0元。</w:t>
      </w:r>
    </w:p>
    <w:p w14:paraId="6DDB4D92">
      <w:pPr>
        <w:spacing w:line="400" w:lineRule="exact"/>
        <w:ind w:firstLine="422" w:firstLineChars="200"/>
        <w:rPr>
          <w:rFonts w:hint="eastAsia" w:ascii="宋体" w:hAnsi="宋体" w:eastAsia="宋体" w:cs="宋体"/>
          <w:b/>
          <w:color w:val="auto"/>
          <w:szCs w:val="21"/>
          <w:highlight w:val="none"/>
        </w:rPr>
      </w:pPr>
      <w:bookmarkStart w:id="25" w:name="_Toc71365908"/>
      <w:r>
        <w:rPr>
          <w:rFonts w:hint="eastAsia" w:ascii="宋体" w:hAnsi="宋体" w:eastAsia="宋体" w:cs="宋体"/>
          <w:b/>
          <w:color w:val="auto"/>
          <w:szCs w:val="21"/>
          <w:highlight w:val="none"/>
        </w:rPr>
        <w:t>四、响应文件提交</w:t>
      </w:r>
      <w:bookmarkEnd w:id="20"/>
      <w:bookmarkEnd w:id="21"/>
      <w:bookmarkEnd w:id="22"/>
      <w:bookmarkEnd w:id="23"/>
      <w:bookmarkEnd w:id="24"/>
      <w:bookmarkEnd w:id="25"/>
    </w:p>
    <w:p w14:paraId="34A2A5E7">
      <w:pPr>
        <w:widowControl/>
        <w:shd w:val="clear" w:color="auto" w:fill="auto"/>
        <w:spacing w:line="400" w:lineRule="exact"/>
        <w:ind w:firstLine="420"/>
        <w:rPr>
          <w:rFonts w:hint="eastAsia" w:ascii="宋体" w:hAnsi="宋体" w:eastAsia="宋体" w:cs="宋体"/>
          <w:color w:val="auto"/>
          <w:kern w:val="0"/>
          <w:szCs w:val="21"/>
          <w:highlight w:val="none"/>
        </w:rPr>
      </w:pPr>
      <w:bookmarkStart w:id="26" w:name="_Toc35393802"/>
      <w:bookmarkStart w:id="27" w:name="_Toc28359093"/>
      <w:bookmarkStart w:id="28" w:name="_Toc35393633"/>
      <w:bookmarkStart w:id="29" w:name="_Toc28359016"/>
      <w:bookmarkStart w:id="30" w:name="_Toc44229882"/>
      <w:bookmarkStart w:id="31" w:name="_Toc71365909"/>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17</w:t>
      </w:r>
      <w:r>
        <w:rPr>
          <w:rFonts w:hint="eastAsia" w:ascii="宋体" w:hAnsi="宋体" w:eastAsia="宋体" w:cs="宋体"/>
          <w:color w:val="auto"/>
          <w:kern w:val="0"/>
          <w:szCs w:val="21"/>
          <w:highlight w:val="none"/>
        </w:rPr>
        <w:t>日</w:t>
      </w:r>
      <w:r>
        <w:rPr>
          <w:rFonts w:hint="eastAsia" w:ascii="宋体" w:hAnsi="宋体" w:eastAsia="宋体" w:cs="宋体"/>
          <w:color w:val="auto"/>
          <w:szCs w:val="21"/>
          <w:highlight w:val="none"/>
          <w:u w:val="single"/>
        </w:rPr>
        <w:t>9</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kern w:val="0"/>
          <w:szCs w:val="21"/>
          <w:highlight w:val="none"/>
        </w:rPr>
        <w:t>（北京时间）。</w:t>
      </w:r>
    </w:p>
    <w:p w14:paraId="465CD654">
      <w:pPr>
        <w:widowControl/>
        <w:shd w:val="clear" w:color="auto" w:fill="auto"/>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地点</w:t>
      </w:r>
      <w:r>
        <w:rPr>
          <w:rFonts w:hint="eastAsia" w:ascii="宋体" w:hAnsi="宋体" w:eastAsia="宋体" w:cs="宋体"/>
          <w:color w:val="auto"/>
          <w:kern w:val="0"/>
          <w:szCs w:val="21"/>
          <w:highlight w:val="none"/>
          <w:lang w:eastAsia="zh-CN"/>
        </w:rPr>
        <w:t>（网址）</w:t>
      </w:r>
      <w:r>
        <w:rPr>
          <w:rFonts w:hint="eastAsia" w:ascii="宋体" w:hAnsi="宋体" w:eastAsia="宋体" w:cs="宋体"/>
          <w:color w:val="auto"/>
          <w:kern w:val="0"/>
          <w:szCs w:val="21"/>
          <w:highlight w:val="none"/>
        </w:rPr>
        <w:t>：请登录广西政府采购云平台投标客户端投标</w:t>
      </w:r>
    </w:p>
    <w:p w14:paraId="0853C980">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五、开启</w:t>
      </w:r>
      <w:bookmarkEnd w:id="26"/>
      <w:bookmarkEnd w:id="27"/>
      <w:bookmarkEnd w:id="28"/>
      <w:bookmarkEnd w:id="29"/>
      <w:bookmarkEnd w:id="30"/>
      <w:bookmarkEnd w:id="31"/>
    </w:p>
    <w:p w14:paraId="7633931E">
      <w:pPr>
        <w:widowControl/>
        <w:shd w:val="clear" w:color="auto" w:fill="auto"/>
        <w:spacing w:line="400" w:lineRule="exact"/>
        <w:ind w:firstLine="420"/>
        <w:rPr>
          <w:rFonts w:hint="eastAsia" w:ascii="宋体" w:hAnsi="宋体" w:eastAsia="宋体" w:cs="宋体"/>
          <w:color w:val="auto"/>
          <w:kern w:val="0"/>
          <w:szCs w:val="21"/>
          <w:highlight w:val="none"/>
        </w:rPr>
      </w:pPr>
      <w:bookmarkStart w:id="32" w:name="_Toc35393803"/>
      <w:bookmarkStart w:id="33" w:name="_Toc44229883"/>
      <w:bookmarkStart w:id="34" w:name="_Toc28359017"/>
      <w:bookmarkStart w:id="35" w:name="_Toc71365910"/>
      <w:bookmarkStart w:id="36" w:name="_Toc28359094"/>
      <w:bookmarkStart w:id="37" w:name="_Toc35393634"/>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17</w:t>
      </w:r>
      <w:r>
        <w:rPr>
          <w:rFonts w:hint="eastAsia" w:ascii="宋体" w:hAnsi="宋体" w:eastAsia="宋体" w:cs="宋体"/>
          <w:color w:val="auto"/>
          <w:kern w:val="0"/>
          <w:szCs w:val="21"/>
          <w:highlight w:val="none"/>
        </w:rPr>
        <w:t>日</w:t>
      </w:r>
      <w:r>
        <w:rPr>
          <w:rFonts w:hint="eastAsia" w:ascii="宋体" w:hAnsi="宋体" w:eastAsia="宋体" w:cs="宋体"/>
          <w:color w:val="auto"/>
          <w:szCs w:val="21"/>
          <w:highlight w:val="none"/>
          <w:u w:val="single"/>
        </w:rPr>
        <w:t>9</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kern w:val="0"/>
          <w:szCs w:val="21"/>
          <w:highlight w:val="none"/>
        </w:rPr>
        <w:t>（北京时间）。</w:t>
      </w:r>
    </w:p>
    <w:p w14:paraId="355F804D">
      <w:pPr>
        <w:widowControl/>
        <w:shd w:val="clear" w:color="auto" w:fill="auto"/>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地点：</w:t>
      </w:r>
      <w:r>
        <w:rPr>
          <w:rFonts w:hint="eastAsia" w:ascii="宋体" w:hAnsi="宋体" w:eastAsia="宋体" w:cs="宋体"/>
          <w:color w:val="auto"/>
          <w:highlight w:val="none"/>
        </w:rPr>
        <w:t>广西政府采购云平台（https://www.gcy.zfcg.gxzf.gov.cn/）</w:t>
      </w:r>
    </w:p>
    <w:p w14:paraId="7F53D1E1">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六、公告期限</w:t>
      </w:r>
      <w:bookmarkEnd w:id="32"/>
      <w:bookmarkEnd w:id="33"/>
      <w:bookmarkEnd w:id="34"/>
      <w:bookmarkEnd w:id="35"/>
      <w:bookmarkEnd w:id="36"/>
      <w:bookmarkEnd w:id="37"/>
    </w:p>
    <w:p w14:paraId="7AF20D98">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3AC15F63">
      <w:pPr>
        <w:spacing w:line="400" w:lineRule="exact"/>
        <w:ind w:firstLine="422" w:firstLineChars="200"/>
        <w:rPr>
          <w:rFonts w:hint="eastAsia" w:ascii="宋体" w:hAnsi="宋体" w:eastAsia="宋体" w:cs="宋体"/>
          <w:b/>
          <w:color w:val="auto"/>
          <w:szCs w:val="21"/>
          <w:highlight w:val="none"/>
        </w:rPr>
      </w:pPr>
      <w:bookmarkStart w:id="38" w:name="_Toc35393635"/>
      <w:bookmarkStart w:id="39" w:name="_Toc35393804"/>
      <w:bookmarkStart w:id="40" w:name="_Toc71365911"/>
      <w:bookmarkStart w:id="41" w:name="_Toc44229884"/>
      <w:r>
        <w:rPr>
          <w:rFonts w:hint="eastAsia" w:ascii="宋体" w:hAnsi="宋体" w:eastAsia="宋体" w:cs="宋体"/>
          <w:b/>
          <w:color w:val="auto"/>
          <w:szCs w:val="21"/>
          <w:highlight w:val="none"/>
        </w:rPr>
        <w:t>七、其他补充事宜</w:t>
      </w:r>
      <w:bookmarkEnd w:id="38"/>
      <w:bookmarkEnd w:id="39"/>
      <w:bookmarkEnd w:id="40"/>
      <w:bookmarkEnd w:id="41"/>
    </w:p>
    <w:p w14:paraId="483D0D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1.网上查询地址</w:t>
      </w:r>
    </w:p>
    <w:p w14:paraId="5E441B53">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中国政府采购网、广西政府采购网、</w:t>
      </w:r>
      <w:bookmarkStart w:id="42" w:name="_Hlk37429674"/>
      <w:bookmarkStart w:id="43" w:name="_Toc28359095"/>
      <w:bookmarkStart w:id="44" w:name="_Toc44229885"/>
      <w:bookmarkStart w:id="45" w:name="_Toc28359018"/>
      <w:bookmarkStart w:id="46" w:name="_Toc35393805"/>
      <w:bookmarkStart w:id="47" w:name="_Toc35393636"/>
      <w:r>
        <w:rPr>
          <w:rFonts w:hint="eastAsia" w:ascii="宋体" w:hAnsi="宋体" w:cs="宋体"/>
          <w:color w:val="auto"/>
          <w:kern w:val="0"/>
          <w:szCs w:val="21"/>
          <w:highlight w:val="none"/>
          <w:lang w:eastAsia="zh-CN"/>
        </w:rPr>
        <w:t>玉林市</w:t>
      </w:r>
      <w:r>
        <w:rPr>
          <w:rFonts w:hint="eastAsia" w:ascii="宋体" w:hAnsi="宋体" w:eastAsia="宋体" w:cs="宋体"/>
          <w:i w:val="0"/>
          <w:iCs w:val="0"/>
          <w:caps w:val="0"/>
          <w:color w:val="auto"/>
          <w:spacing w:val="0"/>
          <w:sz w:val="20"/>
          <w:szCs w:val="20"/>
          <w:shd w:val="clear" w:color="auto" w:fill="FFFFFF"/>
        </w:rPr>
        <w:t>人民政府门户网、全国公共资源交易平台（广西·</w:t>
      </w:r>
      <w:r>
        <w:rPr>
          <w:rFonts w:hint="eastAsia" w:ascii="宋体" w:hAnsi="宋体" w:cs="宋体"/>
          <w:i w:val="0"/>
          <w:iCs w:val="0"/>
          <w:caps w:val="0"/>
          <w:color w:val="auto"/>
          <w:spacing w:val="0"/>
          <w:sz w:val="20"/>
          <w:szCs w:val="20"/>
          <w:shd w:val="clear" w:color="auto" w:fill="FFFFFF"/>
          <w:lang w:eastAsia="zh-CN"/>
        </w:rPr>
        <w:t>玉林</w:t>
      </w:r>
      <w:r>
        <w:rPr>
          <w:rFonts w:hint="eastAsia" w:ascii="宋体" w:hAnsi="宋体" w:eastAsia="宋体" w:cs="宋体"/>
          <w:i w:val="0"/>
          <w:iCs w:val="0"/>
          <w:caps w:val="0"/>
          <w:color w:val="auto"/>
          <w:spacing w:val="0"/>
          <w:sz w:val="20"/>
          <w:szCs w:val="20"/>
          <w:shd w:val="clear" w:color="auto" w:fill="FFFFFF"/>
          <w:lang w:eastAsia="zh-CN"/>
        </w:rPr>
        <w:t>）</w:t>
      </w:r>
      <w:r>
        <w:rPr>
          <w:rFonts w:hint="eastAsia" w:ascii="宋体" w:hAnsi="宋体" w:eastAsia="宋体" w:cs="宋体"/>
          <w:color w:val="auto"/>
          <w:kern w:val="0"/>
          <w:szCs w:val="21"/>
          <w:highlight w:val="none"/>
          <w:lang w:eastAsia="zh-CN"/>
        </w:rPr>
        <w:t>。</w:t>
      </w:r>
    </w:p>
    <w:p w14:paraId="318BB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本项目需要落实的政府采购政策</w:t>
      </w:r>
    </w:p>
    <w:p w14:paraId="2EE6D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7C2A29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68BB0B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bookmarkEnd w:id="42"/>
    <w:p w14:paraId="5E6875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3.本项目采用远程异地评标方式。主场：玉林市公共资源交易中心，副场：</w:t>
      </w:r>
      <w:r>
        <w:rPr>
          <w:rFonts w:hint="eastAsia" w:ascii="宋体" w:hAnsi="宋体" w:cs="宋体"/>
          <w:color w:val="auto"/>
          <w:kern w:val="0"/>
          <w:sz w:val="21"/>
          <w:szCs w:val="21"/>
          <w:highlight w:val="none"/>
          <w:lang w:val="en-US" w:eastAsia="zh-CN" w:bidi="ar-SA"/>
        </w:rPr>
        <w:t>蒙山县公共资源交易中心</w:t>
      </w:r>
    </w:p>
    <w:p w14:paraId="211DF0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4.监督管理部门：玉林市财政局   联系方式：  0775-2697961</w:t>
      </w:r>
    </w:p>
    <w:p w14:paraId="273D62C2">
      <w:pPr>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八、凡对本次采购提出询问，请按以下方式联系。</w:t>
      </w:r>
      <w:bookmarkEnd w:id="43"/>
      <w:bookmarkEnd w:id="44"/>
      <w:bookmarkEnd w:id="45"/>
      <w:bookmarkEnd w:id="46"/>
      <w:bookmarkEnd w:id="47"/>
    </w:p>
    <w:p w14:paraId="5B5F08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bookmarkStart w:id="48" w:name="_Toc35393637"/>
      <w:bookmarkStart w:id="49" w:name="_Toc28359019"/>
      <w:bookmarkStart w:id="50" w:name="_Toc35393806"/>
      <w:bookmarkStart w:id="51" w:name="_Toc28359096"/>
      <w:r>
        <w:rPr>
          <w:rFonts w:hint="eastAsia" w:ascii="宋体" w:hAnsi="宋体" w:eastAsia="宋体" w:cs="宋体"/>
          <w:color w:val="auto"/>
          <w:kern w:val="0"/>
          <w:szCs w:val="21"/>
          <w:highlight w:val="none"/>
        </w:rPr>
        <w:t>1.采购人信息</w:t>
      </w:r>
      <w:bookmarkEnd w:id="48"/>
      <w:bookmarkEnd w:id="49"/>
      <w:bookmarkEnd w:id="50"/>
      <w:bookmarkEnd w:id="51"/>
    </w:p>
    <w:p w14:paraId="74BD19DF">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szCs w:val="21"/>
          <w:highlight w:val="none"/>
        </w:rPr>
      </w:pPr>
      <w:bookmarkStart w:id="52" w:name="_Toc35393807"/>
      <w:bookmarkStart w:id="53" w:name="_Toc28359097"/>
      <w:bookmarkStart w:id="54" w:name="_Toc35393638"/>
      <w:bookmarkStart w:id="55" w:name="_Toc28359020"/>
      <w:r>
        <w:rPr>
          <w:rFonts w:hint="eastAsia" w:ascii="宋体" w:hAnsi="宋体" w:eastAsia="宋体" w:cs="宋体"/>
          <w:color w:val="auto"/>
          <w:szCs w:val="21"/>
          <w:highlight w:val="none"/>
        </w:rPr>
        <w:t>名 称：</w:t>
      </w:r>
      <w:r>
        <w:rPr>
          <w:rFonts w:hint="eastAsia" w:ascii="宋体" w:hAnsi="宋体" w:eastAsia="宋体" w:cs="宋体"/>
          <w:bCs/>
          <w:color w:val="auto"/>
          <w:szCs w:val="21"/>
          <w:highlight w:val="none"/>
          <w:u w:val="none"/>
          <w:lang w:eastAsia="zh-CN"/>
        </w:rPr>
        <w:t>玉林市科技馆</w:t>
      </w:r>
    </w:p>
    <w:p w14:paraId="5D259AD3">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址：玉林市玉东新区秀水路与文苑路交叉路口北侧</w:t>
      </w:r>
    </w:p>
    <w:p w14:paraId="4CB48DF9">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联系方式：李芯宜·0775-2820878</w:t>
      </w:r>
    </w:p>
    <w:p w14:paraId="4F68CD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bookmarkEnd w:id="52"/>
      <w:bookmarkEnd w:id="53"/>
      <w:bookmarkEnd w:id="54"/>
      <w:bookmarkEnd w:id="55"/>
    </w:p>
    <w:p w14:paraId="0CF4DB8A">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称：广西汉昌工程咨询有限公司</w:t>
      </w:r>
    </w:p>
    <w:p w14:paraId="0211E5BD">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u w:val="none"/>
          <w:lang w:val="en-US" w:eastAsia="zh-CN"/>
        </w:rPr>
        <w:t>广西壮族自治区玉林市玉州区胜利垌（双旺路玉林美东纸业有限公司1-6商铺）</w:t>
      </w:r>
    </w:p>
    <w:p w14:paraId="609450CA">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联系方式：0775-2086868</w:t>
      </w:r>
    </w:p>
    <w:p w14:paraId="2FBD52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bookmarkStart w:id="56" w:name="_Toc35393808"/>
      <w:bookmarkStart w:id="57" w:name="_Toc28359021"/>
      <w:bookmarkStart w:id="58" w:name="_Toc35393639"/>
      <w:bookmarkStart w:id="59" w:name="_Toc28359098"/>
      <w:r>
        <w:rPr>
          <w:rFonts w:hint="eastAsia" w:ascii="宋体" w:hAnsi="宋体" w:eastAsia="宋体" w:cs="宋体"/>
          <w:color w:val="auto"/>
          <w:kern w:val="0"/>
          <w:szCs w:val="21"/>
          <w:highlight w:val="none"/>
        </w:rPr>
        <w:t>3.项目联系方式</w:t>
      </w:r>
      <w:bookmarkEnd w:id="56"/>
      <w:bookmarkEnd w:id="57"/>
      <w:bookmarkEnd w:id="58"/>
      <w:bookmarkEnd w:id="59"/>
    </w:p>
    <w:p w14:paraId="00FFC27A">
      <w:pPr>
        <w:pStyle w:val="20"/>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项目联系人：</w:t>
      </w:r>
      <w:r>
        <w:rPr>
          <w:rFonts w:hint="eastAsia" w:ascii="宋体" w:hAnsi="宋体" w:eastAsia="宋体" w:cs="宋体"/>
          <w:color w:val="auto"/>
          <w:sz w:val="21"/>
          <w:highlight w:val="none"/>
          <w:lang w:eastAsia="zh-CN"/>
        </w:rPr>
        <w:t>杨启副</w:t>
      </w:r>
    </w:p>
    <w:p w14:paraId="5C84D0AD">
      <w:pPr>
        <w:spacing w:line="32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联系方式：0775-2086868</w:t>
      </w:r>
    </w:p>
    <w:bookmarkEnd w:id="7"/>
    <w:p w14:paraId="3605854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43393A">
      <w:pPr>
        <w:pStyle w:val="3"/>
        <w:wordWrap w:val="0"/>
        <w:spacing w:before="0" w:after="0" w:line="360" w:lineRule="auto"/>
        <w:ind w:firstLine="883" w:firstLineChars="200"/>
        <w:jc w:val="center"/>
        <w:rPr>
          <w:rFonts w:hint="eastAsia" w:ascii="宋体" w:hAnsi="宋体" w:eastAsia="宋体" w:cs="宋体"/>
          <w:color w:val="auto"/>
          <w:highlight w:val="none"/>
        </w:rPr>
      </w:pPr>
      <w:bookmarkStart w:id="60" w:name="_Toc8713"/>
      <w:r>
        <w:rPr>
          <w:rFonts w:hint="eastAsia" w:ascii="宋体" w:hAnsi="宋体" w:eastAsia="宋体" w:cs="宋体"/>
          <w:color w:val="auto"/>
          <w:highlight w:val="none"/>
        </w:rPr>
        <w:t>第二章 供应商须知</w:t>
      </w:r>
      <w:bookmarkEnd w:id="60"/>
    </w:p>
    <w:p w14:paraId="028997EA">
      <w:pPr>
        <w:spacing w:line="400" w:lineRule="exact"/>
        <w:jc w:val="center"/>
        <w:outlineLvl w:val="1"/>
        <w:rPr>
          <w:rFonts w:hint="eastAsia" w:ascii="宋体" w:hAnsi="宋体" w:eastAsia="宋体" w:cs="宋体"/>
          <w:b/>
          <w:color w:val="auto"/>
          <w:sz w:val="32"/>
          <w:szCs w:val="32"/>
          <w:highlight w:val="none"/>
        </w:rPr>
      </w:pPr>
      <w:bookmarkStart w:id="61" w:name="_Toc19336"/>
      <w:r>
        <w:rPr>
          <w:rFonts w:hint="eastAsia" w:ascii="宋体" w:hAnsi="宋体" w:eastAsia="宋体" w:cs="宋体"/>
          <w:b/>
          <w:color w:val="auto"/>
          <w:sz w:val="32"/>
          <w:szCs w:val="32"/>
          <w:highlight w:val="none"/>
        </w:rPr>
        <w:t>供应商须知前附表</w:t>
      </w:r>
      <w:bookmarkEnd w:id="61"/>
    </w:p>
    <w:p w14:paraId="4E70A67E">
      <w:pPr>
        <w:spacing w:line="400" w:lineRule="exact"/>
        <w:jc w:val="center"/>
        <w:rPr>
          <w:rFonts w:hint="eastAsia" w:ascii="宋体" w:hAnsi="宋体" w:eastAsia="宋体" w:cs="宋体"/>
          <w:b/>
          <w:color w:val="auto"/>
          <w:sz w:val="32"/>
          <w:szCs w:val="32"/>
          <w:highlight w:val="none"/>
        </w:rPr>
      </w:pP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F68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38DDB6F">
            <w:pPr>
              <w:wordWrap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tcPr>
          <w:p w14:paraId="662D39E0">
            <w:pPr>
              <w:wordWrap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7205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4F42BC">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678E31FD">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p w14:paraId="2084A762">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出现下列情形之一的，不得参加政府采购活动：</w:t>
            </w:r>
          </w:p>
          <w:p w14:paraId="56ACDE6F">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890D0AC">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1BE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1ADDD0">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57316C9B">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是否接受联合体竞标：</w:t>
            </w:r>
            <w:r>
              <w:rPr>
                <w:rFonts w:hint="eastAsia" w:ascii="宋体" w:hAnsi="宋体" w:eastAsia="宋体" w:cs="宋体"/>
                <w:color w:val="auto"/>
                <w:szCs w:val="21"/>
                <w:highlight w:val="none"/>
                <w:lang w:eastAsia="zh-CN"/>
              </w:rPr>
              <w:t>不接受</w:t>
            </w:r>
          </w:p>
        </w:tc>
      </w:tr>
      <w:tr w14:paraId="7BF21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6D7CB6">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057B52EC">
            <w:pPr>
              <w:pStyle w:val="14"/>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不允许分包</w:t>
            </w:r>
          </w:p>
        </w:tc>
      </w:tr>
      <w:tr w14:paraId="3167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5B5D913F">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7912" w:type="dxa"/>
            <w:vAlign w:val="center"/>
          </w:tcPr>
          <w:p w14:paraId="0CF823D8">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磋商前准备：</w:t>
            </w:r>
          </w:p>
          <w:p w14:paraId="46AC120E">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1.本项目实行网上竞标，采用电子响应文件。若供应商参与竞标，自行承担竞标的一切费用。</w:t>
            </w:r>
          </w:p>
          <w:p w14:paraId="4A43809C">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2.各供应商应在响应文件递交截止时间前应确保成为“</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”网站正式注册入库供应商，并完成CA数字证书申领。因未注册入库、未办理CA数字证书等原因造成无法竞标或竞标失败等后果由供应商自行承担。</w:t>
            </w:r>
          </w:p>
          <w:p w14:paraId="5BB8883A">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3.供应商将广西政府采购云平台投标客户端投标下载、安装完成后，可通过账号密码或CA登录客户端进行响应文件制作。</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可以</w:t>
            </w:r>
            <w:r>
              <w:rPr>
                <w:rFonts w:hint="eastAsia" w:ascii="宋体" w:hAnsi="宋体" w:eastAsia="宋体" w:cs="宋体"/>
                <w:color w:val="auto"/>
                <w:highlight w:val="none"/>
              </w:rPr>
              <w:t>登录</w:t>
            </w:r>
            <w:r>
              <w:rPr>
                <w:rFonts w:hint="eastAsia" w:ascii="宋体" w:hAnsi="宋体" w:eastAsia="宋体" w:cs="宋体"/>
                <w:color w:val="auto"/>
                <w:kern w:val="0"/>
                <w:szCs w:val="21"/>
                <w:highlight w:val="none"/>
              </w:rPr>
              <w:t>广西壮族自治区政府采购网（zfcg.gxzf.gov.cn）</w:t>
            </w:r>
            <w:r>
              <w:rPr>
                <w:rFonts w:hint="eastAsia" w:ascii="宋体" w:hAnsi="宋体" w:eastAsia="宋体" w:cs="宋体"/>
                <w:color w:val="auto"/>
                <w:szCs w:val="21"/>
                <w:highlight w:val="none"/>
              </w:rPr>
              <w:t>下载专区查看，如有问题可拨打政采云客户服务热线95763进行咨询。</w:t>
            </w:r>
          </w:p>
        </w:tc>
      </w:tr>
      <w:tr w14:paraId="4829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4DF4EF">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36920C62">
            <w:pPr>
              <w:keepNext w:val="0"/>
              <w:keepLines w:val="0"/>
              <w:pageBreakBefore w:val="0"/>
              <w:widowControl w:val="0"/>
              <w:kinsoku/>
              <w:overflowPunct/>
              <w:topLinePunct w:val="0"/>
              <w:bidi w:val="0"/>
              <w:adjustRightInd/>
              <w:snapToGrid w:val="0"/>
              <w:spacing w:line="360" w:lineRule="auto"/>
              <w:ind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79F8FB94">
            <w:pPr>
              <w:pStyle w:val="14"/>
              <w:keepNext w:val="0"/>
              <w:keepLines w:val="0"/>
              <w:pageBreakBefore w:val="0"/>
              <w:widowControl w:val="0"/>
              <w:kinsoku/>
              <w:overflowPunct/>
              <w:topLinePunct w:val="0"/>
              <w:bidi w:val="0"/>
              <w:adjustRightInd/>
              <w:spacing w:line="360" w:lineRule="auto"/>
              <w:ind w:firstLine="210" w:firstLineChars="1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1.供应商为法人或者其他组织的提供其营业执照等证明文件（如营业执照或者事业单位法人证书或者执业许可证等），供应商为自然人的提供其身份证</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lang w:val="en-US"/>
              </w:rPr>
              <w:t>；（</w:t>
            </w:r>
            <w:r>
              <w:rPr>
                <w:rFonts w:hint="eastAsia" w:ascii="宋体" w:hAnsi="宋体" w:eastAsia="宋体" w:cs="宋体"/>
                <w:b/>
                <w:color w:val="auto"/>
                <w:szCs w:val="21"/>
                <w:highlight w:val="none"/>
                <w:lang w:val="en-US"/>
              </w:rPr>
              <w:t>必须提供，否则响应文件按无效响应处理</w:t>
            </w:r>
            <w:r>
              <w:rPr>
                <w:rFonts w:hint="eastAsia" w:ascii="宋体" w:hAnsi="宋体" w:eastAsia="宋体" w:cs="宋体"/>
                <w:color w:val="auto"/>
                <w:szCs w:val="21"/>
                <w:highlight w:val="none"/>
                <w:lang w:val="en-US"/>
              </w:rPr>
              <w:t>）</w:t>
            </w:r>
          </w:p>
          <w:p w14:paraId="269DA047">
            <w:pPr>
              <w:keepNext w:val="0"/>
              <w:keepLines w:val="0"/>
              <w:pageBreakBefore w:val="0"/>
              <w:widowControl w:val="0"/>
              <w:kinsoku/>
              <w:overflowPunct/>
              <w:topLinePunct w:val="0"/>
              <w:bidi w:val="0"/>
              <w:adjustRightInd/>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.供应商中小企业声明函或监狱企业声明函或残疾人福利性单位声明函；（格式后附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rPr>
              <w:t>（</w:t>
            </w:r>
            <w:r>
              <w:rPr>
                <w:rFonts w:hint="eastAsia" w:ascii="宋体" w:hAnsi="宋体" w:eastAsia="宋体" w:cs="宋体"/>
                <w:b/>
                <w:color w:val="auto"/>
                <w:szCs w:val="21"/>
                <w:highlight w:val="none"/>
                <w:lang w:val="en-US"/>
              </w:rPr>
              <w:t>必须提供，否则响应文件按无效响应处理</w:t>
            </w:r>
            <w:r>
              <w:rPr>
                <w:rFonts w:hint="eastAsia" w:ascii="宋体" w:hAnsi="宋体" w:eastAsia="宋体" w:cs="宋体"/>
                <w:color w:val="auto"/>
                <w:szCs w:val="21"/>
                <w:highlight w:val="none"/>
                <w:lang w:val="en-US"/>
              </w:rPr>
              <w:t>）</w:t>
            </w:r>
          </w:p>
          <w:p w14:paraId="58316DE8">
            <w:pPr>
              <w:keepNext w:val="0"/>
              <w:keepLines w:val="0"/>
              <w:pageBreakBefore w:val="0"/>
              <w:widowControl w:val="0"/>
              <w:kinsoku/>
              <w:overflowPunct/>
              <w:topLinePunct w:val="0"/>
              <w:bidi w:val="0"/>
              <w:adjustRightInd/>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.供应商依法缴纳税收的相关材料（</w:t>
            </w:r>
            <w:r>
              <w:rPr>
                <w:rFonts w:hint="eastAsia" w:ascii="宋体" w:hAnsi="宋体" w:cs="宋体"/>
                <w:color w:val="auto"/>
                <w:highlight w:val="none"/>
                <w:lang w:val="en-US" w:eastAsia="zh-CN"/>
              </w:rPr>
              <w:t>2025</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月至</w:t>
            </w:r>
            <w:r>
              <w:rPr>
                <w:rFonts w:hint="eastAsia" w:ascii="宋体" w:hAnsi="宋体" w:cs="宋体"/>
                <w:color w:val="auto"/>
                <w:highlight w:val="none"/>
                <w:lang w:val="en-US" w:eastAsia="zh-CN"/>
              </w:rPr>
              <w:t>2025</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rPr>
              <w:t>内</w:t>
            </w:r>
            <w:r>
              <w:rPr>
                <w:rFonts w:hint="eastAsia" w:ascii="宋体" w:hAnsi="宋体" w:cs="宋体"/>
                <w:color w:val="auto"/>
                <w:highlight w:val="none"/>
                <w:lang w:eastAsia="zh-CN"/>
              </w:rPr>
              <w:t>连续</w:t>
            </w:r>
            <w:r>
              <w:rPr>
                <w:rFonts w:hint="eastAsia" w:ascii="宋体" w:hAnsi="宋体" w:cs="宋体"/>
                <w:color w:val="auto"/>
                <w:highlight w:val="none"/>
                <w:lang w:val="en-US" w:eastAsia="zh-CN"/>
              </w:rPr>
              <w:t>3</w:t>
            </w:r>
            <w:r>
              <w:rPr>
                <w:rFonts w:hint="eastAsia" w:ascii="宋体" w:hAnsi="宋体" w:eastAsia="宋体" w:cs="宋体"/>
                <w:color w:val="auto"/>
                <w:highlight w:val="none"/>
              </w:rPr>
              <w:t>个月</w:t>
            </w:r>
            <w:r>
              <w:rPr>
                <w:rFonts w:hint="eastAsia" w:ascii="宋体" w:hAnsi="宋体" w:eastAsia="宋体" w:cs="宋体"/>
                <w:color w:val="auto"/>
                <w:szCs w:val="21"/>
                <w:highlight w:val="none"/>
              </w:rPr>
              <w:t>的依法缴纳税收的</w:t>
            </w:r>
            <w:r>
              <w:rPr>
                <w:rFonts w:hint="eastAsia" w:ascii="宋体" w:hAnsi="宋体" w:cs="宋体"/>
                <w:color w:val="auto"/>
                <w:szCs w:val="21"/>
                <w:highlight w:val="none"/>
                <w:lang w:eastAsia="zh-CN"/>
              </w:rPr>
              <w:t>凭据</w:t>
            </w:r>
            <w:r>
              <w:rPr>
                <w:rFonts w:hint="eastAsia" w:ascii="宋体" w:hAnsi="宋体" w:eastAsia="宋体" w:cs="宋体"/>
                <w:color w:val="auto"/>
                <w:szCs w:val="21"/>
                <w:highlight w:val="none"/>
              </w:rPr>
              <w:t>；</w:t>
            </w:r>
            <w:r>
              <w:rPr>
                <w:rFonts w:hint="eastAsia" w:ascii="宋体" w:hAnsi="宋体" w:eastAsia="宋体" w:cs="宋体"/>
                <w:color w:val="auto"/>
                <w:highlight w:val="none"/>
              </w:rPr>
              <w:t>依法免税的，必须提供相应文件证明其依法免税</w:t>
            </w:r>
            <w:r>
              <w:rPr>
                <w:rFonts w:hint="eastAsia" w:ascii="宋体" w:hAnsi="宋体" w:cs="宋体"/>
                <w:color w:val="auto"/>
                <w:highlight w:val="none"/>
                <w:lang w:eastAsia="zh-CN"/>
              </w:rPr>
              <w:t>的相关材料。</w:t>
            </w:r>
            <w:r>
              <w:rPr>
                <w:rFonts w:hint="eastAsia" w:ascii="宋体" w:hAnsi="宋体" w:eastAsia="宋体" w:cs="宋体"/>
                <w:color w:val="auto"/>
                <w:szCs w:val="21"/>
                <w:highlight w:val="none"/>
              </w:rPr>
              <w:t>从成立之日起到响应文件提交截止时间止不足要求月数的，只需提供从成立之日起的依法缴纳税收</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7FC7A66">
            <w:pPr>
              <w:keepNext w:val="0"/>
              <w:keepLines w:val="0"/>
              <w:pageBreakBefore w:val="0"/>
              <w:widowControl w:val="0"/>
              <w:kinsoku/>
              <w:overflowPunct/>
              <w:topLinePunct w:val="0"/>
              <w:bidi w:val="0"/>
              <w:adjustRightInd/>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.供应商依法缴纳社会保障资金的相关材料[</w:t>
            </w:r>
            <w:r>
              <w:rPr>
                <w:rFonts w:hint="eastAsia" w:ascii="宋体" w:hAnsi="宋体" w:cs="宋体"/>
                <w:color w:val="auto"/>
                <w:highlight w:val="none"/>
                <w:lang w:val="en-US" w:eastAsia="zh-CN"/>
              </w:rPr>
              <w:t>2025</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月至</w:t>
            </w:r>
            <w:r>
              <w:rPr>
                <w:rFonts w:hint="eastAsia" w:ascii="宋体" w:hAnsi="宋体" w:cs="宋体"/>
                <w:color w:val="auto"/>
                <w:highlight w:val="none"/>
                <w:lang w:val="en-US" w:eastAsia="zh-CN"/>
              </w:rPr>
              <w:t>2025</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rPr>
              <w:t>内</w:t>
            </w:r>
            <w:r>
              <w:rPr>
                <w:rFonts w:hint="eastAsia" w:ascii="宋体" w:hAnsi="宋体" w:cs="宋体"/>
                <w:color w:val="auto"/>
                <w:highlight w:val="none"/>
                <w:lang w:eastAsia="zh-CN"/>
              </w:rPr>
              <w:t>连续</w:t>
            </w:r>
            <w:r>
              <w:rPr>
                <w:rFonts w:hint="eastAsia" w:ascii="宋体" w:hAnsi="宋体" w:cs="宋体"/>
                <w:color w:val="auto"/>
                <w:highlight w:val="none"/>
                <w:lang w:val="en-US" w:eastAsia="zh-CN"/>
              </w:rPr>
              <w:t>3</w:t>
            </w:r>
            <w:r>
              <w:rPr>
                <w:rFonts w:hint="eastAsia" w:ascii="宋体" w:hAnsi="宋体" w:eastAsia="宋体" w:cs="宋体"/>
                <w:color w:val="auto"/>
                <w:highlight w:val="none"/>
              </w:rPr>
              <w:t>个月</w:t>
            </w:r>
            <w:r>
              <w:rPr>
                <w:rFonts w:hint="eastAsia" w:ascii="宋体" w:hAnsi="宋体" w:eastAsia="宋体" w:cs="宋体"/>
                <w:color w:val="auto"/>
                <w:szCs w:val="21"/>
                <w:highlight w:val="none"/>
              </w:rPr>
              <w:t>的依法缴纳社会保障资金的缴费凭证（专用收据或者社会保险缴纳清单）；</w:t>
            </w:r>
            <w:r>
              <w:rPr>
                <w:rFonts w:hint="eastAsia" w:ascii="宋体" w:hAnsi="宋体" w:eastAsia="宋体" w:cs="宋体"/>
                <w:color w:val="auto"/>
                <w:highlight w:val="none"/>
              </w:rPr>
              <w:t>依法不需要缴纳社会保障资金的，必须提供相应文件证明不需要缴纳社会保障资金。</w:t>
            </w:r>
            <w:r>
              <w:rPr>
                <w:rFonts w:hint="eastAsia" w:ascii="宋体" w:hAnsi="宋体" w:eastAsia="宋体" w:cs="宋体"/>
                <w:color w:val="auto"/>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91823AE">
            <w:pPr>
              <w:keepNext w:val="0"/>
              <w:keepLines w:val="0"/>
              <w:pageBreakBefore w:val="0"/>
              <w:widowControl w:val="0"/>
              <w:kinsoku/>
              <w:overflowPunct/>
              <w:topLinePunct w:val="0"/>
              <w:bidi w:val="0"/>
              <w:adjustRightInd/>
              <w:spacing w:line="360" w:lineRule="auto"/>
              <w:ind w:firstLine="210" w:firstLineChars="1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u w:val="single"/>
                <w:lang w:val="en-US" w:eastAsia="zh-CN"/>
              </w:rPr>
              <w:t>2024</w:t>
            </w:r>
            <w:r>
              <w:rPr>
                <w:rFonts w:hint="eastAsia" w:ascii="宋体" w:hAnsi="宋体" w:eastAsia="宋体" w:cs="宋体"/>
                <w:color w:val="auto"/>
                <w:szCs w:val="21"/>
                <w:highlight w:val="none"/>
              </w:rPr>
              <w:t>年度财务报表复印件或者银行出具的资信证明；供应商属于</w:t>
            </w:r>
            <w:r>
              <w:rPr>
                <w:rFonts w:hint="eastAsia" w:ascii="宋体" w:hAnsi="宋体" w:eastAsia="宋体" w:cs="宋体"/>
                <w:color w:val="auto"/>
                <w:highlight w:val="none"/>
              </w:rPr>
              <w:t>成立时间</w:t>
            </w:r>
            <w:r>
              <w:rPr>
                <w:rFonts w:hint="eastAsia" w:ascii="宋体" w:hAnsi="宋体" w:eastAsia="宋体" w:cs="宋体"/>
                <w:color w:val="auto"/>
                <w:kern w:val="0"/>
                <w:highlight w:val="none"/>
              </w:rPr>
              <w:t>在规定年度之后</w:t>
            </w:r>
            <w:r>
              <w:rPr>
                <w:rFonts w:hint="eastAsia" w:ascii="宋体" w:hAnsi="宋体" w:eastAsia="宋体" w:cs="宋体"/>
                <w:color w:val="auto"/>
                <w:highlight w:val="none"/>
              </w:rPr>
              <w:t>的</w:t>
            </w:r>
            <w:r>
              <w:rPr>
                <w:rFonts w:hint="eastAsia" w:ascii="宋体" w:hAnsi="宋体" w:eastAsia="宋体" w:cs="宋体"/>
                <w:color w:val="auto"/>
                <w:szCs w:val="21"/>
                <w:highlight w:val="none"/>
              </w:rPr>
              <w:t>法人或其他组织</w:t>
            </w:r>
            <w:r>
              <w:rPr>
                <w:rFonts w:hint="eastAsia" w:ascii="宋体" w:hAnsi="宋体" w:eastAsia="宋体" w:cs="宋体"/>
                <w:color w:val="auto"/>
                <w:highlight w:val="none"/>
              </w:rPr>
              <w:t>，需提供成立之日起至响应文件提交截止时间前的月报表</w:t>
            </w:r>
            <w:r>
              <w:rPr>
                <w:rFonts w:hint="eastAsia" w:ascii="宋体" w:hAnsi="宋体" w:eastAsia="宋体" w:cs="宋体"/>
                <w:color w:val="auto"/>
                <w:szCs w:val="21"/>
                <w:highlight w:val="none"/>
              </w:rPr>
              <w:t>或银行出具的资信证明；资信证明应在有效期内，未注明有效期的，银行出具时间至响应文件提交截止时间不超过一年）；</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除自然人外必须提供，否则响应文件按无效响应处理</w:t>
            </w:r>
            <w:r>
              <w:rPr>
                <w:rFonts w:hint="eastAsia" w:ascii="宋体" w:hAnsi="宋体" w:eastAsia="宋体" w:cs="宋体"/>
                <w:bCs/>
                <w:color w:val="auto"/>
                <w:szCs w:val="21"/>
                <w:highlight w:val="none"/>
              </w:rPr>
              <w:t>）</w:t>
            </w:r>
          </w:p>
          <w:p w14:paraId="0302AB6A">
            <w:pPr>
              <w:keepNext w:val="0"/>
              <w:keepLines w:val="0"/>
              <w:pageBreakBefore w:val="0"/>
              <w:widowControl w:val="0"/>
              <w:kinsoku/>
              <w:overflowPunct/>
              <w:topLinePunct w:val="0"/>
              <w:bidi w:val="0"/>
              <w:adjustRightInd/>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6680F32">
            <w:pPr>
              <w:keepNext w:val="0"/>
              <w:keepLines w:val="0"/>
              <w:pageBreakBefore w:val="0"/>
              <w:widowControl w:val="0"/>
              <w:kinsoku/>
              <w:overflowPunct/>
              <w:topLinePunct w:val="0"/>
              <w:bidi w:val="0"/>
              <w:adjustRightInd/>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（必须提供，否则响应文件按无效响应处理）</w:t>
            </w:r>
          </w:p>
          <w:p w14:paraId="652153FE">
            <w:pPr>
              <w:keepNext w:val="0"/>
              <w:keepLines w:val="0"/>
              <w:pageBreakBefore w:val="0"/>
              <w:widowControl w:val="0"/>
              <w:kinsoku/>
              <w:overflowPunct/>
              <w:topLinePunct w:val="0"/>
              <w:bidi w:val="0"/>
              <w:adjustRightInd/>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color w:val="auto"/>
                <w:szCs w:val="21"/>
                <w:highlight w:val="none"/>
                <w:lang w:eastAsia="zh-CN"/>
              </w:rPr>
              <w:t>（如有）</w:t>
            </w:r>
          </w:p>
          <w:p w14:paraId="51FEE5BA">
            <w:pPr>
              <w:keepNext w:val="0"/>
              <w:keepLines w:val="0"/>
              <w:pageBreakBefore w:val="0"/>
              <w:widowControl w:val="0"/>
              <w:kinsoku/>
              <w:wordWrap w:val="0"/>
              <w:overflowPunct/>
              <w:topLinePunct w:val="0"/>
              <w:bidi w:val="0"/>
              <w:adjustRightInd/>
              <w:snapToGrid w:val="0"/>
              <w:spacing w:line="360" w:lineRule="auto"/>
              <w:ind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951441D">
            <w:pPr>
              <w:keepNext w:val="0"/>
              <w:keepLines w:val="0"/>
              <w:pageBreakBefore w:val="0"/>
              <w:widowControl w:val="0"/>
              <w:kinsoku/>
              <w:wordWrap w:val="0"/>
              <w:overflowPunct/>
              <w:topLinePunct w:val="0"/>
              <w:bidi w:val="0"/>
              <w:adjustRightInd/>
              <w:snapToGrid w:val="0"/>
              <w:spacing w:line="360" w:lineRule="auto"/>
              <w:ind w:left="0" w:leftChars="0"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必须加盖供应商公章，否则响应文件按无效响应处理。电子响应文件中所须加盖公章部分均采用CA签章。若竞争性磋商文件中有专门标注的某关联点，并要求供应商在电子竞标系统中作出竞标响应的，如供应商未对关联点进行响应或者在响应文件其他内容进行描述，造成电子评审不能查询的责任由供应商自行承担。</w:t>
            </w:r>
          </w:p>
          <w:p w14:paraId="5D8A86E4">
            <w:pPr>
              <w:keepNext w:val="0"/>
              <w:keepLines w:val="0"/>
              <w:pageBreakBefore w:val="0"/>
              <w:widowControl w:val="0"/>
              <w:kinsoku/>
              <w:wordWrap w:val="0"/>
              <w:overflowPunct/>
              <w:topLinePunct w:val="0"/>
              <w:bidi w:val="0"/>
              <w:adjustRightInd/>
              <w:snapToGrid w:val="0"/>
              <w:spacing w:line="360" w:lineRule="auto"/>
              <w:ind w:left="0" w:leftChars="0"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2.竞标声明必须由法定代表人在规定签章处签字并加盖供应商公章，否则响应文件按无效响应处理。</w:t>
            </w:r>
          </w:p>
          <w:p w14:paraId="30311CBE">
            <w:pPr>
              <w:keepNext w:val="0"/>
              <w:keepLines w:val="0"/>
              <w:pageBreakBefore w:val="0"/>
              <w:widowControl w:val="0"/>
              <w:kinsoku/>
              <w:wordWrap w:val="0"/>
              <w:overflowPunct/>
              <w:topLinePunct w:val="0"/>
              <w:bidi w:val="0"/>
              <w:adjustRightInd/>
              <w:snapToGrid w:val="0"/>
              <w:spacing w:line="360" w:lineRule="auto"/>
              <w:ind w:left="0" w:leftChars="0"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3.供应商直接控股、管理关系信息表必须由法定代表人或者委托代理人在规定签章处签字并加盖供应商公章，否则响应文件按无效响应处理。 </w:t>
            </w:r>
          </w:p>
        </w:tc>
      </w:tr>
      <w:tr w14:paraId="34E2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0DA5A1">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76BD2764">
            <w:pPr>
              <w:keepNext w:val="0"/>
              <w:keepLines w:val="0"/>
              <w:pageBreakBefore w:val="0"/>
              <w:widowControl w:val="0"/>
              <w:kinsoku/>
              <w:wordWrap w:val="0"/>
              <w:overflowPunct/>
              <w:topLinePunct w:val="0"/>
              <w:bidi w:val="0"/>
              <w:adjustRightInd/>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14:paraId="6E5070C9">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1.竞标报价表（格式后附）；（必须提供，否则响应文件按无效响应处理）</w:t>
            </w:r>
          </w:p>
          <w:p w14:paraId="055B9C5B">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93B9543">
            <w:pPr>
              <w:keepNext w:val="0"/>
              <w:keepLines w:val="0"/>
              <w:pageBreakBefore w:val="0"/>
              <w:widowControl w:val="0"/>
              <w:kinsoku/>
              <w:wordWrap w:val="0"/>
              <w:overflowPunct/>
              <w:topLinePunct w:val="0"/>
              <w:bidi w:val="0"/>
              <w:adjustRightInd/>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1F8878">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56E55B7">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rPr>
              <w:t>商务条款偏离表</w:t>
            </w:r>
            <w:r>
              <w:rPr>
                <w:rFonts w:hint="eastAsia" w:ascii="宋体" w:hAnsi="宋体" w:eastAsia="宋体" w:cs="宋体"/>
                <w:color w:val="auto"/>
                <w:szCs w:val="21"/>
                <w:lang w:eastAsia="zh-CN"/>
              </w:rPr>
              <w:t>（</w:t>
            </w:r>
            <w:r>
              <w:rPr>
                <w:rFonts w:hint="eastAsia" w:ascii="宋体" w:hAnsi="宋体" w:eastAsia="宋体" w:cs="宋体"/>
                <w:color w:val="auto"/>
                <w:szCs w:val="21"/>
              </w:rPr>
              <w:t>格式后附）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235C9B2">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en-US" w:eastAsia="zh-CN"/>
              </w:rPr>
              <w:t>服务方案</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7D8BEAF">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服务承诺方案；</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DBA2044">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cs="宋体"/>
                <w:color w:val="auto"/>
                <w:szCs w:val="21"/>
                <w:lang w:val="en-US" w:eastAsia="zh-CN"/>
              </w:rPr>
              <w:t>8.</w:t>
            </w:r>
            <w:r>
              <w:rPr>
                <w:rFonts w:hint="eastAsia" w:ascii="宋体" w:hAnsi="宋体" w:eastAsia="宋体" w:cs="宋体"/>
                <w:color w:val="auto"/>
                <w:szCs w:val="21"/>
              </w:rPr>
              <w:t>技术需求偏离表（格式后附）</w:t>
            </w:r>
            <w:r>
              <w:rPr>
                <w:rFonts w:hint="eastAsia" w:ascii="宋体" w:hAnsi="宋体" w:eastAsia="宋体" w:cs="宋体"/>
                <w:color w:val="auto"/>
                <w:szCs w:val="21"/>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4AB4A01">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人员配备</w:t>
            </w:r>
            <w:r>
              <w:rPr>
                <w:rFonts w:hint="eastAsia" w:ascii="宋体" w:hAnsi="宋体" w:eastAsia="宋体" w:cs="宋体"/>
                <w:color w:val="auto"/>
                <w:szCs w:val="21"/>
                <w:highlight w:val="none"/>
                <w:lang w:eastAsia="zh-CN"/>
              </w:rPr>
              <w:t>情况（</w:t>
            </w:r>
            <w:r>
              <w:rPr>
                <w:rFonts w:hint="eastAsia" w:ascii="宋体" w:hAnsi="宋体" w:eastAsia="宋体" w:cs="宋体"/>
                <w:color w:val="auto"/>
                <w:szCs w:val="21"/>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715FFC">
            <w:pPr>
              <w:keepNext w:val="0"/>
              <w:keepLines w:val="0"/>
              <w:pageBreakBefore w:val="0"/>
              <w:widowControl w:val="0"/>
              <w:kinsoku/>
              <w:wordWrap w:val="0"/>
              <w:overflowPunct/>
              <w:topLinePunct w:val="0"/>
              <w:bidi w:val="0"/>
              <w:adjustRightInd/>
              <w:spacing w:line="360" w:lineRule="auto"/>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.业绩资料；（如有）</w:t>
            </w:r>
          </w:p>
          <w:p w14:paraId="324765AC">
            <w:pPr>
              <w:keepNext w:val="0"/>
              <w:keepLines w:val="0"/>
              <w:pageBreakBefore w:val="0"/>
              <w:widowControl w:val="0"/>
              <w:kinsoku/>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kern w:val="2"/>
                <w:sz w:val="21"/>
                <w:szCs w:val="21"/>
                <w:highlight w:val="none"/>
                <w:lang w:val="en-US" w:eastAsia="zh-CN" w:bidi="ar-SA"/>
              </w:rPr>
              <w:t>（如有）</w:t>
            </w:r>
          </w:p>
          <w:p w14:paraId="6C3C07E8">
            <w:pPr>
              <w:keepNext w:val="0"/>
              <w:keepLines w:val="0"/>
              <w:pageBreakBefore w:val="0"/>
              <w:widowControl w:val="0"/>
              <w:kinsoku/>
              <w:wordWrap w:val="0"/>
              <w:overflowPunct/>
              <w:topLinePunct w:val="0"/>
              <w:bidi w:val="0"/>
              <w:adjustRightInd/>
              <w:snapToGrid w:val="0"/>
              <w:spacing w:line="360" w:lineRule="auto"/>
              <w:ind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2F9F491B">
            <w:pPr>
              <w:keepNext w:val="0"/>
              <w:keepLines w:val="0"/>
              <w:pageBreakBefore w:val="0"/>
              <w:widowControl w:val="0"/>
              <w:kinsoku/>
              <w:wordWrap w:val="0"/>
              <w:overflowPunct/>
              <w:topLinePunct w:val="0"/>
              <w:bidi w:val="0"/>
              <w:adjustRightInd/>
              <w:snapToGrid w:val="0"/>
              <w:spacing w:line="360" w:lineRule="auto"/>
              <w:ind w:firstLine="211" w:firstLineChars="1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1.授权委托书必须由法定代表人及委托代理人签字，并加盖供应商</w:t>
            </w:r>
            <w:r>
              <w:rPr>
                <w:rFonts w:hint="eastAsia" w:ascii="宋体" w:hAnsi="宋体" w:eastAsia="宋体" w:cs="宋体"/>
                <w:b/>
                <w:color w:val="auto"/>
                <w:szCs w:val="21"/>
                <w:highlight w:val="none"/>
                <w:lang w:val="en-US" w:eastAsia="zh-CN"/>
              </w:rPr>
              <w:t>电子签章</w:t>
            </w:r>
            <w:r>
              <w:rPr>
                <w:rFonts w:hint="eastAsia" w:ascii="宋体" w:hAnsi="宋体" w:eastAsia="宋体" w:cs="宋体"/>
                <w:b/>
                <w:color w:val="auto"/>
                <w:szCs w:val="21"/>
                <w:highlight w:val="none"/>
              </w:rPr>
              <w:t>，否则响应文件按无效响应处理。</w:t>
            </w:r>
          </w:p>
          <w:p w14:paraId="52B7F72E">
            <w:pPr>
              <w:keepNext w:val="0"/>
              <w:keepLines w:val="0"/>
              <w:pageBreakBefore w:val="0"/>
              <w:widowControl w:val="0"/>
              <w:kinsoku/>
              <w:wordWrap w:val="0"/>
              <w:overflowPunct/>
              <w:topLinePunct w:val="0"/>
              <w:bidi w:val="0"/>
              <w:adjustRightInd/>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2.以上标明“必须提供”的材料属于复印件的，必须加盖供应商</w:t>
            </w:r>
            <w:r>
              <w:rPr>
                <w:rFonts w:hint="eastAsia" w:ascii="宋体" w:hAnsi="宋体" w:eastAsia="宋体" w:cs="宋体"/>
                <w:b/>
                <w:color w:val="auto"/>
                <w:szCs w:val="21"/>
                <w:highlight w:val="none"/>
                <w:lang w:val="en-US" w:eastAsia="zh-CN"/>
              </w:rPr>
              <w:t>电子签章</w:t>
            </w:r>
            <w:r>
              <w:rPr>
                <w:rFonts w:hint="eastAsia" w:ascii="宋体" w:hAnsi="宋体" w:eastAsia="宋体" w:cs="宋体"/>
                <w:b/>
                <w:color w:val="auto"/>
                <w:szCs w:val="21"/>
                <w:highlight w:val="none"/>
              </w:rPr>
              <w:t>，否则响应文件按无效响应处理。</w:t>
            </w:r>
          </w:p>
          <w:p w14:paraId="1EE8AB5C">
            <w:pPr>
              <w:keepNext w:val="0"/>
              <w:keepLines w:val="0"/>
              <w:pageBreakBefore w:val="0"/>
              <w:widowControl w:val="0"/>
              <w:kinsoku/>
              <w:wordWrap w:val="0"/>
              <w:overflowPunct/>
              <w:topLinePunct w:val="0"/>
              <w:bidi w:val="0"/>
              <w:adjustRightInd/>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4BC82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86A96D">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474AC661">
            <w:pPr>
              <w:keepNext w:val="0"/>
              <w:keepLines w:val="0"/>
              <w:pageBreakBefore w:val="0"/>
              <w:widowControl w:val="0"/>
              <w:kinsoku/>
              <w:wordWrap w:val="0"/>
              <w:overflowPunct/>
              <w:topLinePunct w:val="0"/>
              <w:bidi w:val="0"/>
              <w:adjustRightInd/>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应当包含完成本项目服务所有内容及其他相关服务的投入、完成项目工作所产生的费用、税金、利润、异地调研、开展项目评审、验收及其他所有可能发生的一切费用。除此之外，采购人不再另行支付任何费用。</w:t>
            </w:r>
          </w:p>
        </w:tc>
      </w:tr>
      <w:tr w14:paraId="46C5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7E61AB">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6C6A0D91">
            <w:pPr>
              <w:pStyle w:val="12"/>
              <w:keepNext w:val="0"/>
              <w:keepLines w:val="0"/>
              <w:pageBreakBefore w:val="0"/>
              <w:widowControl w:val="0"/>
              <w:tabs>
                <w:tab w:val="clear" w:pos="454"/>
              </w:tabs>
              <w:kinsoku/>
              <w:wordWrap w:val="0"/>
              <w:overflowPunct/>
              <w:topLinePunct w:val="0"/>
              <w:bidi w:val="0"/>
              <w:adjustRightInd/>
              <w:snapToGrid w:val="0"/>
              <w:spacing w:afterLines="0" w:line="360" w:lineRule="auto"/>
              <w:ind w:left="0"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日。</w:t>
            </w:r>
          </w:p>
        </w:tc>
      </w:tr>
      <w:tr w14:paraId="262C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40B5F2">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5142F941">
            <w:pPr>
              <w:keepNext w:val="0"/>
              <w:keepLines w:val="0"/>
              <w:pageBreakBefore w:val="0"/>
              <w:widowControl w:val="0"/>
              <w:kinsoku/>
              <w:wordWrap w:val="0"/>
              <w:overflowPunct/>
              <w:topLinePunct w:val="0"/>
              <w:autoSpaceDE w:val="0"/>
              <w:autoSpaceDN w:val="0"/>
              <w:bidi w:val="0"/>
              <w:adjustRightInd/>
              <w:snapToGrid w:val="0"/>
              <w:spacing w:line="360" w:lineRule="auto"/>
              <w:ind w:firstLine="210" w:firstLineChars="1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5488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FD2A49">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351D6657">
            <w:pPr>
              <w:keepNext w:val="0"/>
              <w:keepLines w:val="0"/>
              <w:pageBreakBefore w:val="0"/>
              <w:widowControl w:val="0"/>
              <w:kinsoku/>
              <w:wordWrap w:val="0"/>
              <w:overflowPunct/>
              <w:topLinePunct w:val="0"/>
              <w:bidi w:val="0"/>
              <w:adjustRightInd/>
              <w:spacing w:line="360" w:lineRule="auto"/>
              <w:ind w:firstLine="210" w:firstLineChars="100"/>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响应文件提交截止时间：详见竞争性磋商公告。</w:t>
            </w:r>
          </w:p>
          <w:p w14:paraId="269E323E">
            <w:pPr>
              <w:keepNext w:val="0"/>
              <w:keepLines w:val="0"/>
              <w:pageBreakBefore w:val="0"/>
              <w:widowControl w:val="0"/>
              <w:kinsoku/>
              <w:wordWrap w:val="0"/>
              <w:overflowPunct/>
              <w:topLinePunct w:val="0"/>
              <w:bidi w:val="0"/>
              <w:adjustRightInd/>
              <w:spacing w:line="360" w:lineRule="auto"/>
              <w:ind w:firstLine="210" w:firstLineChars="1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szCs w:val="21"/>
                <w:highlight w:val="none"/>
              </w:rPr>
              <w:t>。</w:t>
            </w:r>
          </w:p>
          <w:p w14:paraId="39BF2AC7">
            <w:pPr>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电子响应文件解密时间：首次响应文件提交截止时间后30分钟内，供应商必须在此时间段内登录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完成电子响应文件的解密。若竞标供应商在规定时间内未按时解密的，视为响应文件撤回。</w:t>
            </w:r>
          </w:p>
        </w:tc>
      </w:tr>
      <w:tr w14:paraId="46142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E680EA">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09F2E1C5">
            <w:pPr>
              <w:keepNext w:val="0"/>
              <w:keepLines w:val="0"/>
              <w:pageBreakBefore w:val="0"/>
              <w:widowControl w:val="0"/>
              <w:kinsoku/>
              <w:wordWrap w:val="0"/>
              <w:overflowPunct/>
              <w:topLinePunct w:val="0"/>
              <w:bidi w:val="0"/>
              <w:adjustRightInd/>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其中采购人代表</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人，政府采购评审专家</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2</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w:t>
            </w:r>
          </w:p>
        </w:tc>
      </w:tr>
      <w:tr w14:paraId="59872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6" w:hRule="atLeast"/>
          <w:jc w:val="center"/>
        </w:trPr>
        <w:tc>
          <w:tcPr>
            <w:tcW w:w="992" w:type="dxa"/>
            <w:vAlign w:val="center"/>
          </w:tcPr>
          <w:p w14:paraId="3493E6CC">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vAlign w:val="center"/>
          </w:tcPr>
          <w:p w14:paraId="2524EFD5">
            <w:pPr>
              <w:pStyle w:val="14"/>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rPr>
              <w:t>商</w:t>
            </w:r>
            <w:r>
              <w:rPr>
                <w:rFonts w:hint="eastAsia" w:ascii="宋体" w:hAnsi="宋体" w:eastAsia="宋体" w:cs="宋体"/>
                <w:color w:val="auto"/>
                <w:kern w:val="2"/>
                <w:sz w:val="21"/>
                <w:szCs w:val="21"/>
                <w:highlight w:val="none"/>
                <w:lang w:val="en-US" w:eastAsia="zh-CN" w:bidi="ar-SA"/>
              </w:rPr>
              <w:t>务条款评审中允许负偏离的条款数为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0 </w:t>
            </w:r>
            <w:r>
              <w:rPr>
                <w:rFonts w:hint="eastAsia" w:ascii="宋体" w:hAnsi="宋体" w:eastAsia="宋体" w:cs="宋体"/>
                <w:color w:val="auto"/>
                <w:kern w:val="2"/>
                <w:sz w:val="21"/>
                <w:szCs w:val="21"/>
                <w:highlight w:val="none"/>
                <w:lang w:val="en-US" w:eastAsia="zh-CN" w:bidi="ar-SA"/>
              </w:rPr>
              <w:t>项。</w:t>
            </w:r>
          </w:p>
          <w:p w14:paraId="41A39505">
            <w:pPr>
              <w:pStyle w:val="14"/>
              <w:keepNext w:val="0"/>
              <w:keepLines w:val="0"/>
              <w:pageBreakBefore w:val="0"/>
              <w:widowControl w:val="0"/>
              <w:kinsoku/>
              <w:wordWrap w:val="0"/>
              <w:overflowPunct/>
              <w:topLinePunct w:val="0"/>
              <w:bidi w:val="0"/>
              <w:adjustRightInd/>
              <w:spacing w:line="360" w:lineRule="auto"/>
              <w:ind w:firstLine="210" w:firstLineChars="100"/>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SA"/>
              </w:rPr>
              <w:t>技术需求评审中允许负偏离的条款数为</w:t>
            </w:r>
            <w:r>
              <w:rPr>
                <w:rFonts w:hint="eastAsia" w:ascii="宋体" w:hAnsi="宋体" w:eastAsia="宋体" w:cs="宋体"/>
                <w:color w:val="auto"/>
                <w:kern w:val="2"/>
                <w:sz w:val="21"/>
                <w:szCs w:val="21"/>
                <w:highlight w:val="none"/>
                <w:u w:val="single"/>
                <w:lang w:val="en-US" w:eastAsia="zh-CN" w:bidi="ar-SA"/>
              </w:rPr>
              <w:t xml:space="preserve">  0 </w:t>
            </w:r>
            <w:r>
              <w:rPr>
                <w:rFonts w:hint="eastAsia" w:ascii="宋体" w:hAnsi="宋体" w:eastAsia="宋体" w:cs="宋体"/>
                <w:color w:val="auto"/>
                <w:kern w:val="2"/>
                <w:sz w:val="21"/>
                <w:szCs w:val="21"/>
                <w:highlight w:val="none"/>
                <w:lang w:val="en-US" w:eastAsia="zh-CN" w:bidi="ar-SA"/>
              </w:rPr>
              <w:t xml:space="preserve"> 项。</w:t>
            </w:r>
          </w:p>
        </w:tc>
      </w:tr>
      <w:tr w14:paraId="4B3A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92" w:type="dxa"/>
            <w:vAlign w:val="center"/>
          </w:tcPr>
          <w:p w14:paraId="4BD2D4B9">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5A89BCE1">
            <w:pPr>
              <w:keepNext w:val="0"/>
              <w:keepLines w:val="0"/>
              <w:pageBreakBefore w:val="0"/>
              <w:widowControl w:val="0"/>
              <w:kinsoku/>
              <w:wordWrap w:val="0"/>
              <w:overflowPunct/>
              <w:topLinePunct w:val="0"/>
              <w:bidi w:val="0"/>
              <w:adjustRightInd/>
              <w:snapToGrid w:val="0"/>
              <w:spacing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履约保证金金额：无</w:t>
            </w:r>
          </w:p>
        </w:tc>
      </w:tr>
      <w:tr w14:paraId="4132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A9472E">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6D15B712">
            <w:pPr>
              <w:keepNext w:val="0"/>
              <w:keepLines w:val="0"/>
              <w:pageBreakBefore w:val="0"/>
              <w:widowControl w:val="0"/>
              <w:kinsoku/>
              <w:wordWrap w:val="0"/>
              <w:overflowPunct/>
              <w:topLinePunct w:val="0"/>
              <w:autoSpaceDE w:val="0"/>
              <w:autoSpaceDN w:val="0"/>
              <w:bidi w:val="0"/>
              <w:adjustRightInd/>
              <w:snapToGrid w:val="0"/>
              <w:spacing w:line="360" w:lineRule="auto"/>
              <w:ind w:firstLine="210" w:firstLineChars="1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4787F1DC">
            <w:pPr>
              <w:keepNext w:val="0"/>
              <w:keepLines w:val="0"/>
              <w:pageBreakBefore w:val="0"/>
              <w:widowControl w:val="0"/>
              <w:kinsoku/>
              <w:wordWrap w:val="0"/>
              <w:overflowPunct/>
              <w:topLinePunct w:val="0"/>
              <w:autoSpaceDE w:val="0"/>
              <w:autoSpaceDN w:val="0"/>
              <w:bidi w:val="0"/>
              <w:adjustRightInd/>
              <w:snapToGrid w:val="0"/>
              <w:spacing w:line="360" w:lineRule="auto"/>
              <w:ind w:firstLine="210" w:firstLineChars="1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5AB636EA">
            <w:pPr>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06AF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E29490">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169B28F8">
            <w:pPr>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222DFC7B">
            <w:pPr>
              <w:keepNext w:val="0"/>
              <w:keepLines w:val="0"/>
              <w:pageBreakBefore w:val="0"/>
              <w:widowControl w:val="0"/>
              <w:kinsoku/>
              <w:overflowPunct/>
              <w:topLinePunct w:val="0"/>
              <w:bidi w:val="0"/>
              <w:adjustRightInd/>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u w:val="none"/>
              </w:rPr>
              <w:t>广西汉昌工程咨询有限公司</w:t>
            </w:r>
            <w:r>
              <w:rPr>
                <w:rFonts w:hint="eastAsia" w:ascii="宋体" w:hAnsi="宋体" w:eastAsia="宋体" w:cs="宋体"/>
                <w:color w:val="auto"/>
                <w:szCs w:val="21"/>
                <w:highlight w:val="none"/>
              </w:rPr>
              <w:t>，联系电话：0775-</w:t>
            </w:r>
            <w:r>
              <w:rPr>
                <w:rFonts w:hint="eastAsia" w:ascii="宋体" w:hAnsi="宋体" w:eastAsia="宋体" w:cs="宋体"/>
                <w:color w:val="auto"/>
                <w:szCs w:val="21"/>
                <w:highlight w:val="none"/>
                <w:lang w:val="en-US" w:eastAsia="zh-CN"/>
              </w:rPr>
              <w:t>2086868</w:t>
            </w:r>
            <w:r>
              <w:rPr>
                <w:rFonts w:hint="eastAsia" w:ascii="宋体" w:hAnsi="宋体" w:eastAsia="宋体" w:cs="宋体"/>
                <w:color w:val="auto"/>
                <w:szCs w:val="21"/>
                <w:highlight w:val="none"/>
              </w:rPr>
              <w:t>，通讯地址：广西壮族自治区玉林市玉州区胜利垌（双旺路玉林美东纸业有限公司1-6商铺）</w:t>
            </w:r>
          </w:p>
          <w:p w14:paraId="2FEE4DD0">
            <w:pPr>
              <w:keepNext w:val="0"/>
              <w:keepLines w:val="0"/>
              <w:pageBreakBefore w:val="0"/>
              <w:widowControl w:val="0"/>
              <w:kinsoku/>
              <w:wordWrap w:val="0"/>
              <w:overflowPunct/>
              <w:topLinePunct w:val="0"/>
              <w:autoSpaceDE w:val="0"/>
              <w:autoSpaceDN w:val="0"/>
              <w:bidi w:val="0"/>
              <w:adjustRightInd/>
              <w:snapToGrid w:val="0"/>
              <w:spacing w:line="360" w:lineRule="auto"/>
              <w:ind w:firstLine="210" w:firstLineChars="1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现场提交质疑办理业务时间：每天8时00分到12时00分，15时00分到18时00分，业务时间以外、双休日和法定节假日不办理业务。</w:t>
            </w:r>
          </w:p>
        </w:tc>
      </w:tr>
      <w:tr w14:paraId="776A3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F551BE">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67FEAB66">
            <w:pPr>
              <w:keepNext w:val="0"/>
              <w:keepLines w:val="0"/>
              <w:pageBreakBefore w:val="0"/>
              <w:widowControl w:val="0"/>
              <w:kinsoku/>
              <w:overflowPunct/>
              <w:topLinePunct w:val="0"/>
              <w:bidi w:val="0"/>
              <w:adjustRightInd/>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1.采购代理费支付方式：</w:t>
            </w:r>
          </w:p>
          <w:p w14:paraId="16F8CDE3">
            <w:pPr>
              <w:keepNext w:val="0"/>
              <w:keepLines w:val="0"/>
              <w:pageBreakBefore w:val="0"/>
              <w:widowControl w:val="0"/>
              <w:kinsoku/>
              <w:overflowPunct/>
              <w:topLinePunct w:val="0"/>
              <w:bidi w:val="0"/>
              <w:adjustRightInd/>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领取成交通知书前，一次性向采购代理机构支付。</w:t>
            </w:r>
          </w:p>
          <w:p w14:paraId="23A209F1">
            <w:pPr>
              <w:keepNext w:val="0"/>
              <w:keepLines w:val="0"/>
              <w:pageBreakBefore w:val="0"/>
              <w:widowControl w:val="0"/>
              <w:kinsoku/>
              <w:overflowPunct/>
              <w:topLinePunct w:val="0"/>
              <w:bidi w:val="0"/>
              <w:adjustRightInd/>
              <w:snapToGrid w:val="0"/>
              <w:spacing w:line="360" w:lineRule="auto"/>
              <w:ind w:firstLine="210" w:firstLineChars="1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2.采购代理费收取标准：</w:t>
            </w:r>
            <w:r>
              <w:rPr>
                <w:rFonts w:hint="eastAsia" w:ascii="宋体" w:hAnsi="宋体" w:cs="宋体"/>
                <w:color w:val="auto"/>
                <w:kern w:val="0"/>
                <w:szCs w:val="21"/>
                <w:highlight w:val="none"/>
                <w:lang w:eastAsia="zh-CN"/>
              </w:rPr>
              <w:t>按</w:t>
            </w:r>
            <w:r>
              <w:rPr>
                <w:rFonts w:hint="eastAsia" w:ascii="宋体" w:hAnsi="宋体" w:eastAsia="宋体" w:cs="宋体"/>
                <w:color w:val="auto"/>
                <w:kern w:val="0"/>
                <w:szCs w:val="21"/>
                <w:highlight w:val="none"/>
                <w:lang w:val="en-US" w:eastAsia="zh-CN"/>
              </w:rPr>
              <w:t>发改价格〔2011〕534号文件服务类收费标准</w:t>
            </w:r>
            <w:r>
              <w:rPr>
                <w:rFonts w:hint="eastAsia" w:ascii="宋体" w:hAnsi="宋体" w:cs="宋体"/>
                <w:color w:val="auto"/>
                <w:kern w:val="0"/>
                <w:szCs w:val="21"/>
                <w:highlight w:val="none"/>
                <w:lang w:val="en-US" w:eastAsia="zh-CN"/>
              </w:rPr>
              <w:t>，以分标成交金额为计费额，按服务类标准采用差额定率累进法计算出收费基准价格，采购代理收费以收费基准价格收取</w:t>
            </w:r>
            <w:r>
              <w:rPr>
                <w:rFonts w:hint="eastAsia" w:ascii="宋体" w:hAnsi="宋体" w:eastAsia="宋体" w:cs="宋体"/>
                <w:color w:val="auto"/>
                <w:highlight w:val="none"/>
              </w:rPr>
              <w:t>，由成交供应商在领取成交通知书前一次性支付给采购代理机构，否则，采购代理机构将视之为违约</w:t>
            </w:r>
            <w:r>
              <w:rPr>
                <w:rFonts w:hint="eastAsia" w:ascii="宋体" w:hAnsi="宋体" w:eastAsia="宋体" w:cs="宋体"/>
                <w:color w:val="auto"/>
                <w:szCs w:val="21"/>
                <w:highlight w:val="none"/>
              </w:rPr>
              <w:t>。</w:t>
            </w:r>
          </w:p>
          <w:p w14:paraId="1B4EA785">
            <w:pPr>
              <w:keepNext w:val="0"/>
              <w:keepLines w:val="0"/>
              <w:pageBreakBefore w:val="0"/>
              <w:widowControl w:val="0"/>
              <w:kinsoku/>
              <w:overflowPunct/>
              <w:topLinePunct w:val="0"/>
              <w:bidi w:val="0"/>
              <w:adjustRightInd/>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3.采购代理费收取银行账户</w:t>
            </w:r>
          </w:p>
          <w:p w14:paraId="729B731D">
            <w:pPr>
              <w:keepNext w:val="0"/>
              <w:keepLines w:val="0"/>
              <w:pageBreakBefore w:val="0"/>
              <w:widowControl w:val="0"/>
              <w:kinsoku/>
              <w:overflowPunct/>
              <w:topLinePunct w:val="0"/>
              <w:bidi w:val="0"/>
              <w:adjustRightInd/>
              <w:spacing w:line="36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账户名称：</w:t>
            </w:r>
            <w:r>
              <w:rPr>
                <w:rFonts w:hint="eastAsia" w:ascii="宋体" w:hAnsi="宋体" w:cs="宋体"/>
                <w:color w:val="auto"/>
                <w:szCs w:val="21"/>
                <w:u w:val="none"/>
                <w:lang w:val="en-US" w:eastAsia="zh-CN"/>
              </w:rPr>
              <w:t>/</w:t>
            </w:r>
          </w:p>
          <w:p w14:paraId="3D75A569">
            <w:pPr>
              <w:keepNext w:val="0"/>
              <w:keepLines w:val="0"/>
              <w:pageBreakBefore w:val="0"/>
              <w:widowControl w:val="0"/>
              <w:kinsoku/>
              <w:overflowPunct/>
              <w:topLinePunct w:val="0"/>
              <w:bidi w:val="0"/>
              <w:adjustRightInd/>
              <w:spacing w:line="360" w:lineRule="exact"/>
              <w:ind w:firstLine="210" w:firstLineChars="100"/>
              <w:rPr>
                <w:rFonts w:hint="eastAsia" w:ascii="宋体" w:hAnsi="宋体" w:eastAsia="宋体" w:cs="宋体"/>
                <w:color w:val="auto"/>
                <w:highlight w:val="none"/>
                <w:lang w:eastAsia="zh-CN"/>
              </w:rPr>
            </w:pPr>
            <w:r>
              <w:rPr>
                <w:rFonts w:hint="eastAsia" w:ascii="宋体" w:hAnsi="宋体" w:eastAsia="宋体" w:cs="宋体"/>
                <w:color w:val="auto"/>
                <w:highlight w:val="none"/>
              </w:rPr>
              <w:t>开户银行：</w:t>
            </w:r>
            <w:r>
              <w:rPr>
                <w:rFonts w:hint="eastAsia" w:ascii="宋体" w:hAnsi="宋体" w:cs="宋体"/>
                <w:color w:val="auto"/>
                <w:highlight w:val="none"/>
                <w:lang w:val="en-US" w:eastAsia="zh-CN"/>
              </w:rPr>
              <w:t>/</w:t>
            </w:r>
          </w:p>
          <w:p w14:paraId="4546CEED">
            <w:pPr>
              <w:keepNext w:val="0"/>
              <w:keepLines w:val="0"/>
              <w:pageBreakBefore w:val="0"/>
              <w:widowControl w:val="0"/>
              <w:kinsoku/>
              <w:overflowPunct/>
              <w:topLinePunct w:val="0"/>
              <w:bidi w:val="0"/>
              <w:adjustRightInd/>
              <w:spacing w:line="36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银行账号：</w:t>
            </w:r>
            <w:r>
              <w:rPr>
                <w:rFonts w:hint="eastAsia" w:ascii="宋体" w:hAnsi="宋体" w:cs="宋体"/>
                <w:color w:val="auto"/>
                <w:lang w:val="en-US" w:eastAsia="zh-CN"/>
              </w:rPr>
              <w:t>/</w:t>
            </w:r>
          </w:p>
        </w:tc>
      </w:tr>
      <w:tr w14:paraId="6F734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941008">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78D4A406">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kern w:val="2"/>
                <w:sz w:val="21"/>
                <w:highlight w:val="none"/>
                <w:lang w:val="en-US"/>
              </w:rPr>
            </w:pPr>
            <w:r>
              <w:rPr>
                <w:rFonts w:hint="eastAsia" w:ascii="宋体" w:hAnsi="宋体" w:eastAsia="宋体" w:cs="宋体"/>
                <w:color w:val="auto"/>
                <w:sz w:val="21"/>
                <w:highlight w:val="none"/>
                <w:lang w:val="en-US"/>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B6F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473692">
            <w:pP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4C6C0A1E">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E880967">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73FBEF">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3.本磋商文件中描述供应商的“签字”是指供应商的法定代表人或者委托代理人亲自在文件规定签署处亲笔写上个人的名字的行为，私章、签字章、印鉴、影印等其他形式均不能代替亲笔签字。</w:t>
            </w:r>
          </w:p>
          <w:p w14:paraId="04835829">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4.自然人竞标的，磋商文件规定盖公章处由自然人摁手指指印。</w:t>
            </w:r>
          </w:p>
          <w:p w14:paraId="1A7EEE1B">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5.本磋商文件所称的“以上”“以下”“以内”“届满”，包括本数；所称的“不满”“超过”“以外”，不包括本数。</w:t>
            </w:r>
          </w:p>
          <w:p w14:paraId="5DF11CBF">
            <w:pPr>
              <w:pStyle w:val="20"/>
              <w:keepNext w:val="0"/>
              <w:keepLines w:val="0"/>
              <w:pageBreakBefore w:val="0"/>
              <w:widowControl w:val="0"/>
              <w:kinsoku/>
              <w:wordWrap w:val="0"/>
              <w:overflowPunct/>
              <w:topLinePunct w:val="0"/>
              <w:bidi w:val="0"/>
              <w:adjustRightInd/>
              <w:snapToGrid w:val="0"/>
              <w:spacing w:line="360" w:lineRule="auto"/>
              <w:ind w:firstLine="210" w:firstLineChars="1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6.电子响应文件中须加盖供应商公章部分均采用CA签章，并根据“政府采购项目电子交易管理操作指南-供应商” 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w:t>
            </w:r>
            <w:r>
              <w:rPr>
                <w:rFonts w:hint="eastAsia" w:hAnsi="宋体" w:cs="宋体"/>
                <w:color w:val="auto"/>
                <w:sz w:val="21"/>
                <w:highlight w:val="none"/>
                <w:lang w:val="en-US" w:eastAsia="zh-CN"/>
              </w:rPr>
              <w:t>在</w:t>
            </w:r>
            <w:r>
              <w:rPr>
                <w:rFonts w:hint="eastAsia" w:ascii="宋体" w:hAnsi="宋体" w:eastAsia="宋体" w:cs="宋体"/>
                <w:color w:val="auto"/>
                <w:sz w:val="21"/>
                <w:highlight w:val="none"/>
                <w:lang w:val="en-US"/>
              </w:rPr>
              <w:t>采购文件规定的部位查找不到相关内容的，由供应商自行承担。</w:t>
            </w:r>
          </w:p>
        </w:tc>
      </w:tr>
    </w:tbl>
    <w:p w14:paraId="7351C2B5">
      <w:pPr>
        <w:spacing w:line="40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62" w:name="_Toc6084"/>
      <w:r>
        <w:rPr>
          <w:rFonts w:hint="eastAsia" w:ascii="宋体" w:hAnsi="宋体" w:eastAsia="宋体" w:cs="宋体"/>
          <w:b/>
          <w:color w:val="auto"/>
          <w:sz w:val="32"/>
          <w:szCs w:val="32"/>
          <w:highlight w:val="none"/>
        </w:rPr>
        <w:t>供应商须知正文</w:t>
      </w:r>
      <w:bookmarkEnd w:id="62"/>
    </w:p>
    <w:p w14:paraId="4BE91DE8">
      <w:pPr>
        <w:spacing w:line="400" w:lineRule="exact"/>
        <w:jc w:val="center"/>
        <w:rPr>
          <w:rFonts w:hint="eastAsia" w:ascii="宋体" w:hAnsi="宋体" w:eastAsia="宋体" w:cs="宋体"/>
          <w:b/>
          <w:color w:val="auto"/>
          <w:sz w:val="32"/>
          <w:szCs w:val="32"/>
          <w:highlight w:val="none"/>
        </w:rPr>
      </w:pPr>
    </w:p>
    <w:p w14:paraId="26C484C7">
      <w:pPr>
        <w:spacing w:line="400" w:lineRule="exact"/>
        <w:jc w:val="center"/>
        <w:outlineLvl w:val="1"/>
        <w:rPr>
          <w:rFonts w:hint="eastAsia" w:ascii="宋体" w:hAnsi="宋体" w:eastAsia="宋体" w:cs="宋体"/>
          <w:b/>
          <w:color w:val="auto"/>
          <w:sz w:val="32"/>
          <w:szCs w:val="32"/>
          <w:highlight w:val="none"/>
        </w:rPr>
      </w:pPr>
      <w:bookmarkStart w:id="63" w:name="_Toc535"/>
      <w:r>
        <w:rPr>
          <w:rFonts w:hint="eastAsia" w:ascii="宋体" w:hAnsi="宋体" w:eastAsia="宋体" w:cs="宋体"/>
          <w:b/>
          <w:color w:val="auto"/>
          <w:sz w:val="32"/>
          <w:szCs w:val="32"/>
          <w:highlight w:val="none"/>
        </w:rPr>
        <w:t>一、总则</w:t>
      </w:r>
      <w:bookmarkEnd w:id="63"/>
    </w:p>
    <w:p w14:paraId="2391C3DA">
      <w:pPr>
        <w:spacing w:line="400" w:lineRule="exact"/>
        <w:rPr>
          <w:rFonts w:hint="eastAsia" w:ascii="宋体" w:hAnsi="宋体" w:eastAsia="宋体" w:cs="宋体"/>
          <w:color w:val="auto"/>
          <w:szCs w:val="21"/>
          <w:highlight w:val="none"/>
        </w:rPr>
      </w:pPr>
    </w:p>
    <w:p w14:paraId="1B009BAF">
      <w:pPr>
        <w:spacing w:line="360" w:lineRule="auto"/>
        <w:ind w:firstLine="482" w:firstLineChars="200"/>
        <w:outlineLvl w:val="2"/>
        <w:rPr>
          <w:rFonts w:hint="eastAsia" w:ascii="宋体" w:hAnsi="宋体" w:eastAsia="宋体" w:cs="宋体"/>
          <w:b/>
          <w:bCs/>
          <w:color w:val="auto"/>
          <w:sz w:val="24"/>
          <w:highlight w:val="none"/>
        </w:rPr>
      </w:pPr>
      <w:bookmarkStart w:id="64" w:name="_Toc6780"/>
      <w:r>
        <w:rPr>
          <w:rFonts w:hint="eastAsia" w:ascii="宋体" w:hAnsi="宋体" w:eastAsia="宋体" w:cs="宋体"/>
          <w:b/>
          <w:bCs/>
          <w:color w:val="auto"/>
          <w:sz w:val="24"/>
          <w:highlight w:val="none"/>
        </w:rPr>
        <w:t>1.适用范围</w:t>
      </w:r>
      <w:bookmarkEnd w:id="64"/>
    </w:p>
    <w:p w14:paraId="69FDE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4F85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ECFB081">
      <w:pPr>
        <w:spacing w:line="360" w:lineRule="auto"/>
        <w:ind w:firstLine="482" w:firstLineChars="200"/>
        <w:outlineLvl w:val="2"/>
        <w:rPr>
          <w:rFonts w:hint="eastAsia" w:ascii="宋体" w:hAnsi="宋体" w:eastAsia="宋体" w:cs="宋体"/>
          <w:b/>
          <w:bCs/>
          <w:color w:val="auto"/>
          <w:sz w:val="24"/>
          <w:highlight w:val="none"/>
        </w:rPr>
      </w:pPr>
      <w:bookmarkStart w:id="65" w:name="_Toc15845"/>
      <w:r>
        <w:rPr>
          <w:rFonts w:hint="eastAsia" w:ascii="宋体" w:hAnsi="宋体" w:eastAsia="宋体" w:cs="宋体"/>
          <w:b/>
          <w:bCs/>
          <w:color w:val="auto"/>
          <w:sz w:val="24"/>
          <w:highlight w:val="none"/>
        </w:rPr>
        <w:t>2.定义</w:t>
      </w:r>
      <w:bookmarkEnd w:id="65"/>
    </w:p>
    <w:p w14:paraId="30BA10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7BB624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76F77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4943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4C4C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4117EF8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4C71097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E684FC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2.8“实质性要求”是指磋商文件中已经指明不满足则响应文件按无效响应处理的条款，或者不能负偏离的条款，或者采购需求中带“▲”的条款。</w:t>
      </w:r>
    </w:p>
    <w:p w14:paraId="2ECB796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5615346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2FE295E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117572C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00C60E0B">
      <w:pPr>
        <w:spacing w:line="360" w:lineRule="auto"/>
        <w:ind w:firstLine="482" w:firstLineChars="200"/>
        <w:outlineLvl w:val="2"/>
        <w:rPr>
          <w:rFonts w:hint="eastAsia" w:ascii="宋体" w:hAnsi="宋体" w:eastAsia="宋体" w:cs="宋体"/>
          <w:b/>
          <w:bCs/>
          <w:color w:val="auto"/>
          <w:sz w:val="24"/>
          <w:highlight w:val="none"/>
        </w:rPr>
      </w:pPr>
      <w:bookmarkStart w:id="66" w:name="_Toc30159"/>
      <w:r>
        <w:rPr>
          <w:rFonts w:hint="eastAsia" w:ascii="宋体" w:hAnsi="宋体" w:eastAsia="宋体" w:cs="宋体"/>
          <w:b/>
          <w:bCs/>
          <w:color w:val="auto"/>
          <w:sz w:val="24"/>
          <w:highlight w:val="none"/>
        </w:rPr>
        <w:t>3.供应商的资格条件</w:t>
      </w:r>
      <w:bookmarkEnd w:id="66"/>
    </w:p>
    <w:p w14:paraId="5F70F6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C3ECCE5">
      <w:pPr>
        <w:spacing w:line="360" w:lineRule="auto"/>
        <w:ind w:firstLine="482" w:firstLineChars="200"/>
        <w:outlineLvl w:val="2"/>
        <w:rPr>
          <w:rFonts w:hint="eastAsia" w:ascii="宋体" w:hAnsi="宋体" w:eastAsia="宋体" w:cs="宋体"/>
          <w:b/>
          <w:bCs/>
          <w:color w:val="auto"/>
          <w:sz w:val="24"/>
          <w:highlight w:val="none"/>
        </w:rPr>
      </w:pPr>
      <w:bookmarkStart w:id="67" w:name="_Toc28628"/>
      <w:r>
        <w:rPr>
          <w:rFonts w:hint="eastAsia" w:ascii="宋体" w:hAnsi="宋体" w:eastAsia="宋体" w:cs="宋体"/>
          <w:b/>
          <w:bCs/>
          <w:color w:val="auto"/>
          <w:sz w:val="24"/>
          <w:highlight w:val="none"/>
        </w:rPr>
        <w:t>4.竞标费用</w:t>
      </w:r>
      <w:bookmarkEnd w:id="67"/>
    </w:p>
    <w:p w14:paraId="1F4A3D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供应商应承担参与本次采购活动有关的所有费用，包括但不限于获取磋商文件、勘察现场、编制和提交响应文件、参加磋商与应答、签订合同等，不论竞标结果如何，均应自行承担。</w:t>
      </w:r>
    </w:p>
    <w:p w14:paraId="34EE580C">
      <w:pPr>
        <w:spacing w:line="360" w:lineRule="auto"/>
        <w:ind w:firstLine="482" w:firstLineChars="200"/>
        <w:outlineLvl w:val="2"/>
        <w:rPr>
          <w:rFonts w:hint="eastAsia" w:ascii="宋体" w:hAnsi="宋体" w:eastAsia="宋体" w:cs="宋体"/>
          <w:b/>
          <w:bCs/>
          <w:color w:val="auto"/>
          <w:sz w:val="24"/>
          <w:highlight w:val="none"/>
        </w:rPr>
      </w:pPr>
      <w:bookmarkStart w:id="68" w:name="_Toc17387"/>
      <w:r>
        <w:rPr>
          <w:rFonts w:hint="eastAsia" w:ascii="宋体" w:hAnsi="宋体" w:eastAsia="宋体" w:cs="宋体"/>
          <w:b/>
          <w:bCs/>
          <w:color w:val="auto"/>
          <w:sz w:val="24"/>
          <w:highlight w:val="none"/>
        </w:rPr>
        <w:t>5.联合体竞标</w:t>
      </w:r>
      <w:bookmarkEnd w:id="68"/>
    </w:p>
    <w:p w14:paraId="0D9CAD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45439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D61A5E8">
      <w:pPr>
        <w:spacing w:line="360" w:lineRule="auto"/>
        <w:ind w:firstLine="482" w:firstLineChars="200"/>
        <w:outlineLvl w:val="2"/>
        <w:rPr>
          <w:rFonts w:hint="eastAsia" w:ascii="宋体" w:hAnsi="宋体" w:eastAsia="宋体" w:cs="宋体"/>
          <w:b/>
          <w:bCs/>
          <w:color w:val="auto"/>
          <w:sz w:val="24"/>
          <w:highlight w:val="none"/>
        </w:rPr>
      </w:pPr>
      <w:bookmarkStart w:id="69" w:name="_Toc19169"/>
      <w:r>
        <w:rPr>
          <w:rFonts w:hint="eastAsia" w:ascii="宋体" w:hAnsi="宋体" w:eastAsia="宋体" w:cs="宋体"/>
          <w:b/>
          <w:bCs/>
          <w:color w:val="auto"/>
          <w:sz w:val="24"/>
          <w:highlight w:val="none"/>
        </w:rPr>
        <w:t>6.转包与分包</w:t>
      </w:r>
      <w:bookmarkEnd w:id="69"/>
      <w:r>
        <w:rPr>
          <w:rFonts w:hint="eastAsia" w:ascii="宋体" w:hAnsi="宋体" w:eastAsia="宋体" w:cs="宋体"/>
          <w:b/>
          <w:bCs/>
          <w:color w:val="auto"/>
          <w:sz w:val="24"/>
          <w:highlight w:val="none"/>
        </w:rPr>
        <w:t xml:space="preserve">             </w:t>
      </w:r>
    </w:p>
    <w:p w14:paraId="1F21CF8E">
      <w:pPr>
        <w:keepNext w:val="0"/>
        <w:keepLines w:val="0"/>
        <w:spacing w:before="0" w:after="0" w:line="360" w:lineRule="auto"/>
        <w:ind w:left="0" w:leftChars="0" w:firstLine="420" w:firstLineChars="200"/>
        <w:outlineLvl w:val="9"/>
        <w:rPr>
          <w:rFonts w:hint="eastAsia" w:ascii="宋体" w:hAnsi="宋体" w:eastAsia="宋体" w:cs="宋体"/>
          <w:b w:val="0"/>
          <w:color w:val="auto"/>
          <w:sz w:val="21"/>
          <w:szCs w:val="21"/>
          <w:highlight w:val="none"/>
        </w:rPr>
      </w:pPr>
      <w:bookmarkStart w:id="70" w:name="_Toc254970673"/>
      <w:bookmarkStart w:id="71" w:name="_Toc254970532"/>
      <w:r>
        <w:rPr>
          <w:rFonts w:hint="eastAsia" w:ascii="宋体" w:hAnsi="宋体" w:eastAsia="宋体" w:cs="宋体"/>
          <w:b w:val="0"/>
          <w:color w:val="auto"/>
          <w:sz w:val="21"/>
          <w:szCs w:val="21"/>
          <w:highlight w:val="none"/>
        </w:rPr>
        <w:t>6.1本项目不允许转包。</w:t>
      </w:r>
    </w:p>
    <w:p w14:paraId="520E612A">
      <w:pPr>
        <w:keepNext w:val="0"/>
        <w:keepLines w:val="0"/>
        <w:spacing w:before="0" w:after="0" w:line="360" w:lineRule="auto"/>
        <w:ind w:firstLine="315" w:firstLineChars="15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6.2本项目是否允许分包详见“供应商须知前附表”，本项目不允许违法分包。</w:t>
      </w:r>
    </w:p>
    <w:p w14:paraId="754AC42F">
      <w:pPr>
        <w:spacing w:line="360" w:lineRule="auto"/>
        <w:ind w:firstLine="482" w:firstLineChars="200"/>
        <w:outlineLvl w:val="2"/>
        <w:rPr>
          <w:rFonts w:hint="eastAsia" w:ascii="宋体" w:hAnsi="宋体" w:eastAsia="宋体" w:cs="宋体"/>
          <w:b/>
          <w:bCs/>
          <w:color w:val="auto"/>
          <w:sz w:val="24"/>
          <w:highlight w:val="none"/>
        </w:rPr>
      </w:pPr>
      <w:bookmarkStart w:id="72" w:name="_Toc3899"/>
      <w:r>
        <w:rPr>
          <w:rFonts w:hint="eastAsia" w:ascii="宋体" w:hAnsi="宋体" w:eastAsia="宋体" w:cs="宋体"/>
          <w:b/>
          <w:bCs/>
          <w:color w:val="auto"/>
          <w:sz w:val="24"/>
          <w:highlight w:val="none"/>
        </w:rPr>
        <w:t>7.特别说明</w:t>
      </w:r>
      <w:bookmarkEnd w:id="70"/>
      <w:bookmarkEnd w:id="71"/>
      <w:bookmarkEnd w:id="72"/>
    </w:p>
    <w:p w14:paraId="12ABEFE1">
      <w:pPr>
        <w:spacing w:line="360" w:lineRule="auto"/>
        <w:ind w:firstLine="420" w:firstLineChars="200"/>
        <w:rPr>
          <w:rFonts w:hint="eastAsia" w:ascii="宋体" w:hAnsi="宋体" w:eastAsia="宋体" w:cs="宋体"/>
          <w:color w:val="auto"/>
          <w:szCs w:val="21"/>
          <w:highlight w:val="none"/>
        </w:rPr>
      </w:pPr>
      <w:bookmarkStart w:id="73" w:name="_8.1提供相同品牌产品且通过资格审查、符合性审查的不同投标人参加同一合"/>
      <w:bookmarkEnd w:id="73"/>
      <w:r>
        <w:rPr>
          <w:rFonts w:hint="eastAsia" w:ascii="宋体" w:hAnsi="宋体" w:eastAsia="宋体" w:cs="宋体"/>
          <w:color w:val="auto"/>
          <w:szCs w:val="21"/>
          <w:highlight w:val="none"/>
        </w:rPr>
        <w:t>7.1</w:t>
      </w:r>
      <w:bookmarkStart w:id="7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4"/>
    <w:p w14:paraId="430A8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A6F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0A3BF9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0DDEB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9B036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57E50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654049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56CD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C524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0C6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EAA4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eastAsia="宋体" w:cs="宋体"/>
          <w:color w:val="auto"/>
          <w:szCs w:val="21"/>
          <w:highlight w:val="none"/>
          <w:lang w:eastAsia="zh-CN"/>
        </w:rPr>
        <w:t>，或不同供应商报名的 IP 地址一致的</w:t>
      </w:r>
      <w:r>
        <w:rPr>
          <w:rFonts w:hint="eastAsia" w:ascii="宋体" w:hAnsi="宋体" w:eastAsia="宋体" w:cs="宋体"/>
          <w:color w:val="auto"/>
          <w:szCs w:val="21"/>
          <w:highlight w:val="none"/>
        </w:rPr>
        <w:t xml:space="preserve">； </w:t>
      </w:r>
    </w:p>
    <w:p w14:paraId="4D1155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A1D75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8BA5E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DDC85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C587B8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72A5A7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FC2F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F0FC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0984FE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C2D04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7FA66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0C3FF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E8218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58675AB">
      <w:pPr>
        <w:spacing w:line="360" w:lineRule="auto"/>
        <w:ind w:firstLine="420" w:firstLineChars="200"/>
        <w:rPr>
          <w:rFonts w:hint="eastAsia" w:ascii="宋体" w:hAnsi="宋体" w:eastAsia="宋体" w:cs="宋体"/>
          <w:color w:val="auto"/>
          <w:szCs w:val="21"/>
          <w:highlight w:val="none"/>
        </w:rPr>
      </w:pPr>
    </w:p>
    <w:p w14:paraId="7556224C">
      <w:pPr>
        <w:spacing w:line="360" w:lineRule="auto"/>
        <w:ind w:left="1" w:firstLine="417" w:firstLineChars="199"/>
        <w:jc w:val="center"/>
        <w:rPr>
          <w:rFonts w:hint="eastAsia" w:ascii="宋体" w:hAnsi="宋体" w:eastAsia="宋体" w:cs="宋体"/>
          <w:color w:val="auto"/>
          <w:highlight w:val="none"/>
        </w:rPr>
      </w:pPr>
      <w:bookmarkStart w:id="75" w:name="_Toc254970675"/>
      <w:bookmarkStart w:id="76" w:name="_Toc254970534"/>
    </w:p>
    <w:p w14:paraId="5CF6F926">
      <w:pPr>
        <w:spacing w:line="360" w:lineRule="auto"/>
        <w:jc w:val="center"/>
        <w:outlineLvl w:val="1"/>
        <w:rPr>
          <w:rFonts w:hint="eastAsia" w:ascii="宋体" w:hAnsi="宋体" w:eastAsia="宋体" w:cs="宋体"/>
          <w:b/>
          <w:bCs/>
          <w:color w:val="auto"/>
          <w:sz w:val="32"/>
          <w:szCs w:val="32"/>
          <w:highlight w:val="none"/>
        </w:rPr>
      </w:pPr>
      <w:bookmarkStart w:id="77" w:name="_Toc19882"/>
      <w:r>
        <w:rPr>
          <w:rFonts w:hint="eastAsia" w:ascii="宋体" w:hAnsi="宋体" w:eastAsia="宋体" w:cs="宋体"/>
          <w:b/>
          <w:bCs/>
          <w:color w:val="auto"/>
          <w:sz w:val="32"/>
          <w:szCs w:val="32"/>
          <w:highlight w:val="none"/>
        </w:rPr>
        <w:t>二、磋商文件</w:t>
      </w:r>
      <w:bookmarkEnd w:id="75"/>
      <w:bookmarkEnd w:id="76"/>
      <w:bookmarkEnd w:id="77"/>
    </w:p>
    <w:p w14:paraId="3E5A8078">
      <w:pPr>
        <w:spacing w:line="360" w:lineRule="auto"/>
        <w:rPr>
          <w:rFonts w:hint="eastAsia" w:ascii="宋体" w:hAnsi="宋体" w:eastAsia="宋体" w:cs="宋体"/>
          <w:color w:val="auto"/>
          <w:szCs w:val="21"/>
          <w:highlight w:val="none"/>
        </w:rPr>
      </w:pPr>
    </w:p>
    <w:p w14:paraId="01C6236C">
      <w:pPr>
        <w:spacing w:line="360" w:lineRule="auto"/>
        <w:ind w:firstLine="482" w:firstLineChars="200"/>
        <w:outlineLvl w:val="2"/>
        <w:rPr>
          <w:rFonts w:hint="eastAsia" w:ascii="宋体" w:hAnsi="宋体" w:eastAsia="宋体" w:cs="宋体"/>
          <w:b/>
          <w:bCs/>
          <w:color w:val="auto"/>
          <w:sz w:val="24"/>
          <w:highlight w:val="none"/>
        </w:rPr>
      </w:pPr>
      <w:bookmarkStart w:id="78" w:name="_Toc27225"/>
      <w:r>
        <w:rPr>
          <w:rFonts w:hint="eastAsia" w:ascii="宋体" w:hAnsi="宋体" w:eastAsia="宋体" w:cs="宋体"/>
          <w:b/>
          <w:bCs/>
          <w:color w:val="auto"/>
          <w:sz w:val="24"/>
          <w:highlight w:val="none"/>
        </w:rPr>
        <w:t>8.磋商文件的构成</w:t>
      </w:r>
      <w:bookmarkEnd w:id="78"/>
    </w:p>
    <w:p w14:paraId="5124D1A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6EF263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278911A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2AB11E3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6F4028F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089603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0C491581">
      <w:pPr>
        <w:spacing w:line="360" w:lineRule="auto"/>
        <w:ind w:firstLine="482" w:firstLineChars="200"/>
        <w:outlineLvl w:val="2"/>
        <w:rPr>
          <w:rFonts w:hint="eastAsia" w:ascii="宋体" w:hAnsi="宋体" w:eastAsia="宋体" w:cs="宋体"/>
          <w:b/>
          <w:bCs/>
          <w:color w:val="auto"/>
          <w:sz w:val="24"/>
          <w:highlight w:val="none"/>
        </w:rPr>
      </w:pPr>
      <w:bookmarkStart w:id="79" w:name="_Toc23815"/>
      <w:r>
        <w:rPr>
          <w:rFonts w:hint="eastAsia" w:ascii="宋体" w:hAnsi="宋体" w:eastAsia="宋体" w:cs="宋体"/>
          <w:b/>
          <w:bCs/>
          <w:color w:val="auto"/>
          <w:sz w:val="24"/>
          <w:highlight w:val="none"/>
        </w:rPr>
        <w:t>9.供应商的询问</w:t>
      </w:r>
      <w:bookmarkEnd w:id="79"/>
    </w:p>
    <w:p w14:paraId="65058A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0CB133B">
      <w:pPr>
        <w:spacing w:line="360" w:lineRule="auto"/>
        <w:ind w:firstLine="482" w:firstLineChars="200"/>
        <w:outlineLvl w:val="2"/>
        <w:rPr>
          <w:rFonts w:hint="eastAsia" w:ascii="宋体" w:hAnsi="宋体" w:eastAsia="宋体" w:cs="宋体"/>
          <w:b/>
          <w:bCs/>
          <w:color w:val="auto"/>
          <w:sz w:val="24"/>
          <w:highlight w:val="none"/>
        </w:rPr>
      </w:pPr>
      <w:bookmarkStart w:id="80" w:name="_Toc30910"/>
      <w:r>
        <w:rPr>
          <w:rFonts w:hint="eastAsia" w:ascii="宋体" w:hAnsi="宋体" w:eastAsia="宋体" w:cs="宋体"/>
          <w:b/>
          <w:bCs/>
          <w:color w:val="auto"/>
          <w:sz w:val="24"/>
          <w:highlight w:val="none"/>
        </w:rPr>
        <w:t>10.磋商文件的澄清和修改</w:t>
      </w:r>
      <w:bookmarkEnd w:id="80"/>
    </w:p>
    <w:p w14:paraId="12C6A1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709B94EC">
      <w:pPr>
        <w:spacing w:line="360" w:lineRule="auto"/>
        <w:rPr>
          <w:rFonts w:hint="eastAsia" w:ascii="宋体" w:hAnsi="宋体" w:eastAsia="宋体" w:cs="宋体"/>
          <w:color w:val="auto"/>
          <w:szCs w:val="21"/>
          <w:highlight w:val="none"/>
        </w:rPr>
      </w:pPr>
    </w:p>
    <w:p w14:paraId="0EFD3E56">
      <w:pPr>
        <w:spacing w:line="360" w:lineRule="auto"/>
        <w:jc w:val="center"/>
        <w:outlineLvl w:val="1"/>
        <w:rPr>
          <w:rFonts w:hint="eastAsia" w:ascii="宋体" w:hAnsi="宋体" w:eastAsia="宋体" w:cs="宋体"/>
          <w:b/>
          <w:bCs/>
          <w:color w:val="auto"/>
          <w:szCs w:val="21"/>
          <w:highlight w:val="none"/>
        </w:rPr>
      </w:pPr>
      <w:bookmarkStart w:id="81" w:name="_Toc8328"/>
      <w:r>
        <w:rPr>
          <w:rFonts w:hint="eastAsia" w:ascii="宋体" w:hAnsi="宋体" w:eastAsia="宋体" w:cs="宋体"/>
          <w:b/>
          <w:bCs/>
          <w:color w:val="auto"/>
          <w:sz w:val="32"/>
          <w:szCs w:val="32"/>
          <w:highlight w:val="none"/>
        </w:rPr>
        <w:t>三、响应文件的编制</w:t>
      </w:r>
      <w:bookmarkEnd w:id="81"/>
    </w:p>
    <w:p w14:paraId="15BF4BA5">
      <w:pPr>
        <w:spacing w:line="360" w:lineRule="auto"/>
        <w:rPr>
          <w:rFonts w:hint="eastAsia" w:ascii="宋体" w:hAnsi="宋体" w:eastAsia="宋体" w:cs="宋体"/>
          <w:color w:val="auto"/>
          <w:szCs w:val="21"/>
          <w:highlight w:val="none"/>
        </w:rPr>
      </w:pPr>
    </w:p>
    <w:p w14:paraId="2811CBAB">
      <w:pPr>
        <w:spacing w:line="360" w:lineRule="auto"/>
        <w:ind w:firstLine="482" w:firstLineChars="200"/>
        <w:outlineLvl w:val="2"/>
        <w:rPr>
          <w:rFonts w:hint="eastAsia" w:ascii="宋体" w:hAnsi="宋体" w:eastAsia="宋体" w:cs="宋体"/>
          <w:b/>
          <w:bCs/>
          <w:color w:val="auto"/>
          <w:sz w:val="24"/>
          <w:highlight w:val="none"/>
        </w:rPr>
      </w:pPr>
      <w:bookmarkStart w:id="82" w:name="_Toc30151"/>
      <w:r>
        <w:rPr>
          <w:rFonts w:hint="eastAsia" w:ascii="宋体" w:hAnsi="宋体" w:eastAsia="宋体" w:cs="宋体"/>
          <w:b/>
          <w:bCs/>
          <w:color w:val="auto"/>
          <w:sz w:val="24"/>
          <w:highlight w:val="none"/>
        </w:rPr>
        <w:t>11.响应文件的编制原则</w:t>
      </w:r>
      <w:bookmarkEnd w:id="82"/>
    </w:p>
    <w:p w14:paraId="288139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407E765">
      <w:pPr>
        <w:spacing w:line="360" w:lineRule="auto"/>
        <w:ind w:firstLine="482" w:firstLineChars="200"/>
        <w:outlineLvl w:val="2"/>
        <w:rPr>
          <w:rFonts w:hint="eastAsia" w:ascii="宋体" w:hAnsi="宋体" w:eastAsia="宋体" w:cs="宋体"/>
          <w:b/>
          <w:bCs/>
          <w:color w:val="auto"/>
          <w:sz w:val="24"/>
          <w:highlight w:val="none"/>
        </w:rPr>
      </w:pPr>
      <w:bookmarkStart w:id="83" w:name="_Toc6112"/>
      <w:r>
        <w:rPr>
          <w:rFonts w:hint="eastAsia" w:ascii="宋体" w:hAnsi="宋体" w:eastAsia="宋体" w:cs="宋体"/>
          <w:b/>
          <w:bCs/>
          <w:color w:val="auto"/>
          <w:sz w:val="24"/>
          <w:highlight w:val="none"/>
        </w:rPr>
        <w:t>12.响应文件的组成</w:t>
      </w:r>
      <w:bookmarkEnd w:id="83"/>
    </w:p>
    <w:p w14:paraId="3EEE09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12.1响应文件由资格证明文件、报价商务技术文件</w:t>
      </w:r>
      <w:r>
        <w:rPr>
          <w:rFonts w:hint="eastAsia" w:ascii="宋体" w:hAnsi="宋体" w:cs="宋体"/>
          <w:color w:val="auto"/>
          <w:szCs w:val="21"/>
          <w:highlight w:val="none"/>
          <w:lang w:eastAsia="zh-CN"/>
        </w:rPr>
        <w:t>两</w:t>
      </w:r>
      <w:r>
        <w:rPr>
          <w:rFonts w:hint="eastAsia" w:ascii="宋体" w:hAnsi="宋体" w:eastAsia="宋体" w:cs="宋体"/>
          <w:color w:val="auto"/>
          <w:szCs w:val="21"/>
          <w:highlight w:val="none"/>
        </w:rPr>
        <w:t>部分组成。</w:t>
      </w:r>
    </w:p>
    <w:p w14:paraId="604BFE10">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5412ED8A">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eastAsia="宋体" w:cs="宋体"/>
          <w:color w:val="auto"/>
          <w:kern w:val="0"/>
          <w:sz w:val="21"/>
          <w:szCs w:val="21"/>
          <w:highlight w:val="none"/>
          <w:lang w:val="en-US" w:eastAsia="zh-CN" w:bidi="ar"/>
        </w:rPr>
        <w:t>报价</w:t>
      </w:r>
      <w:r>
        <w:rPr>
          <w:rFonts w:hint="eastAsia" w:ascii="宋体" w:hAnsi="宋体" w:eastAsia="宋体" w:cs="宋体"/>
          <w:color w:val="auto"/>
          <w:szCs w:val="21"/>
          <w:highlight w:val="none"/>
        </w:rPr>
        <w:t>商务技术</w:t>
      </w:r>
      <w:r>
        <w:rPr>
          <w:rFonts w:hint="eastAsia" w:ascii="宋体" w:hAnsi="宋体" w:eastAsia="宋体" w:cs="宋体"/>
          <w:color w:val="auto"/>
          <w:kern w:val="0"/>
          <w:sz w:val="21"/>
          <w:szCs w:val="21"/>
          <w:highlight w:val="none"/>
          <w:lang w:val="en-US" w:eastAsia="zh-CN" w:bidi="ar"/>
        </w:rPr>
        <w:t>文件：详见供应商须知前附表</w:t>
      </w:r>
    </w:p>
    <w:p w14:paraId="6555B481">
      <w:pPr>
        <w:spacing w:line="360" w:lineRule="auto"/>
        <w:ind w:firstLine="482" w:firstLineChars="200"/>
        <w:outlineLvl w:val="2"/>
        <w:rPr>
          <w:rFonts w:hint="eastAsia" w:ascii="宋体" w:hAnsi="宋体" w:eastAsia="宋体" w:cs="宋体"/>
          <w:b/>
          <w:bCs/>
          <w:color w:val="auto"/>
          <w:sz w:val="24"/>
          <w:highlight w:val="none"/>
        </w:rPr>
      </w:pPr>
      <w:bookmarkStart w:id="84" w:name="_Toc29959"/>
      <w:r>
        <w:rPr>
          <w:rFonts w:hint="eastAsia" w:ascii="宋体" w:hAnsi="宋体" w:eastAsia="宋体" w:cs="宋体"/>
          <w:b/>
          <w:bCs/>
          <w:color w:val="auto"/>
          <w:sz w:val="24"/>
          <w:highlight w:val="none"/>
        </w:rPr>
        <w:t>13.计量单位</w:t>
      </w:r>
      <w:bookmarkEnd w:id="84"/>
    </w:p>
    <w:p w14:paraId="30AD45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FF13E66">
      <w:pPr>
        <w:spacing w:line="360" w:lineRule="auto"/>
        <w:ind w:firstLine="482" w:firstLineChars="200"/>
        <w:outlineLvl w:val="2"/>
        <w:rPr>
          <w:rFonts w:hint="eastAsia" w:ascii="宋体" w:hAnsi="宋体" w:eastAsia="宋体" w:cs="宋体"/>
          <w:b/>
          <w:bCs/>
          <w:color w:val="auto"/>
          <w:sz w:val="24"/>
          <w:highlight w:val="none"/>
        </w:rPr>
      </w:pPr>
      <w:bookmarkStart w:id="85" w:name="_Toc22643"/>
      <w:r>
        <w:rPr>
          <w:rFonts w:hint="eastAsia" w:ascii="宋体" w:hAnsi="宋体" w:eastAsia="宋体" w:cs="宋体"/>
          <w:b/>
          <w:bCs/>
          <w:color w:val="auto"/>
          <w:sz w:val="24"/>
          <w:highlight w:val="none"/>
        </w:rPr>
        <w:t>14.竞标的风险</w:t>
      </w:r>
      <w:bookmarkEnd w:id="85"/>
    </w:p>
    <w:p w14:paraId="483E28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1F08938">
      <w:pPr>
        <w:spacing w:line="360" w:lineRule="auto"/>
        <w:ind w:firstLine="482" w:firstLineChars="200"/>
        <w:outlineLvl w:val="2"/>
        <w:rPr>
          <w:rFonts w:hint="eastAsia" w:ascii="宋体" w:hAnsi="宋体" w:eastAsia="宋体" w:cs="宋体"/>
          <w:b/>
          <w:bCs/>
          <w:color w:val="auto"/>
          <w:sz w:val="24"/>
          <w:highlight w:val="none"/>
        </w:rPr>
      </w:pPr>
      <w:bookmarkStart w:id="86" w:name="_Toc11771"/>
      <w:r>
        <w:rPr>
          <w:rFonts w:hint="eastAsia" w:ascii="宋体" w:hAnsi="宋体" w:eastAsia="宋体" w:cs="宋体"/>
          <w:b/>
          <w:bCs/>
          <w:color w:val="auto"/>
          <w:sz w:val="24"/>
          <w:highlight w:val="none"/>
        </w:rPr>
        <w:t>15.竞标报价</w:t>
      </w:r>
      <w:bookmarkEnd w:id="86"/>
    </w:p>
    <w:p w14:paraId="1C8C578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2DD0781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14:paraId="6229ACC9">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38596B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2F823AB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275AF9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41AB7E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47F8F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15.3.2竞标报价（包含首次报价、最后报价）超过所竞标分标规定的采购预算金额或者最高限价的，其响应文件将按无效处理。</w:t>
      </w:r>
    </w:p>
    <w:p w14:paraId="0E7CD1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7" w:name="_Hlk42592874"/>
      <w:r>
        <w:rPr>
          <w:rFonts w:hint="eastAsia" w:ascii="宋体" w:hAnsi="宋体" w:eastAsia="宋体" w:cs="宋体"/>
          <w:color w:val="auto"/>
          <w:szCs w:val="21"/>
          <w:highlight w:val="none"/>
        </w:rPr>
        <w:t>竞标报价（包含首次报价、最后报价）超过分项采购预算金额或者最高限价的，其响应文件将按无效处理。</w:t>
      </w:r>
    </w:p>
    <w:bookmarkEnd w:id="87"/>
    <w:p w14:paraId="7629C2CA">
      <w:pPr>
        <w:spacing w:line="360" w:lineRule="auto"/>
        <w:ind w:firstLine="482" w:firstLineChars="200"/>
        <w:outlineLvl w:val="2"/>
        <w:rPr>
          <w:rFonts w:hint="eastAsia" w:ascii="宋体" w:hAnsi="宋体" w:eastAsia="宋体" w:cs="宋体"/>
          <w:b/>
          <w:bCs/>
          <w:color w:val="auto"/>
          <w:sz w:val="24"/>
          <w:highlight w:val="none"/>
        </w:rPr>
      </w:pPr>
      <w:bookmarkStart w:id="88" w:name="_Toc7342"/>
      <w:r>
        <w:rPr>
          <w:rFonts w:hint="eastAsia" w:ascii="宋体" w:hAnsi="宋体" w:eastAsia="宋体" w:cs="宋体"/>
          <w:b/>
          <w:bCs/>
          <w:color w:val="auto"/>
          <w:sz w:val="24"/>
          <w:highlight w:val="none"/>
        </w:rPr>
        <w:t>16.竞标有效期</w:t>
      </w:r>
      <w:bookmarkEnd w:id="88"/>
    </w:p>
    <w:p w14:paraId="71E8D8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47281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C2ED0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66039B7">
      <w:pPr>
        <w:spacing w:line="360" w:lineRule="auto"/>
        <w:ind w:firstLine="482" w:firstLineChars="200"/>
        <w:outlineLvl w:val="2"/>
        <w:rPr>
          <w:rFonts w:hint="eastAsia" w:ascii="宋体" w:hAnsi="宋体" w:eastAsia="宋体" w:cs="宋体"/>
          <w:b/>
          <w:bCs/>
          <w:color w:val="auto"/>
          <w:sz w:val="24"/>
          <w:highlight w:val="none"/>
        </w:rPr>
      </w:pPr>
      <w:bookmarkStart w:id="89" w:name="_Toc30369"/>
      <w:r>
        <w:rPr>
          <w:rFonts w:hint="eastAsia" w:ascii="宋体" w:hAnsi="宋体" w:eastAsia="宋体" w:cs="宋体"/>
          <w:b/>
          <w:bCs/>
          <w:color w:val="auto"/>
          <w:sz w:val="24"/>
          <w:highlight w:val="none"/>
        </w:rPr>
        <w:t>17.磋商保证金</w:t>
      </w:r>
      <w:bookmarkEnd w:id="89"/>
    </w:p>
    <w:p w14:paraId="2EBC614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A94D201">
      <w:pPr>
        <w:spacing w:line="360" w:lineRule="auto"/>
        <w:ind w:firstLine="482" w:firstLineChars="200"/>
        <w:outlineLvl w:val="2"/>
        <w:rPr>
          <w:rFonts w:hint="eastAsia" w:ascii="宋体" w:hAnsi="宋体" w:eastAsia="宋体" w:cs="宋体"/>
          <w:b/>
          <w:bCs/>
          <w:color w:val="auto"/>
          <w:sz w:val="24"/>
          <w:highlight w:val="none"/>
        </w:rPr>
      </w:pPr>
      <w:bookmarkStart w:id="90" w:name="_Toc23253"/>
      <w:r>
        <w:rPr>
          <w:rFonts w:hint="eastAsia" w:ascii="宋体" w:hAnsi="宋体" w:eastAsia="宋体" w:cs="宋体"/>
          <w:b/>
          <w:bCs/>
          <w:color w:val="auto"/>
          <w:sz w:val="24"/>
          <w:highlight w:val="none"/>
        </w:rPr>
        <w:t>18.响应文件编制的要求</w:t>
      </w:r>
      <w:bookmarkEnd w:id="90"/>
    </w:p>
    <w:p w14:paraId="63981AB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18.1供应商应先安装“广西政府采购云平台电子交易客户端”（请自行前往广西政府采购云</w:t>
      </w:r>
    </w:p>
    <w:p w14:paraId="6BCE1ACD">
      <w:pP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1D31389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eastAsia="宋体" w:cs="宋体"/>
          <w:color w:val="auto"/>
          <w:szCs w:val="21"/>
          <w:highlight w:val="none"/>
          <w:lang w:val="en-US" w:eastAsia="zh-CN"/>
        </w:rPr>
        <w:t>为确保网上操作合法、有效和安全，供应商应当在提交响应文件截止时间前完成在广西政府采购云平台的身份认证，确保在电子竞标过程中能够对相关数据电文进行加密和使用电子签章。</w:t>
      </w:r>
    </w:p>
    <w:p w14:paraId="6A049D4A">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18.3响应文件中标注的供应商名称应与营业执照（事业单位法人证书、执业许可证、自然人身份证）及公章一致，否则其响应文件按无效响应处理。</w:t>
      </w:r>
    </w:p>
    <w:p w14:paraId="0FDE6712">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57359410">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电子响应文件中须加盖供应商公章部分均采用CA签章，并根据“政府采购项目电子交易管理操作指南-供应商”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采购文件规定的部位查找不到相关内容的，由供应商自行承担。</w:t>
      </w:r>
    </w:p>
    <w:p w14:paraId="72D17349">
      <w:pPr>
        <w:spacing w:line="360" w:lineRule="auto"/>
        <w:ind w:firstLine="482" w:firstLineChars="200"/>
        <w:outlineLvl w:val="2"/>
        <w:rPr>
          <w:rFonts w:hint="eastAsia" w:ascii="宋体" w:hAnsi="宋体" w:eastAsia="宋体" w:cs="宋体"/>
          <w:b/>
          <w:bCs/>
          <w:color w:val="auto"/>
          <w:sz w:val="24"/>
          <w:highlight w:val="none"/>
        </w:rPr>
      </w:pPr>
      <w:bookmarkStart w:id="91" w:name="_Toc27520"/>
      <w:r>
        <w:rPr>
          <w:rFonts w:hint="eastAsia" w:ascii="宋体" w:hAnsi="宋体" w:eastAsia="宋体" w:cs="宋体"/>
          <w:b/>
          <w:bCs/>
          <w:color w:val="auto"/>
          <w:sz w:val="24"/>
          <w:highlight w:val="none"/>
        </w:rPr>
        <w:t>19.</w:t>
      </w:r>
      <w:r>
        <w:rPr>
          <w:rFonts w:hint="eastAsia" w:ascii="宋体" w:hAnsi="宋体" w:eastAsia="宋体" w:cs="宋体"/>
          <w:b/>
          <w:bCs/>
          <w:color w:val="auto"/>
          <w:sz w:val="24"/>
          <w:highlight w:val="none"/>
          <w:lang w:val="en-US" w:eastAsia="zh-CN"/>
        </w:rPr>
        <w:t>电子备份响应文件</w:t>
      </w:r>
      <w:bookmarkEnd w:id="91"/>
    </w:p>
    <w:p w14:paraId="6E2EC30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不需要提供电子备份响应文件。</w:t>
      </w:r>
    </w:p>
    <w:p w14:paraId="49B01B6C">
      <w:pPr>
        <w:spacing w:line="360" w:lineRule="auto"/>
        <w:ind w:firstLine="482" w:firstLineChars="200"/>
        <w:outlineLvl w:val="2"/>
        <w:rPr>
          <w:rFonts w:hint="eastAsia" w:ascii="宋体" w:hAnsi="宋体" w:eastAsia="宋体" w:cs="宋体"/>
          <w:b/>
          <w:bCs/>
          <w:color w:val="auto"/>
          <w:sz w:val="24"/>
          <w:highlight w:val="none"/>
        </w:rPr>
      </w:pPr>
      <w:bookmarkStart w:id="92" w:name="_Toc1884"/>
      <w:r>
        <w:rPr>
          <w:rFonts w:hint="eastAsia" w:ascii="宋体" w:hAnsi="宋体" w:eastAsia="宋体" w:cs="宋体"/>
          <w:b/>
          <w:bCs/>
          <w:color w:val="auto"/>
          <w:sz w:val="24"/>
          <w:highlight w:val="none"/>
        </w:rPr>
        <w:t>20.响应文件的提交</w:t>
      </w:r>
      <w:bookmarkEnd w:id="92"/>
    </w:p>
    <w:p w14:paraId="6E5712EE">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w:t>
      </w:r>
      <w:r>
        <w:rPr>
          <w:rFonts w:hint="eastAsia" w:ascii="宋体" w:hAnsi="宋体" w:eastAsia="宋体" w:cs="宋体"/>
          <w:color w:val="auto"/>
          <w:szCs w:val="21"/>
          <w:highlight w:val="none"/>
        </w:rPr>
        <w:t>所有响应文件应于须知前附表中规定的时间前上传递交至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p>
    <w:p w14:paraId="1E844F19">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20.2响应文件递交截止时间前未完成传输的，视为撤回响应文件。响应文件递交截止时间后递交的响应文件，电子交易平台将拒收。</w:t>
      </w:r>
    </w:p>
    <w:p w14:paraId="7CFB9D0F">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如有特殊情况，本项目延长截止时间和开标时间，采购人、采购代理机构和供应商的权利和义务将受到新的截止时间和开标时间的约束。</w:t>
      </w:r>
    </w:p>
    <w:p w14:paraId="2F19B55D">
      <w:pPr>
        <w:spacing w:line="360" w:lineRule="auto"/>
        <w:ind w:firstLine="482" w:firstLineChars="200"/>
        <w:outlineLvl w:val="2"/>
        <w:rPr>
          <w:rFonts w:hint="eastAsia" w:ascii="宋体" w:hAnsi="宋体" w:eastAsia="宋体" w:cs="宋体"/>
          <w:b/>
          <w:bCs/>
          <w:color w:val="auto"/>
          <w:sz w:val="24"/>
          <w:highlight w:val="none"/>
        </w:rPr>
      </w:pPr>
      <w:bookmarkStart w:id="93" w:name="_Toc31003"/>
      <w:r>
        <w:rPr>
          <w:rFonts w:hint="eastAsia" w:ascii="宋体" w:hAnsi="宋体" w:eastAsia="宋体" w:cs="宋体"/>
          <w:b/>
          <w:bCs/>
          <w:color w:val="auto"/>
          <w:sz w:val="24"/>
          <w:highlight w:val="none"/>
        </w:rPr>
        <w:t>21.首次响应文件的补充、修改与撤回</w:t>
      </w:r>
      <w:bookmarkEnd w:id="93"/>
    </w:p>
    <w:p w14:paraId="3CB035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供应商在响应文件提交截止时间前，可以对所提交的电子响应文件进行补充、修改或者撤回。</w:t>
      </w:r>
    </w:p>
    <w:p w14:paraId="512ADD77">
      <w:pPr>
        <w:spacing w:line="360" w:lineRule="auto"/>
        <w:ind w:firstLine="482" w:firstLineChars="200"/>
        <w:outlineLvl w:val="2"/>
        <w:rPr>
          <w:rFonts w:hint="eastAsia" w:ascii="宋体" w:hAnsi="宋体" w:eastAsia="宋体" w:cs="宋体"/>
          <w:b/>
          <w:bCs/>
          <w:color w:val="auto"/>
          <w:sz w:val="24"/>
          <w:highlight w:val="none"/>
        </w:rPr>
      </w:pPr>
      <w:bookmarkStart w:id="94" w:name="_Toc1815"/>
      <w:r>
        <w:rPr>
          <w:rFonts w:hint="eastAsia" w:ascii="宋体" w:hAnsi="宋体" w:eastAsia="宋体" w:cs="宋体"/>
          <w:b/>
          <w:bCs/>
          <w:color w:val="auto"/>
          <w:sz w:val="24"/>
          <w:highlight w:val="none"/>
          <w:lang w:val="en-US" w:eastAsia="zh-CN"/>
        </w:rPr>
        <w:t>22.响应文件的退回</w:t>
      </w:r>
      <w:bookmarkEnd w:id="94"/>
      <w:r>
        <w:rPr>
          <w:rFonts w:hint="eastAsia" w:ascii="宋体" w:hAnsi="宋体" w:eastAsia="宋体" w:cs="宋体"/>
          <w:b/>
          <w:bCs/>
          <w:color w:val="auto"/>
          <w:sz w:val="24"/>
          <w:highlight w:val="none"/>
          <w:lang w:val="en-US" w:eastAsia="zh-CN"/>
        </w:rPr>
        <w:t xml:space="preserve"> </w:t>
      </w:r>
    </w:p>
    <w:p w14:paraId="28CDE6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采购人和采购代理机构对已提交的响应文件概不退回。 </w:t>
      </w:r>
    </w:p>
    <w:p w14:paraId="784D88BC">
      <w:pPr>
        <w:spacing w:line="360" w:lineRule="auto"/>
        <w:ind w:firstLine="482" w:firstLineChars="200"/>
        <w:outlineLvl w:val="2"/>
        <w:rPr>
          <w:rFonts w:hint="eastAsia" w:ascii="宋体" w:hAnsi="宋体" w:eastAsia="宋体" w:cs="宋体"/>
          <w:b/>
          <w:bCs/>
          <w:color w:val="auto"/>
          <w:sz w:val="24"/>
          <w:highlight w:val="none"/>
          <w:lang w:val="en-US" w:eastAsia="zh-CN"/>
        </w:rPr>
      </w:pPr>
      <w:bookmarkStart w:id="95" w:name="_Toc23022"/>
      <w:r>
        <w:rPr>
          <w:rFonts w:hint="eastAsia" w:ascii="宋体" w:hAnsi="宋体" w:eastAsia="宋体" w:cs="宋体"/>
          <w:b/>
          <w:bCs/>
          <w:color w:val="auto"/>
          <w:sz w:val="24"/>
          <w:highlight w:val="none"/>
          <w:lang w:val="en-US" w:eastAsia="zh-CN"/>
        </w:rPr>
        <w:t>23.截止时间后的撤回</w:t>
      </w:r>
      <w:bookmarkEnd w:id="95"/>
      <w:r>
        <w:rPr>
          <w:rFonts w:hint="eastAsia" w:ascii="宋体" w:hAnsi="宋体" w:eastAsia="宋体" w:cs="宋体"/>
          <w:b/>
          <w:bCs/>
          <w:color w:val="auto"/>
          <w:sz w:val="24"/>
          <w:highlight w:val="none"/>
          <w:lang w:val="en-US" w:eastAsia="zh-CN"/>
        </w:rPr>
        <w:t xml:space="preserve"> </w:t>
      </w:r>
    </w:p>
    <w:p w14:paraId="7D8187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响应文件提交截止时间</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lang w:val="en-US" w:eastAsia="zh-CN"/>
        </w:rPr>
        <w:t>不允许撤回响应文件。</w:t>
      </w:r>
    </w:p>
    <w:p w14:paraId="5067A2A1">
      <w:pPr>
        <w:spacing w:line="360" w:lineRule="auto"/>
        <w:rPr>
          <w:rFonts w:hint="eastAsia" w:ascii="宋体" w:hAnsi="宋体" w:eastAsia="宋体" w:cs="宋体"/>
          <w:color w:val="auto"/>
          <w:szCs w:val="21"/>
          <w:highlight w:val="none"/>
        </w:rPr>
      </w:pPr>
    </w:p>
    <w:p w14:paraId="558A3DBF">
      <w:pPr>
        <w:spacing w:line="360" w:lineRule="auto"/>
        <w:ind w:left="420" w:firstLine="420"/>
        <w:jc w:val="center"/>
        <w:outlineLvl w:val="1"/>
        <w:rPr>
          <w:rFonts w:hint="eastAsia" w:ascii="宋体" w:hAnsi="宋体" w:eastAsia="宋体" w:cs="宋体"/>
          <w:b/>
          <w:bCs/>
          <w:color w:val="auto"/>
          <w:sz w:val="32"/>
          <w:szCs w:val="32"/>
          <w:highlight w:val="none"/>
        </w:rPr>
      </w:pPr>
      <w:bookmarkStart w:id="96" w:name="_Toc14262"/>
      <w:r>
        <w:rPr>
          <w:rFonts w:hint="eastAsia" w:ascii="宋体" w:hAnsi="宋体" w:eastAsia="宋体" w:cs="宋体"/>
          <w:b/>
          <w:bCs/>
          <w:color w:val="auto"/>
          <w:sz w:val="32"/>
          <w:szCs w:val="32"/>
          <w:highlight w:val="none"/>
        </w:rPr>
        <w:t>四、评审及磋商</w:t>
      </w:r>
      <w:bookmarkEnd w:id="96"/>
    </w:p>
    <w:p w14:paraId="1E3AADBC">
      <w:pPr>
        <w:spacing w:line="360" w:lineRule="auto"/>
        <w:ind w:left="420" w:firstLine="420"/>
        <w:rPr>
          <w:rFonts w:hint="eastAsia" w:ascii="宋体" w:hAnsi="宋体" w:eastAsia="宋体" w:cs="宋体"/>
          <w:color w:val="auto"/>
          <w:szCs w:val="21"/>
          <w:highlight w:val="none"/>
        </w:rPr>
      </w:pPr>
    </w:p>
    <w:p w14:paraId="5FFF4211">
      <w:pPr>
        <w:spacing w:line="360" w:lineRule="auto"/>
        <w:ind w:firstLine="482" w:firstLineChars="200"/>
        <w:outlineLvl w:val="2"/>
        <w:rPr>
          <w:rFonts w:hint="eastAsia" w:ascii="宋体" w:hAnsi="宋体" w:eastAsia="宋体" w:cs="宋体"/>
          <w:b/>
          <w:bCs/>
          <w:color w:val="auto"/>
          <w:sz w:val="24"/>
          <w:highlight w:val="none"/>
        </w:rPr>
      </w:pPr>
      <w:bookmarkStart w:id="97" w:name="_Toc30054"/>
      <w:r>
        <w:rPr>
          <w:rFonts w:hint="eastAsia" w:ascii="宋体" w:hAnsi="宋体" w:eastAsia="宋体" w:cs="宋体"/>
          <w:b/>
          <w:bCs/>
          <w:color w:val="auto"/>
          <w:sz w:val="24"/>
          <w:highlight w:val="none"/>
        </w:rPr>
        <w:t>24.磋商小组成立</w:t>
      </w:r>
      <w:bookmarkEnd w:id="97"/>
    </w:p>
    <w:p w14:paraId="62175A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w:t>
      </w:r>
    </w:p>
    <w:p w14:paraId="2EF21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64BE4C9">
      <w:pPr>
        <w:spacing w:line="360" w:lineRule="auto"/>
        <w:ind w:firstLine="482" w:firstLineChars="200"/>
        <w:outlineLvl w:val="2"/>
        <w:rPr>
          <w:rFonts w:hint="eastAsia" w:ascii="宋体" w:hAnsi="宋体" w:eastAsia="宋体" w:cs="宋体"/>
          <w:color w:val="auto"/>
          <w:szCs w:val="21"/>
          <w:highlight w:val="none"/>
        </w:rPr>
      </w:pPr>
      <w:bookmarkStart w:id="98" w:name="_Toc26993"/>
      <w:r>
        <w:rPr>
          <w:rFonts w:hint="eastAsia" w:ascii="宋体" w:hAnsi="宋体" w:eastAsia="宋体" w:cs="宋体"/>
          <w:b/>
          <w:bCs/>
          <w:color w:val="auto"/>
          <w:sz w:val="24"/>
          <w:highlight w:val="none"/>
        </w:rPr>
        <w:t>25.首次响应文件的开启和解密</w:t>
      </w:r>
      <w:bookmarkEnd w:id="98"/>
    </w:p>
    <w:p w14:paraId="767C4B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供应商的法定代表人或其委托代理人须携带加密时所用的 CA 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2E38879D">
      <w:pPr>
        <w:spacing w:line="360" w:lineRule="auto"/>
        <w:ind w:firstLine="482" w:firstLineChars="200"/>
        <w:outlineLvl w:val="2"/>
        <w:rPr>
          <w:rFonts w:hint="eastAsia" w:ascii="宋体" w:hAnsi="宋体" w:eastAsia="宋体" w:cs="宋体"/>
          <w:b/>
          <w:bCs/>
          <w:color w:val="auto"/>
          <w:sz w:val="24"/>
          <w:highlight w:val="none"/>
        </w:rPr>
      </w:pPr>
      <w:bookmarkStart w:id="99" w:name="_Toc12140"/>
      <w:r>
        <w:rPr>
          <w:rFonts w:hint="eastAsia" w:ascii="宋体" w:hAnsi="宋体" w:eastAsia="宋体" w:cs="宋体"/>
          <w:b/>
          <w:bCs/>
          <w:color w:val="auto"/>
          <w:sz w:val="24"/>
          <w:highlight w:val="none"/>
        </w:rPr>
        <w:t>26.评审程序、评审方法和评审标准</w:t>
      </w:r>
      <w:bookmarkEnd w:id="99"/>
    </w:p>
    <w:p w14:paraId="474384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350E33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169871D6">
      <w:pPr>
        <w:spacing w:line="360" w:lineRule="auto"/>
        <w:ind w:firstLine="482" w:firstLineChars="200"/>
        <w:outlineLvl w:val="2"/>
        <w:rPr>
          <w:rFonts w:hint="eastAsia" w:ascii="宋体" w:hAnsi="宋体" w:eastAsia="宋体" w:cs="宋体"/>
          <w:b/>
          <w:bCs/>
          <w:color w:val="auto"/>
          <w:sz w:val="24"/>
          <w:highlight w:val="none"/>
        </w:rPr>
      </w:pPr>
      <w:bookmarkStart w:id="100" w:name="_Toc15062"/>
      <w:r>
        <w:rPr>
          <w:rFonts w:hint="eastAsia" w:ascii="宋体" w:hAnsi="宋体" w:eastAsia="宋体" w:cs="宋体"/>
          <w:b/>
          <w:bCs/>
          <w:color w:val="auto"/>
          <w:sz w:val="24"/>
          <w:highlight w:val="none"/>
        </w:rPr>
        <w:t>27.确定成交供应商及结果公告</w:t>
      </w:r>
      <w:bookmarkEnd w:id="100"/>
    </w:p>
    <w:p w14:paraId="2B4D2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939D6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01"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01"/>
    </w:p>
    <w:p w14:paraId="4764C8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40A69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87FCE4E">
      <w:pPr>
        <w:spacing w:line="360" w:lineRule="auto"/>
        <w:ind w:firstLine="482" w:firstLineChars="200"/>
        <w:outlineLvl w:val="2"/>
        <w:rPr>
          <w:rFonts w:hint="eastAsia" w:ascii="宋体" w:hAnsi="宋体" w:eastAsia="宋体" w:cs="宋体"/>
          <w:b/>
          <w:bCs/>
          <w:color w:val="auto"/>
          <w:sz w:val="24"/>
          <w:highlight w:val="none"/>
        </w:rPr>
      </w:pPr>
      <w:bookmarkStart w:id="102" w:name="_Toc30078"/>
      <w:r>
        <w:rPr>
          <w:rFonts w:hint="eastAsia" w:ascii="宋体" w:hAnsi="宋体" w:eastAsia="宋体" w:cs="宋体"/>
          <w:b/>
          <w:bCs/>
          <w:color w:val="auto"/>
          <w:sz w:val="24"/>
          <w:highlight w:val="none"/>
        </w:rPr>
        <w:t>28.履约保证金</w:t>
      </w:r>
      <w:bookmarkEnd w:id="102"/>
    </w:p>
    <w:p w14:paraId="665BA57D">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本项目不收取履约保证金。</w:t>
      </w:r>
    </w:p>
    <w:p w14:paraId="2189DE43">
      <w:pPr>
        <w:spacing w:line="360" w:lineRule="auto"/>
        <w:ind w:firstLine="482" w:firstLineChars="200"/>
        <w:outlineLvl w:val="2"/>
        <w:rPr>
          <w:rFonts w:hint="eastAsia" w:ascii="宋体" w:hAnsi="宋体" w:eastAsia="宋体" w:cs="宋体"/>
          <w:b/>
          <w:bCs/>
          <w:color w:val="auto"/>
          <w:sz w:val="24"/>
          <w:highlight w:val="none"/>
        </w:rPr>
      </w:pPr>
      <w:bookmarkStart w:id="103" w:name="_Toc4097"/>
      <w:r>
        <w:rPr>
          <w:rFonts w:hint="eastAsia" w:ascii="宋体" w:hAnsi="宋体" w:eastAsia="宋体" w:cs="宋体"/>
          <w:b/>
          <w:bCs/>
          <w:color w:val="auto"/>
          <w:sz w:val="24"/>
          <w:highlight w:val="none"/>
        </w:rPr>
        <w:t>29.签订合同</w:t>
      </w:r>
      <w:bookmarkEnd w:id="103"/>
    </w:p>
    <w:p w14:paraId="049DB46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29.1成交供应商在收到成交通知书后，应当在签订合同时向采购人出示相关证明材料，具体内容详见“供应商须知前附表”，经采购人核验合格后方可签订</w:t>
      </w:r>
      <w:r>
        <w:rPr>
          <w:rFonts w:hint="eastAsia" w:ascii="宋体" w:hAnsi="宋体" w:eastAsia="宋体" w:cs="宋体"/>
          <w:color w:val="auto"/>
          <w:szCs w:val="21"/>
          <w:highlight w:val="none"/>
          <w:lang w:eastAsia="zh-CN"/>
        </w:rPr>
        <w:t>电子</w:t>
      </w:r>
      <w:r>
        <w:rPr>
          <w:rFonts w:hint="eastAsia" w:ascii="宋体" w:hAnsi="宋体" w:eastAsia="宋体" w:cs="宋体"/>
          <w:color w:val="auto"/>
          <w:szCs w:val="21"/>
          <w:highlight w:val="none"/>
        </w:rPr>
        <w:t>合同。</w:t>
      </w:r>
    </w:p>
    <w:p w14:paraId="622A607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lang w:val="en-US" w:eastAsia="zh-CN"/>
        </w:rPr>
        <w:t>通知书发出之日起 25 日内。</w:t>
      </w:r>
    </w:p>
    <w:p w14:paraId="6F0CFA8C">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29.3成交供应商拒绝签订政府采购和或者放弃成交或者因不可抗力提出不能履行合同，采购人可以按照评审报告推荐的成交候选人名单排序，确定下一候选人为成交供应商，也可以重新开展政府采购活动。拒绝签订政府采购合同的成交供应商不得参加对该合同项重新开展的采购活动</w:t>
      </w:r>
      <w:r>
        <w:rPr>
          <w:rFonts w:hint="eastAsia" w:ascii="宋体" w:hAnsi="宋体" w:eastAsia="宋体" w:cs="宋体"/>
          <w:color w:val="auto"/>
          <w:szCs w:val="21"/>
          <w:highlight w:val="none"/>
          <w:lang w:eastAsia="zh-CN"/>
        </w:rPr>
        <w:t>。</w:t>
      </w:r>
    </w:p>
    <w:p w14:paraId="26279EAA">
      <w:pPr>
        <w:spacing w:line="360" w:lineRule="auto"/>
        <w:ind w:firstLine="482" w:firstLineChars="200"/>
        <w:outlineLvl w:val="2"/>
        <w:rPr>
          <w:rFonts w:hint="eastAsia" w:ascii="宋体" w:hAnsi="宋体" w:eastAsia="宋体" w:cs="宋体"/>
          <w:b/>
          <w:bCs/>
          <w:color w:val="auto"/>
          <w:sz w:val="24"/>
          <w:highlight w:val="none"/>
        </w:rPr>
      </w:pPr>
      <w:bookmarkStart w:id="104" w:name="_Toc32114"/>
      <w:r>
        <w:rPr>
          <w:rFonts w:hint="eastAsia" w:ascii="宋体" w:hAnsi="宋体" w:eastAsia="宋体" w:cs="宋体"/>
          <w:b/>
          <w:bCs/>
          <w:color w:val="auto"/>
          <w:sz w:val="24"/>
          <w:highlight w:val="none"/>
        </w:rPr>
        <w:t>30.政府采购合同公告</w:t>
      </w:r>
      <w:bookmarkEnd w:id="104"/>
    </w:p>
    <w:p w14:paraId="6B140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7E58C09">
      <w:pPr>
        <w:spacing w:line="360" w:lineRule="auto"/>
        <w:ind w:firstLine="482" w:firstLineChars="200"/>
        <w:outlineLvl w:val="2"/>
        <w:rPr>
          <w:rFonts w:hint="eastAsia" w:ascii="宋体" w:hAnsi="宋体" w:eastAsia="宋体" w:cs="宋体"/>
          <w:b/>
          <w:bCs/>
          <w:color w:val="auto"/>
          <w:sz w:val="24"/>
          <w:highlight w:val="none"/>
        </w:rPr>
      </w:pPr>
      <w:bookmarkStart w:id="105" w:name="_Toc26846"/>
      <w:r>
        <w:rPr>
          <w:rFonts w:hint="eastAsia" w:ascii="宋体" w:hAnsi="宋体" w:eastAsia="宋体" w:cs="宋体"/>
          <w:b/>
          <w:bCs/>
          <w:color w:val="auto"/>
          <w:sz w:val="24"/>
          <w:highlight w:val="none"/>
        </w:rPr>
        <w:t>31. 询问、质疑和投诉</w:t>
      </w:r>
      <w:bookmarkEnd w:id="105"/>
    </w:p>
    <w:p w14:paraId="75545D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F7971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4C1DD0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0C527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6A19AC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76139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23A5A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ACC47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8C608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30D60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D0770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3D812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E9D8F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D9F3C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0CA99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8DC79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9E3A8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3290B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2773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1F8CEE2">
      <w:pPr>
        <w:spacing w:line="360" w:lineRule="auto"/>
        <w:ind w:firstLine="482" w:firstLineChars="200"/>
        <w:outlineLvl w:val="2"/>
        <w:rPr>
          <w:rFonts w:hint="eastAsia" w:ascii="宋体" w:hAnsi="宋体" w:eastAsia="宋体" w:cs="宋体"/>
          <w:b/>
          <w:bCs/>
          <w:color w:val="auto"/>
          <w:sz w:val="24"/>
          <w:highlight w:val="none"/>
        </w:rPr>
      </w:pPr>
      <w:bookmarkStart w:id="106" w:name="_Toc2892"/>
      <w:r>
        <w:rPr>
          <w:rFonts w:hint="eastAsia" w:ascii="宋体" w:hAnsi="宋体" w:eastAsia="宋体" w:cs="宋体"/>
          <w:b/>
          <w:bCs/>
          <w:color w:val="auto"/>
          <w:sz w:val="24"/>
          <w:highlight w:val="none"/>
        </w:rPr>
        <w:t>32.其他内容</w:t>
      </w:r>
      <w:bookmarkEnd w:id="106"/>
    </w:p>
    <w:p w14:paraId="4325551A">
      <w:pPr>
        <w:tabs>
          <w:tab w:val="left" w:pos="2835"/>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32.1代理服务收费标准及缴费账户详见“供应商须知前附表”，供应商为联合体的，可以由联合体中的一方或者多方共同缴纳代理服务费。</w:t>
      </w:r>
    </w:p>
    <w:p w14:paraId="1E11FFF8">
      <w:pPr>
        <w:spacing w:line="360" w:lineRule="auto"/>
        <w:ind w:firstLine="482" w:firstLineChars="200"/>
        <w:outlineLvl w:val="2"/>
        <w:rPr>
          <w:rFonts w:hint="eastAsia" w:ascii="宋体" w:hAnsi="宋体" w:eastAsia="宋体" w:cs="宋体"/>
          <w:b/>
          <w:bCs/>
          <w:color w:val="auto"/>
          <w:sz w:val="24"/>
          <w:highlight w:val="none"/>
        </w:rPr>
      </w:pPr>
      <w:bookmarkStart w:id="107" w:name="_Toc13851"/>
      <w:r>
        <w:rPr>
          <w:rFonts w:hint="eastAsia" w:ascii="宋体" w:hAnsi="宋体" w:eastAsia="宋体" w:cs="宋体"/>
          <w:b/>
          <w:bCs/>
          <w:color w:val="auto"/>
          <w:sz w:val="24"/>
          <w:highlight w:val="none"/>
        </w:rPr>
        <w:t>33.需要补充的其他内容</w:t>
      </w:r>
      <w:bookmarkEnd w:id="107"/>
    </w:p>
    <w:p w14:paraId="50BFAB29">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33.1本磋商文件解释规则详见“供应商须知前附表”。</w:t>
      </w:r>
    </w:p>
    <w:p w14:paraId="5DCAA349">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33.2 其他事项详见“供应商须知前附表”。</w:t>
      </w:r>
    </w:p>
    <w:p w14:paraId="5A15AF1A">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0E0592D8">
      <w:pPr>
        <w:pStyle w:val="20"/>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C873B48">
      <w:pPr>
        <w:pStyle w:val="20"/>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4CDF6C12">
      <w:pPr>
        <w:pStyle w:val="20"/>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（3）在服务采购项目中，服务由中小企业承接，即提供服务的人员为中小企业依照《中华人民共和国民法典》订立劳动合同的从业人员，不对其中涉及的货物的制造商和工程承建商作出要求。</w:t>
      </w:r>
    </w:p>
    <w:p w14:paraId="712E04BB">
      <w:pPr>
        <w:pStyle w:val="20"/>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96D57E3">
      <w:pPr>
        <w:pStyle w:val="20"/>
        <w:spacing w:line="360" w:lineRule="auto"/>
        <w:ind w:firstLine="420" w:firstLineChars="200"/>
        <w:textAlignment w:val="center"/>
        <w:rPr>
          <w:rFonts w:hint="eastAsia" w:ascii="宋体" w:hAnsi="宋体" w:eastAsia="宋体" w:cs="宋体"/>
          <w:color w:val="auto"/>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386C4695">
      <w:pPr>
        <w:spacing w:line="360" w:lineRule="auto"/>
        <w:ind w:firstLine="420" w:firstLineChars="200"/>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rPr>
        <w:t>33.</w:t>
      </w:r>
      <w:r>
        <w:rPr>
          <w:rFonts w:hint="eastAsia" w:ascii="宋体" w:hAnsi="宋体" w:eastAsia="宋体" w:cs="宋体"/>
          <w:color w:val="auto"/>
          <w:kern w:val="2"/>
          <w:sz w:val="21"/>
          <w:highlight w:val="none"/>
          <w:lang w:val="en-US" w:eastAsia="zh-CN"/>
        </w:rPr>
        <w:t>4:本项目所属行业为：</w:t>
      </w:r>
      <w:r>
        <w:rPr>
          <w:rFonts w:hint="eastAsia" w:ascii="宋体" w:hAnsi="宋体" w:cs="宋体"/>
          <w:color w:val="auto"/>
          <w:kern w:val="2"/>
          <w:sz w:val="21"/>
          <w:highlight w:val="none"/>
          <w:lang w:val="en-US" w:eastAsia="zh-CN"/>
        </w:rPr>
        <w:t>物业管理</w:t>
      </w:r>
    </w:p>
    <w:p w14:paraId="6C3E8AA4">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Cs/>
          <w:color w:val="auto"/>
          <w:sz w:val="32"/>
          <w:szCs w:val="32"/>
          <w:highlight w:val="none"/>
        </w:rPr>
        <w:t>附件1：</w:t>
      </w:r>
    </w:p>
    <w:p w14:paraId="7CD1029D">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5C2CC0FA">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79FB7BA7">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D962A2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9A561BB">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4B3B762D">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委托验收</w:t>
            </w:r>
          </w:p>
        </w:tc>
      </w:tr>
      <w:tr w14:paraId="4C215CFB">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FE69DE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4B63E95C">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58C4FD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4F17662">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168C52AD">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2AEEEE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29FB67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C36289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81884C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C76120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801EB1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09143D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3D7616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D18EAC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5DE931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A5CC3B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C3501C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DB14DC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95E594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96F67D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8F6826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3CF1A7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A0D78C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4A73D5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8B79455">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5B399BB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3114CB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E67C80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B049545">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0C20A94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E3E7228">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42DCF8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F28A2AE">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5A2FEC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E48E53F">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A31A23">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BBB3403">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03C7E10">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5BF6A8">
            <w:pPr>
              <w:widowControl/>
              <w:spacing w:before="100" w:beforeAutospacing="1" w:after="100" w:afterAutospacing="1" w:line="320"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6A6EEDE2">
            <w:pPr>
              <w:widowControl/>
              <w:spacing w:before="100" w:beforeAutospacing="1" w:after="100" w:afterAutospacing="1" w:line="320" w:lineRule="atLeast"/>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D38B91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0C081A99">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05A1A71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60CA7A8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60BEB2F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561F6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5E71B5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E96C6F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751DB054">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2909D5DD">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D41D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6B1E1E74">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324948B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60FADE18">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BCC13F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6B92457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5CE56851">
      <w:pPr>
        <w:rPr>
          <w:rFonts w:hint="eastAsia" w:ascii="宋体" w:hAnsi="宋体" w:eastAsia="宋体" w:cs="宋体"/>
          <w:color w:val="auto"/>
          <w:kern w:val="0"/>
          <w:sz w:val="20"/>
          <w:szCs w:val="21"/>
          <w:highlight w:val="none"/>
        </w:rPr>
      </w:pPr>
      <w:r>
        <w:rPr>
          <w:rFonts w:hint="eastAsia" w:ascii="宋体" w:hAnsi="宋体" w:eastAsia="宋体" w:cs="宋体"/>
          <w:b/>
          <w:color w:val="auto"/>
          <w:kern w:val="0"/>
          <w:sz w:val="20"/>
          <w:szCs w:val="21"/>
          <w:highlight w:val="none"/>
        </w:rPr>
        <w:br w:type="page"/>
      </w:r>
    </w:p>
    <w:p w14:paraId="1DEBF038">
      <w:pPr>
        <w:rPr>
          <w:rFonts w:hint="eastAsia" w:ascii="宋体" w:hAnsi="宋体" w:eastAsia="宋体" w:cs="宋体"/>
          <w:color w:val="auto"/>
          <w:highlight w:val="none"/>
        </w:rPr>
      </w:pPr>
      <w:r>
        <w:rPr>
          <w:rFonts w:hint="eastAsia" w:ascii="宋体" w:hAnsi="宋体" w:eastAsia="宋体" w:cs="宋体"/>
          <w:color w:val="auto"/>
          <w:highlight w:val="none"/>
        </w:rPr>
        <w:t>附表</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：统计上大中小微型企业划分标准</w:t>
      </w:r>
    </w:p>
    <w:p w14:paraId="2986C23D">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统计上大中小微型企业划分标准</w:t>
      </w:r>
    </w:p>
    <w:p w14:paraId="6474EAC4">
      <w:pPr>
        <w:jc w:val="center"/>
        <w:rPr>
          <w:rFonts w:hint="eastAsia" w:ascii="宋体" w:hAnsi="宋体" w:eastAsia="宋体" w:cs="宋体"/>
          <w:b/>
          <w:bCs/>
          <w:color w:val="auto"/>
          <w:highlight w:val="none"/>
        </w:rPr>
      </w:pPr>
    </w:p>
    <w:tbl>
      <w:tblPr>
        <w:tblStyle w:val="33"/>
        <w:tblW w:w="8996" w:type="dxa"/>
        <w:jc w:val="center"/>
        <w:tblLayout w:type="fixed"/>
        <w:tblCellMar>
          <w:top w:w="0" w:type="dxa"/>
          <w:left w:w="108" w:type="dxa"/>
          <w:bottom w:w="0" w:type="dxa"/>
          <w:right w:w="108" w:type="dxa"/>
        </w:tblCellMar>
      </w:tblPr>
      <w:tblGrid>
        <w:gridCol w:w="1917"/>
        <w:gridCol w:w="1561"/>
        <w:gridCol w:w="1028"/>
        <w:gridCol w:w="1825"/>
        <w:gridCol w:w="1623"/>
        <w:gridCol w:w="1042"/>
      </w:tblGrid>
      <w:tr w14:paraId="23899CBA">
        <w:tblPrEx>
          <w:tblCellMar>
            <w:top w:w="0" w:type="dxa"/>
            <w:left w:w="108" w:type="dxa"/>
            <w:bottom w:w="0" w:type="dxa"/>
            <w:right w:w="108" w:type="dxa"/>
          </w:tblCellMar>
        </w:tblPrEx>
        <w:trPr>
          <w:trHeight w:val="357"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14:paraId="244038AE">
            <w:pPr>
              <w:widowControl/>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行业名称</w:t>
            </w:r>
          </w:p>
        </w:tc>
        <w:tc>
          <w:tcPr>
            <w:tcW w:w="1561" w:type="dxa"/>
            <w:tcBorders>
              <w:top w:val="single" w:color="auto" w:sz="4" w:space="0"/>
              <w:left w:val="nil"/>
              <w:bottom w:val="single" w:color="auto" w:sz="4" w:space="0"/>
              <w:right w:val="single" w:color="auto" w:sz="4" w:space="0"/>
            </w:tcBorders>
            <w:noWrap w:val="0"/>
            <w:vAlign w:val="center"/>
          </w:tcPr>
          <w:p w14:paraId="16DD3361">
            <w:pPr>
              <w:widowControl/>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指标名称</w:t>
            </w:r>
          </w:p>
        </w:tc>
        <w:tc>
          <w:tcPr>
            <w:tcW w:w="1028" w:type="dxa"/>
            <w:tcBorders>
              <w:top w:val="single" w:color="auto" w:sz="4" w:space="0"/>
              <w:left w:val="nil"/>
              <w:bottom w:val="single" w:color="auto" w:sz="4" w:space="0"/>
              <w:right w:val="single" w:color="auto" w:sz="4" w:space="0"/>
            </w:tcBorders>
            <w:noWrap w:val="0"/>
            <w:vAlign w:val="center"/>
          </w:tcPr>
          <w:p w14:paraId="574FF9D2">
            <w:pPr>
              <w:widowControl/>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计量单位</w:t>
            </w:r>
          </w:p>
        </w:tc>
        <w:tc>
          <w:tcPr>
            <w:tcW w:w="1825" w:type="dxa"/>
            <w:tcBorders>
              <w:top w:val="single" w:color="auto" w:sz="4" w:space="0"/>
              <w:left w:val="nil"/>
              <w:bottom w:val="single" w:color="auto" w:sz="4" w:space="0"/>
              <w:right w:val="single" w:color="auto" w:sz="4" w:space="0"/>
            </w:tcBorders>
            <w:noWrap w:val="0"/>
            <w:vAlign w:val="center"/>
          </w:tcPr>
          <w:p w14:paraId="30F7B6B7">
            <w:pPr>
              <w:widowControl/>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中型</w:t>
            </w:r>
          </w:p>
        </w:tc>
        <w:tc>
          <w:tcPr>
            <w:tcW w:w="1623" w:type="dxa"/>
            <w:tcBorders>
              <w:top w:val="single" w:color="auto" w:sz="4" w:space="0"/>
              <w:left w:val="nil"/>
              <w:bottom w:val="single" w:color="auto" w:sz="4" w:space="0"/>
              <w:right w:val="single" w:color="auto" w:sz="4" w:space="0"/>
            </w:tcBorders>
            <w:noWrap w:val="0"/>
            <w:vAlign w:val="center"/>
          </w:tcPr>
          <w:p w14:paraId="152E6757">
            <w:pPr>
              <w:widowControl/>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小型</w:t>
            </w:r>
          </w:p>
        </w:tc>
        <w:tc>
          <w:tcPr>
            <w:tcW w:w="1042" w:type="dxa"/>
            <w:tcBorders>
              <w:top w:val="single" w:color="auto" w:sz="4" w:space="0"/>
              <w:left w:val="nil"/>
              <w:bottom w:val="single" w:color="auto" w:sz="4" w:space="0"/>
              <w:right w:val="single" w:color="auto" w:sz="4" w:space="0"/>
            </w:tcBorders>
            <w:noWrap w:val="0"/>
            <w:vAlign w:val="center"/>
          </w:tcPr>
          <w:p w14:paraId="423250AC">
            <w:pPr>
              <w:widowControl/>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微型</w:t>
            </w:r>
          </w:p>
        </w:tc>
      </w:tr>
      <w:tr w14:paraId="63C87699">
        <w:tblPrEx>
          <w:tblCellMar>
            <w:top w:w="0" w:type="dxa"/>
            <w:left w:w="108" w:type="dxa"/>
            <w:bottom w:w="0" w:type="dxa"/>
            <w:right w:w="108" w:type="dxa"/>
          </w:tblCellMar>
        </w:tblPrEx>
        <w:trPr>
          <w:trHeight w:val="357" w:hRule="atLeast"/>
          <w:jc w:val="center"/>
        </w:trPr>
        <w:tc>
          <w:tcPr>
            <w:tcW w:w="1917" w:type="dxa"/>
            <w:tcBorders>
              <w:top w:val="nil"/>
              <w:left w:val="single" w:color="auto" w:sz="4" w:space="0"/>
              <w:bottom w:val="single" w:color="auto" w:sz="4" w:space="0"/>
              <w:right w:val="single" w:color="auto" w:sz="4" w:space="0"/>
            </w:tcBorders>
            <w:noWrap w:val="0"/>
            <w:vAlign w:val="bottom"/>
          </w:tcPr>
          <w:p w14:paraId="6ACC487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561" w:type="dxa"/>
            <w:tcBorders>
              <w:top w:val="nil"/>
              <w:left w:val="nil"/>
              <w:bottom w:val="single" w:color="auto" w:sz="4" w:space="0"/>
              <w:right w:val="single" w:color="auto" w:sz="4" w:space="0"/>
            </w:tcBorders>
            <w:noWrap w:val="0"/>
            <w:vAlign w:val="center"/>
          </w:tcPr>
          <w:p w14:paraId="1F78B9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4D12BD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543C90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23" w:type="dxa"/>
            <w:tcBorders>
              <w:top w:val="nil"/>
              <w:left w:val="nil"/>
              <w:bottom w:val="single" w:color="auto" w:sz="4" w:space="0"/>
              <w:right w:val="single" w:color="auto" w:sz="4" w:space="0"/>
            </w:tcBorders>
            <w:noWrap w:val="0"/>
            <w:vAlign w:val="center"/>
          </w:tcPr>
          <w:p w14:paraId="4D87FF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042" w:type="dxa"/>
            <w:tcBorders>
              <w:top w:val="nil"/>
              <w:left w:val="nil"/>
              <w:bottom w:val="single" w:color="auto" w:sz="4" w:space="0"/>
              <w:right w:val="single" w:color="auto" w:sz="4" w:space="0"/>
            </w:tcBorders>
            <w:noWrap w:val="0"/>
            <w:vAlign w:val="center"/>
          </w:tcPr>
          <w:p w14:paraId="137E55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890F3C0">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2335D14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r>
              <w:rPr>
                <w:rFonts w:hint="eastAsia" w:ascii="宋体" w:hAnsi="宋体" w:eastAsia="宋体" w:cs="宋体"/>
                <w:color w:val="auto"/>
                <w:kern w:val="0"/>
                <w:sz w:val="18"/>
                <w:szCs w:val="18"/>
                <w:highlight w:val="none"/>
              </w:rPr>
              <w:t>*</w:t>
            </w:r>
          </w:p>
        </w:tc>
        <w:tc>
          <w:tcPr>
            <w:tcW w:w="1561" w:type="dxa"/>
            <w:tcBorders>
              <w:top w:val="nil"/>
              <w:left w:val="nil"/>
              <w:bottom w:val="single" w:color="auto" w:sz="4" w:space="0"/>
              <w:right w:val="single" w:color="auto" w:sz="4" w:space="0"/>
            </w:tcBorders>
            <w:noWrap w:val="0"/>
            <w:vAlign w:val="center"/>
          </w:tcPr>
          <w:p w14:paraId="7A98B5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4CC374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64AA9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3" w:type="dxa"/>
            <w:tcBorders>
              <w:top w:val="nil"/>
              <w:left w:val="nil"/>
              <w:bottom w:val="single" w:color="auto" w:sz="4" w:space="0"/>
              <w:right w:val="single" w:color="auto" w:sz="4" w:space="0"/>
            </w:tcBorders>
            <w:noWrap w:val="0"/>
            <w:vAlign w:val="center"/>
          </w:tcPr>
          <w:p w14:paraId="00A4D1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42" w:type="dxa"/>
            <w:tcBorders>
              <w:top w:val="nil"/>
              <w:left w:val="nil"/>
              <w:bottom w:val="single" w:color="auto" w:sz="4" w:space="0"/>
              <w:right w:val="single" w:color="auto" w:sz="4" w:space="0"/>
            </w:tcBorders>
            <w:noWrap w:val="0"/>
            <w:vAlign w:val="center"/>
          </w:tcPr>
          <w:p w14:paraId="50791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153D5B">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671F9D9E">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3D6486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789359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0A5FDE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23" w:type="dxa"/>
            <w:tcBorders>
              <w:top w:val="nil"/>
              <w:left w:val="nil"/>
              <w:bottom w:val="single" w:color="auto" w:sz="4" w:space="0"/>
              <w:right w:val="single" w:color="auto" w:sz="4" w:space="0"/>
            </w:tcBorders>
            <w:noWrap w:val="0"/>
            <w:vAlign w:val="center"/>
          </w:tcPr>
          <w:p w14:paraId="0FD7F1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042" w:type="dxa"/>
            <w:tcBorders>
              <w:top w:val="nil"/>
              <w:left w:val="nil"/>
              <w:bottom w:val="single" w:color="auto" w:sz="4" w:space="0"/>
              <w:right w:val="single" w:color="auto" w:sz="4" w:space="0"/>
            </w:tcBorders>
            <w:noWrap w:val="0"/>
            <w:vAlign w:val="center"/>
          </w:tcPr>
          <w:p w14:paraId="561707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8F55518">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09F544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561" w:type="dxa"/>
            <w:tcBorders>
              <w:top w:val="nil"/>
              <w:left w:val="nil"/>
              <w:bottom w:val="single" w:color="auto" w:sz="4" w:space="0"/>
              <w:right w:val="single" w:color="auto" w:sz="4" w:space="0"/>
            </w:tcBorders>
            <w:noWrap w:val="0"/>
            <w:vAlign w:val="center"/>
          </w:tcPr>
          <w:p w14:paraId="02353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712BA6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1384F5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23" w:type="dxa"/>
            <w:tcBorders>
              <w:top w:val="nil"/>
              <w:left w:val="nil"/>
              <w:bottom w:val="single" w:color="auto" w:sz="4" w:space="0"/>
              <w:right w:val="single" w:color="auto" w:sz="4" w:space="0"/>
            </w:tcBorders>
            <w:noWrap w:val="0"/>
            <w:vAlign w:val="center"/>
          </w:tcPr>
          <w:p w14:paraId="677EA8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042" w:type="dxa"/>
            <w:tcBorders>
              <w:top w:val="nil"/>
              <w:left w:val="nil"/>
              <w:bottom w:val="single" w:color="auto" w:sz="4" w:space="0"/>
              <w:right w:val="single" w:color="auto" w:sz="4" w:space="0"/>
            </w:tcBorders>
            <w:noWrap w:val="0"/>
            <w:vAlign w:val="center"/>
          </w:tcPr>
          <w:p w14:paraId="09524A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DC38E0C">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02767403">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354DED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28" w:type="dxa"/>
            <w:tcBorders>
              <w:top w:val="nil"/>
              <w:left w:val="nil"/>
              <w:bottom w:val="single" w:color="auto" w:sz="4" w:space="0"/>
              <w:right w:val="single" w:color="auto" w:sz="4" w:space="0"/>
            </w:tcBorders>
            <w:noWrap w:val="0"/>
            <w:vAlign w:val="center"/>
          </w:tcPr>
          <w:p w14:paraId="6D9B8E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742BDF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23" w:type="dxa"/>
            <w:tcBorders>
              <w:top w:val="nil"/>
              <w:left w:val="nil"/>
              <w:bottom w:val="single" w:color="auto" w:sz="4" w:space="0"/>
              <w:right w:val="single" w:color="auto" w:sz="4" w:space="0"/>
            </w:tcBorders>
            <w:noWrap w:val="0"/>
            <w:vAlign w:val="center"/>
          </w:tcPr>
          <w:p w14:paraId="5C8008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042" w:type="dxa"/>
            <w:tcBorders>
              <w:top w:val="nil"/>
              <w:left w:val="nil"/>
              <w:bottom w:val="single" w:color="auto" w:sz="4" w:space="0"/>
              <w:right w:val="single" w:color="auto" w:sz="4" w:space="0"/>
            </w:tcBorders>
            <w:noWrap w:val="0"/>
            <w:vAlign w:val="center"/>
          </w:tcPr>
          <w:p w14:paraId="4A3AFD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05F94BE">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47BC7CA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561" w:type="dxa"/>
            <w:tcBorders>
              <w:top w:val="nil"/>
              <w:left w:val="nil"/>
              <w:bottom w:val="single" w:color="auto" w:sz="4" w:space="0"/>
              <w:right w:val="single" w:color="auto" w:sz="4" w:space="0"/>
            </w:tcBorders>
            <w:noWrap w:val="0"/>
            <w:vAlign w:val="center"/>
          </w:tcPr>
          <w:p w14:paraId="551721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5B6D43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6537A2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23" w:type="dxa"/>
            <w:tcBorders>
              <w:top w:val="nil"/>
              <w:left w:val="nil"/>
              <w:bottom w:val="single" w:color="auto" w:sz="4" w:space="0"/>
              <w:right w:val="single" w:color="auto" w:sz="4" w:space="0"/>
            </w:tcBorders>
            <w:noWrap w:val="0"/>
            <w:vAlign w:val="center"/>
          </w:tcPr>
          <w:p w14:paraId="256AD7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042" w:type="dxa"/>
            <w:tcBorders>
              <w:top w:val="nil"/>
              <w:left w:val="nil"/>
              <w:bottom w:val="single" w:color="auto" w:sz="4" w:space="0"/>
              <w:right w:val="single" w:color="auto" w:sz="4" w:space="0"/>
            </w:tcBorders>
            <w:noWrap w:val="0"/>
            <w:vAlign w:val="center"/>
          </w:tcPr>
          <w:p w14:paraId="092479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8A5CB1D">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466B0B19">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412708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1ADFFE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5A3C33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23" w:type="dxa"/>
            <w:tcBorders>
              <w:top w:val="nil"/>
              <w:left w:val="nil"/>
              <w:bottom w:val="single" w:color="auto" w:sz="4" w:space="0"/>
              <w:right w:val="single" w:color="auto" w:sz="4" w:space="0"/>
            </w:tcBorders>
            <w:noWrap w:val="0"/>
            <w:vAlign w:val="center"/>
          </w:tcPr>
          <w:p w14:paraId="447E6C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042" w:type="dxa"/>
            <w:tcBorders>
              <w:top w:val="nil"/>
              <w:left w:val="nil"/>
              <w:bottom w:val="single" w:color="auto" w:sz="4" w:space="0"/>
              <w:right w:val="single" w:color="auto" w:sz="4" w:space="0"/>
            </w:tcBorders>
            <w:noWrap w:val="0"/>
            <w:vAlign w:val="center"/>
          </w:tcPr>
          <w:p w14:paraId="6978A8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1EA59A11">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0033186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561" w:type="dxa"/>
            <w:tcBorders>
              <w:top w:val="nil"/>
              <w:left w:val="nil"/>
              <w:bottom w:val="single" w:color="auto" w:sz="4" w:space="0"/>
              <w:right w:val="single" w:color="auto" w:sz="4" w:space="0"/>
            </w:tcBorders>
            <w:noWrap w:val="0"/>
            <w:vAlign w:val="center"/>
          </w:tcPr>
          <w:p w14:paraId="052C3D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78BEB6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10EEE1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23" w:type="dxa"/>
            <w:tcBorders>
              <w:top w:val="nil"/>
              <w:left w:val="nil"/>
              <w:bottom w:val="single" w:color="auto" w:sz="4" w:space="0"/>
              <w:right w:val="single" w:color="auto" w:sz="4" w:space="0"/>
            </w:tcBorders>
            <w:noWrap w:val="0"/>
            <w:vAlign w:val="center"/>
          </w:tcPr>
          <w:p w14:paraId="3A33FB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042" w:type="dxa"/>
            <w:tcBorders>
              <w:top w:val="nil"/>
              <w:left w:val="nil"/>
              <w:bottom w:val="single" w:color="auto" w:sz="4" w:space="0"/>
              <w:right w:val="single" w:color="auto" w:sz="4" w:space="0"/>
            </w:tcBorders>
            <w:noWrap w:val="0"/>
            <w:vAlign w:val="center"/>
          </w:tcPr>
          <w:p w14:paraId="7C35A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E780592">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0BD86B2B">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1DF58F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29821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4A4C1F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23" w:type="dxa"/>
            <w:tcBorders>
              <w:top w:val="nil"/>
              <w:left w:val="nil"/>
              <w:bottom w:val="single" w:color="auto" w:sz="4" w:space="0"/>
              <w:right w:val="single" w:color="auto" w:sz="4" w:space="0"/>
            </w:tcBorders>
            <w:noWrap w:val="0"/>
            <w:vAlign w:val="center"/>
          </w:tcPr>
          <w:p w14:paraId="31C913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042" w:type="dxa"/>
            <w:tcBorders>
              <w:top w:val="nil"/>
              <w:left w:val="nil"/>
              <w:bottom w:val="single" w:color="auto" w:sz="4" w:space="0"/>
              <w:right w:val="single" w:color="auto" w:sz="4" w:space="0"/>
            </w:tcBorders>
            <w:noWrap w:val="0"/>
            <w:vAlign w:val="center"/>
          </w:tcPr>
          <w:p w14:paraId="19A60E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5647560">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337AC1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r>
              <w:rPr>
                <w:rFonts w:hint="eastAsia" w:ascii="宋体" w:hAnsi="宋体" w:eastAsia="宋体" w:cs="宋体"/>
                <w:color w:val="auto"/>
                <w:kern w:val="0"/>
                <w:sz w:val="18"/>
                <w:szCs w:val="18"/>
                <w:highlight w:val="none"/>
              </w:rPr>
              <w:t>*</w:t>
            </w:r>
          </w:p>
        </w:tc>
        <w:tc>
          <w:tcPr>
            <w:tcW w:w="1561" w:type="dxa"/>
            <w:tcBorders>
              <w:top w:val="nil"/>
              <w:left w:val="nil"/>
              <w:bottom w:val="single" w:color="auto" w:sz="4" w:space="0"/>
              <w:right w:val="single" w:color="auto" w:sz="4" w:space="0"/>
            </w:tcBorders>
            <w:noWrap w:val="0"/>
            <w:vAlign w:val="center"/>
          </w:tcPr>
          <w:p w14:paraId="4D1E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76A7CA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3B1F73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3" w:type="dxa"/>
            <w:tcBorders>
              <w:top w:val="nil"/>
              <w:left w:val="nil"/>
              <w:bottom w:val="single" w:color="auto" w:sz="4" w:space="0"/>
              <w:right w:val="single" w:color="auto" w:sz="4" w:space="0"/>
            </w:tcBorders>
            <w:noWrap w:val="0"/>
            <w:vAlign w:val="center"/>
          </w:tcPr>
          <w:p w14:paraId="64B3F7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42" w:type="dxa"/>
            <w:tcBorders>
              <w:top w:val="nil"/>
              <w:left w:val="nil"/>
              <w:bottom w:val="single" w:color="auto" w:sz="4" w:space="0"/>
              <w:right w:val="single" w:color="auto" w:sz="4" w:space="0"/>
            </w:tcBorders>
            <w:noWrap w:val="0"/>
            <w:vAlign w:val="center"/>
          </w:tcPr>
          <w:p w14:paraId="7DAFA6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AC42C33">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1CAD102A">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3DA7A4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4FD67A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6AF8B2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23" w:type="dxa"/>
            <w:tcBorders>
              <w:top w:val="nil"/>
              <w:left w:val="nil"/>
              <w:bottom w:val="single" w:color="auto" w:sz="4" w:space="0"/>
              <w:right w:val="single" w:color="auto" w:sz="4" w:space="0"/>
            </w:tcBorders>
            <w:noWrap w:val="0"/>
            <w:vAlign w:val="center"/>
          </w:tcPr>
          <w:p w14:paraId="112D7B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042" w:type="dxa"/>
            <w:tcBorders>
              <w:top w:val="nil"/>
              <w:left w:val="nil"/>
              <w:bottom w:val="single" w:color="auto" w:sz="4" w:space="0"/>
              <w:right w:val="single" w:color="auto" w:sz="4" w:space="0"/>
            </w:tcBorders>
            <w:noWrap w:val="0"/>
            <w:vAlign w:val="center"/>
          </w:tcPr>
          <w:p w14:paraId="07E51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060DE66">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77B9B44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r>
              <w:rPr>
                <w:rFonts w:hint="eastAsia" w:ascii="宋体" w:hAnsi="宋体" w:eastAsia="宋体" w:cs="宋体"/>
                <w:color w:val="auto"/>
                <w:kern w:val="0"/>
                <w:sz w:val="18"/>
                <w:szCs w:val="18"/>
                <w:highlight w:val="none"/>
              </w:rPr>
              <w:t>*</w:t>
            </w:r>
          </w:p>
        </w:tc>
        <w:tc>
          <w:tcPr>
            <w:tcW w:w="1561" w:type="dxa"/>
            <w:tcBorders>
              <w:top w:val="nil"/>
              <w:left w:val="nil"/>
              <w:bottom w:val="single" w:color="auto" w:sz="4" w:space="0"/>
              <w:right w:val="single" w:color="auto" w:sz="4" w:space="0"/>
            </w:tcBorders>
            <w:noWrap w:val="0"/>
            <w:vAlign w:val="center"/>
          </w:tcPr>
          <w:p w14:paraId="20785A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25FD50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5B4654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23" w:type="dxa"/>
            <w:tcBorders>
              <w:top w:val="nil"/>
              <w:left w:val="nil"/>
              <w:bottom w:val="single" w:color="auto" w:sz="4" w:space="0"/>
              <w:right w:val="single" w:color="auto" w:sz="4" w:space="0"/>
            </w:tcBorders>
            <w:noWrap w:val="0"/>
            <w:vAlign w:val="center"/>
          </w:tcPr>
          <w:p w14:paraId="209DB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042" w:type="dxa"/>
            <w:tcBorders>
              <w:top w:val="nil"/>
              <w:left w:val="nil"/>
              <w:bottom w:val="single" w:color="auto" w:sz="4" w:space="0"/>
              <w:right w:val="single" w:color="auto" w:sz="4" w:space="0"/>
            </w:tcBorders>
            <w:noWrap w:val="0"/>
            <w:vAlign w:val="center"/>
          </w:tcPr>
          <w:p w14:paraId="330A6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58692AB">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662AEEF6">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55BA9D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7D258B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74B756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23" w:type="dxa"/>
            <w:tcBorders>
              <w:top w:val="nil"/>
              <w:left w:val="nil"/>
              <w:bottom w:val="single" w:color="auto" w:sz="4" w:space="0"/>
              <w:right w:val="single" w:color="auto" w:sz="4" w:space="0"/>
            </w:tcBorders>
            <w:noWrap w:val="0"/>
            <w:vAlign w:val="center"/>
          </w:tcPr>
          <w:p w14:paraId="2E5FA0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42" w:type="dxa"/>
            <w:tcBorders>
              <w:top w:val="nil"/>
              <w:left w:val="nil"/>
              <w:bottom w:val="single" w:color="auto" w:sz="4" w:space="0"/>
              <w:right w:val="single" w:color="auto" w:sz="4" w:space="0"/>
            </w:tcBorders>
            <w:noWrap w:val="0"/>
            <w:vAlign w:val="center"/>
          </w:tcPr>
          <w:p w14:paraId="5F08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9997F5">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720F77A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561" w:type="dxa"/>
            <w:tcBorders>
              <w:top w:val="nil"/>
              <w:left w:val="nil"/>
              <w:bottom w:val="single" w:color="auto" w:sz="4" w:space="0"/>
              <w:right w:val="single" w:color="auto" w:sz="4" w:space="0"/>
            </w:tcBorders>
            <w:noWrap w:val="0"/>
            <w:vAlign w:val="center"/>
          </w:tcPr>
          <w:p w14:paraId="4A1D2C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72D3CC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2122F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3" w:type="dxa"/>
            <w:tcBorders>
              <w:top w:val="nil"/>
              <w:left w:val="nil"/>
              <w:bottom w:val="single" w:color="auto" w:sz="4" w:space="0"/>
              <w:right w:val="single" w:color="auto" w:sz="4" w:space="0"/>
            </w:tcBorders>
            <w:noWrap w:val="0"/>
            <w:vAlign w:val="center"/>
          </w:tcPr>
          <w:p w14:paraId="37CAF3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42" w:type="dxa"/>
            <w:tcBorders>
              <w:top w:val="nil"/>
              <w:left w:val="nil"/>
              <w:bottom w:val="single" w:color="auto" w:sz="4" w:space="0"/>
              <w:right w:val="single" w:color="auto" w:sz="4" w:space="0"/>
            </w:tcBorders>
            <w:noWrap w:val="0"/>
            <w:vAlign w:val="center"/>
          </w:tcPr>
          <w:p w14:paraId="43E349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579A6A5">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7830E119">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707B20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318A7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1006D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23" w:type="dxa"/>
            <w:tcBorders>
              <w:top w:val="nil"/>
              <w:left w:val="nil"/>
              <w:bottom w:val="single" w:color="auto" w:sz="4" w:space="0"/>
              <w:right w:val="single" w:color="auto" w:sz="4" w:space="0"/>
            </w:tcBorders>
            <w:noWrap w:val="0"/>
            <w:vAlign w:val="center"/>
          </w:tcPr>
          <w:p w14:paraId="327891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42" w:type="dxa"/>
            <w:tcBorders>
              <w:top w:val="nil"/>
              <w:left w:val="nil"/>
              <w:bottom w:val="single" w:color="auto" w:sz="4" w:space="0"/>
              <w:right w:val="single" w:color="auto" w:sz="4" w:space="0"/>
            </w:tcBorders>
            <w:noWrap w:val="0"/>
            <w:vAlign w:val="center"/>
          </w:tcPr>
          <w:p w14:paraId="224DBF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17B5B1">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1FD52F0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561" w:type="dxa"/>
            <w:tcBorders>
              <w:top w:val="nil"/>
              <w:left w:val="nil"/>
              <w:bottom w:val="single" w:color="auto" w:sz="4" w:space="0"/>
              <w:right w:val="single" w:color="auto" w:sz="4" w:space="0"/>
            </w:tcBorders>
            <w:noWrap w:val="0"/>
            <w:vAlign w:val="center"/>
          </w:tcPr>
          <w:p w14:paraId="02BD42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036687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1C3889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3" w:type="dxa"/>
            <w:tcBorders>
              <w:top w:val="nil"/>
              <w:left w:val="nil"/>
              <w:bottom w:val="single" w:color="auto" w:sz="4" w:space="0"/>
              <w:right w:val="single" w:color="auto" w:sz="4" w:space="0"/>
            </w:tcBorders>
            <w:noWrap w:val="0"/>
            <w:vAlign w:val="center"/>
          </w:tcPr>
          <w:p w14:paraId="49902D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2" w:type="dxa"/>
            <w:tcBorders>
              <w:top w:val="nil"/>
              <w:left w:val="nil"/>
              <w:bottom w:val="single" w:color="auto" w:sz="4" w:space="0"/>
              <w:right w:val="single" w:color="auto" w:sz="4" w:space="0"/>
            </w:tcBorders>
            <w:noWrap w:val="0"/>
            <w:vAlign w:val="center"/>
          </w:tcPr>
          <w:p w14:paraId="3A6D7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2CD2D19">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7EDEE275">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112569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4648D7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1C37E7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23" w:type="dxa"/>
            <w:tcBorders>
              <w:top w:val="nil"/>
              <w:left w:val="nil"/>
              <w:bottom w:val="single" w:color="auto" w:sz="4" w:space="0"/>
              <w:right w:val="single" w:color="auto" w:sz="4" w:space="0"/>
            </w:tcBorders>
            <w:noWrap w:val="0"/>
            <w:vAlign w:val="center"/>
          </w:tcPr>
          <w:p w14:paraId="551825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42" w:type="dxa"/>
            <w:tcBorders>
              <w:top w:val="nil"/>
              <w:left w:val="nil"/>
              <w:bottom w:val="single" w:color="auto" w:sz="4" w:space="0"/>
              <w:right w:val="single" w:color="auto" w:sz="4" w:space="0"/>
            </w:tcBorders>
            <w:noWrap w:val="0"/>
            <w:vAlign w:val="center"/>
          </w:tcPr>
          <w:p w14:paraId="77EF8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0601F59">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0FC80E8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561" w:type="dxa"/>
            <w:tcBorders>
              <w:top w:val="nil"/>
              <w:left w:val="nil"/>
              <w:bottom w:val="single" w:color="auto" w:sz="4" w:space="0"/>
              <w:right w:val="single" w:color="auto" w:sz="4" w:space="0"/>
            </w:tcBorders>
            <w:noWrap w:val="0"/>
            <w:vAlign w:val="center"/>
          </w:tcPr>
          <w:p w14:paraId="6DBD1E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0419CB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08341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3" w:type="dxa"/>
            <w:tcBorders>
              <w:top w:val="nil"/>
              <w:left w:val="nil"/>
              <w:bottom w:val="single" w:color="auto" w:sz="4" w:space="0"/>
              <w:right w:val="single" w:color="auto" w:sz="4" w:space="0"/>
            </w:tcBorders>
            <w:noWrap w:val="0"/>
            <w:vAlign w:val="center"/>
          </w:tcPr>
          <w:p w14:paraId="5C96F4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2" w:type="dxa"/>
            <w:tcBorders>
              <w:top w:val="nil"/>
              <w:left w:val="nil"/>
              <w:bottom w:val="single" w:color="auto" w:sz="4" w:space="0"/>
              <w:right w:val="single" w:color="auto" w:sz="4" w:space="0"/>
            </w:tcBorders>
            <w:noWrap w:val="0"/>
            <w:vAlign w:val="center"/>
          </w:tcPr>
          <w:p w14:paraId="68249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C7D2AE6">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0E879DEE">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3CA0A9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751D1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0E33EE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23" w:type="dxa"/>
            <w:tcBorders>
              <w:top w:val="nil"/>
              <w:left w:val="nil"/>
              <w:bottom w:val="single" w:color="auto" w:sz="4" w:space="0"/>
              <w:right w:val="single" w:color="auto" w:sz="4" w:space="0"/>
            </w:tcBorders>
            <w:noWrap w:val="0"/>
            <w:vAlign w:val="center"/>
          </w:tcPr>
          <w:p w14:paraId="5E982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42" w:type="dxa"/>
            <w:tcBorders>
              <w:top w:val="nil"/>
              <w:left w:val="nil"/>
              <w:bottom w:val="single" w:color="auto" w:sz="4" w:space="0"/>
              <w:right w:val="single" w:color="auto" w:sz="4" w:space="0"/>
            </w:tcBorders>
            <w:noWrap w:val="0"/>
            <w:vAlign w:val="center"/>
          </w:tcPr>
          <w:p w14:paraId="1D00D3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EF54E2">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4B6FE3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r>
              <w:rPr>
                <w:rFonts w:hint="eastAsia" w:ascii="宋体" w:hAnsi="宋体" w:eastAsia="宋体" w:cs="宋体"/>
                <w:color w:val="auto"/>
                <w:kern w:val="0"/>
                <w:sz w:val="18"/>
                <w:szCs w:val="18"/>
                <w:highlight w:val="none"/>
              </w:rPr>
              <w:t>*</w:t>
            </w:r>
          </w:p>
        </w:tc>
        <w:tc>
          <w:tcPr>
            <w:tcW w:w="1561" w:type="dxa"/>
            <w:tcBorders>
              <w:top w:val="nil"/>
              <w:left w:val="nil"/>
              <w:bottom w:val="single" w:color="auto" w:sz="4" w:space="0"/>
              <w:right w:val="single" w:color="auto" w:sz="4" w:space="0"/>
            </w:tcBorders>
            <w:noWrap w:val="0"/>
            <w:vAlign w:val="center"/>
          </w:tcPr>
          <w:p w14:paraId="0CFC67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36B9DD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49554C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23" w:type="dxa"/>
            <w:tcBorders>
              <w:top w:val="nil"/>
              <w:left w:val="nil"/>
              <w:bottom w:val="single" w:color="auto" w:sz="4" w:space="0"/>
              <w:right w:val="single" w:color="auto" w:sz="4" w:space="0"/>
            </w:tcBorders>
            <w:noWrap w:val="0"/>
            <w:vAlign w:val="center"/>
          </w:tcPr>
          <w:p w14:paraId="5BACC2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2" w:type="dxa"/>
            <w:tcBorders>
              <w:top w:val="nil"/>
              <w:left w:val="nil"/>
              <w:bottom w:val="single" w:color="auto" w:sz="4" w:space="0"/>
              <w:right w:val="single" w:color="auto" w:sz="4" w:space="0"/>
            </w:tcBorders>
            <w:noWrap w:val="0"/>
            <w:vAlign w:val="center"/>
          </w:tcPr>
          <w:p w14:paraId="0B60FA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BCBE5DA">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27F1DCBD">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45ADF4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057019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2D89DF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23" w:type="dxa"/>
            <w:tcBorders>
              <w:top w:val="nil"/>
              <w:left w:val="nil"/>
              <w:bottom w:val="single" w:color="auto" w:sz="4" w:space="0"/>
              <w:right w:val="single" w:color="auto" w:sz="4" w:space="0"/>
            </w:tcBorders>
            <w:noWrap w:val="0"/>
            <w:vAlign w:val="center"/>
          </w:tcPr>
          <w:p w14:paraId="0856C9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42" w:type="dxa"/>
            <w:tcBorders>
              <w:top w:val="nil"/>
              <w:left w:val="nil"/>
              <w:bottom w:val="single" w:color="auto" w:sz="4" w:space="0"/>
              <w:right w:val="single" w:color="auto" w:sz="4" w:space="0"/>
            </w:tcBorders>
            <w:noWrap w:val="0"/>
            <w:vAlign w:val="center"/>
          </w:tcPr>
          <w:p w14:paraId="623131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2B5F534">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2148754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561" w:type="dxa"/>
            <w:tcBorders>
              <w:top w:val="nil"/>
              <w:left w:val="nil"/>
              <w:bottom w:val="single" w:color="auto" w:sz="4" w:space="0"/>
              <w:right w:val="single" w:color="auto" w:sz="4" w:space="0"/>
            </w:tcBorders>
            <w:noWrap w:val="0"/>
            <w:vAlign w:val="center"/>
          </w:tcPr>
          <w:p w14:paraId="3DECB4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6C0E5E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57B83E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3" w:type="dxa"/>
            <w:tcBorders>
              <w:top w:val="nil"/>
              <w:left w:val="nil"/>
              <w:bottom w:val="single" w:color="auto" w:sz="4" w:space="0"/>
              <w:right w:val="single" w:color="auto" w:sz="4" w:space="0"/>
            </w:tcBorders>
            <w:noWrap w:val="0"/>
            <w:vAlign w:val="center"/>
          </w:tcPr>
          <w:p w14:paraId="7C8B4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2" w:type="dxa"/>
            <w:tcBorders>
              <w:top w:val="nil"/>
              <w:left w:val="nil"/>
              <w:bottom w:val="single" w:color="auto" w:sz="4" w:space="0"/>
              <w:right w:val="single" w:color="auto" w:sz="4" w:space="0"/>
            </w:tcBorders>
            <w:noWrap w:val="0"/>
            <w:vAlign w:val="center"/>
          </w:tcPr>
          <w:p w14:paraId="6EAB20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B8D6E07">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6F5FC26E">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4A4657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165F1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737401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23" w:type="dxa"/>
            <w:tcBorders>
              <w:top w:val="nil"/>
              <w:left w:val="nil"/>
              <w:bottom w:val="single" w:color="auto" w:sz="4" w:space="0"/>
              <w:right w:val="single" w:color="auto" w:sz="4" w:space="0"/>
            </w:tcBorders>
            <w:noWrap w:val="0"/>
            <w:vAlign w:val="center"/>
          </w:tcPr>
          <w:p w14:paraId="2345AB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042" w:type="dxa"/>
            <w:tcBorders>
              <w:top w:val="nil"/>
              <w:left w:val="nil"/>
              <w:bottom w:val="single" w:color="auto" w:sz="4" w:space="0"/>
              <w:right w:val="single" w:color="auto" w:sz="4" w:space="0"/>
            </w:tcBorders>
            <w:noWrap w:val="0"/>
            <w:vAlign w:val="center"/>
          </w:tcPr>
          <w:p w14:paraId="16CE0E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129D60C">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043661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561" w:type="dxa"/>
            <w:tcBorders>
              <w:top w:val="nil"/>
              <w:left w:val="nil"/>
              <w:bottom w:val="single" w:color="auto" w:sz="4" w:space="0"/>
              <w:right w:val="single" w:color="auto" w:sz="4" w:space="0"/>
            </w:tcBorders>
            <w:noWrap w:val="0"/>
            <w:vAlign w:val="center"/>
          </w:tcPr>
          <w:p w14:paraId="6F6866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5B430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6513DA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23" w:type="dxa"/>
            <w:tcBorders>
              <w:top w:val="nil"/>
              <w:left w:val="nil"/>
              <w:bottom w:val="single" w:color="auto" w:sz="4" w:space="0"/>
              <w:right w:val="single" w:color="auto" w:sz="4" w:space="0"/>
            </w:tcBorders>
            <w:noWrap w:val="0"/>
            <w:vAlign w:val="center"/>
          </w:tcPr>
          <w:p w14:paraId="4D2A8C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042" w:type="dxa"/>
            <w:tcBorders>
              <w:top w:val="nil"/>
              <w:left w:val="nil"/>
              <w:bottom w:val="single" w:color="auto" w:sz="4" w:space="0"/>
              <w:right w:val="single" w:color="auto" w:sz="4" w:space="0"/>
            </w:tcBorders>
            <w:noWrap w:val="0"/>
            <w:vAlign w:val="center"/>
          </w:tcPr>
          <w:p w14:paraId="6CE5BF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4CFA64C">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5D2B54F3">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15A215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28" w:type="dxa"/>
            <w:tcBorders>
              <w:top w:val="nil"/>
              <w:left w:val="nil"/>
              <w:bottom w:val="single" w:color="auto" w:sz="4" w:space="0"/>
              <w:right w:val="single" w:color="auto" w:sz="4" w:space="0"/>
            </w:tcBorders>
            <w:noWrap w:val="0"/>
            <w:vAlign w:val="center"/>
          </w:tcPr>
          <w:p w14:paraId="442DF7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4DB3FB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23" w:type="dxa"/>
            <w:tcBorders>
              <w:top w:val="nil"/>
              <w:left w:val="nil"/>
              <w:bottom w:val="single" w:color="auto" w:sz="4" w:space="0"/>
              <w:right w:val="single" w:color="auto" w:sz="4" w:space="0"/>
            </w:tcBorders>
            <w:noWrap w:val="0"/>
            <w:vAlign w:val="center"/>
          </w:tcPr>
          <w:p w14:paraId="2576C7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042" w:type="dxa"/>
            <w:tcBorders>
              <w:top w:val="nil"/>
              <w:left w:val="nil"/>
              <w:bottom w:val="single" w:color="auto" w:sz="4" w:space="0"/>
              <w:right w:val="single" w:color="auto" w:sz="4" w:space="0"/>
            </w:tcBorders>
            <w:noWrap w:val="0"/>
            <w:vAlign w:val="center"/>
          </w:tcPr>
          <w:p w14:paraId="1482B6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609DCA7B">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1ED022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561" w:type="dxa"/>
            <w:tcBorders>
              <w:top w:val="nil"/>
              <w:left w:val="nil"/>
              <w:bottom w:val="single" w:color="auto" w:sz="4" w:space="0"/>
              <w:right w:val="single" w:color="auto" w:sz="4" w:space="0"/>
            </w:tcBorders>
            <w:noWrap w:val="0"/>
            <w:vAlign w:val="center"/>
          </w:tcPr>
          <w:p w14:paraId="0DFA4F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7ADF1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38C57B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3" w:type="dxa"/>
            <w:tcBorders>
              <w:top w:val="nil"/>
              <w:left w:val="nil"/>
              <w:bottom w:val="single" w:color="auto" w:sz="4" w:space="0"/>
              <w:right w:val="single" w:color="auto" w:sz="4" w:space="0"/>
            </w:tcBorders>
            <w:noWrap w:val="0"/>
            <w:vAlign w:val="center"/>
          </w:tcPr>
          <w:p w14:paraId="159BCE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042" w:type="dxa"/>
            <w:tcBorders>
              <w:top w:val="nil"/>
              <w:left w:val="nil"/>
              <w:bottom w:val="single" w:color="auto" w:sz="4" w:space="0"/>
              <w:right w:val="single" w:color="auto" w:sz="4" w:space="0"/>
            </w:tcBorders>
            <w:noWrap w:val="0"/>
            <w:vAlign w:val="center"/>
          </w:tcPr>
          <w:p w14:paraId="624B2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6A1D6DE">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21864886">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0FAEA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28" w:type="dxa"/>
            <w:tcBorders>
              <w:top w:val="nil"/>
              <w:left w:val="nil"/>
              <w:bottom w:val="single" w:color="auto" w:sz="4" w:space="0"/>
              <w:right w:val="single" w:color="auto" w:sz="4" w:space="0"/>
            </w:tcBorders>
            <w:noWrap w:val="0"/>
            <w:vAlign w:val="center"/>
          </w:tcPr>
          <w:p w14:paraId="1285D4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6C037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23" w:type="dxa"/>
            <w:tcBorders>
              <w:top w:val="nil"/>
              <w:left w:val="nil"/>
              <w:bottom w:val="single" w:color="auto" w:sz="4" w:space="0"/>
              <w:right w:val="single" w:color="auto" w:sz="4" w:space="0"/>
            </w:tcBorders>
            <w:noWrap w:val="0"/>
            <w:vAlign w:val="center"/>
          </w:tcPr>
          <w:p w14:paraId="7062EC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042" w:type="dxa"/>
            <w:tcBorders>
              <w:top w:val="nil"/>
              <w:left w:val="nil"/>
              <w:bottom w:val="single" w:color="auto" w:sz="4" w:space="0"/>
              <w:right w:val="single" w:color="auto" w:sz="4" w:space="0"/>
            </w:tcBorders>
            <w:noWrap w:val="0"/>
            <w:vAlign w:val="center"/>
          </w:tcPr>
          <w:p w14:paraId="4F25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530CA117">
        <w:tblPrEx>
          <w:tblCellMar>
            <w:top w:w="0" w:type="dxa"/>
            <w:left w:w="108" w:type="dxa"/>
            <w:bottom w:w="0" w:type="dxa"/>
            <w:right w:w="108" w:type="dxa"/>
          </w:tblCellMar>
        </w:tblPrEx>
        <w:trPr>
          <w:trHeight w:val="357" w:hRule="atLeast"/>
          <w:jc w:val="center"/>
        </w:trPr>
        <w:tc>
          <w:tcPr>
            <w:tcW w:w="1917" w:type="dxa"/>
            <w:vMerge w:val="restart"/>
            <w:tcBorders>
              <w:top w:val="nil"/>
              <w:left w:val="single" w:color="auto" w:sz="4" w:space="0"/>
              <w:bottom w:val="single" w:color="auto" w:sz="4" w:space="0"/>
              <w:right w:val="single" w:color="auto" w:sz="4" w:space="0"/>
            </w:tcBorders>
            <w:noWrap w:val="0"/>
            <w:vAlign w:val="bottom"/>
          </w:tcPr>
          <w:p w14:paraId="33833FC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561" w:type="dxa"/>
            <w:tcBorders>
              <w:top w:val="nil"/>
              <w:left w:val="nil"/>
              <w:bottom w:val="single" w:color="auto" w:sz="4" w:space="0"/>
              <w:right w:val="single" w:color="auto" w:sz="4" w:space="0"/>
            </w:tcBorders>
            <w:noWrap w:val="0"/>
            <w:vAlign w:val="center"/>
          </w:tcPr>
          <w:p w14:paraId="35C6F8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35D34D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7B2258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3" w:type="dxa"/>
            <w:tcBorders>
              <w:top w:val="nil"/>
              <w:left w:val="nil"/>
              <w:bottom w:val="single" w:color="auto" w:sz="4" w:space="0"/>
              <w:right w:val="single" w:color="auto" w:sz="4" w:space="0"/>
            </w:tcBorders>
            <w:noWrap w:val="0"/>
            <w:vAlign w:val="center"/>
          </w:tcPr>
          <w:p w14:paraId="2F2A97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2" w:type="dxa"/>
            <w:tcBorders>
              <w:top w:val="nil"/>
              <w:left w:val="nil"/>
              <w:bottom w:val="single" w:color="auto" w:sz="4" w:space="0"/>
              <w:right w:val="single" w:color="auto" w:sz="4" w:space="0"/>
            </w:tcBorders>
            <w:noWrap w:val="0"/>
            <w:vAlign w:val="center"/>
          </w:tcPr>
          <w:p w14:paraId="260778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38CB964">
        <w:tblPrEx>
          <w:tblCellMar>
            <w:top w:w="0" w:type="dxa"/>
            <w:left w:w="108" w:type="dxa"/>
            <w:bottom w:w="0" w:type="dxa"/>
            <w:right w:w="108" w:type="dxa"/>
          </w:tblCellMar>
        </w:tblPrEx>
        <w:trPr>
          <w:trHeight w:val="357" w:hRule="atLeast"/>
          <w:jc w:val="center"/>
        </w:trPr>
        <w:tc>
          <w:tcPr>
            <w:tcW w:w="1917" w:type="dxa"/>
            <w:vMerge w:val="continue"/>
            <w:tcBorders>
              <w:top w:val="nil"/>
              <w:left w:val="single" w:color="auto" w:sz="4" w:space="0"/>
              <w:bottom w:val="single" w:color="auto" w:sz="4" w:space="0"/>
              <w:right w:val="single" w:color="auto" w:sz="4" w:space="0"/>
            </w:tcBorders>
            <w:noWrap w:val="0"/>
            <w:vAlign w:val="center"/>
          </w:tcPr>
          <w:p w14:paraId="667CA21D">
            <w:pPr>
              <w:widowControl/>
              <w:jc w:val="left"/>
              <w:rPr>
                <w:rFonts w:hint="eastAsia" w:ascii="宋体" w:hAnsi="宋体" w:eastAsia="宋体" w:cs="宋体"/>
                <w:b/>
                <w:bCs/>
                <w:color w:val="auto"/>
                <w:kern w:val="0"/>
                <w:sz w:val="18"/>
                <w:szCs w:val="18"/>
                <w:highlight w:val="none"/>
              </w:rPr>
            </w:pPr>
          </w:p>
        </w:tc>
        <w:tc>
          <w:tcPr>
            <w:tcW w:w="1561" w:type="dxa"/>
            <w:tcBorders>
              <w:top w:val="nil"/>
              <w:left w:val="nil"/>
              <w:bottom w:val="single" w:color="auto" w:sz="4" w:space="0"/>
              <w:right w:val="single" w:color="auto" w:sz="4" w:space="0"/>
            </w:tcBorders>
            <w:noWrap w:val="0"/>
            <w:vAlign w:val="center"/>
          </w:tcPr>
          <w:p w14:paraId="17F6BB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28" w:type="dxa"/>
            <w:tcBorders>
              <w:top w:val="nil"/>
              <w:left w:val="nil"/>
              <w:bottom w:val="single" w:color="auto" w:sz="4" w:space="0"/>
              <w:right w:val="single" w:color="auto" w:sz="4" w:space="0"/>
            </w:tcBorders>
            <w:noWrap w:val="0"/>
            <w:vAlign w:val="center"/>
          </w:tcPr>
          <w:p w14:paraId="7026DD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25" w:type="dxa"/>
            <w:tcBorders>
              <w:top w:val="nil"/>
              <w:left w:val="nil"/>
              <w:bottom w:val="single" w:color="auto" w:sz="4" w:space="0"/>
              <w:right w:val="single" w:color="auto" w:sz="4" w:space="0"/>
            </w:tcBorders>
            <w:noWrap w:val="0"/>
            <w:vAlign w:val="center"/>
          </w:tcPr>
          <w:p w14:paraId="4E81C1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23" w:type="dxa"/>
            <w:tcBorders>
              <w:top w:val="nil"/>
              <w:left w:val="nil"/>
              <w:bottom w:val="single" w:color="auto" w:sz="4" w:space="0"/>
              <w:right w:val="single" w:color="auto" w:sz="4" w:space="0"/>
            </w:tcBorders>
            <w:noWrap w:val="0"/>
            <w:vAlign w:val="center"/>
          </w:tcPr>
          <w:p w14:paraId="06A58E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042" w:type="dxa"/>
            <w:tcBorders>
              <w:top w:val="nil"/>
              <w:left w:val="nil"/>
              <w:bottom w:val="single" w:color="auto" w:sz="4" w:space="0"/>
              <w:right w:val="single" w:color="auto" w:sz="4" w:space="0"/>
            </w:tcBorders>
            <w:noWrap w:val="0"/>
            <w:vAlign w:val="center"/>
          </w:tcPr>
          <w:p w14:paraId="566E87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532A6A">
        <w:tblPrEx>
          <w:tblCellMar>
            <w:top w:w="0" w:type="dxa"/>
            <w:left w:w="108" w:type="dxa"/>
            <w:bottom w:w="0" w:type="dxa"/>
            <w:right w:w="108" w:type="dxa"/>
          </w:tblCellMar>
        </w:tblPrEx>
        <w:trPr>
          <w:trHeight w:val="388" w:hRule="atLeast"/>
          <w:jc w:val="center"/>
        </w:trPr>
        <w:tc>
          <w:tcPr>
            <w:tcW w:w="1917" w:type="dxa"/>
            <w:tcBorders>
              <w:top w:val="nil"/>
              <w:left w:val="single" w:color="auto" w:sz="4" w:space="0"/>
              <w:bottom w:val="single" w:color="auto" w:sz="4" w:space="0"/>
              <w:right w:val="single" w:color="auto" w:sz="4" w:space="0"/>
            </w:tcBorders>
            <w:noWrap w:val="0"/>
            <w:vAlign w:val="bottom"/>
          </w:tcPr>
          <w:p w14:paraId="3DB34E5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r>
              <w:rPr>
                <w:rFonts w:hint="eastAsia" w:ascii="宋体" w:hAnsi="宋体" w:eastAsia="宋体" w:cs="宋体"/>
                <w:color w:val="auto"/>
                <w:kern w:val="0"/>
                <w:sz w:val="18"/>
                <w:szCs w:val="18"/>
                <w:highlight w:val="none"/>
              </w:rPr>
              <w:t>*</w:t>
            </w:r>
          </w:p>
        </w:tc>
        <w:tc>
          <w:tcPr>
            <w:tcW w:w="1561" w:type="dxa"/>
            <w:tcBorders>
              <w:top w:val="nil"/>
              <w:left w:val="nil"/>
              <w:bottom w:val="single" w:color="auto" w:sz="4" w:space="0"/>
              <w:right w:val="single" w:color="auto" w:sz="4" w:space="0"/>
            </w:tcBorders>
            <w:noWrap w:val="0"/>
            <w:vAlign w:val="center"/>
          </w:tcPr>
          <w:p w14:paraId="5410CE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28" w:type="dxa"/>
            <w:tcBorders>
              <w:top w:val="nil"/>
              <w:left w:val="nil"/>
              <w:bottom w:val="single" w:color="auto" w:sz="4" w:space="0"/>
              <w:right w:val="single" w:color="auto" w:sz="4" w:space="0"/>
            </w:tcBorders>
            <w:noWrap w:val="0"/>
            <w:vAlign w:val="center"/>
          </w:tcPr>
          <w:p w14:paraId="5982E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25" w:type="dxa"/>
            <w:tcBorders>
              <w:top w:val="nil"/>
              <w:left w:val="nil"/>
              <w:bottom w:val="single" w:color="auto" w:sz="4" w:space="0"/>
              <w:right w:val="single" w:color="auto" w:sz="4" w:space="0"/>
            </w:tcBorders>
            <w:noWrap w:val="0"/>
            <w:vAlign w:val="center"/>
          </w:tcPr>
          <w:p w14:paraId="735412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3" w:type="dxa"/>
            <w:tcBorders>
              <w:top w:val="nil"/>
              <w:left w:val="nil"/>
              <w:bottom w:val="single" w:color="auto" w:sz="4" w:space="0"/>
              <w:right w:val="single" w:color="auto" w:sz="4" w:space="0"/>
            </w:tcBorders>
            <w:noWrap w:val="0"/>
            <w:vAlign w:val="center"/>
          </w:tcPr>
          <w:p w14:paraId="465A73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2" w:type="dxa"/>
            <w:tcBorders>
              <w:top w:val="nil"/>
              <w:left w:val="nil"/>
              <w:bottom w:val="single" w:color="auto" w:sz="4" w:space="0"/>
              <w:right w:val="single" w:color="auto" w:sz="4" w:space="0"/>
            </w:tcBorders>
            <w:noWrap w:val="0"/>
            <w:vAlign w:val="center"/>
          </w:tcPr>
          <w:p w14:paraId="53F9F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3115E8C">
      <w:pPr>
        <w:jc w:val="center"/>
        <w:rPr>
          <w:rFonts w:hint="eastAsia" w:ascii="宋体" w:hAnsi="宋体" w:eastAsia="宋体" w:cs="宋体"/>
          <w:color w:val="auto"/>
          <w:highlight w:val="none"/>
        </w:rPr>
      </w:pPr>
    </w:p>
    <w:p w14:paraId="10BD1487">
      <w:pPr>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说明：上述标准参照《关于印发中小企业划型标准规定的通知》（工信部联企业〔 2011 〕300号），大型、中型和小型企业须同时满足所列指标的下限，否则下划一档；微型企业只</w:t>
      </w:r>
      <w:r>
        <w:rPr>
          <w:rFonts w:hint="eastAsia" w:ascii="宋体" w:hAnsi="宋体" w:cs="宋体"/>
          <w:color w:val="auto"/>
          <w:kern w:val="0"/>
          <w:sz w:val="21"/>
          <w:szCs w:val="21"/>
          <w:highlight w:val="none"/>
          <w:lang w:val="zh-CN" w:eastAsia="zh-CN" w:bidi="ar-SA"/>
        </w:rPr>
        <w:t>需</w:t>
      </w:r>
      <w:r>
        <w:rPr>
          <w:rFonts w:hint="eastAsia" w:ascii="宋体" w:hAnsi="宋体" w:eastAsia="宋体" w:cs="宋体"/>
          <w:color w:val="auto"/>
          <w:kern w:val="0"/>
          <w:sz w:val="21"/>
          <w:szCs w:val="21"/>
          <w:highlight w:val="none"/>
          <w:lang w:val="zh-CN" w:eastAsia="zh-CN" w:bidi="ar-SA"/>
        </w:rPr>
        <w:t>满足所列指标中的一项即可。</w:t>
      </w:r>
    </w:p>
    <w:p w14:paraId="77D9DFA6">
      <w:pP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br w:type="page"/>
      </w:r>
    </w:p>
    <w:p w14:paraId="06F91CD1">
      <w:pPr>
        <w:pStyle w:val="3"/>
        <w:jc w:val="center"/>
        <w:rPr>
          <w:rFonts w:hint="eastAsia" w:ascii="宋体" w:hAnsi="宋体" w:eastAsia="宋体" w:cs="宋体"/>
          <w:color w:val="auto"/>
          <w:highlight w:val="none"/>
        </w:rPr>
      </w:pPr>
      <w:bookmarkStart w:id="108" w:name="_Toc32468"/>
      <w:r>
        <w:rPr>
          <w:rFonts w:hint="eastAsia" w:ascii="宋体" w:hAnsi="宋体" w:eastAsia="宋体" w:cs="宋体"/>
          <w:color w:val="auto"/>
          <w:highlight w:val="none"/>
        </w:rPr>
        <w:t>第三章 采购需求</w:t>
      </w:r>
      <w:bookmarkEnd w:id="108"/>
    </w:p>
    <w:p w14:paraId="27A2AC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说明：</w:t>
      </w:r>
    </w:p>
    <w:p w14:paraId="36A28D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供应商应对响应文件内容所涉及的专利、专有技术承担法律责任，并负责保护采购人的利益不受任何损害。一切由于文字、商标、技术和软件专利授权引起的法律裁决、诉讼和赔偿费用均由成交供应商负责。同时，具有产品专利、专有技术的供应商应在其响应文件中提供与其自有产品专利、专有技术相关的有效证明材料，否则，不能就其产品的专利、专有技术在本项目采购过程中被侵权问题而提出异议。</w:t>
      </w:r>
    </w:p>
    <w:p w14:paraId="5CFD79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2、采购文件中标注“▲”号的条款为本次采购的实质性的商务、技术或服务要求，供应商须满足或响应，若无法完全满足，将会被认定为响应无效。</w:t>
      </w:r>
    </w:p>
    <w:p w14:paraId="37AF84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zh-CN" w:eastAsia="zh-CN" w:bidi="ar-SA"/>
        </w:rPr>
      </w:pPr>
      <w:bookmarkStart w:id="109" w:name="工期要求"/>
      <w:bookmarkEnd w:id="109"/>
      <w:r>
        <w:rPr>
          <w:rFonts w:hint="eastAsia" w:ascii="宋体" w:hAnsi="宋体" w:eastAsia="宋体" w:cs="宋体"/>
          <w:color w:val="auto"/>
          <w:kern w:val="0"/>
          <w:sz w:val="21"/>
          <w:szCs w:val="21"/>
          <w:highlight w:val="none"/>
          <w:lang w:val="zh-CN" w:eastAsia="zh-CN" w:bidi="ar-SA"/>
        </w:rPr>
        <w:t>3、最终报价有时间限制，请各供应商提前做好准备，以免耽误报价。最终报价时，供应商只需报一个总价，结算时，各分项单价按最终报价与第一次报价的比例进行调整。</w:t>
      </w:r>
    </w:p>
    <w:p w14:paraId="6F61F5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（说明：如果采购人要求供应商最后报价需报单价的，各负责人要注意修改，修改为：最终报价有时间限制，请各供应商在最终报价前准备好各项报价（含单价），最终报价是各分项报价的汇总）</w:t>
      </w:r>
    </w:p>
    <w:tbl>
      <w:tblPr>
        <w:tblStyle w:val="33"/>
        <w:tblW w:w="93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757"/>
        <w:gridCol w:w="727"/>
        <w:gridCol w:w="56"/>
        <w:gridCol w:w="737"/>
        <w:gridCol w:w="6229"/>
      </w:tblGrid>
      <w:tr w14:paraId="0F0D9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14:paraId="3E0B3BC3">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一、项目要求及技术需求</w:t>
            </w:r>
          </w:p>
        </w:tc>
      </w:tr>
      <w:tr w14:paraId="06C7F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5C1B51D5">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项号</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14:paraId="56D628C0">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服务名称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C900805">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773906F7">
            <w:pPr>
              <w:spacing w:after="0" w:line="440" w:lineRule="exact"/>
              <w:jc w:val="center"/>
              <w:rPr>
                <w:rFonts w:hint="eastAsia" w:ascii="宋体" w:hAnsi="宋体" w:eastAsia="宋体" w:cs="宋体"/>
                <w:bCs/>
                <w:color w:val="auto"/>
                <w:sz w:val="21"/>
                <w:szCs w:val="21"/>
              </w:rPr>
            </w:pPr>
            <w:r>
              <w:rPr>
                <w:rFonts w:hint="eastAsia" w:ascii="宋体" w:hAnsi="宋体" w:eastAsia="宋体" w:cs="宋体"/>
                <w:color w:val="auto"/>
                <w:szCs w:val="21"/>
              </w:rPr>
              <w:t>技术需求</w:t>
            </w:r>
          </w:p>
        </w:tc>
      </w:tr>
      <w:tr w14:paraId="4C792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74C42BA3">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14:paraId="0D9D68CC">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Cs w:val="21"/>
                <w:highlight w:val="none"/>
                <w:u w:val="none"/>
                <w:lang w:eastAsia="zh-CN"/>
              </w:rPr>
              <w:t>玉林市科技馆物业管理服务项目</w:t>
            </w:r>
            <w:r>
              <w:rPr>
                <w:rFonts w:hint="eastAsia" w:ascii="宋体" w:hAnsi="宋体" w:cs="宋体"/>
                <w:bCs/>
                <w:color w:val="auto"/>
                <w:szCs w:val="21"/>
                <w:highlight w:val="none"/>
                <w:u w:val="none"/>
                <w:lang w:val="en-US" w:eastAsia="zh-CN"/>
              </w:rPr>
              <w:t xml:space="preserve"> （2025年9月至2026年8月）</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7BB04566">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1项</w:t>
            </w:r>
          </w:p>
        </w:tc>
        <w:tc>
          <w:tcPr>
            <w:tcW w:w="6229" w:type="dxa"/>
            <w:tcBorders>
              <w:top w:val="single" w:color="auto" w:sz="4" w:space="0"/>
              <w:left w:val="single" w:color="auto" w:sz="4" w:space="0"/>
              <w:bottom w:val="single" w:color="auto" w:sz="4" w:space="0"/>
              <w:right w:val="single" w:color="auto" w:sz="4" w:space="0"/>
            </w:tcBorders>
            <w:noWrap w:val="0"/>
            <w:vAlign w:val="center"/>
          </w:tcPr>
          <w:p w14:paraId="0F02721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一、物业管理服务内容及要求 </w:t>
            </w:r>
          </w:p>
          <w:p w14:paraId="22E448B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（一）总体要求 </w:t>
            </w:r>
          </w:p>
          <w:p w14:paraId="693EDF8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成交供应商应从本物业管理实际出发，根据合同约定的管理服务范围和标准，设立专门的管理机构，配备符合要求的管理人员、安保人员、保洁人员、维修（护）工、水电工等各类服务人员，提供治安保卫、秩序维护、卫生保洁、设施设备维护、科普剧场灯光音响、视频会议等系统操作、会务、咨询、创城、创卫、疫情防控工作等服务，制定完整有效的内部管理机制和日常运营服务管理制度等，满足市科技馆正常运营要求。 </w:t>
            </w:r>
          </w:p>
          <w:p w14:paraId="1A0BBA2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成交供应商应对市科技馆基础设施、设备进行日常维护保养，确保房屋建筑的完好和设施设备的正常运行；应提供全天候的公共秩序维护服务和安全服务，保证房屋建筑设施、人员和财产的安全；应确保房屋建筑环境的整洁、卫生、美观；应负责咨询、广播、会议会务及场馆各类科学普及、教学培训、学术讨论等活动服务工作，做到热情周到，服务到位；应开展物业人员培训、消防安全应急演练、安全保卫演练，对自然灾害、事故灾害、公共卫生事件和社会安全事件等突发公共事件能配合业主及时进行应对和处理；应配合业主做好有关单位对卫生、消防、质检等方面的检查。 </w:t>
            </w:r>
          </w:p>
          <w:p w14:paraId="4DC9369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▲3.配合业主做好相关工作开展的图片收集、台账材料整理等工作，并及时整理上报相应工作图片</w:t>
            </w:r>
          </w:p>
          <w:p w14:paraId="4508592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（二）具体要求 </w:t>
            </w:r>
          </w:p>
          <w:p w14:paraId="384594B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1.治安保卫 </w:t>
            </w:r>
          </w:p>
          <w:p w14:paraId="4489310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（1）秩序维护管理工作严密、严格、正规，措施得力，人员尽责，监管到位，防范严密，无重大疏漏。 </w:t>
            </w:r>
          </w:p>
          <w:p w14:paraId="0F609E4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▲（2）做好对重点部位定点守护和安全巡查。展馆、办公区域、公共区域等的 24 小时安全保卫、公共秩序维护，制定科学合理的巡查路线和进行有计划、不间断的巡逻，对展馆、科普剧场、办公室等重点区域、重点部位</w:t>
            </w:r>
            <w:r>
              <w:rPr>
                <w:rFonts w:hint="eastAsia" w:ascii="宋体" w:hAnsi="宋体" w:eastAsia="宋体" w:cs="宋体"/>
                <w:b/>
                <w:bCs/>
                <w:color w:val="auto"/>
                <w:kern w:val="0"/>
                <w:sz w:val="21"/>
                <w:szCs w:val="21"/>
                <w:lang w:val="en-US" w:eastAsia="zh-CN" w:bidi="ar"/>
              </w:rPr>
              <w:t>每 4 小时至少巡查 1 次</w:t>
            </w:r>
            <w:r>
              <w:rPr>
                <w:rFonts w:hint="eastAsia" w:ascii="宋体" w:hAnsi="宋体" w:eastAsia="宋体" w:cs="宋体"/>
                <w:color w:val="auto"/>
                <w:kern w:val="0"/>
                <w:sz w:val="21"/>
                <w:szCs w:val="21"/>
                <w:lang w:val="en-US" w:eastAsia="zh-CN" w:bidi="ar"/>
              </w:rPr>
              <w:t>，做好交接班记录，发现存在的安全隐患和</w:t>
            </w:r>
            <w:r>
              <w:rPr>
                <w:rFonts w:hint="eastAsia" w:ascii="宋体" w:hAnsi="宋体" w:cs="宋体"/>
                <w:color w:val="auto"/>
                <w:kern w:val="0"/>
                <w:sz w:val="21"/>
                <w:szCs w:val="21"/>
                <w:lang w:val="en-US" w:eastAsia="zh-CN" w:bidi="ar"/>
              </w:rPr>
              <w:t>危急情况</w:t>
            </w:r>
            <w:r>
              <w:rPr>
                <w:rFonts w:hint="eastAsia" w:ascii="宋体" w:hAnsi="宋体" w:eastAsia="宋体" w:cs="宋体"/>
                <w:color w:val="auto"/>
                <w:kern w:val="0"/>
                <w:sz w:val="21"/>
                <w:szCs w:val="21"/>
                <w:lang w:val="en-US" w:eastAsia="zh-CN" w:bidi="ar"/>
              </w:rPr>
              <w:t xml:space="preserve">要及时报告并采取有效措施排除。 </w:t>
            </w:r>
          </w:p>
          <w:p w14:paraId="08F8AEF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（3）科技馆出入口设置形象岗，做好游客引导、疏通工作，对于游客的不文明和不安全行为及时提醒和阻止，发现可疑人员及时盘查并上报。 </w:t>
            </w:r>
          </w:p>
          <w:p w14:paraId="4FFBADF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▲（4）遵守国家有关消防工作的方针、政策、法律、法规，消防监控室</w:t>
            </w:r>
            <w:r>
              <w:rPr>
                <w:rFonts w:hint="eastAsia" w:ascii="宋体" w:hAnsi="宋体" w:eastAsia="宋体" w:cs="宋体"/>
                <w:b/>
                <w:bCs/>
                <w:color w:val="auto"/>
                <w:kern w:val="0"/>
                <w:sz w:val="21"/>
                <w:szCs w:val="21"/>
                <w:lang w:val="en-US" w:eastAsia="zh-CN" w:bidi="ar"/>
              </w:rPr>
              <w:t>保证 24 小时值班，每班不少于 2 人</w:t>
            </w:r>
            <w:r>
              <w:rPr>
                <w:rFonts w:hint="eastAsia" w:ascii="宋体" w:hAnsi="宋体" w:eastAsia="宋体" w:cs="宋体"/>
                <w:color w:val="auto"/>
                <w:kern w:val="0"/>
                <w:sz w:val="21"/>
                <w:szCs w:val="21"/>
                <w:lang w:val="en-US" w:eastAsia="zh-CN" w:bidi="ar"/>
              </w:rPr>
              <w:t xml:space="preserve">（国家检查时），供应商应书面承诺成交后所配备人员须持有消防相关专业上岗证书，并能及时处理各类消防报警信号，按照有关规定要求做好各项记录。晚班要求须全为男性。 </w:t>
            </w:r>
          </w:p>
          <w:p w14:paraId="7217600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（5）负责对外来人员、车辆实行出入登记管理制度，做好前后岗亭 24 小时值守及门前“三包”工作。 </w:t>
            </w:r>
          </w:p>
          <w:p w14:paraId="49CAD56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（6）保持道路平整、通畅、无堵塞，无井盖丢失，无危险地带。 </w:t>
            </w:r>
          </w:p>
          <w:p w14:paraId="3840C5A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（7）闭馆后要对全馆门窗等进行检查，严禁闲杂人等在闭馆时进入展厅区域。 </w:t>
            </w:r>
          </w:p>
          <w:p w14:paraId="0E6BE7D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（10）做好重大活动期间的安全保卫及活动布置，按需求无偿增派工作人员，主动配合业主做好场地布置、货物搬运、横幅悬挂等工作，以及完成临时性安排的各项任务。 </w:t>
            </w:r>
          </w:p>
          <w:p w14:paraId="118A190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▲（11）做好消防保障、防火灭火、防盗防毁、消防安全检查工作。每周至少检查消防器材 1 次，确保消防设施完好，成立消防应急小组，做好火灾的应急处理，指定人员佩戴灭火防护设备，</w:t>
            </w:r>
            <w:r>
              <w:rPr>
                <w:rFonts w:hint="eastAsia" w:ascii="宋体" w:hAnsi="宋体" w:eastAsia="宋体" w:cs="宋体"/>
                <w:b/>
                <w:bCs/>
                <w:color w:val="auto"/>
                <w:kern w:val="0"/>
                <w:sz w:val="21"/>
                <w:szCs w:val="21"/>
                <w:lang w:val="en-US" w:eastAsia="zh-CN" w:bidi="ar"/>
              </w:rPr>
              <w:t xml:space="preserve">每季度至少开展 1 次以上消防演练（灭火、逃生、疏散、救援等）。 </w:t>
            </w:r>
          </w:p>
          <w:p w14:paraId="06DBEFA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负责处理突发事件，发生紧急情况及时处理，处置突发群体性事件果断、正确。协助配合公安机关和有关部门处理一切与治安有关的事件，做好维护场馆周边治安秩序工作及其他安全事务，对管理不善发生物品失窃事件负赔偿责任。 </w:t>
            </w:r>
          </w:p>
          <w:p w14:paraId="074D952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▲（13）每位安保人员都要配备手电筒、对讲机等常用器材，展馆出入口等关键岗位要配备方盾、金属头盔、防刺服、钢叉、棍等防暴器材，</w:t>
            </w:r>
            <w:r>
              <w:rPr>
                <w:rFonts w:hint="eastAsia" w:ascii="宋体" w:hAnsi="宋体" w:eastAsia="宋体" w:cs="宋体"/>
                <w:b/>
                <w:bCs/>
                <w:color w:val="auto"/>
                <w:kern w:val="0"/>
                <w:sz w:val="21"/>
                <w:szCs w:val="21"/>
                <w:lang w:val="en-US" w:eastAsia="zh-CN" w:bidi="ar"/>
              </w:rPr>
              <w:t xml:space="preserve">每半年至少开展 1 次以上防恐防暴安全演练。 </w:t>
            </w:r>
          </w:p>
          <w:p w14:paraId="23F9BAC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（14）做好安全检查、巡逻记录，突发事件处理记录，建立台账，并整理相关材料，及时存档备查。 </w:t>
            </w:r>
          </w:p>
          <w:p w14:paraId="57862B8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工作时间人员要求在责任区内巡视查看，不能长时间坐立，不得擅离职守或从事与工作无关的事情（如在岗时间读书看报、听音乐、玩手机、闲聊、吃零食、干私活、接待自己的客人等），上厕所、打开水等须有人员顶替方可离开。 </w:t>
            </w:r>
          </w:p>
          <w:p w14:paraId="258C162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2.工程维护维修 </w:t>
            </w:r>
          </w:p>
          <w:p w14:paraId="40DC2E7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▲（1）负责本物业管理服务范围内建筑本体（楼盖、梁、柱、内外墙体和基础等承重结构部位、外墙面、楼梯间、走廊、门厅、门窗等）及相应配套设施（水、电、照明等）的巡查、养护和管理。 </w:t>
            </w:r>
          </w:p>
          <w:p w14:paraId="192397B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▲（2）负责本物业管理服务范围内所有设备的日常运行操作、巡检、养护、清洁、管理。包含但不限于供配电系统、照明系统、景观亮化系统、给排水系统、抽排风系统、污水处理系统、中央空调系统（2 个模块、多联机系统）、消防系统、电梯 </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 xml:space="preserve">部、扶梯 2 部、电机房、电井等；科普剧场相关配套设施设备；监控、楼宇智控、广播、网络、办公设备、停车管理系统等弱电系统设备及室外 LED 屏幕、正门滚动屏幕、科普屏等多媒体设备。保证各种设施设备运行正常，处于良好状态。 </w:t>
            </w:r>
          </w:p>
          <w:p w14:paraId="6578337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熟悉各项设施设备技术参数、性能，熟悉有关的国家政策、法规，针对各项设备系统制定详细的养护检查方案，并严格按照方案开展维护、检查、保养工作，配合做好年审、维保工作，相关工作应做好记录，并及时存档备查。 </w:t>
            </w:r>
          </w:p>
          <w:p w14:paraId="0953F3B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（4）负责灯管、灯泡、门锁、卫生间龙头、冲水阀、排气扇等基础常规易损易耗设备的更换。 </w:t>
            </w:r>
          </w:p>
          <w:p w14:paraId="222DBF1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（5）每月至少 1 次巡查墙面、顶面粉刷层，面砖、地砖，发现损坏及时汇报业主，并配合业主做好相关修复工作。 </w:t>
            </w:r>
          </w:p>
          <w:p w14:paraId="669EB1A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（6）保证办公区域的办公设施设备（电话机、各种设备线路等）使用正常，发生故障及时汇报业主，并配合业主做好相关修复工作。 </w:t>
            </w:r>
          </w:p>
          <w:p w14:paraId="796A6F1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（7）确保业主开展重大活动期间各类公用设施完好无损、机器设备运行正常。 </w:t>
            </w:r>
          </w:p>
          <w:p w14:paraId="4CB6542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（8）作业时按相关安全规范和流程操作。 </w:t>
            </w:r>
          </w:p>
          <w:p w14:paraId="4C2B2D7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▲（9）做好配电房和空调主机房等的巡检，明确巡检时间和频次：每天巡查 1 次各楼层电井房，总配电室设备全天每 4 小时至少巡检 1 次，空调主机运行期间每 4 小时至少巡检 1 次。 </w:t>
            </w:r>
          </w:p>
          <w:p w14:paraId="090E5EF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（10）每天检查给排水管道、阀门、地漏、开关龙头等，杜绝跑冒滴漏、管道堵塞现象，发生堵塞及时汇报业主，并配合业主做好相关修复工作。 </w:t>
            </w:r>
          </w:p>
          <w:p w14:paraId="5B50CB6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（11）每周至少巡检 1 次公共休息椅、通道、应急指示灯、道路、路面、侧石、</w:t>
            </w:r>
            <w:r>
              <w:rPr>
                <w:rFonts w:hint="eastAsia" w:ascii="宋体" w:hAnsi="宋体" w:cs="宋体"/>
                <w:color w:val="auto"/>
                <w:kern w:val="0"/>
                <w:sz w:val="21"/>
                <w:szCs w:val="21"/>
                <w:lang w:val="en-US" w:eastAsia="zh-CN" w:bidi="ar"/>
              </w:rPr>
              <w:t>窨井盖</w:t>
            </w:r>
            <w:r>
              <w:rPr>
                <w:rFonts w:hint="eastAsia" w:ascii="宋体" w:hAnsi="宋体" w:eastAsia="宋体" w:cs="宋体"/>
                <w:color w:val="auto"/>
                <w:kern w:val="0"/>
                <w:sz w:val="21"/>
                <w:szCs w:val="21"/>
                <w:lang w:val="en-US" w:eastAsia="zh-CN" w:bidi="ar"/>
              </w:rPr>
              <w:t xml:space="preserve">等，发现损坏及时汇报业主，并配合业主做好相关修复工作。 </w:t>
            </w:r>
          </w:p>
          <w:p w14:paraId="4C4CC5F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（12）每月至少 1 次对屋面泄水沟、排水管道、下水管道、雨水井、污水井进行疏通，防止杂物、淤泥、树根堵塞。化粪池、沉沙井和水池无超量淤积，化粪池每年至少清理 1 次，保证化粪池出入口畅通，发生堵塞负责疏通</w:t>
            </w:r>
            <w:r>
              <w:rPr>
                <w:rFonts w:hint="eastAsia" w:ascii="宋体" w:hAnsi="宋体" w:cs="宋体"/>
                <w:color w:val="auto"/>
                <w:kern w:val="0"/>
                <w:sz w:val="21"/>
                <w:szCs w:val="21"/>
                <w:lang w:val="en-US" w:eastAsia="zh-CN" w:bidi="ar"/>
              </w:rPr>
              <w:t>，产生的</w:t>
            </w:r>
            <w:r>
              <w:rPr>
                <w:rFonts w:hint="eastAsia" w:ascii="宋体" w:hAnsi="宋体" w:eastAsia="宋体" w:cs="宋体"/>
                <w:color w:val="auto"/>
                <w:kern w:val="0"/>
                <w:sz w:val="21"/>
                <w:szCs w:val="21"/>
                <w:lang w:val="en-US" w:eastAsia="zh-CN" w:bidi="ar"/>
              </w:rPr>
              <w:t xml:space="preserve">费用由成交供应商支付。。 </w:t>
            </w:r>
          </w:p>
          <w:p w14:paraId="51AA09D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（13）每年至少检查 2 次屋顶，发现屋顶防水层碎裂、隔热板断裂缺失等及时告知业主，并配合业主做好相关修复工作。 </w:t>
            </w:r>
          </w:p>
          <w:p w14:paraId="7CBC9BF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（14）突发事件的应急技术处理要及时快速，避免造成不良影响。 </w:t>
            </w:r>
          </w:p>
          <w:p w14:paraId="7388D55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（15）建立设备档案，做好巡逻、保养、维护记录并归档，并整理相关材料，及时存档备查。 </w:t>
            </w:r>
          </w:p>
          <w:p w14:paraId="721CE2F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3.保洁工作</w:t>
            </w:r>
          </w:p>
          <w:p w14:paraId="1BA824D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（1）室内区域 </w:t>
            </w:r>
          </w:p>
          <w:p w14:paraId="1426519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①馆内所有垃圾日产日清。及时清理馆内公共区域、展厅、办公区、卫生间垃圾桶内垃圾，确保垃圾桶外表干净，无异味。 </w:t>
            </w:r>
          </w:p>
          <w:p w14:paraId="4F1F9AB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▲②展馆：科技馆的第一层和第二层各展厅、玉林市科技馆</w:t>
            </w:r>
            <w:r>
              <w:rPr>
                <w:rFonts w:hint="eastAsia" w:ascii="宋体" w:hAnsi="宋体" w:cs="宋体"/>
                <w:color w:val="auto"/>
                <w:kern w:val="0"/>
                <w:sz w:val="21"/>
                <w:szCs w:val="21"/>
                <w:lang w:val="en-US" w:eastAsia="zh-CN" w:bidi="ar"/>
              </w:rPr>
              <w:t>三</w:t>
            </w:r>
            <w:r>
              <w:rPr>
                <w:rFonts w:hint="eastAsia" w:ascii="宋体" w:hAnsi="宋体" w:eastAsia="宋体" w:cs="宋体"/>
                <w:color w:val="auto"/>
                <w:kern w:val="0"/>
                <w:sz w:val="21"/>
                <w:szCs w:val="21"/>
                <w:lang w:val="en-US" w:eastAsia="zh-CN" w:bidi="ar"/>
              </w:rPr>
              <w:t xml:space="preserve">层的展厅、办公区、公共区域地面每天清洁；对展厅玻璃每月清洁一次，办公区、公共区域地面每天清洁；对全馆所有展品每天清洁并消毒 1 次；对全馆扶手、栏杆、电梯按键等日常接触区域，每天清洁并消毒 2 次。确保无纸屑、烟头、塑料袋等垃圾，保证环境干净卫生整洁。 </w:t>
            </w:r>
          </w:p>
          <w:p w14:paraId="51CBFF8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▲③卫生间每天至少清洁 2 次，及时处理污垢、清理垃圾 桶，并保持卫生间无污迹、无积水、无异味，下水道畅通；保证厕所墙面</w:t>
            </w:r>
            <w:r>
              <w:rPr>
                <w:rFonts w:hint="eastAsia" w:ascii="宋体" w:hAnsi="宋体" w:cs="宋体"/>
                <w:color w:val="auto"/>
                <w:kern w:val="0"/>
                <w:sz w:val="21"/>
                <w:szCs w:val="21"/>
                <w:lang w:val="en-US" w:eastAsia="zh-CN" w:bidi="ar"/>
              </w:rPr>
              <w:t>、地</w:t>
            </w:r>
            <w:r>
              <w:rPr>
                <w:rFonts w:hint="eastAsia" w:ascii="宋体" w:hAnsi="宋体" w:eastAsia="宋体" w:cs="宋体"/>
                <w:color w:val="auto"/>
                <w:kern w:val="0"/>
                <w:sz w:val="21"/>
                <w:szCs w:val="21"/>
                <w:lang w:val="en-US" w:eastAsia="zh-CN" w:bidi="ar"/>
              </w:rPr>
              <w:t xml:space="preserve">面、便池清洁干净；洗手池镜面明亮，台、盆面清洁，墙角旮旯无蜘蛛网。 </w:t>
            </w:r>
          </w:p>
          <w:p w14:paraId="2FB4C8E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④每天上午对电梯进行日常保洁。 </w:t>
            </w:r>
          </w:p>
          <w:p w14:paraId="04AB65F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⑤如遇公共卫生安全等突发事件（如遇各类疫情等），要根据政府有关部门及业主的要求采取符合标准要求的措施，做好消毒工作，并做好消毒记录。 </w:t>
            </w:r>
          </w:p>
          <w:p w14:paraId="5325162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⑥及时清洁玻璃门、墙、窗、电源开关、插座、指示牌、立柱、公共门框、墙壁、灯具、顶部等，确保无积尘污迹。 </w:t>
            </w:r>
          </w:p>
          <w:p w14:paraId="2979A18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⑦科普剧场活动结束后须及时对会场进行打扫整理，确保干净整洁。 </w:t>
            </w:r>
          </w:p>
          <w:p w14:paraId="3E5A096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▲⑧每月 1 次请有消杀及灭“四害”专业资质的单位对全馆范围内进行灭“四害”工作，并做好警示标志，相关费用由成交供应商支付。 </w:t>
            </w:r>
          </w:p>
          <w:p w14:paraId="206590F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⑨负责科技馆各类主题活动废料清运到垃圾指定地点。 </w:t>
            </w:r>
          </w:p>
          <w:p w14:paraId="0F56584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（2）室外区域 </w:t>
            </w:r>
          </w:p>
          <w:p w14:paraId="20CCA5B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①负责收集各类垃圾，放置指定地点，及时清运，清运时密封装置，确保无洒落。</w:t>
            </w:r>
          </w:p>
          <w:p w14:paraId="3853DED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▲②清扫广场、道路、硬化地面、公共绿地等，并巡视保洁，确保无纸屑、烟头、塑料袋等垃圾，保持干净整洁。 </w:t>
            </w:r>
          </w:p>
          <w:p w14:paraId="68F23B8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▲③门卫室等每周至少清洁 1 次，保持清洁卫生。 </w:t>
            </w:r>
          </w:p>
          <w:p w14:paraId="6D53E52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④每月至少清洁 1 次灯杆、宣传栏、指示牌、</w:t>
            </w:r>
            <w:r>
              <w:rPr>
                <w:rFonts w:hint="eastAsia" w:ascii="宋体" w:hAnsi="宋体" w:cs="宋体"/>
                <w:color w:val="auto"/>
                <w:kern w:val="0"/>
                <w:sz w:val="21"/>
                <w:szCs w:val="21"/>
                <w:lang w:val="en-US" w:eastAsia="zh-CN" w:bidi="ar"/>
              </w:rPr>
              <w:t>标识牌</w:t>
            </w:r>
            <w:r>
              <w:rPr>
                <w:rFonts w:hint="eastAsia" w:ascii="宋体" w:hAnsi="宋体" w:eastAsia="宋体" w:cs="宋体"/>
                <w:color w:val="auto"/>
                <w:kern w:val="0"/>
                <w:sz w:val="21"/>
                <w:szCs w:val="21"/>
                <w:lang w:val="en-US" w:eastAsia="zh-CN" w:bidi="ar"/>
              </w:rPr>
              <w:t xml:space="preserve">、外围垃圾桶、卫生死角、水管处、下水道、排水沟、污水井等，及时清理外围垃圾桶垃圾，确保干净、无异味。 </w:t>
            </w:r>
          </w:p>
          <w:p w14:paraId="174E922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▲⑤每个季度至少清洗 2 次广场水池喷泉，国家法定假期等重大节假日必须提前 3 天清洗，保持水体无异味。每周至少对广场水池检查 1 次，发现杂物及时打捞，保持水体清洁。 </w:t>
            </w:r>
          </w:p>
          <w:p w14:paraId="03233F3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⑥地面污渍随时清洗，局部顽固污渍需彻底清洁。 </w:t>
            </w:r>
          </w:p>
          <w:p w14:paraId="48E26D5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4.会务服务 </w:t>
            </w:r>
          </w:p>
          <w:p w14:paraId="738DB1A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r>
              <w:rPr>
                <w:rFonts w:hint="eastAsia" w:ascii="宋体" w:hAnsi="宋体" w:cs="宋体"/>
                <w:color w:val="auto"/>
                <w:kern w:val="0"/>
                <w:sz w:val="21"/>
                <w:szCs w:val="21"/>
                <w:lang w:val="en-US" w:eastAsia="zh-CN" w:bidi="ar"/>
              </w:rPr>
              <w:t>做好</w:t>
            </w:r>
            <w:r>
              <w:rPr>
                <w:rFonts w:hint="eastAsia" w:ascii="宋体" w:hAnsi="宋体" w:eastAsia="宋体" w:cs="宋体"/>
                <w:color w:val="auto"/>
                <w:kern w:val="0"/>
                <w:sz w:val="21"/>
                <w:szCs w:val="21"/>
                <w:lang w:val="en-US" w:eastAsia="zh-CN" w:bidi="ar"/>
              </w:rPr>
              <w:t>市科技馆</w:t>
            </w:r>
            <w:r>
              <w:rPr>
                <w:rFonts w:hint="eastAsia" w:ascii="宋体" w:hAnsi="宋体" w:cs="宋体"/>
                <w:color w:val="auto"/>
                <w:kern w:val="0"/>
                <w:sz w:val="21"/>
                <w:szCs w:val="21"/>
                <w:lang w:val="en-US" w:eastAsia="zh-CN" w:bidi="ar"/>
              </w:rPr>
              <w:t>服</w:t>
            </w:r>
            <w:r>
              <w:rPr>
                <w:rFonts w:hint="eastAsia" w:ascii="宋体" w:hAnsi="宋体" w:eastAsia="宋体" w:cs="宋体"/>
                <w:color w:val="auto"/>
                <w:kern w:val="0"/>
                <w:sz w:val="21"/>
                <w:szCs w:val="21"/>
                <w:lang w:val="en-US" w:eastAsia="zh-CN" w:bidi="ar"/>
              </w:rPr>
              <w:t xml:space="preserve">务工作，协助业主会议前做好茶水、会议用品等准备工作。 </w:t>
            </w:r>
          </w:p>
          <w:p w14:paraId="61ADC7A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▲（2）协助做好科技馆内所有会议室相关设备的检查、开关、运行及维修工作。 </w:t>
            </w:r>
          </w:p>
          <w:p w14:paraId="146758B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（3）确保会议召开时，相关会场的干净整洁。 </w:t>
            </w:r>
          </w:p>
          <w:p w14:paraId="586F8FA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（4）协助会后的会场整理。 </w:t>
            </w:r>
          </w:p>
          <w:p w14:paraId="0C3C36D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（5）做好与会人员遗留物品的收集整理并及时上报。 </w:t>
            </w:r>
          </w:p>
          <w:p w14:paraId="5322F02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5.其他服务工作 </w:t>
            </w:r>
          </w:p>
          <w:p w14:paraId="74AD494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▲（1）负责前台服务工作，要求仪态大方，热情周到，服务到位，并做好记录。 </w:t>
            </w:r>
          </w:p>
          <w:p w14:paraId="2F65C9B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▲（2）负责场馆内广播播报，包括常规播报及特殊紧急播报。 </w:t>
            </w:r>
          </w:p>
          <w:p w14:paraId="535FFF2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▲（3）负责室外 LED 屏幕、正门滚动屏幕及科普屏等多媒体设备的操作。 </w:t>
            </w:r>
          </w:p>
          <w:p w14:paraId="4635253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（4）配合业主开展展厅秩序引导、巡查等服务工作，要求仪态大方，热情周到，服务到位。负责场地布置，基础设施检查。配合业主完成各种临时性工作，并根据工作需要安排相应工作人员。</w:t>
            </w:r>
          </w:p>
          <w:p w14:paraId="09167B9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（5）负责做好业主交办的其他工作。 </w:t>
            </w:r>
          </w:p>
          <w:p w14:paraId="5628902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 xml:space="preserve">6.资料归档移交工作 </w:t>
            </w:r>
          </w:p>
          <w:p w14:paraId="3F5EFFA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加强物业的档案管理和资料归档工作。其内容包括安全管理记录档案、清洁卫生管理档案、物业人事管理等，以及相应的管理方案。成交供应商必须运用计算机档案软件进行资料管理，所有档案要求做到保存完整，手续完备，检索方便准确，每半年移交一次物管资料和各类档案给业主保存，并做好数据统计，形成阶段性总结报告，及时上报业主。 </w:t>
            </w:r>
          </w:p>
          <w:p w14:paraId="3642DE5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7.建立健全物业管理制度 </w:t>
            </w:r>
          </w:p>
          <w:p w14:paraId="1F7E31E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根据市科技馆的具体情况，成交供应商应制定详细的内部管理制度、日常服务的运作管理制度等相关制度，其主要内容 </w:t>
            </w:r>
          </w:p>
          <w:p w14:paraId="34AC415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包括： </w:t>
            </w:r>
          </w:p>
          <w:p w14:paraId="2EC9E16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（1）物业员工行为规范。 </w:t>
            </w:r>
          </w:p>
          <w:p w14:paraId="093BA05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（2）各类人员岗位职责。 </w:t>
            </w:r>
          </w:p>
          <w:p w14:paraId="7F0E049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（3）各项工作操作流程及制度。 </w:t>
            </w:r>
          </w:p>
          <w:p w14:paraId="5388F06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（4）综合服务制度。 </w:t>
            </w:r>
          </w:p>
          <w:p w14:paraId="3D5BEC3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（5）应急制度。 </w:t>
            </w:r>
          </w:p>
          <w:p w14:paraId="01D6B1B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8.设备设施的使用、维护和管理 </w:t>
            </w:r>
          </w:p>
          <w:p w14:paraId="601E130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（1）设备设施的使用、维护和管理的对象为整个科技馆管理范围内所有的设备设施。 </w:t>
            </w:r>
          </w:p>
          <w:p w14:paraId="30AAA1C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（2）成交供应商需要在成交后配置熟练、专职、有上岗证及资格证的专业工程技术人员</w:t>
            </w:r>
            <w:r>
              <w:rPr>
                <w:rFonts w:hint="eastAsia" w:ascii="宋体" w:hAnsi="宋体" w:eastAsia="宋体" w:cs="宋体"/>
                <w:b/>
                <w:bCs/>
                <w:color w:val="auto"/>
                <w:kern w:val="0"/>
                <w:sz w:val="21"/>
                <w:szCs w:val="21"/>
                <w:lang w:val="en-US" w:eastAsia="zh-CN" w:bidi="ar"/>
              </w:rPr>
              <w:t>（持低压电工证等）</w:t>
            </w:r>
            <w:r>
              <w:rPr>
                <w:rFonts w:hint="eastAsia" w:ascii="宋体" w:hAnsi="宋体" w:eastAsia="宋体" w:cs="宋体"/>
                <w:color w:val="auto"/>
                <w:kern w:val="0"/>
                <w:sz w:val="21"/>
                <w:szCs w:val="21"/>
                <w:lang w:val="en-US" w:eastAsia="zh-CN" w:bidi="ar"/>
              </w:rPr>
              <w:t xml:space="preserve">对各项设备设施进行日常维修、保养及设备房清洁。 </w:t>
            </w:r>
          </w:p>
          <w:p w14:paraId="570E6EB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按照国家要求需单项外包给专业公司承包的由成交供应商与专业公司协调并负责监督，报业主同意后方可执行。某些国家规定必须由专业公司进行维护保养的设备(如电梯系统、中央空调、消防安防设备、配电系统等)的保养费用，由业主另行支付。 </w:t>
            </w:r>
          </w:p>
          <w:p w14:paraId="46E4064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成交供应商负责设备设施的维护和保养，并承担日常操作和管理，包括但不限于：各类机电设备、供配电、照明系统、给排水系统、应急消防系统、电子监控系统、通讯系统、建筑物设施、室外广播系统等。根据国家有关规定和设备的特点，制定有关定期维护、保养工作方案，并抓好落实。在日常使用过程中要制定使用运行制度和操作规程，定人、定时开关设备，及时发现设备和设施在使用过程中的隐患并及时处理，杜绝安全事故发生。 </w:t>
            </w:r>
          </w:p>
          <w:p w14:paraId="1827C0F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（5）根据消防管理部门的有关要求和规定，成交供应商对消防系统的管理要制定详细的管理制度、培训计划、实施方案和管理机构的设置方案。 </w:t>
            </w:r>
          </w:p>
          <w:p w14:paraId="304DD18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维修范围包含设备设施由成交供应商负责全馆基础设施，包括但不限于：门岗的大门，防护栏杆，垃圾桶，休闲椅等等）设施设备防腐、除锈、防锈、油漆等维护保养工作。以下项目由物业定时检查，如有埙坏</w:t>
            </w:r>
            <w:r>
              <w:rPr>
                <w:rFonts w:hint="eastAsia" w:ascii="宋体" w:hAnsi="宋体" w:cs="宋体"/>
                <w:color w:val="auto"/>
                <w:kern w:val="0"/>
                <w:sz w:val="21"/>
                <w:szCs w:val="21"/>
                <w:lang w:val="en-US" w:eastAsia="zh-CN" w:bidi="ar"/>
              </w:rPr>
              <w:t>的</w:t>
            </w:r>
            <w:r>
              <w:rPr>
                <w:rFonts w:hint="eastAsia" w:ascii="宋体" w:hAnsi="宋体" w:eastAsia="宋体" w:cs="宋体"/>
                <w:color w:val="auto"/>
                <w:kern w:val="0"/>
                <w:sz w:val="21"/>
                <w:szCs w:val="21"/>
                <w:lang w:val="en-US" w:eastAsia="zh-CN" w:bidi="ar"/>
              </w:rPr>
              <w:t xml:space="preserve">由物业提供维修，业主支付维修费：房屋本体，如天花、地面、墙面、灯具、门窗、屋面防渗漏、水电、下水道等。 </w:t>
            </w:r>
          </w:p>
          <w:p w14:paraId="7C94DC6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（7）成交供应商对管理区范围内用电安全和用电规范进行监管。代抄水、电表。 </w:t>
            </w:r>
          </w:p>
          <w:p w14:paraId="019F4B7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9.协助业主开展重大节日的环境布置工作。在元旦、春节、 五一节、国庆节等节假日以及有需要的活动时，进行园艺植物布置、花卉摆设等工作，营造节日的环境气氛。重点布置在场馆的主干通道、正门广场及主馆主要出入口等。 </w:t>
            </w:r>
          </w:p>
          <w:p w14:paraId="693AF73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二、玉林市科技馆人员配备与岗位要求 </w:t>
            </w:r>
          </w:p>
          <w:p w14:paraId="7F3BADA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（一）安保人员 </w:t>
            </w:r>
          </w:p>
          <w:p w14:paraId="25CE355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1.人员配置（14 人） </w:t>
            </w:r>
          </w:p>
          <w:p w14:paraId="472C80A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（1）主管：1 人，</w:t>
            </w:r>
            <w:r>
              <w:rPr>
                <w:rFonts w:hint="eastAsia" w:ascii="宋体" w:hAnsi="宋体" w:eastAsia="宋体" w:cs="宋体"/>
                <w:color w:val="auto"/>
                <w:kern w:val="0"/>
                <w:sz w:val="21"/>
                <w:szCs w:val="21"/>
                <w:lang w:val="en-US" w:eastAsia="zh-CN" w:bidi="ar"/>
              </w:rPr>
              <w:t>负责</w:t>
            </w:r>
            <w:r>
              <w:rPr>
                <w:rFonts w:hint="eastAsia" w:ascii="宋体" w:hAnsi="宋体" w:cs="宋体"/>
                <w:color w:val="auto"/>
                <w:kern w:val="0"/>
                <w:sz w:val="21"/>
                <w:szCs w:val="21"/>
                <w:lang w:val="en-US" w:eastAsia="zh-CN" w:bidi="ar"/>
              </w:rPr>
              <w:t>本馆</w:t>
            </w:r>
            <w:r>
              <w:rPr>
                <w:rFonts w:hint="eastAsia" w:ascii="宋体" w:hAnsi="宋体" w:eastAsia="宋体" w:cs="宋体"/>
                <w:color w:val="auto"/>
                <w:kern w:val="0"/>
                <w:sz w:val="21"/>
                <w:szCs w:val="21"/>
                <w:lang w:val="en-US" w:eastAsia="zh-CN" w:bidi="ar"/>
              </w:rPr>
              <w:t>物业项目管理工作，以及配合</w:t>
            </w:r>
            <w:r>
              <w:rPr>
                <w:rFonts w:hint="eastAsia" w:ascii="宋体" w:hAnsi="宋体" w:cs="宋体"/>
                <w:color w:val="auto"/>
                <w:kern w:val="0"/>
                <w:sz w:val="21"/>
                <w:szCs w:val="21"/>
                <w:lang w:val="en-US" w:eastAsia="zh-CN" w:bidi="ar"/>
              </w:rPr>
              <w:t>本馆</w:t>
            </w:r>
            <w:r>
              <w:rPr>
                <w:rFonts w:hint="eastAsia" w:ascii="宋体" w:hAnsi="宋体" w:eastAsia="宋体" w:cs="宋体"/>
                <w:color w:val="auto"/>
                <w:kern w:val="0"/>
                <w:sz w:val="21"/>
                <w:szCs w:val="21"/>
                <w:lang w:val="en-US" w:eastAsia="zh-CN" w:bidi="ar"/>
              </w:rPr>
              <w:t>开展协调工作，并协助办公室安排物业人员开展相关工作。要求经过专业培训，具有三年以上相关工作经验，工作责任心强。要求手机 24 小时开机，手机号码交业主备案。</w:t>
            </w:r>
          </w:p>
          <w:p w14:paraId="6BA706B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（2）安保人员按班次要求，每班设置班长 1 名，由固定岗、巡逻岗、机动岗其中 1 名安保人员兼任。要求工作责任心强，负责带领当班安保人员做好本职工作，并能积极协调解决突发情况。 </w:t>
            </w:r>
          </w:p>
          <w:p w14:paraId="22B24CA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（3）消防监控室：3 人</w:t>
            </w:r>
            <w:r>
              <w:rPr>
                <w:rFonts w:hint="eastAsia" w:ascii="宋体" w:hAnsi="宋体" w:eastAsia="宋体" w:cs="宋体"/>
                <w:color w:val="auto"/>
                <w:kern w:val="0"/>
                <w:sz w:val="21"/>
                <w:szCs w:val="21"/>
                <w:lang w:val="en-US" w:eastAsia="zh-CN" w:bidi="ar"/>
              </w:rPr>
              <w:t xml:space="preserve">，24 小时值班，三班，每班 1 人。 </w:t>
            </w:r>
          </w:p>
          <w:p w14:paraId="3358049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三班倒岗，负责在监控室开展相关工作，晚班要求须全为男性。 </w:t>
            </w:r>
          </w:p>
          <w:p w14:paraId="265D9E6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（4）固定岗：</w:t>
            </w:r>
            <w:r>
              <w:rPr>
                <w:rFonts w:hint="eastAsia" w:ascii="宋体" w:hAnsi="宋体" w:eastAsia="宋体" w:cs="宋体"/>
                <w:color w:val="auto"/>
                <w:kern w:val="0"/>
                <w:sz w:val="21"/>
                <w:szCs w:val="21"/>
                <w:lang w:val="en-US" w:eastAsia="zh-CN" w:bidi="ar"/>
              </w:rPr>
              <w:t>24 小时值班，要求</w:t>
            </w:r>
            <w:r>
              <w:rPr>
                <w:rFonts w:hint="eastAsia" w:ascii="宋体" w:hAnsi="宋体" w:eastAsia="宋体" w:cs="宋体"/>
                <w:b/>
                <w:bCs/>
                <w:color w:val="auto"/>
                <w:kern w:val="0"/>
                <w:sz w:val="21"/>
                <w:szCs w:val="21"/>
                <w:lang w:val="en-US" w:eastAsia="zh-CN" w:bidi="ar"/>
              </w:rPr>
              <w:t>人数 5 人</w:t>
            </w:r>
            <w:r>
              <w:rPr>
                <w:rFonts w:hint="eastAsia" w:ascii="宋体" w:hAnsi="宋体" w:eastAsia="宋体" w:cs="宋体"/>
                <w:color w:val="auto"/>
                <w:kern w:val="0"/>
                <w:sz w:val="21"/>
                <w:szCs w:val="21"/>
                <w:lang w:val="en-US" w:eastAsia="zh-CN" w:bidi="ar"/>
              </w:rPr>
              <w:t xml:space="preserve">。正门入口 3 人：三班倒，负责一楼入口处安全管理及保护工作，侧门入口 2 人：早中班，负责一楼出口处安全管理及保护工作，按需求及实际情况合理设置岗位。 </w:t>
            </w:r>
          </w:p>
          <w:p w14:paraId="678C5BC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（5）巡逻岗：3 人</w:t>
            </w:r>
            <w:r>
              <w:rPr>
                <w:rFonts w:hint="eastAsia" w:ascii="宋体" w:hAnsi="宋体" w:eastAsia="宋体" w:cs="宋体"/>
                <w:color w:val="auto"/>
                <w:kern w:val="0"/>
                <w:sz w:val="21"/>
                <w:szCs w:val="21"/>
                <w:lang w:val="en-US" w:eastAsia="zh-CN" w:bidi="ar"/>
              </w:rPr>
              <w:t xml:space="preserve">，三班倒岗，每班 1 人。负责场馆一楼外围、场馆内 1 至 2 楼、办公室区域等要求 24 小时轮值巡逻，做好安全保卫、秩序维护、车辆人员引导，以及突发紧急情况处理。并协助科普剧场开展活动，场馆运行等相关工作。要合理安排人员分区巡逻，特别是夜间巡逻。 </w:t>
            </w:r>
          </w:p>
          <w:p w14:paraId="5D7683E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（6）机动岗：2 人</w:t>
            </w:r>
            <w:r>
              <w:rPr>
                <w:rFonts w:hint="eastAsia" w:ascii="宋体" w:hAnsi="宋体" w:eastAsia="宋体" w:cs="宋体"/>
                <w:color w:val="auto"/>
                <w:kern w:val="0"/>
                <w:sz w:val="21"/>
                <w:szCs w:val="21"/>
                <w:lang w:val="en-US" w:eastAsia="zh-CN" w:bidi="ar"/>
              </w:rPr>
              <w:t xml:space="preserve">，保安人员机动岗，负责顶调休保安人员的岗位，并协助场馆开展活动和其他相关工作；负责配合突发应急事件的处理；配合做好主业交代其他工作。 </w:t>
            </w:r>
          </w:p>
          <w:p w14:paraId="3FD581A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2.人员要求 </w:t>
            </w:r>
          </w:p>
          <w:p w14:paraId="162C197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▲（1）从业人员年龄应在 20 岁至 50 岁之间，无案底，五官端正，身体素质佳，能吃苦耐劳；具备良好的综合素质，具备一定沟通能力，责任心强，反应敏捷，精神面貌佳，能认真遵守各项规章制度，熟练掌握工作流程。 </w:t>
            </w:r>
          </w:p>
          <w:p w14:paraId="264D580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（2）从业人员上岗前必须经过岗位培训，岗中持续培训。 </w:t>
            </w:r>
          </w:p>
          <w:p w14:paraId="0523A71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（3）馆区内所有区域 24 小时安全保障，视频监控室 24 小时监控，外围和夜间无死角</w:t>
            </w:r>
            <w:r>
              <w:rPr>
                <w:rFonts w:hint="eastAsia" w:ascii="宋体" w:hAnsi="宋体" w:cs="宋体"/>
                <w:color w:val="auto"/>
                <w:kern w:val="0"/>
                <w:sz w:val="21"/>
                <w:szCs w:val="21"/>
                <w:lang w:val="en-US" w:eastAsia="zh-CN" w:bidi="ar"/>
              </w:rPr>
              <w:t>地</w:t>
            </w:r>
            <w:r>
              <w:rPr>
                <w:rFonts w:hint="eastAsia" w:ascii="宋体" w:hAnsi="宋体" w:eastAsia="宋体" w:cs="宋体"/>
                <w:color w:val="auto"/>
                <w:kern w:val="0"/>
                <w:sz w:val="21"/>
                <w:szCs w:val="21"/>
                <w:lang w:val="en-US" w:eastAsia="zh-CN" w:bidi="ar"/>
              </w:rPr>
              <w:t xml:space="preserve">巡逻，如有失窃现象，则要追溯相关责任人并承担相关赔偿。 </w:t>
            </w:r>
          </w:p>
          <w:p w14:paraId="3F3325F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供应商应书面承诺成交后，消防监控室工作人员须符合消防要求持消防设施操作资格证书上岗，若不符合要求被消防部门处罚，成交供应商负全部责任。如更换人员必须经业主同意并务必组织培训交接，确保新员工能正确操作各种消控设备，误操作导致设备受损的，成交供应商负全部责任。 </w:t>
            </w:r>
          </w:p>
          <w:p w14:paraId="40C9F37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（5）保安队伍要求实行半军事化管理，除正常值班人员外，必须确保 24 小时随时有人待命，以应对突发事件。 </w:t>
            </w:r>
          </w:p>
          <w:p w14:paraId="32B9D4C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（二）工程技术人员（3 人） </w:t>
            </w:r>
          </w:p>
          <w:p w14:paraId="0D12E37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1.人员配置 </w:t>
            </w:r>
          </w:p>
          <w:p w14:paraId="3B2A5C2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（1）维修（护）工：2 人，</w:t>
            </w:r>
            <w:r>
              <w:rPr>
                <w:rFonts w:hint="eastAsia" w:ascii="宋体" w:hAnsi="宋体" w:eastAsia="宋体" w:cs="宋体"/>
                <w:color w:val="auto"/>
                <w:kern w:val="0"/>
                <w:sz w:val="21"/>
                <w:szCs w:val="21"/>
                <w:lang w:val="en-US" w:eastAsia="zh-CN" w:bidi="ar"/>
              </w:rPr>
              <w:t xml:space="preserve">负责科技馆展品日常管理、故障统计、维修维护展厅展品，协助后勤部以及相关部门工作。 </w:t>
            </w:r>
          </w:p>
          <w:p w14:paraId="369F958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（2）水电工：1 人，</w:t>
            </w:r>
            <w:r>
              <w:rPr>
                <w:rFonts w:hint="eastAsia" w:ascii="宋体" w:hAnsi="宋体" w:eastAsia="宋体" w:cs="宋体"/>
                <w:color w:val="auto"/>
                <w:kern w:val="0"/>
                <w:sz w:val="21"/>
                <w:szCs w:val="21"/>
                <w:lang w:val="en-US" w:eastAsia="zh-CN" w:bidi="ar"/>
              </w:rPr>
              <w:t>负责</w:t>
            </w:r>
            <w:r>
              <w:rPr>
                <w:rFonts w:hint="eastAsia" w:ascii="宋体" w:hAnsi="宋体" w:cs="宋体"/>
                <w:color w:val="auto"/>
                <w:kern w:val="0"/>
                <w:sz w:val="21"/>
                <w:szCs w:val="21"/>
                <w:lang w:val="en-US" w:eastAsia="zh-CN" w:bidi="ar"/>
              </w:rPr>
              <w:t>项目</w:t>
            </w:r>
            <w:r>
              <w:rPr>
                <w:rFonts w:hint="eastAsia" w:ascii="宋体" w:hAnsi="宋体" w:eastAsia="宋体" w:cs="宋体"/>
                <w:color w:val="auto"/>
                <w:kern w:val="0"/>
                <w:sz w:val="21"/>
                <w:szCs w:val="21"/>
                <w:lang w:val="en-US" w:eastAsia="zh-CN" w:bidi="ar"/>
              </w:rPr>
              <w:t xml:space="preserve">场馆内外水电维护工作，并协助场馆开展其他相关工作。 </w:t>
            </w:r>
          </w:p>
          <w:p w14:paraId="5187FA0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①熟悉所辖物业内电力设备包括输电线路、高低压配电柜、变压器、照明系统、各类电动机、各系统相关电气设备、暖通、电梯系统以及避雷设备等的基本情况、各供电电源开关、控制柜的位置和控制范围，并能正确操作。 </w:t>
            </w:r>
          </w:p>
          <w:p w14:paraId="4C75FBA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②熟悉给排水、电、地下管网走向、管径、阀门、水电表、窖井、地漏位置、数量、容量、功能、作用等基本情况，并能正确操作。 </w:t>
            </w:r>
          </w:p>
          <w:p w14:paraId="7D89F87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③负责定时抄录水电设备能耗数据，杜绝“跑、冒、滴、漏”现象，做好节能降耗。配合业主做好节能相关工作。 </w:t>
            </w:r>
          </w:p>
          <w:p w14:paraId="7B87635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④负责做好责任范围内突发事件的应急处理。 </w:t>
            </w:r>
          </w:p>
          <w:p w14:paraId="0ADC0D3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2.人员要求 </w:t>
            </w:r>
          </w:p>
          <w:p w14:paraId="142B77C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熟练使用维修工具和仪表，按操作规程和规章制度，保质保量地对馆内所有系统设施设备实施管理、运行、巡视检查、保养和维修并做好完整记录后存档保管。对各种设备的检查、维护与保养必须规范化、科学化、日常化、制度化，各种设备必须分别有检查、维护与保养的书面记录。 </w:t>
            </w:r>
          </w:p>
          <w:p w14:paraId="36A5736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（2）为确保科技馆的正常运行，供电、电梯、空调、强电、弱电等工种不少于 2 人上班。</w:t>
            </w:r>
          </w:p>
          <w:p w14:paraId="5899B61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成交供应商拟派电工人员均须持低压电工证方可上岗。须有两年以上相关工作经验，能够对馆内设施设备进行日常维护、管理、操作及简单维修。工作人员上岗前必须经过岗位培训，熟悉业务，按国家有关规定应持证上岗的工作人员需取得相应证书。</w:t>
            </w:r>
            <w:r>
              <w:rPr>
                <w:rFonts w:hint="eastAsia" w:ascii="宋体" w:hAnsi="宋体" w:eastAsia="宋体" w:cs="宋体"/>
                <w:b/>
                <w:bCs/>
                <w:color w:val="auto"/>
                <w:kern w:val="0"/>
                <w:sz w:val="21"/>
                <w:szCs w:val="21"/>
                <w:lang w:val="en-US" w:eastAsia="zh-CN" w:bidi="ar"/>
              </w:rPr>
              <w:t xml:space="preserve">注：成交供应商执行合同期 3 个月内，须安排至少 1 名人员取得高压电工证和特种设备作业人员证（作业项目代号 A）。 </w:t>
            </w:r>
          </w:p>
          <w:p w14:paraId="1217BBF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（三）保洁人员（3 人） </w:t>
            </w:r>
          </w:p>
          <w:p w14:paraId="3E67487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1. 全馆保洁岗：3 人，</w:t>
            </w:r>
            <w:r>
              <w:rPr>
                <w:rFonts w:hint="eastAsia" w:ascii="宋体" w:hAnsi="宋体" w:eastAsia="宋体" w:cs="宋体"/>
                <w:color w:val="auto"/>
                <w:kern w:val="0"/>
                <w:sz w:val="21"/>
                <w:szCs w:val="21"/>
                <w:lang w:val="en-US" w:eastAsia="zh-CN" w:bidi="ar"/>
              </w:rPr>
              <w:t xml:space="preserve">负责展厅展品，全馆内区域，馆外正门口卫生清洁。负责馆内外的环境清洁卫生、垃圾的收集等清洁保洁服务。要求身体健康，责任心强，每天严格按照标准完成保洁作业。 </w:t>
            </w:r>
          </w:p>
          <w:p w14:paraId="53DCC5A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其他要求： </w:t>
            </w:r>
          </w:p>
          <w:p w14:paraId="20E9717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2.上岗前必须接受岗前培训，岗中持续培训，并落实以下工作： </w:t>
            </w:r>
          </w:p>
          <w:p w14:paraId="419C8C7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（1）负责场馆内广播工作。 </w:t>
            </w:r>
          </w:p>
          <w:p w14:paraId="4CB12C3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（2）负责室外 LED 屏幕操作。 </w:t>
            </w:r>
          </w:p>
          <w:p w14:paraId="1A12028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（3）负责协助业主开展场馆秩序引导、巡查等服务工作。 </w:t>
            </w:r>
          </w:p>
          <w:p w14:paraId="6AE4AB4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负责业主会务接待工作，要求：适合女性，身体健康，五官端正，形象气质佳。上岗时统一着装，佩戴统一标志，装备佩戴规范，仪容仪表规范整齐，热情周到，精神饱满，姿态良好，文明用语，动作规范。日常无会务工作时，兼顾经理助理的职能，协助项目主管制定日常工作计划和方案，协助制订各项必要的应急预案，草拟工作总结，协助做好日常管理等。 </w:t>
            </w:r>
          </w:p>
          <w:p w14:paraId="23C75FA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（5）负责做好业主交办的其他工作。 </w:t>
            </w:r>
          </w:p>
          <w:p w14:paraId="7E63470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▲（六）玉林市科技馆项目，成交供应商拟派总人数要求不少于 20 人。成交供应商聘用员工必须符合国家法律、政策的 有关规定，对员工的疾病和人身安全负责，员工的劳资、须按照国家有关文件要求购买各项保险，费用均由成交供应商自理，发生的劳资纠纷由成交供应商负责。 </w:t>
            </w:r>
          </w:p>
          <w:p w14:paraId="5BC86C6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三、物品、工具、器材等的配备</w:t>
            </w:r>
          </w:p>
          <w:p w14:paraId="0D36771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成交供应商需配置公共秩序管理、房屋设备维护、高空作业、保洁工作等所</w:t>
            </w:r>
            <w:r>
              <w:rPr>
                <w:rFonts w:hint="eastAsia" w:ascii="宋体" w:hAnsi="宋体" w:cs="宋体"/>
                <w:color w:val="auto"/>
                <w:sz w:val="21"/>
                <w:szCs w:val="21"/>
                <w:lang w:val="en-US" w:eastAsia="zh-CN"/>
              </w:rPr>
              <w:t>必需</w:t>
            </w:r>
            <w:r>
              <w:rPr>
                <w:rFonts w:hint="eastAsia" w:ascii="宋体" w:hAnsi="宋体" w:eastAsia="宋体" w:cs="宋体"/>
                <w:color w:val="auto"/>
                <w:sz w:val="21"/>
                <w:szCs w:val="21"/>
                <w:lang w:val="en-US" w:eastAsia="zh-CN"/>
              </w:rPr>
              <w:t>的设备及工具，包含但不限于下列设备、工具：</w:t>
            </w:r>
          </w:p>
          <w:p w14:paraId="775AAE75">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（一）手电筒、对讲机、方盾、金属头盔、防刺服、钢叉、棍等安保器材。 </w:t>
            </w:r>
          </w:p>
          <w:p w14:paraId="3E74662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▲（二）工程维修的各种工具、设备等材料。 </w:t>
            </w:r>
          </w:p>
          <w:p w14:paraId="1EDBFBB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（三）在清洁卫生过程使用到的垃圾袋、扫把、毛巾、洗洁剂、刮刷、垃圾篓、垃圾清运车等物品。 </w:t>
            </w:r>
          </w:p>
          <w:p w14:paraId="7C112BB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（四）至少配备 1 套灭火防护设备（消防头盔、灭火防护服、消防手套、消防安全腰带、灭火防护靴、过滤呼吸器、安全腰带、安全绳、消防斧头等）。 </w:t>
            </w:r>
          </w:p>
          <w:p w14:paraId="3DB1DE7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（五）消防演练、防恐防暴演练所需物品及耗材。 </w:t>
            </w:r>
          </w:p>
          <w:p w14:paraId="5482753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（六）各类工具、耗材统一管理，摆放整齐，做好标记。</w:t>
            </w:r>
          </w:p>
          <w:p w14:paraId="2C3B0F2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四、综合服务内容及要求 </w:t>
            </w:r>
          </w:p>
          <w:p w14:paraId="191907C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成交供应商中标后人员、设备等必须按照服务时间开始立即到位，满足业主安保、保洁、工程等运营要求。成交供应商入场前需提前制定详细完善的针对目前阶段科技馆情况的物业管理方案，包括人员配置、岗位设置、动作机制、服务预期和应急预案等，并提出正式入场申请，经业主同意后方可入驻。 </w:t>
            </w:r>
          </w:p>
          <w:p w14:paraId="2632913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（二）业主可提供办公用房 1 间，成交供应商需配备基础办公条件。日常办公设备（计算机、打印机等）、办公家具及人员住房由成交供应商自行配备。 </w:t>
            </w:r>
          </w:p>
          <w:p w14:paraId="7AB710D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（三）</w:t>
            </w:r>
            <w:r>
              <w:rPr>
                <w:rFonts w:hint="eastAsia" w:ascii="宋体" w:hAnsi="宋体" w:cs="宋体"/>
                <w:color w:val="auto"/>
                <w:kern w:val="0"/>
                <w:sz w:val="21"/>
                <w:szCs w:val="21"/>
                <w:lang w:val="en-US" w:eastAsia="zh-CN" w:bidi="ar"/>
              </w:rPr>
              <w:t>建立</w:t>
            </w:r>
            <w:r>
              <w:rPr>
                <w:rFonts w:hint="eastAsia" w:ascii="宋体" w:hAnsi="宋体" w:eastAsia="宋体" w:cs="宋体"/>
                <w:color w:val="auto"/>
                <w:kern w:val="0"/>
                <w:sz w:val="21"/>
                <w:szCs w:val="21"/>
                <w:lang w:val="en-US" w:eastAsia="zh-CN" w:bidi="ar"/>
              </w:rPr>
              <w:t xml:space="preserve">完善的物业管理制度、作业流程及物业管理工作计划及实施时间，保证各类档案、资料完整便于工作查询，合同期满将全部档案资料移交业主。建立财务制度，财务收支符合国家有关规定。 </w:t>
            </w:r>
          </w:p>
          <w:p w14:paraId="74CF8A4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（四）全体员工统一着装，佩戴标志，服务意识高，敬业精神高，业务素质强，行为语言规范，服务热情主动。 </w:t>
            </w:r>
          </w:p>
          <w:p w14:paraId="0EE57C3D">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（五）管理人员、专业操作人员按照国家有关规定取得物业管理职业资格证书或岗位证书。核原件，扫描件交业主备案。 </w:t>
            </w:r>
          </w:p>
          <w:p w14:paraId="074E7B9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（六）定期对服务人员进行物业管理业务培训、消防培训及其他相关的服务培训。 </w:t>
            </w:r>
          </w:p>
          <w:p w14:paraId="0D69CF9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（七）阶段性向业主书面汇报上一阶段物业管理总体情况，每月向业主对口部门汇报工作，提出意见。 </w:t>
            </w:r>
          </w:p>
          <w:p w14:paraId="6F57118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（八）物业服务合同终止或选聘了新的物业管理企业的，成交供应商应当提前一个月将物业管理用房和所有物管资料、档案等完整地移交给业主。并有义务配合新的物业管理企业做好交接。 </w:t>
            </w:r>
          </w:p>
          <w:p w14:paraId="228800C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（九）采购人认可的，成交供应商在响应文件中承诺的其他事项。 </w:t>
            </w:r>
          </w:p>
          <w:p w14:paraId="3753459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五、（一）供应商需提供简介（包括目前所管辖物业情况介绍）。 </w:t>
            </w:r>
          </w:p>
          <w:p w14:paraId="421B54B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（二）物业管理计划方案及服务承诺。须体现供应商对投标物业的总体目标（即在一定期限内质量管理达到何种标准），并包括如下内容： </w:t>
            </w:r>
          </w:p>
          <w:p w14:paraId="127A15E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1.供应商拟采取的管理办法和方案。包括内部管理架构设置、岗位设置、各岗位人员配置、工作机制、服务机制、动作机制、信息反馈处理机制、员工待遇、激励机制等。 </w:t>
            </w:r>
          </w:p>
          <w:p w14:paraId="09BEEC3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▲2.管理人员及员工配置。包括：人员配置、人员素质要求（学历、能力、经历等）、人员培训计划、上岗考核标准、</w:t>
            </w:r>
            <w:r>
              <w:rPr>
                <w:rFonts w:hint="eastAsia" w:ascii="宋体" w:hAnsi="宋体" w:cs="宋体"/>
                <w:color w:val="auto"/>
                <w:kern w:val="0"/>
                <w:sz w:val="21"/>
                <w:szCs w:val="21"/>
                <w:lang w:val="en-US" w:eastAsia="zh-CN" w:bidi="ar"/>
              </w:rPr>
              <w:t>管理</w:t>
            </w:r>
            <w:r>
              <w:rPr>
                <w:rFonts w:hint="eastAsia" w:ascii="宋体" w:hAnsi="宋体" w:eastAsia="宋体" w:cs="宋体"/>
                <w:color w:val="auto"/>
                <w:kern w:val="0"/>
                <w:sz w:val="21"/>
                <w:szCs w:val="21"/>
                <w:lang w:val="en-US" w:eastAsia="zh-CN" w:bidi="ar"/>
              </w:rPr>
              <w:t>人员、员工人数，文化素质、各岗位人员的配置、员工待遇、管理人员的培训计划。各岗位人员</w:t>
            </w:r>
            <w:r>
              <w:rPr>
                <w:rFonts w:hint="eastAsia" w:ascii="宋体" w:hAnsi="宋体" w:cs="宋体"/>
                <w:color w:val="auto"/>
                <w:kern w:val="0"/>
                <w:sz w:val="21"/>
                <w:szCs w:val="21"/>
                <w:lang w:val="en-US" w:eastAsia="zh-CN" w:bidi="ar"/>
              </w:rPr>
              <w:t>持有</w:t>
            </w:r>
            <w:r>
              <w:rPr>
                <w:rFonts w:hint="eastAsia" w:ascii="宋体" w:hAnsi="宋体" w:eastAsia="宋体" w:cs="宋体"/>
                <w:color w:val="auto"/>
                <w:kern w:val="0"/>
                <w:sz w:val="21"/>
                <w:szCs w:val="21"/>
                <w:lang w:val="en-US" w:eastAsia="zh-CN" w:bidi="ar"/>
              </w:rPr>
              <w:t xml:space="preserve">的有关部门颁发的上岗证或职业资格证。 </w:t>
            </w:r>
          </w:p>
          <w:p w14:paraId="223FB37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3.管理工作必需的</w:t>
            </w:r>
            <w:r>
              <w:rPr>
                <w:rFonts w:hint="eastAsia" w:ascii="宋体" w:hAnsi="宋体" w:cs="宋体"/>
                <w:color w:val="auto"/>
                <w:kern w:val="0"/>
                <w:sz w:val="21"/>
                <w:szCs w:val="21"/>
                <w:lang w:val="en-US" w:eastAsia="zh-CN" w:bidi="ar"/>
              </w:rPr>
              <w:t>物资</w:t>
            </w:r>
            <w:r>
              <w:rPr>
                <w:rFonts w:hint="eastAsia" w:ascii="宋体" w:hAnsi="宋体" w:eastAsia="宋体" w:cs="宋体"/>
                <w:color w:val="auto"/>
                <w:kern w:val="0"/>
                <w:sz w:val="21"/>
                <w:szCs w:val="21"/>
                <w:lang w:val="en-US" w:eastAsia="zh-CN" w:bidi="ar"/>
              </w:rPr>
              <w:t>准备计划情况。包括：机械</w:t>
            </w:r>
            <w:r>
              <w:rPr>
                <w:rFonts w:hint="eastAsia" w:ascii="宋体" w:hAnsi="宋体" w:cs="宋体"/>
                <w:color w:val="auto"/>
                <w:kern w:val="0"/>
                <w:sz w:val="21"/>
                <w:szCs w:val="21"/>
                <w:lang w:val="en-US" w:eastAsia="zh-CN" w:bidi="ar"/>
              </w:rPr>
              <w:t>及其他</w:t>
            </w:r>
            <w:r>
              <w:rPr>
                <w:rFonts w:hint="eastAsia" w:ascii="宋体" w:hAnsi="宋体" w:eastAsia="宋体" w:cs="宋体"/>
                <w:color w:val="auto"/>
                <w:kern w:val="0"/>
                <w:sz w:val="21"/>
                <w:szCs w:val="21"/>
                <w:lang w:val="en-US" w:eastAsia="zh-CN" w:bidi="ar"/>
              </w:rPr>
              <w:t>维修工具</w:t>
            </w:r>
            <w:r>
              <w:rPr>
                <w:rFonts w:hint="eastAsia" w:ascii="宋体" w:hAnsi="宋体" w:cs="宋体"/>
                <w:color w:val="auto"/>
                <w:kern w:val="0"/>
                <w:sz w:val="21"/>
                <w:szCs w:val="21"/>
                <w:lang w:val="en-US" w:eastAsia="zh-CN" w:bidi="ar"/>
              </w:rPr>
              <w:t>，以及</w:t>
            </w:r>
            <w:r>
              <w:rPr>
                <w:rFonts w:hint="eastAsia" w:ascii="宋体" w:hAnsi="宋体" w:eastAsia="宋体" w:cs="宋体"/>
                <w:color w:val="auto"/>
                <w:kern w:val="0"/>
                <w:sz w:val="21"/>
                <w:szCs w:val="21"/>
                <w:lang w:val="en-US" w:eastAsia="zh-CN" w:bidi="ar"/>
              </w:rPr>
              <w:t xml:space="preserve">通讯、治安装备、办公用品、人员制服、清洁工具和用品等。 </w:t>
            </w:r>
          </w:p>
          <w:p w14:paraId="698264E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六、其他： </w:t>
            </w:r>
          </w:p>
          <w:p w14:paraId="46B91C9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kern w:val="0"/>
                <w:sz w:val="21"/>
                <w:szCs w:val="21"/>
                <w:lang w:val="en-US" w:eastAsia="zh-CN" w:bidi="ar"/>
              </w:rPr>
              <w:t>根据《财政部关于推进和完善服务项目政府采购有关问题的通知》（财库﹝2014﹞37 号）文件有关要求，符合规定要求的可与成交供应商续签电子采购合同。</w:t>
            </w:r>
          </w:p>
        </w:tc>
      </w:tr>
      <w:tr w14:paraId="780ED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14:paraId="0CB923F0">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二、涉及项目的其他要求</w:t>
            </w:r>
          </w:p>
        </w:tc>
      </w:tr>
      <w:tr w14:paraId="23AF1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14:paraId="126DC2A0">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▲采购预算价</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1BA26E91">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元</w:t>
            </w:r>
          </w:p>
        </w:tc>
      </w:tr>
      <w:tr w14:paraId="22BCA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14:paraId="7A961F0A">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为落实政府采购政策需满足的要求</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265DCDD8">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具体见第一章“竞争性磋商公告”以及第四章“评审方法及评审标准”。</w:t>
            </w:r>
          </w:p>
        </w:tc>
      </w:tr>
      <w:tr w14:paraId="77F0E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14:paraId="20DC8941">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规范标准</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3688248C">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563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6" w:type="dxa"/>
            <w:gridSpan w:val="3"/>
            <w:tcBorders>
              <w:top w:val="single" w:color="auto" w:sz="4" w:space="0"/>
              <w:left w:val="single" w:color="auto" w:sz="4" w:space="0"/>
              <w:bottom w:val="single" w:color="auto" w:sz="4" w:space="0"/>
              <w:right w:val="single" w:color="auto" w:sz="4" w:space="0"/>
            </w:tcBorders>
            <w:noWrap w:val="0"/>
            <w:vAlign w:val="center"/>
          </w:tcPr>
          <w:p w14:paraId="4F0E4DBD">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采购标的需满足的质量、安全、技术规格、物理特性等</w:t>
            </w:r>
          </w:p>
        </w:tc>
        <w:tc>
          <w:tcPr>
            <w:tcW w:w="7022" w:type="dxa"/>
            <w:gridSpan w:val="3"/>
            <w:tcBorders>
              <w:top w:val="single" w:color="auto" w:sz="4" w:space="0"/>
              <w:left w:val="single" w:color="auto" w:sz="4" w:space="0"/>
              <w:bottom w:val="single" w:color="auto" w:sz="4" w:space="0"/>
              <w:right w:val="single" w:color="auto" w:sz="4" w:space="0"/>
            </w:tcBorders>
            <w:noWrap w:val="0"/>
            <w:vAlign w:val="center"/>
          </w:tcPr>
          <w:p w14:paraId="1634E82C">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见本表“功能目标及技术指标”。</w:t>
            </w:r>
          </w:p>
        </w:tc>
      </w:tr>
      <w:tr w14:paraId="45B11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14:paraId="472B3810">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▲三、商务条款（不满足商务要求的磋商无效）</w:t>
            </w:r>
          </w:p>
        </w:tc>
      </w:tr>
      <w:tr w14:paraId="4817C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14:paraId="73881DD0">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▲一、合同签订期：自</w:t>
            </w:r>
            <w:r>
              <w:rPr>
                <w:rFonts w:hint="eastAsia" w:ascii="宋体" w:hAnsi="宋体" w:cs="宋体"/>
                <w:color w:val="auto"/>
                <w:kern w:val="0"/>
                <w:sz w:val="20"/>
                <w:szCs w:val="20"/>
                <w:lang w:val="en-US" w:eastAsia="zh-CN" w:bidi="ar"/>
              </w:rPr>
              <w:t>成交</w:t>
            </w:r>
            <w:r>
              <w:rPr>
                <w:rFonts w:hint="eastAsia" w:ascii="宋体" w:hAnsi="宋体" w:eastAsia="宋体" w:cs="宋体"/>
                <w:color w:val="auto"/>
                <w:kern w:val="0"/>
                <w:sz w:val="20"/>
                <w:szCs w:val="20"/>
                <w:lang w:val="en-US" w:eastAsia="zh-CN" w:bidi="ar"/>
              </w:rPr>
              <w:t xml:space="preserve">通知书发出之日起 25 日内。 </w:t>
            </w:r>
          </w:p>
          <w:p w14:paraId="364DC3AA">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◆二、服务期限或者服务时间：自合同规定提供服务之日起壹年。 </w:t>
            </w:r>
          </w:p>
          <w:p w14:paraId="6F10F68A">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408" w:firstLineChars="204"/>
              <w:jc w:val="left"/>
              <w:textAlignment w:val="auto"/>
              <w:rPr>
                <w:color w:val="auto"/>
              </w:rPr>
            </w:pPr>
            <w:r>
              <w:rPr>
                <w:rFonts w:hint="eastAsia" w:ascii="宋体" w:hAnsi="宋体" w:eastAsia="宋体" w:cs="宋体"/>
                <w:color w:val="auto"/>
                <w:kern w:val="0"/>
                <w:sz w:val="20"/>
                <w:szCs w:val="20"/>
                <w:lang w:val="en-US" w:eastAsia="zh-CN" w:bidi="ar"/>
              </w:rPr>
              <w:t>三、服务地点：玉林市科技馆</w:t>
            </w:r>
          </w:p>
          <w:p w14:paraId="3E4A4754">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1" w:firstLineChars="105"/>
              <w:jc w:val="left"/>
              <w:textAlignment w:val="auto"/>
              <w:rPr>
                <w:color w:val="auto"/>
              </w:rPr>
            </w:pPr>
            <w:r>
              <w:rPr>
                <w:rFonts w:hint="eastAsia" w:ascii="宋体" w:hAnsi="宋体" w:eastAsia="宋体" w:cs="宋体"/>
                <w:b/>
                <w:bCs/>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四、验收标准、规范：对成交供应商服务质量的考核：业主牵头组成考核小组，制定考核评分标准，考核小组根据评分标准每月对成交供应商人员配备、治安保卫、设备设施维护、卫生保洁、会务服务等服务质量、服务水平进行考核。物业管理</w:t>
            </w:r>
            <w:r>
              <w:rPr>
                <w:rFonts w:hint="eastAsia" w:ascii="宋体" w:hAnsi="宋体" w:cs="宋体"/>
                <w:color w:val="auto"/>
                <w:kern w:val="0"/>
                <w:sz w:val="20"/>
                <w:szCs w:val="20"/>
                <w:lang w:val="en-US" w:eastAsia="zh-CN" w:bidi="ar"/>
              </w:rPr>
              <w:t>如</w:t>
            </w:r>
            <w:r>
              <w:rPr>
                <w:rFonts w:hint="eastAsia" w:ascii="宋体" w:hAnsi="宋体" w:eastAsia="宋体" w:cs="宋体"/>
                <w:color w:val="auto"/>
                <w:kern w:val="0"/>
                <w:sz w:val="20"/>
                <w:szCs w:val="20"/>
                <w:lang w:val="en-US" w:eastAsia="zh-CN" w:bidi="ar"/>
              </w:rPr>
              <w:t xml:space="preserve">达不到上述规定要求，出现重大管理失误、管理服务水平严重下降等现象，市科技馆可终止管理服务合同并进行财务审计，由成交供应商承担违约和赔偿责任。 </w:t>
            </w:r>
          </w:p>
          <w:p w14:paraId="3173A393">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①成交供应商应按照业主要求，结合该物业实际情况，制定《物业管理服务制度》及管理岗位操作章程上墙，确保管理制度规范化。按照《管理制度》进行管理，并有权按业主委托对违反《管理制度》规定的行为进行处理。 </w:t>
            </w:r>
          </w:p>
          <w:p w14:paraId="60479787">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②成交供应商协助业主组织施工单位、供应商实施质保期内的所有建筑物、设施设备的维护保养维修事宜。发现问题及时通知业主及质保施工单位、供应商，并采取相应有效措施避免损失扩大。 </w:t>
            </w:r>
          </w:p>
          <w:p w14:paraId="28E15072">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③如成交供应商未按业主要求配备配齐相关工作人员(因员工提出辞职后导致的缺员，工程技术人员补员期为一个月，其他人员半个月</w:t>
            </w:r>
            <w:r>
              <w:rPr>
                <w:rFonts w:hint="eastAsia" w:ascii="宋体" w:hAnsi="宋体" w:cs="宋体"/>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 xml:space="preserve">员工补员期内不能影响业主正常工作。若因缺员严重影响物业管理工作的，业主有权按所缺人员的数量及相关费用标准从物业费中扣除。 </w:t>
            </w:r>
          </w:p>
          <w:p w14:paraId="69B12849">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1" w:firstLineChars="105"/>
              <w:jc w:val="left"/>
              <w:textAlignment w:val="auto"/>
              <w:rPr>
                <w:color w:val="auto"/>
              </w:rPr>
            </w:pPr>
            <w:r>
              <w:rPr>
                <w:rFonts w:hint="eastAsia" w:ascii="宋体" w:hAnsi="宋体" w:eastAsia="宋体" w:cs="宋体"/>
                <w:b/>
                <w:bCs/>
                <w:color w:val="auto"/>
                <w:kern w:val="0"/>
                <w:sz w:val="20"/>
                <w:szCs w:val="20"/>
                <w:lang w:val="en-US" w:eastAsia="zh-CN" w:bidi="ar"/>
              </w:rPr>
              <w:t xml:space="preserve">▲ </w:t>
            </w:r>
            <w:r>
              <w:rPr>
                <w:rFonts w:hint="eastAsia" w:ascii="宋体" w:hAnsi="宋体" w:eastAsia="宋体" w:cs="宋体"/>
                <w:color w:val="auto"/>
                <w:kern w:val="0"/>
                <w:sz w:val="20"/>
                <w:szCs w:val="20"/>
                <w:lang w:val="en-US" w:eastAsia="zh-CN" w:bidi="ar"/>
              </w:rPr>
              <w:t>五、售后服务要求：</w:t>
            </w:r>
          </w:p>
          <w:p w14:paraId="2375C978">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cs="宋体"/>
                <w:color w:val="auto"/>
                <w:kern w:val="0"/>
                <w:sz w:val="20"/>
                <w:szCs w:val="20"/>
                <w:lang w:val="en-US" w:eastAsia="zh-CN" w:bidi="ar"/>
              </w:rPr>
              <w:t>1.</w:t>
            </w:r>
            <w:r>
              <w:rPr>
                <w:rFonts w:hint="eastAsia" w:ascii="宋体" w:hAnsi="宋体" w:eastAsia="宋体" w:cs="宋体"/>
                <w:color w:val="auto"/>
                <w:kern w:val="0"/>
                <w:sz w:val="20"/>
                <w:szCs w:val="20"/>
                <w:lang w:val="en-US" w:eastAsia="zh-CN" w:bidi="ar"/>
              </w:rPr>
              <w:t xml:space="preserve">响应时间：接到采购人处理问题通知后壹小时内到达采购人指定现场。 </w:t>
            </w:r>
          </w:p>
          <w:p w14:paraId="34B838E2">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cs="宋体"/>
                <w:color w:val="auto"/>
                <w:kern w:val="0"/>
                <w:sz w:val="20"/>
                <w:szCs w:val="20"/>
                <w:lang w:val="en-US" w:eastAsia="zh-CN" w:bidi="ar"/>
              </w:rPr>
              <w:t>2.</w:t>
            </w:r>
            <w:r>
              <w:rPr>
                <w:rFonts w:hint="eastAsia" w:ascii="宋体" w:hAnsi="宋体" w:eastAsia="宋体" w:cs="宋体"/>
                <w:color w:val="auto"/>
                <w:kern w:val="0"/>
                <w:sz w:val="20"/>
                <w:szCs w:val="20"/>
                <w:lang w:val="en-US" w:eastAsia="zh-CN" w:bidi="ar"/>
              </w:rPr>
              <w:t xml:space="preserve">其他：无。 </w:t>
            </w:r>
          </w:p>
          <w:p w14:paraId="35F6A36D">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六、其他要求： </w:t>
            </w:r>
          </w:p>
          <w:p w14:paraId="43586DEB">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1" w:firstLineChars="105"/>
              <w:jc w:val="left"/>
              <w:textAlignment w:val="auto"/>
              <w:rPr>
                <w:color w:val="auto"/>
              </w:rPr>
            </w:pPr>
            <w:r>
              <w:rPr>
                <w:rFonts w:hint="eastAsia" w:ascii="宋体" w:hAnsi="宋体" w:eastAsia="宋体" w:cs="宋体"/>
                <w:b/>
                <w:bCs/>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 xml:space="preserve">1、报价必须含以下部分，包括： </w:t>
            </w:r>
          </w:p>
          <w:p w14:paraId="144925A0">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（1）服务的价格；包含物业服务人员的办公用房、职工宿舍租赁及办公设备费用，工作人员一年两季工作服以及保洁所需部分工具装备费用； </w:t>
            </w:r>
          </w:p>
          <w:p w14:paraId="3273D563">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（2）必要的保险费用和各项税金； </w:t>
            </w:r>
          </w:p>
          <w:p w14:paraId="3F1875D3">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1" w:firstLineChars="105"/>
              <w:jc w:val="left"/>
              <w:textAlignment w:val="auto"/>
              <w:rPr>
                <w:color w:val="auto"/>
              </w:rPr>
            </w:pPr>
            <w:r>
              <w:rPr>
                <w:rFonts w:hint="eastAsia" w:ascii="宋体" w:hAnsi="宋体" w:eastAsia="宋体" w:cs="宋体"/>
                <w:b/>
                <w:bCs/>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2、付款方式：自合同签订之日起 10 个工作日内采购人预付合同金额的30%，从第</w:t>
            </w:r>
            <w:r>
              <w:rPr>
                <w:rFonts w:hint="eastAsia" w:ascii="宋体" w:hAnsi="宋体" w:cs="宋体"/>
                <w:color w:val="auto"/>
                <w:kern w:val="0"/>
                <w:sz w:val="20"/>
                <w:szCs w:val="20"/>
                <w:lang w:val="en-US" w:eastAsia="zh-CN" w:bidi="ar"/>
              </w:rPr>
              <w:t>五</w:t>
            </w:r>
            <w:r>
              <w:rPr>
                <w:rFonts w:hint="eastAsia" w:ascii="宋体" w:hAnsi="宋体" w:eastAsia="宋体" w:cs="宋体"/>
                <w:color w:val="auto"/>
                <w:kern w:val="0"/>
                <w:sz w:val="20"/>
                <w:szCs w:val="20"/>
                <w:lang w:val="en-US" w:eastAsia="zh-CN" w:bidi="ar"/>
              </w:rPr>
              <w:t xml:space="preserve">月开始按月支付。 </w:t>
            </w:r>
          </w:p>
          <w:p w14:paraId="1B2117A8">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3、对合同条款的调整 </w:t>
            </w:r>
          </w:p>
          <w:p w14:paraId="18B696EA">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（1）成交单位应严格执行国家、自治区、玉林市有关物业管理法律法规规定和物业管理服务合同，对玉林市科技馆实施专业化统一管理。</w:t>
            </w:r>
          </w:p>
          <w:p w14:paraId="667EDFA4">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（2）成交单位必须按照《</w:t>
            </w:r>
            <w:r>
              <w:rPr>
                <w:rFonts w:hint="eastAsia" w:ascii="宋体" w:hAnsi="宋体" w:cs="宋体"/>
                <w:color w:val="auto"/>
                <w:kern w:val="0"/>
                <w:sz w:val="20"/>
                <w:szCs w:val="20"/>
                <w:lang w:val="en-US" w:eastAsia="zh-CN" w:bidi="ar"/>
              </w:rPr>
              <w:t>中华人民共和国民法典</w:t>
            </w:r>
            <w:r>
              <w:rPr>
                <w:rFonts w:hint="eastAsia" w:ascii="宋体" w:hAnsi="宋体" w:eastAsia="宋体" w:cs="宋体"/>
                <w:color w:val="auto"/>
                <w:kern w:val="0"/>
                <w:sz w:val="20"/>
                <w:szCs w:val="20"/>
                <w:lang w:val="en-US" w:eastAsia="zh-CN" w:bidi="ar"/>
              </w:rPr>
              <w:t xml:space="preserve">》的规定与员工签订劳动合同并依据国家、自治区和玉林市有关最低工资标准的规定要求以及缴纳各种社会保险的规定要求向员工支付工资和缴纳社保及其他保险。供应商的报价中必须按该条款要求充分考虑“人员配置要求”中各类人员的工资、福利、加班费、社保及其他应缴保险。磋商时请按本项目“人员配置要求”提供各类人员的工资、社保及其他应缴保险等费用的预算表。员工上岗前需提供缴纳社保证明。 </w:t>
            </w:r>
          </w:p>
          <w:p w14:paraId="650E7E27">
            <w:pPr>
              <w:keepNext w:val="0"/>
              <w:keepLines w:val="0"/>
              <w:pageBreakBefore w:val="0"/>
              <w:widowControl/>
              <w:suppressLineNumbers w:val="0"/>
              <w:kinsoku/>
              <w:wordWrap/>
              <w:overflowPunct/>
              <w:topLinePunct w:val="0"/>
              <w:autoSpaceDE/>
              <w:autoSpaceDN/>
              <w:bidi w:val="0"/>
              <w:adjustRightInd/>
              <w:snapToGrid/>
              <w:spacing w:line="300" w:lineRule="auto"/>
              <w:ind w:left="0" w:leftChars="0" w:firstLine="210" w:firstLineChars="105"/>
              <w:jc w:val="left"/>
              <w:textAlignment w:val="auto"/>
              <w:rPr>
                <w:color w:val="auto"/>
              </w:rPr>
            </w:pPr>
            <w:r>
              <w:rPr>
                <w:rFonts w:hint="eastAsia" w:ascii="宋体" w:hAnsi="宋体" w:eastAsia="宋体" w:cs="宋体"/>
                <w:color w:val="auto"/>
                <w:kern w:val="0"/>
                <w:sz w:val="20"/>
                <w:szCs w:val="20"/>
                <w:lang w:val="en-US" w:eastAsia="zh-CN" w:bidi="ar"/>
              </w:rPr>
              <w:t xml:space="preserve">（3）供应商必须根据本招标文件提供的条件认真研究，仔细做好响应文件，若在响应文件中提出增设规划设施设备以外其他设施设备的，视为供应商自愿承担费用，成交后须在承诺期限内予以实施。 </w:t>
            </w:r>
          </w:p>
          <w:p w14:paraId="2AB612FF">
            <w:pPr>
              <w:keepNext w:val="0"/>
              <w:keepLines w:val="0"/>
              <w:widowControl/>
              <w:suppressLineNumbers w:val="0"/>
              <w:ind w:left="0" w:leftChars="0" w:firstLine="211" w:firstLineChars="105"/>
              <w:jc w:val="left"/>
              <w:rPr>
                <w:color w:val="auto"/>
              </w:rPr>
            </w:pPr>
            <w:r>
              <w:rPr>
                <w:rFonts w:hint="eastAsia" w:ascii="宋体" w:hAnsi="宋体" w:eastAsia="宋体" w:cs="宋体"/>
                <w:b/>
                <w:bCs/>
                <w:color w:val="auto"/>
                <w:kern w:val="0"/>
                <w:sz w:val="20"/>
                <w:szCs w:val="20"/>
                <w:lang w:val="en-US" w:eastAsia="zh-CN" w:bidi="ar"/>
              </w:rPr>
              <w:t>▲</w:t>
            </w:r>
            <w:r>
              <w:rPr>
                <w:rFonts w:hint="eastAsia" w:ascii="宋体" w:hAnsi="宋体" w:eastAsia="宋体" w:cs="宋体"/>
                <w:color w:val="auto"/>
                <w:kern w:val="0"/>
                <w:sz w:val="20"/>
                <w:szCs w:val="20"/>
                <w:lang w:val="en-US" w:eastAsia="zh-CN" w:bidi="ar"/>
              </w:rPr>
              <w:t xml:space="preserve">（4）成交供应商不得转包给第三者，也不能给第三者挂靠。 </w:t>
            </w:r>
          </w:p>
          <w:p w14:paraId="77C22BBA">
            <w:pPr>
              <w:keepNext w:val="0"/>
              <w:keepLines w:val="0"/>
              <w:widowControl/>
              <w:suppressLineNumbers w:val="0"/>
              <w:ind w:left="0" w:leftChars="0" w:firstLine="210" w:firstLineChars="105"/>
              <w:jc w:val="left"/>
              <w:rPr>
                <w:color w:val="auto"/>
              </w:rPr>
            </w:pPr>
            <w:r>
              <w:rPr>
                <w:rFonts w:hint="eastAsia" w:ascii="宋体" w:hAnsi="宋体" w:eastAsia="宋体" w:cs="宋体"/>
                <w:color w:val="auto"/>
                <w:kern w:val="0"/>
                <w:sz w:val="20"/>
                <w:szCs w:val="20"/>
                <w:lang w:val="en-US" w:eastAsia="zh-CN" w:bidi="ar"/>
              </w:rPr>
              <w:t xml:space="preserve">（5）供应商如有需要可自行实地进行勘察，勘察费用自理，勘察前须提前预约，联系方式：0775-2820388。 </w:t>
            </w:r>
          </w:p>
          <w:p w14:paraId="269C36CF">
            <w:pPr>
              <w:keepNext w:val="0"/>
              <w:keepLines w:val="0"/>
              <w:widowControl/>
              <w:suppressLineNumbers w:val="0"/>
              <w:ind w:left="0" w:leftChars="0" w:firstLine="210" w:firstLineChars="105"/>
              <w:jc w:val="left"/>
              <w:rPr>
                <w:color w:val="auto"/>
              </w:rPr>
            </w:pPr>
            <w:r>
              <w:rPr>
                <w:rFonts w:hint="eastAsia" w:ascii="宋体" w:hAnsi="宋体" w:eastAsia="宋体" w:cs="宋体"/>
                <w:color w:val="auto"/>
                <w:kern w:val="0"/>
                <w:sz w:val="20"/>
                <w:szCs w:val="20"/>
                <w:lang w:val="en-US" w:eastAsia="zh-CN" w:bidi="ar"/>
              </w:rPr>
              <w:t xml:space="preserve">（6）玉林市科技馆的物业管理考核标准执行《全国城市物业管理优秀小区、大厦考评标准》以及物业管理服务合同的有关约定。如响应文件中有关指标超出上述标准，以投标书为准。 </w:t>
            </w:r>
          </w:p>
          <w:p w14:paraId="06EFD431">
            <w:pPr>
              <w:keepNext w:val="0"/>
              <w:keepLines w:val="0"/>
              <w:widowControl/>
              <w:suppressLineNumbers w:val="0"/>
              <w:ind w:left="0" w:leftChars="0" w:firstLine="210" w:firstLineChars="105"/>
              <w:jc w:val="left"/>
              <w:rPr>
                <w:color w:val="auto"/>
              </w:rPr>
            </w:pPr>
            <w:r>
              <w:rPr>
                <w:rFonts w:hint="eastAsia" w:ascii="宋体" w:hAnsi="宋体" w:eastAsia="宋体" w:cs="宋体"/>
                <w:color w:val="auto"/>
                <w:kern w:val="0"/>
                <w:sz w:val="20"/>
                <w:szCs w:val="20"/>
                <w:lang w:val="en-US" w:eastAsia="zh-CN" w:bidi="ar"/>
              </w:rPr>
              <w:t xml:space="preserve">（7）本文件中未尽事宜，按国家和地方最新(物业管理条例)执行，有冲突处，按高标准执行。 </w:t>
            </w:r>
          </w:p>
          <w:p w14:paraId="623317A1">
            <w:pPr>
              <w:keepNext w:val="0"/>
              <w:keepLines w:val="0"/>
              <w:widowControl/>
              <w:suppressLineNumbers w:val="0"/>
              <w:ind w:left="0" w:leftChars="0" w:firstLine="210" w:firstLineChars="105"/>
              <w:jc w:val="left"/>
              <w:rPr>
                <w:rFonts w:hint="default" w:ascii="宋体" w:hAnsi="宋体" w:eastAsia="宋体" w:cs="宋体"/>
                <w:bCs/>
                <w:color w:val="auto"/>
                <w:sz w:val="21"/>
                <w:szCs w:val="21"/>
                <w:lang w:val="en-US" w:eastAsia="zh-CN"/>
              </w:rPr>
            </w:pPr>
            <w:r>
              <w:rPr>
                <w:rFonts w:hint="eastAsia" w:ascii="宋体" w:hAnsi="宋体" w:eastAsia="宋体" w:cs="宋体"/>
                <w:color w:val="auto"/>
                <w:kern w:val="0"/>
                <w:sz w:val="20"/>
                <w:szCs w:val="20"/>
                <w:lang w:val="en-US" w:eastAsia="zh-CN" w:bidi="ar"/>
              </w:rPr>
              <w:t>4、供应商如有以下材料，投标时请提供有关证明材料：供应商获得相关资格证明材料、奖状、业绩证明材料等。拟投入人员获得相关职称证明、学历证明，相关业绩合同以及供应商认为有必要提供的 其他资料等。（如有请提供）</w:t>
            </w:r>
          </w:p>
        </w:tc>
      </w:tr>
      <w:tr w14:paraId="55CFE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14:paraId="3CDEA685">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四、其他要求及说明</w:t>
            </w:r>
          </w:p>
        </w:tc>
      </w:tr>
      <w:tr w14:paraId="28E0A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99" w:type="dxa"/>
            <w:gridSpan w:val="2"/>
            <w:tcBorders>
              <w:top w:val="single" w:color="auto" w:sz="4" w:space="0"/>
              <w:left w:val="single" w:color="auto" w:sz="4" w:space="0"/>
              <w:bottom w:val="single" w:color="auto" w:sz="4" w:space="0"/>
              <w:right w:val="single" w:color="auto" w:sz="4" w:space="0"/>
            </w:tcBorders>
            <w:noWrap w:val="0"/>
            <w:vAlign w:val="center"/>
          </w:tcPr>
          <w:p w14:paraId="60352CB7">
            <w:pPr>
              <w:spacing w:after="0" w:line="44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其他</w:t>
            </w:r>
          </w:p>
        </w:tc>
        <w:tc>
          <w:tcPr>
            <w:tcW w:w="7749" w:type="dxa"/>
            <w:gridSpan w:val="4"/>
            <w:tcBorders>
              <w:top w:val="single" w:color="auto" w:sz="4" w:space="0"/>
              <w:left w:val="single" w:color="auto" w:sz="4" w:space="0"/>
              <w:bottom w:val="single" w:color="auto" w:sz="4" w:space="0"/>
              <w:right w:val="single" w:color="auto" w:sz="4" w:space="0"/>
            </w:tcBorders>
            <w:noWrap w:val="0"/>
            <w:vAlign w:val="center"/>
          </w:tcPr>
          <w:p w14:paraId="7EB439FA">
            <w:pPr>
              <w:pStyle w:val="70"/>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（1）其他未尽事宜由供需双方在采购合同中详细约定。</w:t>
            </w:r>
          </w:p>
          <w:p w14:paraId="4E338318">
            <w:pPr>
              <w:spacing w:after="0" w:line="44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（2）标注“▲”的条款或要求系指实质性条款或实质性要求，必须满足，如存在负偏离将导致响应被否决。</w:t>
            </w:r>
          </w:p>
        </w:tc>
      </w:tr>
    </w:tbl>
    <w:p w14:paraId="1FB4AD58">
      <w:pPr>
        <w:spacing w:line="440" w:lineRule="exact"/>
        <w:jc w:val="both"/>
        <w:rPr>
          <w:rFonts w:hint="eastAsia" w:ascii="宋体" w:hAnsi="宋体" w:eastAsia="宋体" w:cs="宋体"/>
          <w:b w:val="0"/>
          <w:bCs/>
          <w:color w:val="auto"/>
          <w:sz w:val="32"/>
          <w:szCs w:val="32"/>
          <w:highlight w:val="none"/>
        </w:rPr>
      </w:pPr>
    </w:p>
    <w:p w14:paraId="0557AA24">
      <w:pPr>
        <w:rPr>
          <w:rFonts w:hint="eastAsia" w:ascii="宋体" w:hAnsi="宋体" w:eastAsia="宋体" w:cs="宋体"/>
          <w:color w:val="auto"/>
          <w:highlight w:val="none"/>
          <w:lang w:val="en-US"/>
        </w:rPr>
      </w:pPr>
      <w:r>
        <w:rPr>
          <w:rFonts w:hint="eastAsia" w:ascii="宋体" w:hAnsi="宋体" w:eastAsia="宋体" w:cs="宋体"/>
          <w:b/>
          <w:bCs/>
          <w:color w:val="auto"/>
          <w:spacing w:val="3"/>
          <w:sz w:val="21"/>
          <w:szCs w:val="21"/>
          <w:lang w:eastAsia="zh-CN"/>
        </w:rPr>
        <w:br w:type="page"/>
      </w:r>
    </w:p>
    <w:p w14:paraId="523B8F95">
      <w:pPr>
        <w:pStyle w:val="3"/>
        <w:jc w:val="center"/>
        <w:rPr>
          <w:rFonts w:hint="eastAsia" w:ascii="宋体" w:hAnsi="宋体" w:eastAsia="宋体" w:cs="宋体"/>
          <w:color w:val="auto"/>
          <w:highlight w:val="none"/>
        </w:rPr>
      </w:pPr>
      <w:bookmarkStart w:id="110" w:name="_Toc2797"/>
      <w:r>
        <w:rPr>
          <w:rFonts w:hint="eastAsia" w:ascii="宋体" w:hAnsi="宋体" w:eastAsia="宋体" w:cs="宋体"/>
          <w:color w:val="auto"/>
          <w:highlight w:val="none"/>
          <w:lang w:val="en-US"/>
        </w:rPr>
        <w:t>第</w:t>
      </w:r>
      <w:r>
        <w:rPr>
          <w:rFonts w:hint="eastAsia" w:ascii="宋体" w:hAnsi="宋体" w:eastAsia="宋体" w:cs="宋体"/>
          <w:color w:val="auto"/>
          <w:highlight w:val="none"/>
        </w:rPr>
        <w:t>四章  评审程序、评审方法和评审标准</w:t>
      </w:r>
      <w:bookmarkEnd w:id="110"/>
    </w:p>
    <w:p w14:paraId="5CC9F721">
      <w:pPr>
        <w:spacing w:line="360" w:lineRule="auto"/>
        <w:jc w:val="center"/>
        <w:outlineLvl w:val="1"/>
        <w:rPr>
          <w:rFonts w:hint="eastAsia" w:ascii="宋体" w:hAnsi="宋体" w:eastAsia="宋体" w:cs="宋体"/>
          <w:b/>
          <w:color w:val="auto"/>
          <w:sz w:val="32"/>
          <w:szCs w:val="32"/>
          <w:highlight w:val="none"/>
        </w:rPr>
      </w:pPr>
      <w:bookmarkStart w:id="111" w:name="_Toc11980"/>
      <w:r>
        <w:rPr>
          <w:rFonts w:hint="eastAsia" w:ascii="宋体" w:hAnsi="宋体" w:eastAsia="宋体" w:cs="宋体"/>
          <w:b/>
          <w:color w:val="auto"/>
          <w:sz w:val="32"/>
          <w:szCs w:val="32"/>
          <w:highlight w:val="none"/>
        </w:rPr>
        <w:t>一、评审程序和评审方法</w:t>
      </w:r>
      <w:bookmarkEnd w:id="111"/>
    </w:p>
    <w:p w14:paraId="6D728610">
      <w:pPr>
        <w:spacing w:line="360" w:lineRule="auto"/>
        <w:ind w:firstLine="482" w:firstLineChars="200"/>
        <w:outlineLvl w:val="2"/>
        <w:rPr>
          <w:rFonts w:hint="eastAsia" w:ascii="宋体" w:hAnsi="宋体" w:eastAsia="宋体" w:cs="宋体"/>
          <w:b/>
          <w:bCs/>
          <w:color w:val="auto"/>
          <w:sz w:val="24"/>
          <w:highlight w:val="none"/>
        </w:rPr>
      </w:pPr>
      <w:bookmarkStart w:id="112" w:name="_Toc14817"/>
      <w:r>
        <w:rPr>
          <w:rFonts w:hint="eastAsia" w:ascii="宋体" w:hAnsi="宋体" w:eastAsia="宋体" w:cs="宋体"/>
          <w:b/>
          <w:bCs/>
          <w:color w:val="auto"/>
          <w:sz w:val="24"/>
          <w:highlight w:val="none"/>
        </w:rPr>
        <w:t>1.资格审查</w:t>
      </w:r>
      <w:bookmarkEnd w:id="112"/>
    </w:p>
    <w:p w14:paraId="2C81964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3AD7031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626F3B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BDCB8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78B4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1F8E55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57F73C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FB803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（2）响应文件未提供任何一项“供应商须知前附表”资格证明文件规定的“必须提供”的文件资料的；</w:t>
      </w:r>
    </w:p>
    <w:p w14:paraId="1F4A6D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（3）响应文件提供的资格证明文件出现任何一项不符合“供应商须知前附表”资格证明文件规定的“必须提供”的文件资料要求或者无效的。</w:t>
      </w:r>
    </w:p>
    <w:p w14:paraId="1034D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621E3A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2F77768B">
      <w:pPr>
        <w:spacing w:line="360" w:lineRule="auto"/>
        <w:ind w:firstLine="482" w:firstLineChars="200"/>
        <w:outlineLvl w:val="2"/>
        <w:rPr>
          <w:rFonts w:hint="eastAsia" w:ascii="宋体" w:hAnsi="宋体" w:eastAsia="宋体" w:cs="宋体"/>
          <w:b/>
          <w:bCs/>
          <w:color w:val="auto"/>
          <w:sz w:val="24"/>
          <w:highlight w:val="none"/>
        </w:rPr>
      </w:pPr>
      <w:bookmarkStart w:id="113" w:name="_Toc1788"/>
      <w:r>
        <w:rPr>
          <w:rFonts w:hint="eastAsia" w:ascii="宋体" w:hAnsi="宋体" w:eastAsia="宋体" w:cs="宋体"/>
          <w:b/>
          <w:bCs/>
          <w:color w:val="auto"/>
          <w:sz w:val="24"/>
          <w:highlight w:val="none"/>
        </w:rPr>
        <w:t>2.符合性审查</w:t>
      </w:r>
      <w:bookmarkEnd w:id="113"/>
    </w:p>
    <w:p w14:paraId="4F6D35AA">
      <w:pPr>
        <w:spacing w:line="360" w:lineRule="auto"/>
        <w:ind w:firstLine="420" w:firstLineChars="200"/>
        <w:rPr>
          <w:rFonts w:hint="eastAsia" w:ascii="宋体" w:hAnsi="宋体" w:eastAsia="宋体" w:cs="宋体"/>
          <w:color w:val="auto"/>
          <w:szCs w:val="21"/>
          <w:highlight w:val="none"/>
        </w:rPr>
      </w:pPr>
      <w:bookmarkStart w:id="114"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14"/>
    <w:p w14:paraId="446C4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FE535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发出在线询标（磋商）以书面形式作出。供应商的澄清、说明或者更正应当在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pacing w:val="-6"/>
          <w:szCs w:val="21"/>
          <w:highlight w:val="none"/>
        </w:rPr>
        <w:t>。供应商为自然人的，必须由本人签字并附身份证明。</w:t>
      </w:r>
    </w:p>
    <w:p w14:paraId="61627BB8">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217A93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81B6A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A913F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332D0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5FC91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CDBB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050F0E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8B23C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3279C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）响应文件未按磋商文件要求签署、盖章；</w:t>
      </w:r>
    </w:p>
    <w:p w14:paraId="3464E6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）委托代理人未能出具有效身份证明或者出具的身份证明与授权委托书中的信息不符； </w:t>
      </w:r>
    </w:p>
    <w:p w14:paraId="027BAC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）响应文件未提供任何一项“供应商须知前附表”报价</w:t>
      </w:r>
      <w:r>
        <w:rPr>
          <w:rFonts w:hint="eastAsia" w:ascii="宋体" w:hAnsi="宋体" w:eastAsia="宋体" w:cs="宋体"/>
          <w:color w:val="auto"/>
          <w:szCs w:val="21"/>
          <w:highlight w:val="none"/>
          <w:lang w:eastAsia="zh-CN"/>
        </w:rPr>
        <w:t>文件和</w:t>
      </w:r>
      <w:r>
        <w:rPr>
          <w:rFonts w:hint="eastAsia" w:ascii="宋体" w:hAnsi="宋体" w:eastAsia="宋体" w:cs="宋体"/>
          <w:color w:val="auto"/>
          <w:szCs w:val="21"/>
          <w:highlight w:val="none"/>
        </w:rPr>
        <w:t>商务技术文件中 “必须提供”或者“委托时必须提供”的文件资料；响应文件提供的报价商务技术文件出现任何一项不符合“供应商须知前附表”报价</w:t>
      </w:r>
      <w:r>
        <w:rPr>
          <w:rFonts w:hint="eastAsia" w:ascii="宋体" w:hAnsi="宋体" w:eastAsia="宋体" w:cs="宋体"/>
          <w:color w:val="auto"/>
          <w:szCs w:val="21"/>
          <w:highlight w:val="none"/>
          <w:lang w:eastAsia="zh-CN"/>
        </w:rPr>
        <w:t>文件和</w:t>
      </w:r>
      <w:r>
        <w:rPr>
          <w:rFonts w:hint="eastAsia" w:ascii="宋体" w:hAnsi="宋体" w:eastAsia="宋体" w:cs="宋体"/>
          <w:color w:val="auto"/>
          <w:szCs w:val="21"/>
          <w:highlight w:val="none"/>
        </w:rPr>
        <w:t>商务技术文件中 “必须提供”或者“委托时必须提供”文件资料要求的规定或者提供的报价</w:t>
      </w:r>
      <w:r>
        <w:rPr>
          <w:rFonts w:hint="eastAsia" w:ascii="宋体" w:hAnsi="宋体" w:eastAsia="宋体" w:cs="宋体"/>
          <w:color w:val="auto"/>
          <w:szCs w:val="21"/>
          <w:highlight w:val="none"/>
          <w:lang w:eastAsia="zh-CN"/>
        </w:rPr>
        <w:t>文件和</w:t>
      </w:r>
      <w:r>
        <w:rPr>
          <w:rFonts w:hint="eastAsia" w:ascii="宋体" w:hAnsi="宋体" w:eastAsia="宋体" w:cs="宋体"/>
          <w:color w:val="auto"/>
          <w:szCs w:val="21"/>
          <w:highlight w:val="none"/>
        </w:rPr>
        <w:t>商务技术文件无效。</w:t>
      </w:r>
    </w:p>
    <w:p w14:paraId="4E023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）未对竞标有效期作出响应或者响应文件承诺的竞标有效期不满足磋商文件要求；</w:t>
      </w:r>
    </w:p>
    <w:p w14:paraId="593BD1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）响应文件的实质性内容未使用中文表述、使用计量单位不符合磋商文件要求；</w:t>
      </w:r>
    </w:p>
    <w:p w14:paraId="2B478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3C055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）响应文件含有采购人不能接受的附加条件；</w:t>
      </w:r>
    </w:p>
    <w:p w14:paraId="399BF2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）属于“供应商须知正文”第7.5条情形；</w:t>
      </w:r>
    </w:p>
    <w:p w14:paraId="3943D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）虚假竞标，或者出现其他情形而导致被磋商小组认定无效；</w:t>
      </w:r>
    </w:p>
    <w:p w14:paraId="39FF38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bookmarkStart w:id="115"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115"/>
    </w:p>
    <w:p w14:paraId="5A42E9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）响应文件标注的项目名称或者项目编号与磋商文件标注的项目名称或者项目编号不一致的；</w:t>
      </w:r>
    </w:p>
    <w:p w14:paraId="78BCF6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）未响应磋商文件实质性要求；</w:t>
      </w:r>
    </w:p>
    <w:p w14:paraId="699AD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）法律、法规和磋商文件规定的其他无效情形。</w:t>
      </w:r>
    </w:p>
    <w:p w14:paraId="1ECFB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66286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1)响应文件未提供“供应商须知前附表”报价文件中规定的“竞标报价表”；</w:t>
      </w:r>
    </w:p>
    <w:p w14:paraId="39BA64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1F1FF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87F9A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116" w:name="_Hlk42596405"/>
      <w:r>
        <w:rPr>
          <w:rFonts w:hint="eastAsia" w:ascii="宋体" w:hAnsi="宋体" w:eastAsia="宋体" w:cs="宋体"/>
          <w:color w:val="auto"/>
          <w:szCs w:val="21"/>
          <w:highlight w:val="none"/>
        </w:rPr>
        <w:t>竞标报价（包含首次报价、最后报价）</w:t>
      </w:r>
      <w:bookmarkEnd w:id="116"/>
      <w:bookmarkStart w:id="117" w:name="_Hlk42596276"/>
      <w:r>
        <w:rPr>
          <w:rFonts w:hint="eastAsia" w:ascii="宋体" w:hAnsi="宋体" w:eastAsia="宋体" w:cs="宋体"/>
          <w:color w:val="auto"/>
          <w:szCs w:val="21"/>
          <w:highlight w:val="none"/>
        </w:rPr>
        <w:t>超过磋商文件分项采购预算金额或者最高限价的</w:t>
      </w:r>
      <w:bookmarkEnd w:id="117"/>
      <w:r>
        <w:rPr>
          <w:rFonts w:hint="eastAsia" w:ascii="宋体" w:hAnsi="宋体" w:eastAsia="宋体" w:cs="宋体"/>
          <w:color w:val="auto"/>
          <w:szCs w:val="21"/>
          <w:highlight w:val="none"/>
        </w:rPr>
        <w:t>（如本项目公布了最高限价）；</w:t>
      </w:r>
    </w:p>
    <w:p w14:paraId="6867A6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60D7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1A7D02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F5A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763EBC0C">
      <w:pPr>
        <w:spacing w:line="360" w:lineRule="auto"/>
        <w:ind w:firstLine="482" w:firstLineChars="200"/>
        <w:outlineLvl w:val="2"/>
        <w:rPr>
          <w:rFonts w:hint="eastAsia" w:ascii="宋体" w:hAnsi="宋体" w:eastAsia="宋体" w:cs="宋体"/>
          <w:b/>
          <w:bCs/>
          <w:color w:val="auto"/>
          <w:sz w:val="24"/>
          <w:highlight w:val="none"/>
        </w:rPr>
      </w:pPr>
      <w:bookmarkStart w:id="118" w:name="_Toc7499"/>
      <w:r>
        <w:rPr>
          <w:rFonts w:hint="eastAsia" w:ascii="宋体" w:hAnsi="宋体" w:eastAsia="宋体" w:cs="宋体"/>
          <w:b/>
          <w:bCs/>
          <w:color w:val="auto"/>
          <w:sz w:val="24"/>
          <w:highlight w:val="none"/>
        </w:rPr>
        <w:t>3.磋商程序</w:t>
      </w:r>
      <w:bookmarkEnd w:id="118"/>
    </w:p>
    <w:p w14:paraId="47F6ED8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顺序，集中与单一供应商分别进行磋商，并给予所有参加磋商的供应商平等的磋商机会。供应商应当在采购人或采购代理机构发出磋商通知（开启新一轮报价）后在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设定的时间内进行响应，否则视同放弃参加磋商权利，其响应文件按无效响应处理。</w:t>
      </w:r>
    </w:p>
    <w:p w14:paraId="5FCAE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CA1C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3.3对磋商文件作出的实质性变动是磋商文件的有效组成部分，由磋商小组及时以书面形式同时通知所有参加磋商的供应商。</w:t>
      </w:r>
    </w:p>
    <w:p w14:paraId="75FA2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。供应商为自然人的，必须由本人签字并附身份证明。参加磋商的供应商未在规定时间内重新提交响应文件的，视同退出磋商。</w:t>
      </w:r>
    </w:p>
    <w:p w14:paraId="15E1F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592B0150">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3.6采购代理机构对磋商过程和重要磋商内容进行记录，磋商双方在记录上签字确认。</w:t>
      </w:r>
    </w:p>
    <w:p w14:paraId="668CE8E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3.7磋商过程中重新提交的响应文件，供应商可以在开启前补充、修改。</w:t>
      </w:r>
    </w:p>
    <w:p w14:paraId="4B86DE8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5B8DE022">
      <w:pPr>
        <w:spacing w:line="360" w:lineRule="auto"/>
        <w:ind w:firstLine="482" w:firstLineChars="200"/>
        <w:outlineLvl w:val="2"/>
        <w:rPr>
          <w:rFonts w:hint="eastAsia" w:ascii="宋体" w:hAnsi="宋体" w:eastAsia="宋体" w:cs="宋体"/>
          <w:color w:val="auto"/>
          <w:szCs w:val="21"/>
          <w:highlight w:val="none"/>
        </w:rPr>
      </w:pPr>
      <w:bookmarkStart w:id="119" w:name="_Toc18283"/>
      <w:r>
        <w:rPr>
          <w:rFonts w:hint="eastAsia" w:ascii="宋体" w:hAnsi="宋体" w:eastAsia="宋体" w:cs="宋体"/>
          <w:b/>
          <w:bCs/>
          <w:color w:val="auto"/>
          <w:sz w:val="24"/>
          <w:highlight w:val="none"/>
        </w:rPr>
        <w:t>4. 最后报价</w:t>
      </w:r>
      <w:bookmarkEnd w:id="119"/>
    </w:p>
    <w:p w14:paraId="190752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提交最后报价，除本章第4.3条外，提交最后报价的供应商不得少于3家，否则必须重新采购。</w:t>
      </w:r>
    </w:p>
    <w:p w14:paraId="354004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0AACE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18DC9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C33A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w:t>
      </w:r>
    </w:p>
    <w:p w14:paraId="0020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10C13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5A4CE3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5A5D34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60602A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2BCEA6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2F816C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5242FB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4.10供应商出现最后报价按无效响应处理或者响应文件按无效处理时，磋商小组应当告知有关供应商。</w:t>
      </w:r>
    </w:p>
    <w:p w14:paraId="6D5AAE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14:paraId="0065D0AE">
      <w:pPr>
        <w:spacing w:line="360" w:lineRule="auto"/>
        <w:ind w:firstLine="482" w:firstLineChars="200"/>
        <w:outlineLvl w:val="2"/>
        <w:rPr>
          <w:rFonts w:hint="eastAsia" w:ascii="宋体" w:hAnsi="宋体" w:eastAsia="宋体" w:cs="宋体"/>
          <w:b/>
          <w:bCs/>
          <w:color w:val="auto"/>
          <w:sz w:val="24"/>
          <w:highlight w:val="none"/>
        </w:rPr>
      </w:pPr>
      <w:bookmarkStart w:id="120" w:name="_Toc4115"/>
      <w:r>
        <w:rPr>
          <w:rFonts w:hint="eastAsia" w:ascii="宋体" w:hAnsi="宋体" w:eastAsia="宋体" w:cs="宋体"/>
          <w:b/>
          <w:bCs/>
          <w:color w:val="auto"/>
          <w:sz w:val="24"/>
          <w:highlight w:val="none"/>
        </w:rPr>
        <w:t>5.比较与评价</w:t>
      </w:r>
      <w:bookmarkEnd w:id="120"/>
    </w:p>
    <w:p w14:paraId="568267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547423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7891C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0FDB9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256D77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AA0D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DD7716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657EF0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F96F82">
      <w:pPr>
        <w:spacing w:line="360" w:lineRule="auto"/>
        <w:jc w:val="center"/>
        <w:outlineLvl w:val="1"/>
        <w:rPr>
          <w:rFonts w:hint="eastAsia" w:ascii="宋体" w:hAnsi="宋体" w:eastAsia="宋体" w:cs="宋体"/>
          <w:b/>
          <w:color w:val="auto"/>
          <w:sz w:val="32"/>
          <w:szCs w:val="32"/>
          <w:highlight w:val="none"/>
        </w:rPr>
      </w:pPr>
      <w:bookmarkStart w:id="121" w:name="_Toc30326"/>
      <w:r>
        <w:rPr>
          <w:rFonts w:hint="eastAsia" w:ascii="宋体" w:hAnsi="宋体" w:eastAsia="宋体" w:cs="宋体"/>
          <w:b/>
          <w:color w:val="auto"/>
          <w:sz w:val="32"/>
          <w:szCs w:val="32"/>
          <w:highlight w:val="none"/>
        </w:rPr>
        <w:t>二、评审标准</w:t>
      </w:r>
      <w:bookmarkEnd w:id="121"/>
    </w:p>
    <w:p w14:paraId="47485C0B">
      <w:pPr>
        <w:pStyle w:val="20"/>
        <w:shd w:val="clear" w:color="auto"/>
        <w:spacing w:line="500" w:lineRule="exact"/>
        <w:ind w:firstLine="400" w:firstLineChars="200"/>
        <w:jc w:val="left"/>
        <w:outlineLvl w:val="2"/>
        <w:rPr>
          <w:rFonts w:hint="eastAsia" w:ascii="宋体" w:hAnsi="宋体" w:eastAsia="宋体" w:cs="宋体"/>
          <w:b/>
          <w:color w:val="auto"/>
          <w:sz w:val="21"/>
          <w:highlight w:val="none"/>
        </w:rPr>
      </w:pPr>
      <w:bookmarkStart w:id="122" w:name="_Toc487"/>
      <w:r>
        <w:rPr>
          <w:rFonts w:hint="eastAsia" w:ascii="宋体" w:hAnsi="宋体" w:eastAsia="宋体" w:cs="宋体"/>
          <w:color w:val="auto"/>
          <w:kern w:val="0"/>
          <w:szCs w:val="21"/>
          <w:highlight w:val="none"/>
        </w:rPr>
        <w:t>（一）</w:t>
      </w:r>
      <w:r>
        <w:rPr>
          <w:rFonts w:hint="eastAsia" w:ascii="宋体" w:hAnsi="宋体" w:eastAsia="宋体" w:cs="宋体"/>
          <w:b/>
          <w:color w:val="auto"/>
          <w:sz w:val="21"/>
          <w:highlight w:val="none"/>
        </w:rPr>
        <w:t>、评标原则</w:t>
      </w:r>
      <w:bookmarkEnd w:id="122"/>
    </w:p>
    <w:p w14:paraId="446FC5C0">
      <w:pPr>
        <w:shd w:val="clear" w:color="auto"/>
        <w:spacing w:line="500" w:lineRule="exact"/>
        <w:ind w:firstLine="420" w:firstLineChars="200"/>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磋商小组组成：磋商小组由采购人代表</w:t>
      </w:r>
      <w:r>
        <w:rPr>
          <w:rFonts w:hint="eastAsia" w:ascii="宋体" w:hAnsi="宋体" w:eastAsia="宋体" w:cs="宋体"/>
          <w:color w:val="auto"/>
          <w:kern w:val="0"/>
          <w:szCs w:val="21"/>
          <w:highlight w:val="none"/>
          <w:lang w:val="en-US" w:eastAsia="zh-CN"/>
        </w:rPr>
        <w:t>1人</w:t>
      </w:r>
      <w:r>
        <w:rPr>
          <w:rFonts w:hint="eastAsia" w:ascii="宋体" w:hAnsi="宋体" w:eastAsia="宋体" w:cs="宋体"/>
          <w:color w:val="auto"/>
          <w:kern w:val="0"/>
          <w:szCs w:val="21"/>
          <w:highlight w:val="none"/>
        </w:rPr>
        <w:t>和评审专家</w:t>
      </w:r>
      <w:r>
        <w:rPr>
          <w:rFonts w:hint="eastAsia" w:ascii="宋体" w:hAnsi="宋体" w:eastAsia="宋体" w:cs="宋体"/>
          <w:color w:val="auto"/>
          <w:kern w:val="0"/>
          <w:szCs w:val="21"/>
          <w:highlight w:val="none"/>
          <w:lang w:val="en-US" w:eastAsia="zh-CN"/>
        </w:rPr>
        <w:t>2人</w:t>
      </w:r>
      <w:r>
        <w:rPr>
          <w:rFonts w:hint="eastAsia" w:ascii="宋体" w:hAnsi="宋体" w:eastAsia="宋体" w:cs="宋体"/>
          <w:color w:val="auto"/>
          <w:kern w:val="0"/>
          <w:szCs w:val="21"/>
          <w:highlight w:val="none"/>
        </w:rPr>
        <w:t>共3人组成</w:t>
      </w:r>
      <w:r>
        <w:rPr>
          <w:rFonts w:hint="eastAsia" w:ascii="宋体" w:hAnsi="宋体" w:eastAsia="宋体" w:cs="宋体"/>
          <w:color w:val="auto"/>
          <w:kern w:val="0"/>
          <w:szCs w:val="21"/>
          <w:highlight w:val="none"/>
          <w:lang w:eastAsia="zh-CN"/>
        </w:rPr>
        <w:t>。</w:t>
      </w:r>
    </w:p>
    <w:p w14:paraId="38753B06">
      <w:pPr>
        <w:shd w:val="clear" w:color="auto"/>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评审依据：磋商小组将以磋商文件、响应文件为评标依据，对供应商的磋商报价、</w:t>
      </w:r>
      <w:r>
        <w:rPr>
          <w:rFonts w:hint="eastAsia" w:ascii="宋体" w:hAnsi="宋体" w:eastAsia="宋体" w:cs="宋体"/>
          <w:bCs/>
          <w:color w:val="auto"/>
          <w:szCs w:val="21"/>
          <w:highlight w:val="none"/>
        </w:rPr>
        <w:t>对采购项目的</w:t>
      </w:r>
      <w:r>
        <w:rPr>
          <w:rFonts w:hint="eastAsia" w:ascii="宋体" w:hAnsi="宋体" w:cs="宋体"/>
          <w:b/>
          <w:bCs/>
          <w:color w:val="auto"/>
          <w:kern w:val="0"/>
          <w:szCs w:val="21"/>
        </w:rPr>
        <w:t>项目实施方案</w:t>
      </w:r>
      <w:r>
        <w:rPr>
          <w:rFonts w:hint="eastAsia" w:ascii="宋体" w:hAnsi="宋体" w:cs="宋体"/>
          <w:b/>
          <w:bCs/>
          <w:color w:val="auto"/>
          <w:kern w:val="0"/>
          <w:szCs w:val="21"/>
          <w:lang w:eastAsia="zh-CN"/>
        </w:rPr>
        <w:t>、</w:t>
      </w:r>
      <w:r>
        <w:rPr>
          <w:rFonts w:hint="eastAsia" w:ascii="宋体" w:hAnsi="宋体" w:cs="宋体"/>
          <w:b/>
          <w:bCs/>
          <w:color w:val="auto"/>
          <w:kern w:val="0"/>
          <w:szCs w:val="21"/>
        </w:rPr>
        <w:t>环境保护及文明施工措施</w:t>
      </w:r>
      <w:r>
        <w:rPr>
          <w:rFonts w:hint="eastAsia" w:ascii="宋体" w:hAnsi="宋体" w:cs="宋体"/>
          <w:b/>
          <w:bCs/>
          <w:color w:val="auto"/>
          <w:kern w:val="0"/>
          <w:szCs w:val="21"/>
          <w:lang w:eastAsia="zh-CN"/>
        </w:rPr>
        <w:t>、</w:t>
      </w:r>
      <w:r>
        <w:rPr>
          <w:rFonts w:hint="eastAsia" w:ascii="宋体" w:hAnsi="宋体" w:cs="宋体"/>
          <w:b/>
          <w:color w:val="auto"/>
          <w:kern w:val="0"/>
          <w:szCs w:val="21"/>
        </w:rPr>
        <w:t>质量控制</w:t>
      </w:r>
      <w:r>
        <w:rPr>
          <w:rFonts w:hint="eastAsia" w:ascii="宋体" w:hAnsi="宋体" w:cs="宋体"/>
          <w:b/>
          <w:color w:val="auto"/>
          <w:kern w:val="0"/>
          <w:szCs w:val="21"/>
          <w:lang w:eastAsia="zh-CN"/>
        </w:rPr>
        <w:t>和</w:t>
      </w:r>
      <w:r>
        <w:rPr>
          <w:rFonts w:hint="eastAsia" w:ascii="宋体" w:hAnsi="宋体" w:cs="宋体"/>
          <w:b/>
          <w:color w:val="auto"/>
          <w:kern w:val="0"/>
          <w:szCs w:val="21"/>
        </w:rPr>
        <w:t>服务承诺</w:t>
      </w:r>
      <w:r>
        <w:rPr>
          <w:rFonts w:hint="eastAsia" w:ascii="宋体" w:hAnsi="宋体" w:cs="宋体"/>
          <w:b/>
          <w:color w:val="auto"/>
          <w:kern w:val="0"/>
          <w:szCs w:val="21"/>
          <w:lang w:eastAsia="zh-CN"/>
        </w:rPr>
        <w:t>、</w:t>
      </w:r>
      <w:r>
        <w:rPr>
          <w:rFonts w:hint="eastAsia" w:hAnsi="宋体"/>
          <w:b/>
          <w:color w:val="auto"/>
          <w:spacing w:val="-6"/>
          <w:szCs w:val="21"/>
        </w:rPr>
        <w:t>紧急情况处置方案分</w:t>
      </w:r>
      <w:r>
        <w:rPr>
          <w:rFonts w:hint="eastAsia" w:hAnsi="宋体"/>
          <w:b/>
          <w:color w:val="auto"/>
          <w:spacing w:val="-6"/>
          <w:szCs w:val="21"/>
          <w:lang w:eastAsia="zh-CN"/>
        </w:rPr>
        <w:t>等内</w:t>
      </w:r>
      <w:r>
        <w:rPr>
          <w:rFonts w:hint="eastAsia" w:ascii="宋体" w:hAnsi="宋体" w:eastAsia="宋体" w:cs="宋体"/>
          <w:color w:val="auto"/>
          <w:kern w:val="0"/>
          <w:szCs w:val="21"/>
          <w:highlight w:val="none"/>
        </w:rPr>
        <w:t>容打分。</w:t>
      </w:r>
    </w:p>
    <w:p w14:paraId="2843B687">
      <w:pPr>
        <w:shd w:val="clear" w:color="auto"/>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评标方式：以封闭方式进行。</w:t>
      </w:r>
    </w:p>
    <w:p w14:paraId="3DC69354">
      <w:pPr>
        <w:pStyle w:val="20"/>
        <w:spacing w:line="5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评审方法：综合评分法。</w:t>
      </w:r>
    </w:p>
    <w:p w14:paraId="573E2044">
      <w:pPr>
        <w:pStyle w:val="20"/>
        <w:shd w:val="clear" w:color="auto"/>
        <w:spacing w:line="500" w:lineRule="exact"/>
        <w:ind w:firstLine="400" w:firstLineChars="200"/>
        <w:jc w:val="left"/>
        <w:outlineLvl w:val="2"/>
        <w:rPr>
          <w:rFonts w:hint="eastAsia" w:ascii="宋体" w:hAnsi="宋体" w:eastAsia="宋体" w:cs="宋体"/>
          <w:b/>
          <w:bCs w:val="0"/>
          <w:color w:val="auto"/>
          <w:sz w:val="21"/>
          <w:highlight w:val="none"/>
        </w:rPr>
      </w:pPr>
      <w:bookmarkStart w:id="123" w:name="_Toc25779"/>
      <w:bookmarkStart w:id="124" w:name="_Toc322094434"/>
      <w:r>
        <w:rPr>
          <w:rFonts w:hint="eastAsia" w:ascii="宋体" w:hAnsi="宋体" w:eastAsia="宋体" w:cs="宋体"/>
          <w:color w:val="auto"/>
          <w:kern w:val="0"/>
          <w:szCs w:val="21"/>
          <w:highlight w:val="none"/>
        </w:rPr>
        <w:t>（一）</w:t>
      </w:r>
      <w:r>
        <w:rPr>
          <w:rFonts w:hint="eastAsia" w:ascii="宋体" w:hAnsi="宋体" w:eastAsia="宋体" w:cs="宋体"/>
          <w:b/>
          <w:bCs w:val="0"/>
          <w:color w:val="auto"/>
          <w:sz w:val="21"/>
          <w:highlight w:val="none"/>
        </w:rPr>
        <w:t>、评审方法</w:t>
      </w:r>
      <w:bookmarkEnd w:id="123"/>
      <w:bookmarkEnd w:id="124"/>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89"/>
        <w:gridCol w:w="6288"/>
        <w:gridCol w:w="851"/>
      </w:tblGrid>
      <w:tr w14:paraId="1C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2" w:type="dxa"/>
            <w:noWrap w:val="0"/>
            <w:vAlign w:val="center"/>
          </w:tcPr>
          <w:p w14:paraId="041D2ADD">
            <w:pPr>
              <w:widowControl/>
              <w:shd w:val="clear" w:color="auto" w:fill="auto"/>
              <w:spacing w:line="360" w:lineRule="auto"/>
              <w:jc w:val="center"/>
              <w:rPr>
                <w:rFonts w:hint="eastAsia" w:ascii="宋体" w:hAnsi="宋体" w:eastAsia="宋体" w:cs="宋体"/>
                <w:b/>
                <w:bCs/>
                <w:color w:val="auto"/>
                <w:kern w:val="0"/>
                <w:szCs w:val="21"/>
                <w:highlight w:val="none"/>
              </w:rPr>
            </w:pPr>
            <w:bookmarkStart w:id="125" w:name="_Toc322094435"/>
            <w:r>
              <w:rPr>
                <w:rFonts w:hint="eastAsia" w:ascii="宋体" w:hAnsi="宋体" w:eastAsia="宋体" w:cs="宋体"/>
                <w:b/>
                <w:bCs/>
                <w:color w:val="auto"/>
                <w:kern w:val="0"/>
                <w:szCs w:val="21"/>
                <w:highlight w:val="none"/>
              </w:rPr>
              <w:t>序号</w:t>
            </w:r>
          </w:p>
        </w:tc>
        <w:tc>
          <w:tcPr>
            <w:tcW w:w="1289" w:type="dxa"/>
            <w:noWrap w:val="0"/>
            <w:vAlign w:val="center"/>
          </w:tcPr>
          <w:p w14:paraId="2FC1E47A">
            <w:pPr>
              <w:widowControl/>
              <w:shd w:val="clear" w:color="auto" w:fill="auto"/>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288" w:type="dxa"/>
            <w:noWrap w:val="0"/>
            <w:vAlign w:val="center"/>
          </w:tcPr>
          <w:p w14:paraId="78CBE7EF">
            <w:pPr>
              <w:widowControl/>
              <w:shd w:val="clear" w:color="auto" w:fill="auto"/>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noWrap w:val="0"/>
            <w:vAlign w:val="center"/>
          </w:tcPr>
          <w:p w14:paraId="0256FD4A">
            <w:pPr>
              <w:widowControl/>
              <w:shd w:val="clear" w:color="auto" w:fill="auto"/>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10AB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2" w:type="dxa"/>
            <w:noWrap w:val="0"/>
            <w:vAlign w:val="center"/>
          </w:tcPr>
          <w:p w14:paraId="56D78D07">
            <w:pPr>
              <w:widowControl/>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289" w:type="dxa"/>
            <w:noWrap w:val="0"/>
            <w:vAlign w:val="center"/>
          </w:tcPr>
          <w:p w14:paraId="10512C0F">
            <w:pPr>
              <w:widowControl/>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288" w:type="dxa"/>
            <w:noWrap w:val="0"/>
            <w:vAlign w:val="top"/>
          </w:tcPr>
          <w:p w14:paraId="5091B2F5">
            <w:pPr>
              <w:pStyle w:val="20"/>
              <w:shd w:val="clear" w:color="auto" w:fill="auto"/>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（1）以进入比较与评价环节的最低的评审价为基准价，基准价得分为</w:t>
            </w:r>
            <w:r>
              <w:rPr>
                <w:rFonts w:hint="eastAsia" w:ascii="宋体" w:hAnsi="宋体" w:eastAsia="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30</w:t>
            </w:r>
            <w:r>
              <w:rPr>
                <w:rFonts w:hint="eastAsia" w:ascii="宋体" w:hAnsi="宋体" w:eastAsia="宋体" w:cs="宋体"/>
                <w:bCs/>
                <w:color w:val="auto"/>
                <w:kern w:val="2"/>
                <w:sz w:val="21"/>
                <w:highlight w:val="none"/>
                <w:u w:val="single"/>
              </w:rPr>
              <w:t xml:space="preserve">  分</w:t>
            </w:r>
            <w:r>
              <w:rPr>
                <w:rFonts w:hint="eastAsia" w:ascii="宋体" w:hAnsi="宋体" w:eastAsia="宋体" w:cs="宋体"/>
                <w:bCs/>
                <w:color w:val="auto"/>
                <w:kern w:val="2"/>
                <w:sz w:val="21"/>
                <w:highlight w:val="none"/>
              </w:rPr>
              <w:t>。</w:t>
            </w:r>
          </w:p>
          <w:p w14:paraId="5AB99781">
            <w:pPr>
              <w:pStyle w:val="20"/>
              <w:shd w:val="clear" w:color="auto" w:fill="auto"/>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（2）价格分计算公式：</w:t>
            </w:r>
          </w:p>
          <w:p w14:paraId="5C28FE2E">
            <w:pPr>
              <w:pStyle w:val="20"/>
              <w:shd w:val="clear" w:color="auto" w:fill="auto"/>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报价得分=（基准价/最后报价）×</w:t>
            </w:r>
            <w:r>
              <w:rPr>
                <w:rFonts w:hint="eastAsia" w:ascii="宋体" w:hAnsi="宋体" w:eastAsia="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30</w:t>
            </w:r>
            <w:r>
              <w:rPr>
                <w:rFonts w:hint="eastAsia" w:ascii="宋体" w:hAnsi="宋体" w:eastAsia="宋体" w:cs="宋体"/>
                <w:bCs/>
                <w:color w:val="auto"/>
                <w:kern w:val="2"/>
                <w:sz w:val="21"/>
                <w:highlight w:val="none"/>
                <w:u w:val="single"/>
              </w:rPr>
              <w:t xml:space="preserve">  分</w:t>
            </w:r>
          </w:p>
        </w:tc>
        <w:tc>
          <w:tcPr>
            <w:tcW w:w="851" w:type="dxa"/>
            <w:noWrap w:val="0"/>
            <w:vAlign w:val="center"/>
          </w:tcPr>
          <w:p w14:paraId="0F79298E">
            <w:pPr>
              <w:widowControl/>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 xml:space="preserve"> 分</w:t>
            </w:r>
          </w:p>
        </w:tc>
      </w:tr>
      <w:tr w14:paraId="0596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62" w:type="dxa"/>
            <w:noWrap w:val="0"/>
            <w:vAlign w:val="center"/>
          </w:tcPr>
          <w:p w14:paraId="0CB0DB60">
            <w:pPr>
              <w:widowControl/>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p>
        </w:tc>
        <w:tc>
          <w:tcPr>
            <w:tcW w:w="1289" w:type="dxa"/>
            <w:noWrap w:val="0"/>
            <w:vAlign w:val="center"/>
          </w:tcPr>
          <w:p w14:paraId="151C3F20">
            <w:pPr>
              <w:widowControl/>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技术分</w:t>
            </w:r>
          </w:p>
        </w:tc>
        <w:tc>
          <w:tcPr>
            <w:tcW w:w="7139" w:type="dxa"/>
            <w:gridSpan w:val="2"/>
            <w:noWrap w:val="0"/>
            <w:vAlign w:val="top"/>
          </w:tcPr>
          <w:p w14:paraId="2CE7866F">
            <w:pPr>
              <w:widowControl/>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r>
      <w:tr w14:paraId="1762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62" w:type="dxa"/>
            <w:noWrap w:val="0"/>
            <w:vAlign w:val="center"/>
          </w:tcPr>
          <w:p w14:paraId="5F458A75">
            <w:pPr>
              <w:shd w:val="clear" w:color="auto" w:fill="auto"/>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1289" w:type="dxa"/>
            <w:noWrap w:val="0"/>
            <w:vAlign w:val="center"/>
          </w:tcPr>
          <w:p w14:paraId="42A0B97C">
            <w:pPr>
              <w:widowControl/>
              <w:spacing w:line="400" w:lineRule="exact"/>
              <w:jc w:val="center"/>
              <w:rPr>
                <w:rFonts w:hint="eastAsia" w:ascii="宋体" w:hAnsi="宋体" w:eastAsia="宋体" w:cs="宋体"/>
                <w:bCs/>
                <w:color w:val="auto"/>
                <w:kern w:val="0"/>
                <w:szCs w:val="21"/>
                <w:highlight w:val="none"/>
              </w:rPr>
            </w:pPr>
            <w:r>
              <w:rPr>
                <w:rFonts w:hint="eastAsia" w:ascii="宋体" w:hAnsi="宋体" w:cs="宋体"/>
                <w:b/>
                <w:bCs/>
                <w:color w:val="auto"/>
                <w:kern w:val="0"/>
                <w:szCs w:val="21"/>
                <w:highlight w:val="none"/>
              </w:rPr>
              <w:t>项目实施方案</w:t>
            </w:r>
          </w:p>
        </w:tc>
        <w:tc>
          <w:tcPr>
            <w:tcW w:w="6288" w:type="dxa"/>
            <w:noWrap w:val="0"/>
            <w:vAlign w:val="top"/>
          </w:tcPr>
          <w:p w14:paraId="144EBD32">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一档（0 分）：投标人没有提供的项目实施方案或项目实施方案不可行。 </w:t>
            </w:r>
          </w:p>
          <w:p w14:paraId="786D50BA">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二档（15 分）:投标人提供的项目实施方案（方案包括针对本项目①安全防范、维护公共秩序，制定完善的安全保卫应急方案，全程监控治安情况、②交通秩序、车辆行驶和停泊管理、③清洁卫生、④物业设施、设备的维护、 运行和管理、⑤会务服务、⑥档案资料建立与管理、⑦协助处理突发事件等 措施方案内容简单，可行性不高。</w:t>
            </w:r>
          </w:p>
          <w:p w14:paraId="0D31D87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三档（</w:t>
            </w:r>
            <w:r>
              <w:rPr>
                <w:rFonts w:hint="eastAsia" w:ascii="宋体" w:hAnsi="宋体" w:cs="宋体"/>
                <w:color w:val="auto"/>
                <w:kern w:val="0"/>
                <w:sz w:val="20"/>
                <w:szCs w:val="20"/>
                <w:highlight w:val="none"/>
                <w:lang w:val="en-US" w:eastAsia="zh-CN" w:bidi="ar"/>
              </w:rPr>
              <w:t>20</w:t>
            </w:r>
            <w:r>
              <w:rPr>
                <w:rFonts w:hint="eastAsia" w:ascii="宋体" w:hAnsi="宋体" w:eastAsia="宋体" w:cs="宋体"/>
                <w:color w:val="auto"/>
                <w:kern w:val="0"/>
                <w:sz w:val="20"/>
                <w:szCs w:val="20"/>
                <w:highlight w:val="none"/>
                <w:lang w:val="en-US" w:eastAsia="zh-CN" w:bidi="ar"/>
              </w:rPr>
              <w:t xml:space="preserve"> 分）:投标人提供的《项目实施方案》（方案包括针对本项目①安全防范、维护公共秩序，制定完善的安全保卫应急方案，全程监控治安情况、 ②交通秩序、车辆行驶和停泊管理、③清洁卫生、④物业设施、设备的维护、运行和管理，⑤会务服务、⑥档案资料建立与管理、⑦协助处理突发事件、⑧人员培训及管理、⑨工作计划和物资装备情况保证项目服务能力、⑩实施的技术力量和人力资源安排等措施方案内容基本满足采购需求项目实施方案充分响应招标要求，基本了解本物业情况，符合本项目实际情况。 </w:t>
            </w:r>
          </w:p>
          <w:p w14:paraId="088F00D9">
            <w:pPr>
              <w:keepNext w:val="0"/>
              <w:keepLines w:val="0"/>
              <w:widowControl/>
              <w:suppressLineNumbers w:val="0"/>
              <w:jc w:val="left"/>
              <w:rPr>
                <w:rFonts w:hint="eastAsia"/>
                <w:color w:val="auto"/>
                <w:highlight w:val="none"/>
              </w:rPr>
            </w:pPr>
            <w:r>
              <w:rPr>
                <w:rFonts w:hint="eastAsia" w:ascii="宋体" w:hAnsi="宋体" w:eastAsia="宋体" w:cs="宋体"/>
                <w:color w:val="auto"/>
                <w:kern w:val="0"/>
                <w:sz w:val="20"/>
                <w:szCs w:val="20"/>
                <w:highlight w:val="none"/>
                <w:lang w:val="en-US" w:eastAsia="zh-CN" w:bidi="ar"/>
              </w:rPr>
              <w:t>四档（</w:t>
            </w:r>
            <w:r>
              <w:rPr>
                <w:rFonts w:hint="eastAsia" w:ascii="宋体" w:hAnsi="宋体" w:cs="宋体"/>
                <w:color w:val="auto"/>
                <w:kern w:val="0"/>
                <w:sz w:val="20"/>
                <w:szCs w:val="20"/>
                <w:highlight w:val="none"/>
                <w:lang w:val="en-US" w:eastAsia="zh-CN" w:bidi="ar"/>
              </w:rPr>
              <w:t>25</w:t>
            </w:r>
            <w:r>
              <w:rPr>
                <w:rFonts w:hint="eastAsia" w:ascii="宋体" w:hAnsi="宋体" w:eastAsia="宋体" w:cs="宋体"/>
                <w:color w:val="auto"/>
                <w:kern w:val="0"/>
                <w:sz w:val="20"/>
                <w:szCs w:val="20"/>
                <w:highlight w:val="none"/>
                <w:lang w:val="en-US" w:eastAsia="zh-CN" w:bidi="ar"/>
              </w:rPr>
              <w:t xml:space="preserve"> 分）:投标人提供的《项目实施方案》（方案包括针对本项目①安全防范、维护公共秩序，制定完善的安全保卫应急方案，全程监控治安情况、②交通秩序、车辆行驶和停泊管理、③清洁卫生、④物业设施、设备的维护、运行和管理、⑤会务服务、⑥档案资料建立与管理、⑦协助处理突发事件、⑧人员培训及管理、⑨工作计划和物资装备情况保证项目服务能力、⑩实施的技术力量和人力资源安排、</w:t>
            </w:r>
            <w:r>
              <w:rPr>
                <w:rFonts w:ascii="Cambria Math" w:hAnsi="Cambria Math" w:eastAsia="Cambria Math" w:cs="Cambria Math"/>
                <w:color w:val="auto"/>
                <w:kern w:val="0"/>
                <w:sz w:val="20"/>
                <w:szCs w:val="20"/>
                <w:highlight w:val="none"/>
                <w:lang w:val="en-US" w:eastAsia="zh-CN" w:bidi="ar"/>
              </w:rPr>
              <w:t>⑪</w:t>
            </w:r>
            <w:r>
              <w:rPr>
                <w:rFonts w:hint="eastAsia" w:ascii="宋体" w:hAnsi="宋体" w:eastAsia="宋体" w:cs="宋体"/>
                <w:color w:val="auto"/>
                <w:kern w:val="0"/>
                <w:sz w:val="20"/>
                <w:szCs w:val="20"/>
                <w:highlight w:val="none"/>
                <w:lang w:val="en-US" w:eastAsia="zh-CN" w:bidi="ar"/>
              </w:rPr>
              <w:t>管理规章制度、</w:t>
            </w:r>
            <w:r>
              <w:rPr>
                <w:rFonts w:hint="default" w:ascii="Cambria Math" w:hAnsi="Cambria Math" w:eastAsia="Cambria Math" w:cs="Cambria Math"/>
                <w:color w:val="auto"/>
                <w:kern w:val="0"/>
                <w:sz w:val="20"/>
                <w:szCs w:val="20"/>
                <w:highlight w:val="none"/>
                <w:lang w:val="en-US" w:eastAsia="zh-CN" w:bidi="ar"/>
              </w:rPr>
              <w:t>⑫</w:t>
            </w:r>
            <w:r>
              <w:rPr>
                <w:rFonts w:hint="eastAsia" w:ascii="宋体" w:hAnsi="宋体" w:eastAsia="宋体" w:cs="宋体"/>
                <w:color w:val="auto"/>
                <w:kern w:val="0"/>
                <w:sz w:val="20"/>
                <w:szCs w:val="20"/>
                <w:highlight w:val="none"/>
                <w:lang w:val="en-US" w:eastAsia="zh-CN" w:bidi="ar"/>
              </w:rPr>
              <w:t>公共突发事件应急处理机制和预案等措施方案内容完全满足采购需求项目实施方案，充分响应招标要求详细并充分了解本物业情况，符合本项目实际情况，切实可行。</w:t>
            </w:r>
          </w:p>
        </w:tc>
        <w:tc>
          <w:tcPr>
            <w:tcW w:w="851" w:type="dxa"/>
            <w:noWrap w:val="0"/>
            <w:vAlign w:val="center"/>
          </w:tcPr>
          <w:p w14:paraId="7C33C518">
            <w:pPr>
              <w:shd w:val="clear" w:color="auto" w:fill="auto"/>
              <w:spacing w:line="36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25</w:t>
            </w:r>
            <w:r>
              <w:rPr>
                <w:rFonts w:hint="eastAsia" w:ascii="宋体" w:hAnsi="宋体" w:eastAsia="宋体" w:cs="宋体"/>
                <w:color w:val="auto"/>
                <w:kern w:val="0"/>
                <w:szCs w:val="21"/>
                <w:highlight w:val="none"/>
              </w:rPr>
              <w:t>分</w:t>
            </w:r>
          </w:p>
        </w:tc>
      </w:tr>
      <w:tr w14:paraId="1D0F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2" w:type="dxa"/>
            <w:noWrap w:val="0"/>
            <w:vAlign w:val="center"/>
          </w:tcPr>
          <w:p w14:paraId="597FBBBB">
            <w:pPr>
              <w:shd w:val="clear" w:color="auto" w:fill="auto"/>
              <w:adjustRightInd w:val="0"/>
              <w:spacing w:line="360" w:lineRule="auto"/>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eastAsia" w:ascii="宋体" w:hAnsi="宋体" w:cs="宋体"/>
                <w:bCs/>
                <w:color w:val="auto"/>
                <w:kern w:val="0"/>
                <w:szCs w:val="21"/>
                <w:highlight w:val="none"/>
                <w:lang w:val="en-US" w:eastAsia="zh-CN"/>
              </w:rPr>
              <w:t>2</w:t>
            </w:r>
          </w:p>
        </w:tc>
        <w:tc>
          <w:tcPr>
            <w:tcW w:w="1289" w:type="dxa"/>
            <w:noWrap w:val="0"/>
            <w:vAlign w:val="center"/>
          </w:tcPr>
          <w:p w14:paraId="5F12718F">
            <w:pPr>
              <w:adjustRightInd w:val="0"/>
              <w:spacing w:line="400" w:lineRule="exact"/>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
                <w:color w:val="auto"/>
                <w:kern w:val="0"/>
                <w:szCs w:val="21"/>
                <w:highlight w:val="none"/>
              </w:rPr>
              <w:t>服务承诺</w:t>
            </w:r>
          </w:p>
        </w:tc>
        <w:tc>
          <w:tcPr>
            <w:tcW w:w="6288" w:type="dxa"/>
            <w:noWrap w:val="0"/>
            <w:vAlign w:val="center"/>
          </w:tcPr>
          <w:p w14:paraId="52FCE422">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一档（5分）供应商提供针对本项目提供的服务承诺，包括按时足额发放员工工资的承诺、对责任事故处理的承诺等内容，内容较简单且不够齐全。 </w:t>
            </w:r>
          </w:p>
          <w:p w14:paraId="5FBF62F1">
            <w:pPr>
              <w:keepNext w:val="0"/>
              <w:keepLines w:val="0"/>
              <w:widowControl/>
              <w:suppressLineNumbers w:val="0"/>
              <w:jc w:val="left"/>
              <w:rPr>
                <w:color w:val="auto"/>
                <w:highlight w:val="none"/>
              </w:rPr>
            </w:pPr>
            <w:r>
              <w:rPr>
                <w:rFonts w:hint="eastAsia" w:ascii="宋体" w:hAnsi="宋体" w:cs="宋体"/>
                <w:color w:val="auto"/>
                <w:kern w:val="0"/>
                <w:sz w:val="20"/>
                <w:szCs w:val="20"/>
                <w:highlight w:val="none"/>
                <w:lang w:val="en-US" w:eastAsia="zh-CN" w:bidi="ar"/>
              </w:rPr>
              <w:t>二</w:t>
            </w:r>
            <w:r>
              <w:rPr>
                <w:rFonts w:hint="eastAsia" w:ascii="宋体" w:hAnsi="宋体" w:eastAsia="宋体" w:cs="宋体"/>
                <w:color w:val="auto"/>
                <w:kern w:val="0"/>
                <w:sz w:val="20"/>
                <w:szCs w:val="20"/>
                <w:highlight w:val="none"/>
                <w:lang w:val="en-US" w:eastAsia="zh-CN" w:bidi="ar"/>
              </w:rPr>
              <w:t>档（</w:t>
            </w:r>
            <w:r>
              <w:rPr>
                <w:rFonts w:hint="eastAsia" w:ascii="宋体" w:hAnsi="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val="en-US" w:eastAsia="zh-CN" w:bidi="ar"/>
              </w:rPr>
              <w:t xml:space="preserve">分）:供应商提供针对本项目提供的服务承诺，包括按时足额发放员工工资的承诺、对责任事故处理的承诺和服务质量的承诺等内容基本齐全。 </w:t>
            </w:r>
          </w:p>
          <w:p w14:paraId="626B17C8">
            <w:pPr>
              <w:keepNext w:val="0"/>
              <w:keepLines w:val="0"/>
              <w:widowControl/>
              <w:suppressLineNumbers w:val="0"/>
              <w:jc w:val="left"/>
              <w:rPr>
                <w:color w:val="auto"/>
                <w:highlight w:val="none"/>
              </w:rPr>
            </w:pPr>
            <w:r>
              <w:rPr>
                <w:rFonts w:hint="eastAsia" w:ascii="宋体" w:hAnsi="宋体" w:cs="宋体"/>
                <w:color w:val="auto"/>
                <w:kern w:val="0"/>
                <w:sz w:val="20"/>
                <w:szCs w:val="20"/>
                <w:highlight w:val="none"/>
                <w:lang w:val="en-US" w:eastAsia="zh-CN" w:bidi="ar"/>
              </w:rPr>
              <w:t>三</w:t>
            </w:r>
            <w:r>
              <w:rPr>
                <w:rFonts w:hint="eastAsia" w:ascii="宋体" w:hAnsi="宋体" w:eastAsia="宋体" w:cs="宋体"/>
                <w:color w:val="auto"/>
                <w:kern w:val="0"/>
                <w:sz w:val="20"/>
                <w:szCs w:val="20"/>
                <w:highlight w:val="none"/>
                <w:lang w:val="en-US" w:eastAsia="zh-CN" w:bidi="ar"/>
              </w:rPr>
              <w:t>档（</w:t>
            </w:r>
            <w:r>
              <w:rPr>
                <w:rFonts w:hint="eastAsia" w:ascii="宋体" w:hAnsi="宋体" w:cs="宋体"/>
                <w:color w:val="auto"/>
                <w:kern w:val="0"/>
                <w:sz w:val="20"/>
                <w:szCs w:val="20"/>
                <w:highlight w:val="none"/>
                <w:lang w:val="en-US" w:eastAsia="zh-CN" w:bidi="ar"/>
              </w:rPr>
              <w:t>12</w:t>
            </w:r>
            <w:r>
              <w:rPr>
                <w:rFonts w:hint="eastAsia" w:ascii="宋体" w:hAnsi="宋体" w:eastAsia="宋体" w:cs="宋体"/>
                <w:color w:val="auto"/>
                <w:kern w:val="0"/>
                <w:sz w:val="20"/>
                <w:szCs w:val="20"/>
                <w:highlight w:val="none"/>
                <w:lang w:val="en-US" w:eastAsia="zh-CN" w:bidi="ar"/>
              </w:rPr>
              <w:t xml:space="preserve">分）:供应商提供针对本项目提供的服务承诺，包括按时足额发放员工工资的承诺、对责任事故处理的承诺、服务质量及标准的承诺等内容齐全，陈述较详细，有操作性及针对性。 </w:t>
            </w:r>
          </w:p>
          <w:p w14:paraId="38AA09F0">
            <w:pPr>
              <w:keepNext w:val="0"/>
              <w:keepLines w:val="0"/>
              <w:widowControl/>
              <w:suppressLineNumbers w:val="0"/>
              <w:jc w:val="left"/>
              <w:rPr>
                <w:color w:val="auto"/>
                <w:highlight w:val="none"/>
              </w:rPr>
            </w:pPr>
            <w:r>
              <w:rPr>
                <w:rFonts w:hint="eastAsia" w:ascii="宋体" w:hAnsi="宋体" w:cs="宋体"/>
                <w:color w:val="auto"/>
                <w:kern w:val="0"/>
                <w:sz w:val="20"/>
                <w:szCs w:val="20"/>
                <w:highlight w:val="none"/>
                <w:lang w:val="en-US" w:eastAsia="zh-CN" w:bidi="ar"/>
              </w:rPr>
              <w:t>四</w:t>
            </w:r>
            <w:r>
              <w:rPr>
                <w:rFonts w:hint="eastAsia" w:ascii="宋体" w:hAnsi="宋体" w:eastAsia="宋体" w:cs="宋体"/>
                <w:color w:val="auto"/>
                <w:kern w:val="0"/>
                <w:sz w:val="20"/>
                <w:szCs w:val="20"/>
                <w:highlight w:val="none"/>
                <w:lang w:val="en-US" w:eastAsia="zh-CN" w:bidi="ar"/>
              </w:rPr>
              <w:t>档（</w:t>
            </w:r>
            <w:r>
              <w:rPr>
                <w:rFonts w:hint="eastAsia" w:ascii="宋体" w:hAnsi="宋体" w:cs="宋体"/>
                <w:color w:val="auto"/>
                <w:kern w:val="0"/>
                <w:sz w:val="20"/>
                <w:szCs w:val="20"/>
                <w:highlight w:val="none"/>
                <w:lang w:val="en-US" w:eastAsia="zh-CN" w:bidi="ar"/>
              </w:rPr>
              <w:t>15</w:t>
            </w:r>
            <w:r>
              <w:rPr>
                <w:rFonts w:hint="eastAsia" w:ascii="宋体" w:hAnsi="宋体" w:eastAsia="宋体" w:cs="宋体"/>
                <w:color w:val="auto"/>
                <w:kern w:val="0"/>
                <w:sz w:val="20"/>
                <w:szCs w:val="20"/>
                <w:highlight w:val="none"/>
                <w:lang w:val="en-US" w:eastAsia="zh-CN" w:bidi="ar"/>
              </w:rPr>
              <w:t>分）：针对本项目提供的服务承诺，包括按时足额发放员工工资的承诺、对责任事故处理的承诺、服务质量及标准的承诺和人力资源保障及人员配置承诺等内容齐全，陈述详细，操作性强及针对性且科学合理。</w:t>
            </w:r>
          </w:p>
          <w:p w14:paraId="06A17F42">
            <w:pPr>
              <w:pStyle w:val="82"/>
              <w:keepNext w:val="0"/>
              <w:keepLines w:val="0"/>
              <w:pageBreakBefore w:val="0"/>
              <w:widowControl w:val="0"/>
              <w:kinsoku/>
              <w:wordWrap/>
              <w:overflowPunct/>
              <w:topLinePunct w:val="0"/>
              <w:autoSpaceDE/>
              <w:autoSpaceDN/>
              <w:bidi w:val="0"/>
              <w:adjustRightInd/>
              <w:snapToGrid/>
              <w:spacing w:line="360" w:lineRule="auto"/>
              <w:ind w:firstLine="198"/>
              <w:textAlignment w:val="auto"/>
              <w:rPr>
                <w:rFonts w:hint="eastAsia"/>
                <w:color w:val="auto"/>
                <w:highlight w:val="none"/>
                <w:lang w:val="en-US" w:eastAsia="zh-CN"/>
              </w:rPr>
            </w:pPr>
            <w:r>
              <w:rPr>
                <w:rFonts w:hint="eastAsia" w:ascii="宋体" w:hAnsi="宋体" w:eastAsia="宋体" w:cs="宋体"/>
                <w:color w:val="auto"/>
                <w:kern w:val="2"/>
                <w:sz w:val="21"/>
                <w:szCs w:val="21"/>
                <w:highlight w:val="none"/>
                <w:lang w:val="en-US" w:eastAsia="zh-CN" w:bidi="ar-SA"/>
              </w:rPr>
              <w:t>注：不提供不得分</w:t>
            </w:r>
            <w:r>
              <w:rPr>
                <w:rFonts w:hint="eastAsia" w:ascii="宋体" w:hAnsi="宋体" w:cs="宋体"/>
                <w:color w:val="auto"/>
                <w:kern w:val="2"/>
                <w:sz w:val="21"/>
                <w:szCs w:val="21"/>
                <w:highlight w:val="none"/>
                <w:lang w:val="en-US" w:eastAsia="zh-CN" w:bidi="ar-SA"/>
              </w:rPr>
              <w:t>。</w:t>
            </w:r>
          </w:p>
        </w:tc>
        <w:tc>
          <w:tcPr>
            <w:tcW w:w="851" w:type="dxa"/>
            <w:noWrap w:val="0"/>
            <w:vAlign w:val="center"/>
          </w:tcPr>
          <w:p w14:paraId="474D6366">
            <w:pPr>
              <w:shd w:val="clear" w:color="auto" w:fill="auto"/>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6025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2" w:type="dxa"/>
            <w:noWrap w:val="0"/>
            <w:vAlign w:val="center"/>
          </w:tcPr>
          <w:p w14:paraId="40DF82C4">
            <w:pPr>
              <w:shd w:val="clear" w:color="auto" w:fill="auto"/>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2.3</w:t>
            </w:r>
          </w:p>
        </w:tc>
        <w:tc>
          <w:tcPr>
            <w:tcW w:w="1289" w:type="dxa"/>
            <w:noWrap w:val="0"/>
            <w:vAlign w:val="center"/>
          </w:tcPr>
          <w:p w14:paraId="6E99361A">
            <w:pPr>
              <w:adjustRightInd w:val="0"/>
              <w:spacing w:line="360" w:lineRule="auto"/>
              <w:jc w:val="center"/>
              <w:rPr>
                <w:rFonts w:hint="eastAsia" w:ascii="宋体" w:hAnsi="宋体" w:cs="宋体"/>
                <w:b/>
                <w:color w:val="auto"/>
                <w:kern w:val="0"/>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配置</w:t>
            </w:r>
          </w:p>
        </w:tc>
        <w:tc>
          <w:tcPr>
            <w:tcW w:w="6288" w:type="dxa"/>
            <w:noWrap w:val="0"/>
            <w:vAlign w:val="center"/>
          </w:tcPr>
          <w:p w14:paraId="405715F5">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①</w:t>
            </w:r>
            <w:r>
              <w:rPr>
                <w:rFonts w:hint="eastAsia" w:ascii="宋体" w:hAnsi="宋体" w:cs="宋体"/>
                <w:color w:val="auto"/>
                <w:kern w:val="0"/>
                <w:sz w:val="20"/>
                <w:szCs w:val="20"/>
                <w:highlight w:val="none"/>
                <w:lang w:val="en-US" w:eastAsia="zh-CN" w:bidi="ar"/>
              </w:rPr>
              <w:t>主管:</w:t>
            </w:r>
            <w:r>
              <w:rPr>
                <w:rFonts w:hint="eastAsia" w:ascii="宋体" w:hAnsi="宋体" w:eastAsia="宋体" w:cs="宋体"/>
                <w:color w:val="auto"/>
                <w:kern w:val="0"/>
                <w:sz w:val="20"/>
                <w:szCs w:val="20"/>
                <w:highlight w:val="none"/>
                <w:lang w:val="en-US" w:eastAsia="zh-CN" w:bidi="ar"/>
              </w:rPr>
              <w:t>持有全国物业管理企业经理证书</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val="en-US" w:eastAsia="zh-CN" w:bidi="ar"/>
              </w:rPr>
              <w:t>得</w:t>
            </w:r>
            <w:r>
              <w:rPr>
                <w:rFonts w:hint="eastAsia" w:ascii="宋体" w:hAnsi="宋体" w:cs="宋体"/>
                <w:color w:val="auto"/>
                <w:kern w:val="0"/>
                <w:sz w:val="20"/>
                <w:szCs w:val="20"/>
                <w:highlight w:val="none"/>
                <w:lang w:val="en-US" w:eastAsia="zh-CN" w:bidi="ar"/>
              </w:rPr>
              <w:t>5</w:t>
            </w:r>
            <w:r>
              <w:rPr>
                <w:rFonts w:hint="eastAsia" w:ascii="宋体" w:hAnsi="宋体" w:eastAsia="宋体" w:cs="宋体"/>
                <w:color w:val="auto"/>
                <w:kern w:val="0"/>
                <w:sz w:val="20"/>
                <w:szCs w:val="20"/>
                <w:highlight w:val="none"/>
                <w:lang w:val="en-US" w:eastAsia="zh-CN" w:bidi="ar"/>
              </w:rPr>
              <w:t>分；</w:t>
            </w:r>
          </w:p>
          <w:p w14:paraId="3AFA0A86">
            <w:pPr>
              <w:keepNext w:val="0"/>
              <w:keepLines w:val="0"/>
              <w:widowControl/>
              <w:suppressLineNumbers w:val="0"/>
              <w:jc w:val="left"/>
              <w:rPr>
                <w:color w:val="auto"/>
                <w:highlight w:val="none"/>
              </w:rPr>
            </w:pPr>
            <w:r>
              <w:rPr>
                <w:rFonts w:hint="default" w:ascii="宋体" w:hAnsi="宋体" w:eastAsia="宋体" w:cs="宋体"/>
                <w:color w:val="auto"/>
                <w:kern w:val="0"/>
                <w:sz w:val="20"/>
                <w:szCs w:val="20"/>
                <w:highlight w:val="none"/>
                <w:lang w:val="en-US" w:eastAsia="zh-CN" w:bidi="ar"/>
              </w:rPr>
              <w:t>②</w:t>
            </w:r>
            <w:r>
              <w:rPr>
                <w:rFonts w:hint="eastAsia" w:ascii="宋体" w:hAnsi="宋体" w:eastAsia="宋体" w:cs="宋体"/>
                <w:color w:val="auto"/>
                <w:kern w:val="0"/>
                <w:sz w:val="20"/>
                <w:szCs w:val="20"/>
                <w:highlight w:val="none"/>
                <w:lang w:val="en-US" w:eastAsia="zh-CN" w:bidi="ar"/>
              </w:rPr>
              <w:t>拟投入人员持有消防设施操作员资格证的每证得</w:t>
            </w: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分，满分</w:t>
            </w:r>
            <w:r>
              <w:rPr>
                <w:rFonts w:hint="eastAsia"/>
                <w:color w:val="auto"/>
                <w:highlight w:val="none"/>
                <w:lang w:val="en-US" w:eastAsia="zh-CN"/>
              </w:rPr>
              <w:t>4</w:t>
            </w:r>
            <w:r>
              <w:rPr>
                <w:rFonts w:hint="eastAsia" w:ascii="宋体" w:hAnsi="宋体" w:eastAsia="宋体" w:cs="宋体"/>
                <w:color w:val="auto"/>
                <w:kern w:val="0"/>
                <w:sz w:val="20"/>
                <w:szCs w:val="20"/>
                <w:highlight w:val="none"/>
                <w:lang w:val="en-US" w:eastAsia="zh-CN" w:bidi="ar"/>
              </w:rPr>
              <w:t xml:space="preserve"> 分； </w:t>
            </w:r>
          </w:p>
          <w:p w14:paraId="4ABE4F3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③拟投入安保人员持有退役军人证明</w:t>
            </w:r>
            <w:r>
              <w:rPr>
                <w:rFonts w:hint="eastAsia" w:ascii="宋体" w:hAnsi="宋体" w:cs="宋体"/>
                <w:color w:val="auto"/>
                <w:kern w:val="0"/>
                <w:sz w:val="20"/>
                <w:szCs w:val="20"/>
                <w:highlight w:val="none"/>
                <w:lang w:val="en-US" w:eastAsia="zh-CN" w:bidi="ar"/>
              </w:rPr>
              <w:t>或</w:t>
            </w:r>
            <w:r>
              <w:rPr>
                <w:rFonts w:hint="eastAsia" w:ascii="宋体" w:hAnsi="宋体" w:eastAsia="宋体" w:cs="宋体"/>
                <w:color w:val="auto"/>
                <w:kern w:val="0"/>
                <w:sz w:val="20"/>
                <w:szCs w:val="20"/>
                <w:highlight w:val="none"/>
                <w:lang w:val="en-US" w:eastAsia="zh-CN" w:bidi="ar"/>
              </w:rPr>
              <w:t xml:space="preserve">保安证的每证得 </w:t>
            </w: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分，满分</w:t>
            </w:r>
            <w:r>
              <w:rPr>
                <w:rFonts w:hint="eastAsia" w:ascii="宋体" w:hAnsi="宋体" w:cs="宋体"/>
                <w:color w:val="auto"/>
                <w:kern w:val="0"/>
                <w:sz w:val="20"/>
                <w:szCs w:val="20"/>
                <w:highlight w:val="none"/>
                <w:lang w:val="en-US" w:eastAsia="zh-CN" w:bidi="ar"/>
              </w:rPr>
              <w:t>10</w:t>
            </w:r>
            <w:r>
              <w:rPr>
                <w:rFonts w:hint="eastAsia" w:ascii="宋体" w:hAnsi="宋体" w:eastAsia="宋体" w:cs="宋体"/>
                <w:color w:val="auto"/>
                <w:kern w:val="0"/>
                <w:sz w:val="20"/>
                <w:szCs w:val="20"/>
                <w:highlight w:val="none"/>
                <w:lang w:val="en-US" w:eastAsia="zh-CN" w:bidi="ar"/>
              </w:rPr>
              <w:t xml:space="preserve">分； </w:t>
            </w:r>
          </w:p>
          <w:p w14:paraId="4030A6D7">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④拟投入水电工持有低压电工证明的每证得</w:t>
            </w: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 xml:space="preserve"> 分，满分 </w:t>
            </w:r>
            <w:r>
              <w:rPr>
                <w:rFonts w:hint="eastAsia" w:ascii="宋体" w:hAnsi="宋体" w:cs="宋体"/>
                <w:color w:val="auto"/>
                <w:kern w:val="0"/>
                <w:sz w:val="20"/>
                <w:szCs w:val="20"/>
                <w:highlight w:val="none"/>
                <w:lang w:val="en-US" w:eastAsia="zh-CN" w:bidi="ar"/>
              </w:rPr>
              <w:t>3</w:t>
            </w:r>
            <w:r>
              <w:rPr>
                <w:rFonts w:hint="eastAsia" w:ascii="宋体" w:hAnsi="宋体" w:eastAsia="宋体" w:cs="宋体"/>
                <w:color w:val="auto"/>
                <w:kern w:val="0"/>
                <w:sz w:val="20"/>
                <w:szCs w:val="20"/>
                <w:highlight w:val="none"/>
                <w:lang w:val="en-US" w:eastAsia="zh-CN" w:bidi="ar"/>
              </w:rPr>
              <w:t>分</w:t>
            </w:r>
            <w:bookmarkStart w:id="250" w:name="_GoBack"/>
            <w:bookmarkEnd w:id="250"/>
            <w:r>
              <w:rPr>
                <w:rFonts w:hint="eastAsia" w:ascii="宋体" w:hAnsi="宋体" w:cs="宋体"/>
                <w:color w:val="auto"/>
                <w:kern w:val="0"/>
                <w:sz w:val="20"/>
                <w:szCs w:val="20"/>
                <w:highlight w:val="none"/>
                <w:lang w:val="en-US" w:eastAsia="zh-CN" w:bidi="ar"/>
              </w:rPr>
              <w:t>；</w:t>
            </w:r>
          </w:p>
          <w:p w14:paraId="52FFF4ED">
            <w:pPr>
              <w:keepNext w:val="0"/>
              <w:keepLines w:val="0"/>
              <w:widowControl/>
              <w:suppressLineNumbers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0"/>
                <w:highlight w:val="none"/>
                <w:lang w:val="en-US" w:eastAsia="zh-CN" w:bidi="ar"/>
              </w:rPr>
              <w:t>备注：①-④项提供相关证书证明的人员须同时提供其身份证正反面复印件</w:t>
            </w:r>
            <w:r>
              <w:rPr>
                <w:rFonts w:hint="eastAsia" w:ascii="宋体" w:hAnsi="宋体" w:cs="宋体"/>
                <w:color w:val="auto"/>
                <w:kern w:val="0"/>
                <w:sz w:val="20"/>
                <w:szCs w:val="20"/>
                <w:highlight w:val="none"/>
                <w:lang w:val="en-US" w:eastAsia="zh-CN" w:bidi="ar"/>
              </w:rPr>
              <w:t>和响应文件递交截止前半年内任意一个月的社保缴纳证明。</w:t>
            </w:r>
          </w:p>
        </w:tc>
        <w:tc>
          <w:tcPr>
            <w:tcW w:w="851" w:type="dxa"/>
            <w:noWrap w:val="0"/>
            <w:vAlign w:val="center"/>
          </w:tcPr>
          <w:p w14:paraId="09EA0575">
            <w:pPr>
              <w:shd w:val="clear" w:color="auto" w:fill="auto"/>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r>
              <w:rPr>
                <w:rFonts w:hint="eastAsia" w:ascii="宋体" w:hAnsi="宋体" w:eastAsia="宋体" w:cs="宋体"/>
                <w:color w:val="auto"/>
                <w:kern w:val="0"/>
                <w:szCs w:val="21"/>
                <w:highlight w:val="none"/>
                <w:lang w:val="en-US" w:eastAsia="zh-CN"/>
              </w:rPr>
              <w:t>分</w:t>
            </w:r>
          </w:p>
        </w:tc>
      </w:tr>
      <w:tr w14:paraId="77A2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2" w:type="dxa"/>
            <w:noWrap w:val="0"/>
            <w:vAlign w:val="center"/>
          </w:tcPr>
          <w:p w14:paraId="66F8E161">
            <w:pPr>
              <w:shd w:val="clear" w:color="auto" w:fill="auto"/>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1289" w:type="dxa"/>
            <w:noWrap w:val="0"/>
            <w:vAlign w:val="center"/>
          </w:tcPr>
          <w:p w14:paraId="4DA52C8A">
            <w:pPr>
              <w:adjustRightInd w:val="0"/>
              <w:spacing w:line="380" w:lineRule="exact"/>
              <w:jc w:val="center"/>
              <w:textAlignment w:val="baseline"/>
              <w:rPr>
                <w:rFonts w:hint="eastAsia" w:hAnsi="宋体" w:eastAsia="宋体"/>
                <w:b/>
                <w:color w:val="auto"/>
                <w:spacing w:val="-6"/>
                <w:szCs w:val="21"/>
                <w:highlight w:val="none"/>
                <w:lang w:eastAsia="zh-CN"/>
              </w:rPr>
            </w:pPr>
            <w:r>
              <w:rPr>
                <w:rFonts w:hint="eastAsia" w:hAnsi="宋体"/>
                <w:b/>
                <w:color w:val="auto"/>
                <w:spacing w:val="-6"/>
                <w:szCs w:val="21"/>
                <w:highlight w:val="none"/>
                <w:lang w:eastAsia="zh-CN"/>
              </w:rPr>
              <w:t>商务分</w:t>
            </w:r>
          </w:p>
        </w:tc>
        <w:tc>
          <w:tcPr>
            <w:tcW w:w="6288" w:type="dxa"/>
            <w:noWrap w:val="0"/>
            <w:vAlign w:val="center"/>
          </w:tcPr>
          <w:p w14:paraId="629974DC">
            <w:pPr>
              <w:pStyle w:val="82"/>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评审因素</w:t>
            </w:r>
          </w:p>
        </w:tc>
        <w:tc>
          <w:tcPr>
            <w:tcW w:w="851" w:type="dxa"/>
            <w:noWrap w:val="0"/>
            <w:vAlign w:val="center"/>
          </w:tcPr>
          <w:p w14:paraId="59F5C33E">
            <w:pPr>
              <w:shd w:val="clear" w:color="auto" w:fill="auto"/>
              <w:spacing w:line="360" w:lineRule="auto"/>
              <w:jc w:val="center"/>
              <w:rPr>
                <w:rFonts w:hint="eastAsia" w:ascii="宋体" w:hAnsi="宋体" w:cs="宋体"/>
                <w:color w:val="auto"/>
                <w:kern w:val="0"/>
                <w:szCs w:val="21"/>
                <w:highlight w:val="none"/>
                <w:lang w:val="en-US" w:eastAsia="zh-CN"/>
              </w:rPr>
            </w:pPr>
          </w:p>
        </w:tc>
      </w:tr>
      <w:tr w14:paraId="5BB2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2" w:type="dxa"/>
            <w:noWrap w:val="0"/>
            <w:vAlign w:val="center"/>
          </w:tcPr>
          <w:p w14:paraId="1BD34600">
            <w:pPr>
              <w:shd w:val="clear" w:color="auto" w:fill="auto"/>
              <w:adjustRightInd w:val="0"/>
              <w:spacing w:line="360" w:lineRule="auto"/>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w:t>
            </w:r>
          </w:p>
        </w:tc>
        <w:tc>
          <w:tcPr>
            <w:tcW w:w="1289" w:type="dxa"/>
            <w:noWrap w:val="0"/>
            <w:vAlign w:val="center"/>
          </w:tcPr>
          <w:p w14:paraId="5ABDF06C">
            <w:pPr>
              <w:adjustRightInd w:val="0"/>
              <w:spacing w:line="380" w:lineRule="exact"/>
              <w:jc w:val="center"/>
              <w:textAlignment w:val="baseline"/>
              <w:rPr>
                <w:rFonts w:hint="eastAsia" w:hAnsi="宋体" w:eastAsia="宋体"/>
                <w:b/>
                <w:color w:val="auto"/>
                <w:spacing w:val="-6"/>
                <w:szCs w:val="21"/>
                <w:highlight w:val="none"/>
                <w:lang w:eastAsia="zh-CN"/>
              </w:rPr>
            </w:pPr>
            <w:r>
              <w:rPr>
                <w:rFonts w:hint="eastAsia" w:hAnsi="宋体"/>
                <w:b/>
                <w:color w:val="auto"/>
                <w:spacing w:val="-6"/>
                <w:szCs w:val="21"/>
                <w:highlight w:val="none"/>
                <w:lang w:eastAsia="zh-CN"/>
              </w:rPr>
              <w:t>业绩分</w:t>
            </w:r>
          </w:p>
        </w:tc>
        <w:tc>
          <w:tcPr>
            <w:tcW w:w="6288" w:type="dxa"/>
            <w:noWrap w:val="0"/>
            <w:vAlign w:val="center"/>
          </w:tcPr>
          <w:p w14:paraId="30BEE19C">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供应商 202</w:t>
            </w: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 xml:space="preserve">年 1 月 1 日起至今承接过同类综合性物业服务项目业绩证明，每有一项得 1 分，满分为 8 分。（提供合同或中标/成交通知书或验收报告复印件） </w:t>
            </w:r>
          </w:p>
          <w:p w14:paraId="77F8F071">
            <w:pPr>
              <w:keepNext w:val="0"/>
              <w:keepLines w:val="0"/>
              <w:widowControl/>
              <w:suppressLineNumbers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0"/>
                <w:highlight w:val="none"/>
                <w:lang w:val="en-US" w:eastAsia="zh-CN" w:bidi="ar"/>
              </w:rPr>
              <w:t>备注：同类综合性物业服务项目至少包含保安服务和保洁服务。</w:t>
            </w:r>
          </w:p>
        </w:tc>
        <w:tc>
          <w:tcPr>
            <w:tcW w:w="851" w:type="dxa"/>
            <w:noWrap w:val="0"/>
            <w:vAlign w:val="center"/>
          </w:tcPr>
          <w:p w14:paraId="66431E13">
            <w:pPr>
              <w:shd w:val="clear" w:color="auto" w:fill="auto"/>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8分</w:t>
            </w:r>
          </w:p>
        </w:tc>
      </w:tr>
      <w:tr w14:paraId="30DD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14:paraId="49C5AA55">
            <w:pPr>
              <w:pStyle w:val="20"/>
              <w:shd w:val="clear" w:color="auto" w:fill="auto"/>
              <w:spacing w:line="360" w:lineRule="auto"/>
              <w:ind w:firstLine="420" w:firstLineChars="200"/>
              <w:rPr>
                <w:rFonts w:hint="default"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rPr>
              <w:t>总得分＝1＋2</w:t>
            </w:r>
            <w:r>
              <w:rPr>
                <w:rFonts w:hint="eastAsia" w:hAnsi="宋体" w:cs="宋体"/>
                <w:bCs/>
                <w:color w:val="auto"/>
                <w:kern w:val="2"/>
                <w:sz w:val="21"/>
                <w:highlight w:val="none"/>
                <w:lang w:val="en-US" w:eastAsia="zh-CN"/>
              </w:rPr>
              <w:t>+3</w:t>
            </w:r>
          </w:p>
        </w:tc>
        <w:tc>
          <w:tcPr>
            <w:tcW w:w="851" w:type="dxa"/>
            <w:noWrap w:val="0"/>
            <w:vAlign w:val="center"/>
          </w:tcPr>
          <w:p w14:paraId="4106F2F9">
            <w:pPr>
              <w:widowControl/>
              <w:shd w:val="clear" w:color="auto" w:fill="auto"/>
              <w:spacing w:line="360" w:lineRule="auto"/>
              <w:jc w:val="center"/>
              <w:rPr>
                <w:rFonts w:hint="eastAsia" w:ascii="宋体" w:hAnsi="宋体" w:eastAsia="宋体" w:cs="宋体"/>
                <w:color w:val="auto"/>
                <w:kern w:val="0"/>
                <w:szCs w:val="21"/>
                <w:highlight w:val="none"/>
              </w:rPr>
            </w:pPr>
          </w:p>
        </w:tc>
      </w:tr>
      <w:bookmarkEnd w:id="125"/>
    </w:tbl>
    <w:p w14:paraId="431FCDDB">
      <w:pPr>
        <w:shd w:val="clear" w:color="auto"/>
        <w:spacing w:line="500" w:lineRule="exact"/>
        <w:ind w:firstLine="422" w:firstLineChars="200"/>
        <w:jc w:val="left"/>
        <w:outlineLvl w:val="2"/>
        <w:rPr>
          <w:rFonts w:hint="eastAsia" w:ascii="宋体" w:hAnsi="宋体" w:eastAsia="宋体" w:cs="宋体"/>
          <w:b/>
          <w:color w:val="auto"/>
          <w:kern w:val="0"/>
          <w:szCs w:val="21"/>
          <w:highlight w:val="none"/>
        </w:rPr>
      </w:pPr>
      <w:bookmarkStart w:id="126" w:name="_Toc10792"/>
      <w:r>
        <w:rPr>
          <w:rFonts w:hint="eastAsia" w:ascii="宋体" w:hAnsi="宋体" w:eastAsia="宋体" w:cs="宋体"/>
          <w:b/>
          <w:color w:val="auto"/>
          <w:kern w:val="0"/>
          <w:szCs w:val="21"/>
          <w:highlight w:val="none"/>
        </w:rPr>
        <w:t>三、成交候选供应商推荐原则</w:t>
      </w:r>
      <w:bookmarkEnd w:id="126"/>
    </w:p>
    <w:p w14:paraId="1D80673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由磋商小组根据综合评分情况，按照评审得分由高到低顺序推荐3名以成交候选供应商，并编写评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5EE9E94">
      <w:pPr>
        <w:pStyle w:val="20"/>
        <w:spacing w:line="5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磋商小组认为，某磋商供应商的磋商报价或者某些分项报价明显不合理或者低于成本，有可能影响服务质量和不能诚信履约的，可要求其在规定的期限内提供书面文件予以解释说明，并提交相关证明材料，否则，磋商小组可以取消该供应商的成交候选供应商资格，按顺序由排在后面的成交候选供应商递补，以此类推。</w:t>
      </w:r>
    </w:p>
    <w:p w14:paraId="7AB53BCE">
      <w:pPr>
        <w:rPr>
          <w:rFonts w:hint="eastAsia" w:ascii="宋体" w:hAnsi="宋体" w:eastAsia="宋体" w:cs="宋体"/>
          <w:color w:val="auto"/>
          <w:highlight w:val="none"/>
        </w:rPr>
      </w:pPr>
    </w:p>
    <w:p w14:paraId="01DA9E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671E940">
      <w:pPr>
        <w:rPr>
          <w:rFonts w:hint="eastAsia" w:ascii="宋体" w:hAnsi="宋体" w:eastAsia="宋体" w:cs="宋体"/>
          <w:color w:val="auto"/>
          <w:highlight w:val="none"/>
        </w:rPr>
      </w:pPr>
    </w:p>
    <w:p w14:paraId="36311847">
      <w:pPr>
        <w:rPr>
          <w:rFonts w:hint="eastAsia" w:ascii="宋体" w:hAnsi="宋体" w:eastAsia="宋体" w:cs="宋体"/>
          <w:color w:val="auto"/>
          <w:highlight w:val="none"/>
        </w:rPr>
      </w:pPr>
    </w:p>
    <w:p w14:paraId="64FA936D">
      <w:pPr>
        <w:rPr>
          <w:rFonts w:hint="eastAsia" w:ascii="宋体" w:hAnsi="宋体" w:eastAsia="宋体" w:cs="宋体"/>
          <w:color w:val="auto"/>
          <w:highlight w:val="none"/>
        </w:rPr>
      </w:pPr>
    </w:p>
    <w:p w14:paraId="1327A6DB">
      <w:pPr>
        <w:rPr>
          <w:rFonts w:hint="eastAsia" w:ascii="宋体" w:hAnsi="宋体" w:eastAsia="宋体" w:cs="宋体"/>
          <w:color w:val="auto"/>
          <w:highlight w:val="none"/>
        </w:rPr>
      </w:pPr>
    </w:p>
    <w:p w14:paraId="7CC8A6F8">
      <w:pPr>
        <w:rPr>
          <w:rFonts w:hint="eastAsia" w:ascii="宋体" w:hAnsi="宋体" w:eastAsia="宋体" w:cs="宋体"/>
          <w:color w:val="auto"/>
          <w:highlight w:val="none"/>
        </w:rPr>
      </w:pPr>
    </w:p>
    <w:p w14:paraId="3C8FE259">
      <w:pPr>
        <w:rPr>
          <w:rFonts w:hint="eastAsia" w:ascii="宋体" w:hAnsi="宋体" w:eastAsia="宋体" w:cs="宋体"/>
          <w:color w:val="auto"/>
          <w:highlight w:val="none"/>
        </w:rPr>
      </w:pPr>
    </w:p>
    <w:p w14:paraId="30BCC09F">
      <w:pPr>
        <w:rPr>
          <w:rFonts w:hint="eastAsia" w:ascii="宋体" w:hAnsi="宋体" w:eastAsia="宋体" w:cs="宋体"/>
          <w:color w:val="auto"/>
          <w:highlight w:val="none"/>
        </w:rPr>
      </w:pPr>
    </w:p>
    <w:p w14:paraId="21410830">
      <w:pPr>
        <w:rPr>
          <w:rFonts w:hint="eastAsia" w:ascii="宋体" w:hAnsi="宋体" w:eastAsia="宋体" w:cs="宋体"/>
          <w:color w:val="auto"/>
          <w:highlight w:val="none"/>
        </w:rPr>
      </w:pPr>
    </w:p>
    <w:p w14:paraId="35707B67">
      <w:pPr>
        <w:rPr>
          <w:rFonts w:hint="eastAsia" w:ascii="宋体" w:hAnsi="宋体" w:eastAsia="宋体" w:cs="宋体"/>
          <w:color w:val="auto"/>
          <w:highlight w:val="none"/>
        </w:rPr>
      </w:pPr>
    </w:p>
    <w:p w14:paraId="70EE79F0">
      <w:pPr>
        <w:rPr>
          <w:rFonts w:hint="eastAsia" w:ascii="宋体" w:hAnsi="宋体" w:eastAsia="宋体" w:cs="宋体"/>
          <w:color w:val="auto"/>
          <w:highlight w:val="none"/>
        </w:rPr>
      </w:pPr>
    </w:p>
    <w:p w14:paraId="3D18FFA7">
      <w:pPr>
        <w:rPr>
          <w:rFonts w:hint="eastAsia" w:ascii="宋体" w:hAnsi="宋体" w:eastAsia="宋体" w:cs="宋体"/>
          <w:color w:val="auto"/>
          <w:highlight w:val="none"/>
        </w:rPr>
      </w:pPr>
    </w:p>
    <w:p w14:paraId="5CC6393F">
      <w:pPr>
        <w:rPr>
          <w:rFonts w:hint="eastAsia" w:ascii="宋体" w:hAnsi="宋体" w:eastAsia="宋体" w:cs="宋体"/>
          <w:color w:val="auto"/>
          <w:highlight w:val="none"/>
        </w:rPr>
      </w:pPr>
    </w:p>
    <w:p w14:paraId="624E6022">
      <w:pPr>
        <w:rPr>
          <w:rFonts w:hint="eastAsia" w:ascii="宋体" w:hAnsi="宋体" w:eastAsia="宋体" w:cs="宋体"/>
          <w:color w:val="auto"/>
          <w:highlight w:val="none"/>
        </w:rPr>
      </w:pPr>
    </w:p>
    <w:p w14:paraId="72A26A61">
      <w:pPr>
        <w:pStyle w:val="3"/>
        <w:jc w:val="center"/>
        <w:rPr>
          <w:rFonts w:hint="eastAsia" w:ascii="宋体" w:hAnsi="宋体" w:eastAsia="宋体" w:cs="宋体"/>
          <w:color w:val="auto"/>
          <w:highlight w:val="none"/>
        </w:rPr>
      </w:pPr>
      <w:bookmarkStart w:id="127" w:name="_Toc22707"/>
      <w:r>
        <w:rPr>
          <w:rFonts w:hint="eastAsia" w:ascii="宋体" w:hAnsi="宋体" w:eastAsia="宋体" w:cs="宋体"/>
          <w:color w:val="auto"/>
          <w:highlight w:val="none"/>
        </w:rPr>
        <w:t>第五章 响应文件格式</w:t>
      </w:r>
      <w:bookmarkEnd w:id="127"/>
    </w:p>
    <w:p w14:paraId="09AA1228">
      <w:pPr>
        <w:spacing w:line="240" w:lineRule="atLeast"/>
        <w:rPr>
          <w:rFonts w:hint="eastAsia" w:ascii="宋体" w:hAnsi="宋体" w:eastAsia="宋体" w:cs="宋体"/>
          <w:b/>
          <w:color w:val="auto"/>
          <w:sz w:val="32"/>
          <w:szCs w:val="32"/>
          <w:highlight w:val="none"/>
        </w:rPr>
      </w:pPr>
    </w:p>
    <w:p w14:paraId="05B49302">
      <w:pPr>
        <w:spacing w:line="240" w:lineRule="atLeast"/>
        <w:rPr>
          <w:rFonts w:hint="eastAsia" w:ascii="宋体" w:hAnsi="宋体" w:eastAsia="宋体" w:cs="宋体"/>
          <w:b/>
          <w:color w:val="auto"/>
          <w:sz w:val="32"/>
          <w:szCs w:val="32"/>
          <w:highlight w:val="none"/>
        </w:rPr>
      </w:pPr>
    </w:p>
    <w:p w14:paraId="5491C8FB">
      <w:pPr>
        <w:spacing w:line="240" w:lineRule="atLeast"/>
        <w:rPr>
          <w:rFonts w:hint="eastAsia" w:ascii="宋体" w:hAnsi="宋体" w:eastAsia="宋体" w:cs="宋体"/>
          <w:b/>
          <w:color w:val="auto"/>
          <w:sz w:val="32"/>
          <w:szCs w:val="32"/>
          <w:highlight w:val="none"/>
        </w:rPr>
      </w:pPr>
    </w:p>
    <w:p w14:paraId="01F792E8">
      <w:pPr>
        <w:spacing w:line="240" w:lineRule="atLeast"/>
        <w:rPr>
          <w:rFonts w:hint="eastAsia" w:ascii="宋体" w:hAnsi="宋体" w:eastAsia="宋体" w:cs="宋体"/>
          <w:b/>
          <w:color w:val="auto"/>
          <w:sz w:val="32"/>
          <w:szCs w:val="32"/>
          <w:highlight w:val="none"/>
        </w:rPr>
      </w:pPr>
    </w:p>
    <w:p w14:paraId="330A0F85">
      <w:pPr>
        <w:spacing w:line="240" w:lineRule="atLeast"/>
        <w:rPr>
          <w:rFonts w:hint="eastAsia" w:ascii="宋体" w:hAnsi="宋体" w:eastAsia="宋体" w:cs="宋体"/>
          <w:b/>
          <w:color w:val="auto"/>
          <w:sz w:val="32"/>
          <w:szCs w:val="32"/>
          <w:highlight w:val="none"/>
        </w:rPr>
      </w:pPr>
    </w:p>
    <w:p w14:paraId="019768D4">
      <w:pPr>
        <w:spacing w:line="240" w:lineRule="atLeast"/>
        <w:rPr>
          <w:rFonts w:hint="eastAsia" w:ascii="宋体" w:hAnsi="宋体" w:eastAsia="宋体" w:cs="宋体"/>
          <w:b/>
          <w:color w:val="auto"/>
          <w:sz w:val="32"/>
          <w:szCs w:val="32"/>
          <w:highlight w:val="none"/>
        </w:rPr>
      </w:pPr>
    </w:p>
    <w:p w14:paraId="330483BF">
      <w:pPr>
        <w:spacing w:line="240" w:lineRule="atLeast"/>
        <w:rPr>
          <w:rFonts w:hint="eastAsia" w:ascii="宋体" w:hAnsi="宋体" w:eastAsia="宋体" w:cs="宋体"/>
          <w:b/>
          <w:color w:val="auto"/>
          <w:sz w:val="32"/>
          <w:szCs w:val="32"/>
          <w:highlight w:val="none"/>
        </w:rPr>
      </w:pPr>
    </w:p>
    <w:p w14:paraId="30179489">
      <w:pPr>
        <w:spacing w:line="240" w:lineRule="atLeast"/>
        <w:rPr>
          <w:rFonts w:hint="eastAsia" w:ascii="宋体" w:hAnsi="宋体" w:eastAsia="宋体" w:cs="宋体"/>
          <w:b/>
          <w:color w:val="auto"/>
          <w:sz w:val="32"/>
          <w:szCs w:val="32"/>
          <w:highlight w:val="none"/>
        </w:rPr>
      </w:pPr>
    </w:p>
    <w:p w14:paraId="3E74F992">
      <w:pPr>
        <w:spacing w:line="240" w:lineRule="atLeast"/>
        <w:rPr>
          <w:rFonts w:hint="eastAsia" w:ascii="宋体" w:hAnsi="宋体" w:eastAsia="宋体" w:cs="宋体"/>
          <w:b/>
          <w:color w:val="auto"/>
          <w:sz w:val="32"/>
          <w:szCs w:val="32"/>
          <w:highlight w:val="none"/>
        </w:rPr>
      </w:pPr>
    </w:p>
    <w:p w14:paraId="6AB71B11">
      <w:pPr>
        <w:spacing w:line="240" w:lineRule="atLeast"/>
        <w:rPr>
          <w:rFonts w:hint="eastAsia" w:ascii="宋体" w:hAnsi="宋体" w:eastAsia="宋体" w:cs="宋体"/>
          <w:b/>
          <w:color w:val="auto"/>
          <w:sz w:val="32"/>
          <w:szCs w:val="32"/>
          <w:highlight w:val="none"/>
        </w:rPr>
      </w:pPr>
    </w:p>
    <w:p w14:paraId="32233B0B">
      <w:pPr>
        <w:spacing w:line="240" w:lineRule="atLeast"/>
        <w:rPr>
          <w:rFonts w:hint="eastAsia" w:ascii="宋体" w:hAnsi="宋体" w:eastAsia="宋体" w:cs="宋体"/>
          <w:b/>
          <w:color w:val="auto"/>
          <w:sz w:val="32"/>
          <w:szCs w:val="32"/>
          <w:highlight w:val="none"/>
        </w:rPr>
      </w:pPr>
    </w:p>
    <w:p w14:paraId="51F76E05">
      <w:pPr>
        <w:snapToGrid w:val="0"/>
        <w:spacing w:before="50" w:after="50"/>
        <w:outlineLvl w:val="9"/>
        <w:rPr>
          <w:rFonts w:hint="eastAsia" w:ascii="宋体" w:hAnsi="宋体" w:eastAsia="宋体" w:cs="宋体"/>
          <w:b/>
          <w:bCs/>
          <w:color w:val="auto"/>
          <w:sz w:val="24"/>
          <w:highlight w:val="none"/>
        </w:rPr>
      </w:pPr>
    </w:p>
    <w:p w14:paraId="6824E33B">
      <w:pPr>
        <w:rPr>
          <w:rFonts w:hint="eastAsia" w:ascii="宋体" w:hAnsi="宋体" w:eastAsia="宋体" w:cs="宋体"/>
          <w:b/>
          <w:color w:val="auto"/>
          <w:sz w:val="32"/>
          <w:szCs w:val="32"/>
          <w:highlight w:val="none"/>
        </w:rPr>
      </w:pPr>
      <w:bookmarkStart w:id="128" w:name="_Toc71365924"/>
      <w:bookmarkStart w:id="129" w:name="_Toc44229898"/>
    </w:p>
    <w:p w14:paraId="0A5F991C">
      <w:pPr>
        <w:rPr>
          <w:rFonts w:hint="eastAsia" w:ascii="宋体" w:hAnsi="宋体" w:eastAsia="宋体" w:cs="宋体"/>
          <w:b/>
          <w:color w:val="auto"/>
          <w:sz w:val="32"/>
          <w:szCs w:val="32"/>
          <w:highlight w:val="none"/>
        </w:rPr>
      </w:pPr>
    </w:p>
    <w:bookmarkEnd w:id="128"/>
    <w:bookmarkEnd w:id="129"/>
    <w:p w14:paraId="47DBA755">
      <w:pPr>
        <w:outlineLvl w:val="1"/>
        <w:rPr>
          <w:rFonts w:hint="eastAsia" w:ascii="宋体" w:hAnsi="宋体" w:eastAsia="宋体" w:cs="宋体"/>
          <w:b/>
          <w:color w:val="auto"/>
          <w:sz w:val="32"/>
          <w:szCs w:val="32"/>
          <w:highlight w:val="none"/>
        </w:rPr>
      </w:pPr>
      <w:bookmarkStart w:id="130" w:name="_Toc14084"/>
      <w:bookmarkStart w:id="131" w:name="_Toc31723070"/>
      <w:bookmarkStart w:id="132" w:name="_Toc71365925"/>
      <w:bookmarkStart w:id="133" w:name="_Toc31728084"/>
      <w:bookmarkStart w:id="134" w:name="_Toc44229899"/>
      <w:bookmarkStart w:id="135" w:name="_Toc35611438"/>
      <w:bookmarkStart w:id="136" w:name="_Toc35611516"/>
      <w:r>
        <w:rPr>
          <w:rFonts w:hint="eastAsia" w:ascii="宋体" w:hAnsi="宋体" w:eastAsia="宋体" w:cs="宋体"/>
          <w:b/>
          <w:color w:val="auto"/>
          <w:sz w:val="32"/>
          <w:szCs w:val="32"/>
          <w:highlight w:val="none"/>
        </w:rPr>
        <w:t>一、资格证明文件格式</w:t>
      </w:r>
      <w:bookmarkEnd w:id="130"/>
      <w:bookmarkEnd w:id="131"/>
      <w:bookmarkEnd w:id="132"/>
      <w:bookmarkEnd w:id="133"/>
      <w:bookmarkEnd w:id="134"/>
      <w:bookmarkEnd w:id="135"/>
      <w:bookmarkEnd w:id="136"/>
    </w:p>
    <w:p w14:paraId="3D871013">
      <w:pPr>
        <w:snapToGrid w:val="0"/>
        <w:spacing w:beforeLines="50" w:after="50" w:line="360" w:lineRule="auto"/>
        <w:jc w:val="left"/>
        <w:outlineLvl w:val="9"/>
        <w:rPr>
          <w:rFonts w:hint="eastAsia" w:ascii="宋体" w:hAnsi="宋体" w:eastAsia="宋体" w:cs="宋体"/>
          <w:color w:val="auto"/>
          <w:sz w:val="24"/>
          <w:szCs w:val="20"/>
          <w:highlight w:val="none"/>
        </w:rPr>
      </w:pPr>
      <w:r>
        <w:rPr>
          <w:rFonts w:hint="eastAsia" w:ascii="宋体" w:hAnsi="宋体" w:eastAsia="宋体" w:cs="宋体"/>
          <w:b/>
          <w:color w:val="auto"/>
          <w:sz w:val="32"/>
          <w:szCs w:val="32"/>
          <w:highlight w:val="none"/>
        </w:rPr>
        <w:t>1.资格证明文件封面格式：</w:t>
      </w:r>
    </w:p>
    <w:p w14:paraId="455FE5B0">
      <w:pPr>
        <w:snapToGrid w:val="0"/>
        <w:spacing w:beforeLines="50" w:after="5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（电子响应文件）</w:t>
      </w:r>
    </w:p>
    <w:p w14:paraId="45DE1A76">
      <w:pPr>
        <w:outlineLvl w:val="9"/>
        <w:rPr>
          <w:rFonts w:hint="eastAsia" w:ascii="宋体" w:hAnsi="宋体" w:eastAsia="宋体" w:cs="宋体"/>
          <w:color w:val="auto"/>
          <w:sz w:val="24"/>
          <w:szCs w:val="20"/>
          <w:highlight w:val="none"/>
          <w:lang w:eastAsia="zh-CN"/>
        </w:rPr>
      </w:pPr>
    </w:p>
    <w:p w14:paraId="67278326">
      <w:pPr>
        <w:outlineLvl w:val="9"/>
        <w:rPr>
          <w:rFonts w:hint="eastAsia" w:ascii="宋体" w:hAnsi="宋体" w:eastAsia="宋体" w:cs="宋体"/>
          <w:color w:val="auto"/>
          <w:sz w:val="24"/>
          <w:szCs w:val="20"/>
          <w:highlight w:val="none"/>
          <w:lang w:eastAsia="zh-CN"/>
        </w:rPr>
      </w:pPr>
    </w:p>
    <w:p w14:paraId="42F62EA6">
      <w:pPr>
        <w:outlineLvl w:val="9"/>
        <w:rPr>
          <w:rFonts w:hint="eastAsia"/>
          <w:color w:val="auto"/>
          <w:lang w:eastAsia="zh-CN"/>
        </w:rPr>
      </w:pPr>
    </w:p>
    <w:p w14:paraId="6FDB17E1">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096B46ED">
      <w:pPr>
        <w:snapToGrid w:val="0"/>
        <w:spacing w:beforeLines="50" w:after="50"/>
        <w:rPr>
          <w:rFonts w:hint="eastAsia" w:ascii="宋体" w:hAnsi="宋体" w:eastAsia="宋体" w:cs="宋体"/>
          <w:bCs/>
          <w:color w:val="auto"/>
          <w:sz w:val="24"/>
          <w:szCs w:val="20"/>
          <w:highlight w:val="none"/>
        </w:rPr>
      </w:pPr>
    </w:p>
    <w:p w14:paraId="08B83937">
      <w:pPr>
        <w:snapToGrid w:val="0"/>
        <w:spacing w:beforeLines="50" w:after="50"/>
        <w:rPr>
          <w:rFonts w:hint="eastAsia" w:ascii="宋体" w:hAnsi="宋体" w:eastAsia="宋体" w:cs="宋体"/>
          <w:bCs/>
          <w:color w:val="auto"/>
          <w:sz w:val="24"/>
          <w:szCs w:val="20"/>
          <w:highlight w:val="none"/>
        </w:rPr>
      </w:pPr>
    </w:p>
    <w:p w14:paraId="1C3AB798">
      <w:pPr>
        <w:snapToGrid w:val="0"/>
        <w:spacing w:beforeLines="50" w:after="50"/>
        <w:rPr>
          <w:rFonts w:hint="eastAsia" w:ascii="宋体" w:hAnsi="宋体" w:eastAsia="宋体" w:cs="宋体"/>
          <w:bCs/>
          <w:color w:val="auto"/>
          <w:sz w:val="24"/>
          <w:szCs w:val="20"/>
          <w:highlight w:val="none"/>
        </w:rPr>
      </w:pPr>
    </w:p>
    <w:p w14:paraId="2460A790">
      <w:pPr>
        <w:snapToGrid w:val="0"/>
        <w:spacing w:beforeLines="50" w:after="50"/>
        <w:rPr>
          <w:rFonts w:hint="eastAsia" w:ascii="宋体" w:hAnsi="宋体" w:eastAsia="宋体" w:cs="宋体"/>
          <w:bCs/>
          <w:color w:val="auto"/>
          <w:sz w:val="24"/>
          <w:szCs w:val="20"/>
          <w:highlight w:val="none"/>
        </w:rPr>
      </w:pPr>
    </w:p>
    <w:p w14:paraId="48AF6F4E">
      <w:pPr>
        <w:snapToGrid w:val="0"/>
        <w:spacing w:beforeLines="50" w:after="50"/>
        <w:rPr>
          <w:rFonts w:hint="eastAsia" w:ascii="宋体" w:hAnsi="宋体" w:eastAsia="宋体" w:cs="宋体"/>
          <w:bCs/>
          <w:color w:val="auto"/>
          <w:sz w:val="24"/>
          <w:szCs w:val="20"/>
          <w:highlight w:val="none"/>
        </w:rPr>
      </w:pPr>
    </w:p>
    <w:p w14:paraId="4AE607D0">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1BB7B0F">
      <w:pPr>
        <w:snapToGrid w:val="0"/>
        <w:spacing w:beforeLines="50" w:after="50"/>
        <w:ind w:firstLine="720" w:firstLineChars="225"/>
        <w:rPr>
          <w:rFonts w:hint="eastAsia" w:ascii="宋体" w:hAnsi="宋体" w:eastAsia="宋体" w:cs="宋体"/>
          <w:bCs/>
          <w:color w:val="auto"/>
          <w:sz w:val="32"/>
          <w:szCs w:val="32"/>
          <w:highlight w:val="none"/>
        </w:rPr>
      </w:pPr>
    </w:p>
    <w:p w14:paraId="2F646C55">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4AF8902">
      <w:pPr>
        <w:snapToGrid w:val="0"/>
        <w:spacing w:beforeLines="50" w:after="50"/>
        <w:ind w:firstLine="720" w:firstLineChars="225"/>
        <w:rPr>
          <w:rFonts w:hint="eastAsia" w:ascii="宋体" w:hAnsi="宋体" w:eastAsia="宋体" w:cs="宋体"/>
          <w:bCs/>
          <w:color w:val="auto"/>
          <w:sz w:val="32"/>
          <w:szCs w:val="32"/>
          <w:highlight w:val="none"/>
        </w:rPr>
      </w:pPr>
    </w:p>
    <w:p w14:paraId="3E4681EE">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E6C852C">
      <w:pPr>
        <w:pStyle w:val="7"/>
        <w:snapToGrid w:val="0"/>
        <w:spacing w:before="50" w:after="50"/>
        <w:ind w:firstLine="720" w:firstLineChars="225"/>
        <w:rPr>
          <w:rFonts w:hint="eastAsia" w:ascii="宋体" w:hAnsi="宋体" w:eastAsia="宋体" w:cs="宋体"/>
          <w:bCs/>
          <w:color w:val="auto"/>
          <w:sz w:val="32"/>
          <w:szCs w:val="32"/>
          <w:highlight w:val="none"/>
        </w:rPr>
      </w:pPr>
    </w:p>
    <w:p w14:paraId="7BECC912">
      <w:pPr>
        <w:pStyle w:val="7"/>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供应商地址</w:t>
      </w:r>
      <w:r>
        <w:rPr>
          <w:rFonts w:hint="eastAsia" w:ascii="宋体" w:hAnsi="宋体" w:eastAsia="宋体" w:cs="宋体"/>
          <w:bCs/>
          <w:color w:val="auto"/>
          <w:sz w:val="32"/>
          <w:szCs w:val="32"/>
          <w:highlight w:val="none"/>
        </w:rPr>
        <w:t>：</w:t>
      </w:r>
    </w:p>
    <w:p w14:paraId="1C0A4BCA">
      <w:pPr>
        <w:pStyle w:val="7"/>
        <w:snapToGrid w:val="0"/>
        <w:spacing w:before="50" w:after="50"/>
        <w:ind w:firstLine="720" w:firstLineChars="225"/>
        <w:rPr>
          <w:rFonts w:hint="eastAsia" w:ascii="宋体" w:hAnsi="宋体" w:eastAsia="宋体" w:cs="宋体"/>
          <w:bCs/>
          <w:color w:val="auto"/>
          <w:sz w:val="32"/>
          <w:szCs w:val="32"/>
          <w:highlight w:val="none"/>
        </w:rPr>
      </w:pPr>
    </w:p>
    <w:p w14:paraId="377CAAB8">
      <w:pPr>
        <w:pStyle w:val="7"/>
        <w:snapToGrid w:val="0"/>
        <w:spacing w:before="50" w:after="50"/>
        <w:ind w:firstLine="720" w:firstLineChars="225"/>
        <w:rPr>
          <w:rFonts w:hint="eastAsia" w:ascii="宋体" w:hAnsi="宋体" w:eastAsia="宋体" w:cs="宋体"/>
          <w:bCs/>
          <w:color w:val="auto"/>
          <w:sz w:val="32"/>
          <w:szCs w:val="32"/>
          <w:highlight w:val="none"/>
        </w:rPr>
      </w:pPr>
    </w:p>
    <w:p w14:paraId="764E8A0A">
      <w:pPr>
        <w:pStyle w:val="7"/>
        <w:snapToGrid w:val="0"/>
        <w:spacing w:before="50" w:after="50"/>
        <w:ind w:firstLine="1280" w:firstLineChars="400"/>
        <w:rPr>
          <w:rFonts w:hint="eastAsia" w:ascii="宋体" w:hAnsi="宋体" w:eastAsia="宋体" w:cs="宋体"/>
          <w:bCs/>
          <w:color w:val="auto"/>
          <w:sz w:val="32"/>
          <w:szCs w:val="32"/>
          <w:highlight w:val="none"/>
        </w:rPr>
      </w:pPr>
    </w:p>
    <w:p w14:paraId="124069E4">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A66557C">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11E833BB">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2D34FCFF">
      <w:pPr>
        <w:snapToGrid w:val="0"/>
        <w:spacing w:beforeLines="50" w:after="50"/>
        <w:rPr>
          <w:rFonts w:hint="eastAsia" w:ascii="宋体" w:hAnsi="宋体" w:eastAsia="宋体" w:cs="宋体"/>
          <w:color w:val="auto"/>
          <w:sz w:val="24"/>
          <w:szCs w:val="20"/>
          <w:highlight w:val="none"/>
        </w:rPr>
      </w:pPr>
    </w:p>
    <w:p w14:paraId="2D1AD2DD">
      <w:pPr>
        <w:spacing w:line="300" w:lineRule="auto"/>
        <w:rPr>
          <w:rFonts w:hint="eastAsia" w:ascii="宋体" w:hAnsi="宋体" w:eastAsia="宋体" w:cs="宋体"/>
          <w:color w:val="auto"/>
          <w:szCs w:val="21"/>
          <w:highlight w:val="none"/>
        </w:rPr>
      </w:pPr>
    </w:p>
    <w:p w14:paraId="52033A66">
      <w:pPr>
        <w:spacing w:line="300" w:lineRule="auto"/>
        <w:rPr>
          <w:rFonts w:hint="eastAsia" w:ascii="宋体" w:hAnsi="宋体" w:eastAsia="宋体" w:cs="宋体"/>
          <w:color w:val="auto"/>
          <w:szCs w:val="21"/>
          <w:highlight w:val="none"/>
        </w:rPr>
      </w:pPr>
    </w:p>
    <w:p w14:paraId="37103C2C">
      <w:pPr>
        <w:spacing w:line="300" w:lineRule="auto"/>
        <w:rPr>
          <w:rFonts w:hint="eastAsia" w:ascii="宋体" w:hAnsi="宋体" w:eastAsia="宋体" w:cs="宋体"/>
          <w:color w:val="auto"/>
          <w:szCs w:val="21"/>
          <w:highlight w:val="none"/>
        </w:rPr>
      </w:pPr>
    </w:p>
    <w:p w14:paraId="1F3B4F63">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E87BF56">
      <w:pPr>
        <w:spacing w:line="320" w:lineRule="exact"/>
        <w:jc w:val="center"/>
        <w:outlineLvl w:val="2"/>
        <w:rPr>
          <w:rFonts w:hint="eastAsia" w:ascii="宋体" w:hAnsi="宋体" w:eastAsia="宋体" w:cs="宋体"/>
          <w:b/>
          <w:color w:val="auto"/>
          <w:sz w:val="32"/>
          <w:szCs w:val="32"/>
          <w:highlight w:val="none"/>
        </w:rPr>
      </w:pPr>
      <w:bookmarkStart w:id="137" w:name="_Toc27177"/>
      <w:r>
        <w:rPr>
          <w:rFonts w:hint="eastAsia" w:ascii="宋体" w:hAnsi="宋体" w:eastAsia="宋体" w:cs="宋体"/>
          <w:b/>
          <w:color w:val="auto"/>
          <w:sz w:val="32"/>
          <w:szCs w:val="32"/>
          <w:highlight w:val="none"/>
        </w:rPr>
        <w:t>竞标声明（格式）</w:t>
      </w:r>
      <w:bookmarkEnd w:id="137"/>
    </w:p>
    <w:p w14:paraId="02D1355D">
      <w:pPr>
        <w:spacing w:line="320" w:lineRule="exact"/>
        <w:jc w:val="center"/>
        <w:rPr>
          <w:rFonts w:hint="eastAsia" w:ascii="宋体" w:hAnsi="宋体" w:eastAsia="宋体" w:cs="宋体"/>
          <w:color w:val="auto"/>
          <w:sz w:val="24"/>
          <w:szCs w:val="20"/>
          <w:highlight w:val="none"/>
        </w:rPr>
      </w:pPr>
    </w:p>
    <w:p w14:paraId="61293705">
      <w:pPr>
        <w:wordWrap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5B46DEBB">
      <w:pPr>
        <w:wordWrap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1"/>
          <w:u w:val="single"/>
        </w:rPr>
        <w:t xml:space="preserve">                       </w:t>
      </w:r>
      <w:r>
        <w:rPr>
          <w:rFonts w:hint="eastAsia" w:ascii="宋体" w:hAnsi="宋体" w:eastAsia="宋体" w:cs="宋体"/>
          <w:color w:val="auto"/>
          <w:sz w:val="24"/>
          <w:highlight w:val="none"/>
        </w:rPr>
        <w:t>。</w:t>
      </w:r>
    </w:p>
    <w:p w14:paraId="2B58FCA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确定成交供应商及其竞标产品和服务，我方就本次竞标有关事项郑重声明如下：</w:t>
      </w:r>
    </w:p>
    <w:p w14:paraId="170AE5A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E230A9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53531F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97F7D3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75B1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2B70D9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70923FD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C6C4E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311AEB9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4FCFAD1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785562C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2CE28D5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1CC2BB0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2DCBE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6810E5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72E51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BC09A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249B0BE7">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cs="宋体"/>
          <w:color w:val="auto"/>
          <w:kern w:val="0"/>
          <w:sz w:val="24"/>
          <w:highlight w:val="none"/>
          <w:lang w:eastAsia="zh-CN"/>
        </w:rPr>
        <w:t>：</w:t>
      </w:r>
    </w:p>
    <w:p w14:paraId="0511F677">
      <w:pPr>
        <w:pStyle w:val="20"/>
        <w:spacing w:line="360" w:lineRule="auto"/>
        <w:ind w:firstLine="480" w:firstLineChars="200"/>
        <w:contextualSpacing/>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7.与本</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rPr>
        <w:t>有关的一切正式往来信函请寄：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邮政编号：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2D67E8A3">
      <w:pPr>
        <w:pStyle w:val="2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99BEB76">
      <w:pPr>
        <w:pStyle w:val="18"/>
        <w:tabs>
          <w:tab w:val="left" w:pos="939"/>
        </w:tabs>
        <w:spacing w:line="360" w:lineRule="auto"/>
        <w:ind w:left="141" w:leftChars="6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账号</w:t>
      </w:r>
      <w:r>
        <w:rPr>
          <w:rFonts w:hint="eastAsia" w:ascii="宋体" w:hAnsi="宋体" w:eastAsia="宋体" w:cs="宋体"/>
          <w:color w:val="auto"/>
          <w:sz w:val="24"/>
          <w:szCs w:val="24"/>
        </w:rPr>
        <w:t>/行号：</w:t>
      </w:r>
      <w:r>
        <w:rPr>
          <w:rFonts w:hint="eastAsia" w:ascii="宋体" w:hAnsi="宋体" w:eastAsia="宋体" w:cs="宋体"/>
          <w:color w:val="auto"/>
          <w:sz w:val="24"/>
          <w:szCs w:val="24"/>
          <w:u w:val="single"/>
        </w:rPr>
        <w:t xml:space="preserve">           </w:t>
      </w:r>
    </w:p>
    <w:p w14:paraId="2273B68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8.以上事项如有虚假或者隐瞒，我方愿意承担一切后果，并不再寻求任何旨在减轻或者免除法律责任的辩解。</w:t>
      </w:r>
    </w:p>
    <w:p w14:paraId="74DF2500">
      <w:pPr>
        <w:pStyle w:val="18"/>
        <w:tabs>
          <w:tab w:val="left" w:pos="939"/>
        </w:tabs>
        <w:spacing w:line="360" w:lineRule="auto"/>
        <w:ind w:left="14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E17409A">
      <w:pPr>
        <w:pStyle w:val="18"/>
        <w:tabs>
          <w:tab w:val="left" w:pos="939"/>
        </w:tabs>
        <w:spacing w:line="360" w:lineRule="auto"/>
        <w:ind w:left="0" w:leftChars="0" w:firstLine="482" w:firstLineChars="200"/>
        <w:rPr>
          <w:rFonts w:hint="eastAsia" w:ascii="宋体" w:hAnsi="宋体" w:eastAsia="宋体" w:cs="宋体"/>
          <w:b/>
          <w:color w:val="auto"/>
          <w:sz w:val="24"/>
          <w:highlight w:val="none"/>
        </w:rPr>
      </w:pPr>
    </w:p>
    <w:p w14:paraId="19084AD7">
      <w:pPr>
        <w:pStyle w:val="18"/>
        <w:tabs>
          <w:tab w:val="left" w:pos="939"/>
        </w:tabs>
        <w:spacing w:line="360" w:lineRule="auto"/>
        <w:ind w:left="0" w:leftChars="0" w:firstLine="480" w:firstLineChars="200"/>
        <w:rPr>
          <w:rFonts w:hint="eastAsia" w:ascii="宋体" w:hAnsi="宋体" w:eastAsia="宋体" w:cs="宋体"/>
          <w:color w:val="auto"/>
          <w:sz w:val="24"/>
          <w:highlight w:val="none"/>
        </w:rPr>
      </w:pPr>
    </w:p>
    <w:p w14:paraId="1AEEE8CC">
      <w:pPr>
        <w:spacing w:line="360" w:lineRule="auto"/>
        <w:ind w:firstLine="4320" w:firstLineChars="1800"/>
        <w:contextualSpacing/>
        <w:rPr>
          <w:rFonts w:hint="eastAsia" w:ascii="宋体" w:hAnsi="宋体" w:eastAsia="宋体" w:cs="宋体"/>
          <w:color w:val="auto"/>
          <w:sz w:val="24"/>
          <w:highlight w:val="none"/>
        </w:rPr>
      </w:pPr>
    </w:p>
    <w:p w14:paraId="2B3468A6">
      <w:pPr>
        <w:spacing w:line="360" w:lineRule="auto"/>
        <w:ind w:firstLine="4320" w:firstLineChars="1800"/>
        <w:contextualSpacing/>
        <w:rPr>
          <w:rFonts w:hint="eastAsia" w:ascii="宋体" w:hAnsi="宋体" w:eastAsia="宋体" w:cs="宋体"/>
          <w:color w:val="auto"/>
          <w:sz w:val="24"/>
          <w:highlight w:val="none"/>
        </w:rPr>
      </w:pPr>
    </w:p>
    <w:p w14:paraId="28CC2464">
      <w:pPr>
        <w:keepNext w:val="0"/>
        <w:keepLines w:val="0"/>
        <w:pageBreakBefore w:val="0"/>
        <w:widowControl w:val="0"/>
        <w:kinsoku/>
        <w:wordWrap/>
        <w:overflowPunct/>
        <w:topLinePunct w:val="0"/>
        <w:autoSpaceDE/>
        <w:autoSpaceDN/>
        <w:bidi w:val="0"/>
        <w:adjustRightInd/>
        <w:snapToGrid/>
        <w:spacing w:line="480" w:lineRule="auto"/>
        <w:ind w:firstLine="3360" w:firstLineChars="14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sz w:val="24"/>
          <w:highlight w:val="none"/>
          <w:lang w:eastAsia="zh-CN"/>
        </w:rPr>
        <w:t>或签章</w:t>
      </w:r>
      <w:r>
        <w:rPr>
          <w:rFonts w:hint="eastAsia" w:ascii="宋体" w:hAnsi="宋体" w:eastAsia="宋体" w:cs="宋体"/>
          <w:color w:val="auto"/>
          <w:sz w:val="24"/>
          <w:highlight w:val="none"/>
        </w:rPr>
        <w:t>）：</w:t>
      </w:r>
      <w:r>
        <w:rPr>
          <w:rFonts w:hint="eastAsia" w:ascii="宋体" w:hAnsi="宋体" w:eastAsia="宋体" w:cs="宋体"/>
          <w:color w:val="auto"/>
          <w:sz w:val="21"/>
          <w:u w:val="single"/>
        </w:rPr>
        <w:t xml:space="preserve">       </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u w:val="single"/>
        </w:rPr>
        <w:t xml:space="preserve">    </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u w:val="single"/>
        </w:rPr>
        <w:t xml:space="preserve">       </w:t>
      </w:r>
    </w:p>
    <w:p w14:paraId="1C0C2C7E">
      <w:pPr>
        <w:keepNext w:val="0"/>
        <w:keepLines w:val="0"/>
        <w:pageBreakBefore w:val="0"/>
        <w:widowControl w:val="0"/>
        <w:kinsoku/>
        <w:wordWrap/>
        <w:overflowPunct/>
        <w:topLinePunct w:val="0"/>
        <w:autoSpaceDE/>
        <w:autoSpaceDN/>
        <w:bidi w:val="0"/>
        <w:adjustRightInd/>
        <w:snapToGrid/>
        <w:spacing w:line="480" w:lineRule="auto"/>
        <w:ind w:firstLine="3120" w:firstLineChars="1300"/>
        <w:contextualSpacing/>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电子签章</w:t>
      </w:r>
      <w:r>
        <w:rPr>
          <w:rFonts w:hint="eastAsia" w:ascii="宋体" w:hAnsi="宋体" w:eastAsia="宋体" w:cs="宋体"/>
          <w:color w:val="auto"/>
          <w:sz w:val="24"/>
          <w:highlight w:val="none"/>
        </w:rPr>
        <w:t>）：</w:t>
      </w:r>
      <w:r>
        <w:rPr>
          <w:rFonts w:hint="eastAsia" w:ascii="宋体" w:hAnsi="宋体" w:eastAsia="宋体" w:cs="宋体"/>
          <w:color w:val="auto"/>
          <w:sz w:val="21"/>
          <w:u w:val="single"/>
        </w:rPr>
        <w:t xml:space="preserve">         </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u w:val="single"/>
        </w:rPr>
        <w:t xml:space="preserve">         </w:t>
      </w:r>
    </w:p>
    <w:p w14:paraId="288610C1">
      <w:pPr>
        <w:keepNext w:val="0"/>
        <w:keepLines w:val="0"/>
        <w:pageBreakBefore w:val="0"/>
        <w:widowControl w:val="0"/>
        <w:kinsoku/>
        <w:wordWrap/>
        <w:overflowPunct/>
        <w:topLinePunct w:val="0"/>
        <w:autoSpaceDE/>
        <w:autoSpaceDN/>
        <w:bidi w:val="0"/>
        <w:adjustRightInd/>
        <w:snapToGrid/>
        <w:spacing w:line="480" w:lineRule="auto"/>
        <w:ind w:right="480" w:firstLine="240" w:firstLineChars="100"/>
        <w:contextualSpacing/>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日  期：     </w:t>
      </w:r>
      <w:r>
        <w:rPr>
          <w:rFonts w:hint="eastAsia" w:ascii="宋体" w:hAnsi="宋体" w:eastAsia="宋体" w:cs="宋体"/>
          <w:color w:val="auto"/>
          <w:sz w:val="24"/>
          <w:highlight w:val="none"/>
        </w:rPr>
        <w:t>年    月    日</w:t>
      </w:r>
    </w:p>
    <w:p w14:paraId="60DFEBA7">
      <w:pPr>
        <w:pStyle w:val="7"/>
        <w:overflowPunct w:val="0"/>
        <w:spacing w:line="520" w:lineRule="exact"/>
        <w:ind w:firstLine="0"/>
        <w:rPr>
          <w:rFonts w:hint="eastAsia" w:ascii="宋体" w:hAnsi="宋体" w:eastAsia="宋体" w:cs="宋体"/>
          <w:b/>
          <w:bCs/>
          <w:color w:val="auto"/>
          <w:sz w:val="32"/>
          <w:szCs w:val="32"/>
          <w:highlight w:val="none"/>
        </w:rPr>
      </w:pPr>
    </w:p>
    <w:p w14:paraId="34BA2A66">
      <w:pPr>
        <w:pStyle w:val="7"/>
        <w:overflowPunct w:val="0"/>
        <w:spacing w:line="520" w:lineRule="exact"/>
        <w:ind w:firstLine="0"/>
        <w:rPr>
          <w:rFonts w:hint="eastAsia" w:ascii="宋体" w:hAnsi="宋体" w:eastAsia="宋体" w:cs="宋体"/>
          <w:b/>
          <w:bCs/>
          <w:color w:val="auto"/>
          <w:sz w:val="32"/>
          <w:szCs w:val="32"/>
          <w:highlight w:val="none"/>
        </w:rPr>
      </w:pPr>
    </w:p>
    <w:p w14:paraId="22B6616F">
      <w:pPr>
        <w:pStyle w:val="7"/>
        <w:overflowPunct w:val="0"/>
        <w:spacing w:line="520" w:lineRule="exact"/>
        <w:ind w:firstLine="0"/>
        <w:rPr>
          <w:rFonts w:hint="eastAsia" w:ascii="宋体" w:hAnsi="宋体" w:eastAsia="宋体" w:cs="宋体"/>
          <w:b/>
          <w:bCs/>
          <w:color w:val="auto"/>
          <w:sz w:val="32"/>
          <w:szCs w:val="32"/>
          <w:highlight w:val="none"/>
        </w:rPr>
      </w:pPr>
    </w:p>
    <w:p w14:paraId="1DAC2F8E">
      <w:pPr>
        <w:pStyle w:val="7"/>
        <w:overflowPunct w:val="0"/>
        <w:spacing w:line="520" w:lineRule="exact"/>
        <w:ind w:firstLine="0"/>
        <w:rPr>
          <w:rFonts w:hint="eastAsia" w:ascii="宋体" w:hAnsi="宋体" w:eastAsia="宋体" w:cs="宋体"/>
          <w:b/>
          <w:bCs/>
          <w:color w:val="auto"/>
          <w:sz w:val="32"/>
          <w:szCs w:val="32"/>
          <w:highlight w:val="none"/>
        </w:rPr>
      </w:pPr>
    </w:p>
    <w:p w14:paraId="6A23EC07">
      <w:pPr>
        <w:pStyle w:val="7"/>
        <w:overflowPunct w:val="0"/>
        <w:spacing w:line="520" w:lineRule="exact"/>
        <w:ind w:firstLine="0"/>
        <w:rPr>
          <w:rFonts w:hint="eastAsia" w:ascii="宋体" w:hAnsi="宋体" w:eastAsia="宋体" w:cs="宋体"/>
          <w:b/>
          <w:bCs/>
          <w:color w:val="auto"/>
          <w:sz w:val="32"/>
          <w:szCs w:val="32"/>
          <w:highlight w:val="none"/>
        </w:rPr>
      </w:pPr>
    </w:p>
    <w:p w14:paraId="21711B9E">
      <w:pPr>
        <w:pStyle w:val="7"/>
        <w:overflowPunct w:val="0"/>
        <w:spacing w:line="520" w:lineRule="exact"/>
        <w:ind w:firstLine="0"/>
        <w:rPr>
          <w:rFonts w:hint="eastAsia" w:ascii="宋体" w:hAnsi="宋体" w:eastAsia="宋体" w:cs="宋体"/>
          <w:b/>
          <w:bCs/>
          <w:color w:val="auto"/>
          <w:sz w:val="32"/>
          <w:szCs w:val="32"/>
          <w:highlight w:val="none"/>
        </w:rPr>
      </w:pPr>
    </w:p>
    <w:p w14:paraId="27C71536">
      <w:pPr>
        <w:pStyle w:val="7"/>
        <w:overflowPunct w:val="0"/>
        <w:spacing w:line="520" w:lineRule="exact"/>
        <w:ind w:firstLine="0"/>
        <w:rPr>
          <w:rFonts w:hint="eastAsia" w:ascii="宋体" w:hAnsi="宋体" w:eastAsia="宋体" w:cs="宋体"/>
          <w:b/>
          <w:bCs/>
          <w:color w:val="auto"/>
          <w:sz w:val="32"/>
          <w:szCs w:val="32"/>
          <w:highlight w:val="none"/>
        </w:rPr>
      </w:pPr>
    </w:p>
    <w:p w14:paraId="5F7C8F10">
      <w:pPr>
        <w:pStyle w:val="7"/>
        <w:overflowPunct w:val="0"/>
        <w:spacing w:line="520" w:lineRule="exact"/>
        <w:ind w:firstLine="0"/>
        <w:rPr>
          <w:rFonts w:hint="eastAsia" w:ascii="宋体" w:hAnsi="宋体" w:eastAsia="宋体" w:cs="宋体"/>
          <w:b/>
          <w:bCs/>
          <w:color w:val="auto"/>
          <w:sz w:val="32"/>
          <w:szCs w:val="32"/>
          <w:highlight w:val="none"/>
        </w:rPr>
      </w:pPr>
    </w:p>
    <w:p w14:paraId="16A4719E">
      <w:pPr>
        <w:pStyle w:val="7"/>
        <w:overflowPunct w:val="0"/>
        <w:spacing w:line="520" w:lineRule="exact"/>
        <w:ind w:firstLine="0"/>
        <w:rPr>
          <w:rFonts w:hint="eastAsia" w:ascii="宋体" w:hAnsi="宋体" w:eastAsia="宋体" w:cs="宋体"/>
          <w:b/>
          <w:bCs/>
          <w:color w:val="auto"/>
          <w:sz w:val="32"/>
          <w:szCs w:val="32"/>
          <w:highlight w:val="none"/>
        </w:rPr>
      </w:pPr>
    </w:p>
    <w:p w14:paraId="1AFF83CA">
      <w:pPr>
        <w:pStyle w:val="7"/>
        <w:overflowPunct w:val="0"/>
        <w:spacing w:line="520" w:lineRule="exact"/>
        <w:ind w:firstLine="0"/>
        <w:rPr>
          <w:rFonts w:hint="eastAsia" w:ascii="宋体" w:hAnsi="宋体" w:eastAsia="宋体" w:cs="宋体"/>
          <w:b/>
          <w:bCs/>
          <w:color w:val="auto"/>
          <w:sz w:val="32"/>
          <w:szCs w:val="32"/>
          <w:highlight w:val="none"/>
        </w:rPr>
      </w:pPr>
    </w:p>
    <w:p w14:paraId="2625875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77141A">
      <w:pPr>
        <w:spacing w:before="0"/>
        <w:ind w:left="0"/>
        <w:jc w:val="center"/>
        <w:outlineLvl w:val="1"/>
        <w:rPr>
          <w:rFonts w:hint="eastAsia" w:ascii="宋体" w:hAnsi="宋体" w:eastAsia="宋体" w:cs="宋体"/>
          <w:color w:val="auto"/>
          <w:sz w:val="44"/>
          <w:szCs w:val="44"/>
          <w:highlight w:val="none"/>
        </w:rPr>
      </w:pPr>
      <w:bookmarkStart w:id="138" w:name="_Toc669"/>
      <w:r>
        <w:rPr>
          <w:rFonts w:hint="eastAsia" w:ascii="宋体" w:hAnsi="宋体" w:eastAsia="宋体" w:cs="宋体"/>
          <w:color w:val="auto"/>
          <w:sz w:val="44"/>
          <w:szCs w:val="44"/>
          <w:highlight w:val="none"/>
        </w:rPr>
        <w:t>供应商直接控股、管理关系信息表(格式）</w:t>
      </w:r>
      <w:bookmarkEnd w:id="138"/>
    </w:p>
    <w:p w14:paraId="4BBF0CC4">
      <w:pPr>
        <w:spacing w:before="159"/>
        <w:ind w:left="215"/>
        <w:jc w:val="center"/>
        <w:outlineLvl w:val="2"/>
        <w:rPr>
          <w:rFonts w:hint="eastAsia" w:ascii="宋体" w:hAnsi="宋体" w:eastAsia="宋体" w:cs="宋体"/>
          <w:b/>
          <w:bCs/>
          <w:color w:val="auto"/>
          <w:sz w:val="36"/>
          <w:szCs w:val="36"/>
          <w:highlight w:val="none"/>
        </w:rPr>
      </w:pPr>
      <w:bookmarkStart w:id="139" w:name="_Toc3846"/>
      <w:r>
        <w:rPr>
          <w:rFonts w:hint="eastAsia" w:ascii="宋体" w:hAnsi="宋体" w:eastAsia="宋体" w:cs="宋体"/>
          <w:b/>
          <w:bCs/>
          <w:color w:val="auto"/>
          <w:sz w:val="36"/>
          <w:szCs w:val="36"/>
          <w:highlight w:val="none"/>
        </w:rPr>
        <w:t>供应商直接控股股东信息表</w:t>
      </w:r>
      <w:bookmarkEnd w:id="139"/>
    </w:p>
    <w:tbl>
      <w:tblPr>
        <w:tblStyle w:val="33"/>
        <w:tblW w:w="5174" w:type="pct"/>
        <w:tblInd w:w="-2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9"/>
        <w:gridCol w:w="2634"/>
        <w:gridCol w:w="1329"/>
        <w:gridCol w:w="3963"/>
        <w:gridCol w:w="789"/>
      </w:tblGrid>
      <w:tr w14:paraId="22A47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514" w:type="pct"/>
            <w:tcBorders>
              <w:left w:val="single" w:color="000000" w:sz="4" w:space="0"/>
              <w:bottom w:val="single" w:color="000000" w:sz="4" w:space="0"/>
              <w:right w:val="single" w:color="000000" w:sz="4" w:space="0"/>
            </w:tcBorders>
            <w:shd w:val="clear" w:color="auto" w:fill="EAE2D7"/>
          </w:tcPr>
          <w:p w14:paraId="7A03468A">
            <w:pPr>
              <w:pStyle w:val="71"/>
              <w:spacing w:before="121"/>
              <w:ind w:left="179" w:right="169"/>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55" w:type="pct"/>
            <w:tcBorders>
              <w:left w:val="single" w:color="000000" w:sz="4" w:space="0"/>
              <w:bottom w:val="single" w:color="000000" w:sz="4" w:space="0"/>
              <w:right w:val="single" w:color="000000" w:sz="4" w:space="0"/>
            </w:tcBorders>
            <w:shd w:val="clear" w:color="auto" w:fill="EAE2D7"/>
          </w:tcPr>
          <w:p w14:paraId="1B8A252E">
            <w:pPr>
              <w:pStyle w:val="71"/>
              <w:spacing w:before="12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直接控股股东名称</w:t>
            </w:r>
          </w:p>
        </w:tc>
        <w:tc>
          <w:tcPr>
            <w:tcW w:w="684" w:type="pct"/>
            <w:tcBorders>
              <w:left w:val="single" w:color="000000" w:sz="4" w:space="0"/>
              <w:bottom w:val="single" w:color="000000" w:sz="4" w:space="0"/>
              <w:right w:val="single" w:color="000000" w:sz="4" w:space="0"/>
            </w:tcBorders>
            <w:shd w:val="clear" w:color="auto" w:fill="EAE2D7"/>
          </w:tcPr>
          <w:p w14:paraId="2BD47216">
            <w:pPr>
              <w:pStyle w:val="71"/>
              <w:spacing w:before="12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出资比例</w:t>
            </w:r>
          </w:p>
        </w:tc>
        <w:tc>
          <w:tcPr>
            <w:tcW w:w="2039" w:type="pct"/>
            <w:tcBorders>
              <w:left w:val="single" w:color="000000" w:sz="4" w:space="0"/>
              <w:bottom w:val="single" w:color="000000" w:sz="4" w:space="0"/>
              <w:right w:val="single" w:color="000000" w:sz="4" w:space="0"/>
            </w:tcBorders>
            <w:shd w:val="clear" w:color="auto" w:fill="EAE2D7"/>
          </w:tcPr>
          <w:p w14:paraId="6CFC151E">
            <w:pPr>
              <w:pStyle w:val="71"/>
              <w:spacing w:before="121"/>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身份证号码或统一社会信用代码</w:t>
            </w:r>
          </w:p>
        </w:tc>
        <w:tc>
          <w:tcPr>
            <w:tcW w:w="406" w:type="pct"/>
            <w:tcBorders>
              <w:left w:val="single" w:color="000000" w:sz="4" w:space="0"/>
              <w:bottom w:val="single" w:color="000000" w:sz="4" w:space="0"/>
              <w:right w:val="single" w:color="000000" w:sz="4" w:space="0"/>
            </w:tcBorders>
            <w:shd w:val="clear" w:color="auto" w:fill="EAE2D7"/>
          </w:tcPr>
          <w:p w14:paraId="63C64137">
            <w:pPr>
              <w:pStyle w:val="71"/>
              <w:spacing w:before="121"/>
              <w:ind w:left="19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576E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514" w:type="pct"/>
            <w:tcBorders>
              <w:top w:val="single" w:color="000000" w:sz="4" w:space="0"/>
              <w:left w:val="single" w:color="000000" w:sz="4" w:space="0"/>
              <w:bottom w:val="single" w:color="000000" w:sz="4" w:space="0"/>
              <w:right w:val="single" w:color="000000" w:sz="4" w:space="0"/>
            </w:tcBorders>
            <w:shd w:val="clear" w:color="auto" w:fill="F8F8F8"/>
          </w:tcPr>
          <w:p w14:paraId="31A790BA">
            <w:pPr>
              <w:pStyle w:val="71"/>
              <w:spacing w:before="122"/>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F8F8F8"/>
          </w:tcPr>
          <w:p w14:paraId="5F0B9ACC">
            <w:pPr>
              <w:pStyle w:val="71"/>
              <w:rPr>
                <w:rFonts w:hint="eastAsia" w:ascii="宋体" w:hAnsi="宋体" w:eastAsia="宋体" w:cs="宋体"/>
                <w:color w:val="auto"/>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8F8F8"/>
          </w:tcPr>
          <w:p w14:paraId="3CEA5A0B">
            <w:pPr>
              <w:pStyle w:val="71"/>
              <w:rPr>
                <w:rFonts w:hint="eastAsia" w:ascii="宋体" w:hAnsi="宋体" w:eastAsia="宋体" w:cs="宋体"/>
                <w:color w:val="auto"/>
                <w:highlight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F8F8F8"/>
          </w:tcPr>
          <w:p w14:paraId="318B5C46">
            <w:pPr>
              <w:pStyle w:val="71"/>
              <w:rPr>
                <w:rFonts w:hint="eastAsia" w:ascii="宋体" w:hAnsi="宋体" w:eastAsia="宋体" w:cs="宋体"/>
                <w:color w:val="auto"/>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8F8F8"/>
          </w:tcPr>
          <w:p w14:paraId="47C494C0">
            <w:pPr>
              <w:pStyle w:val="71"/>
              <w:rPr>
                <w:rFonts w:hint="eastAsia" w:ascii="宋体" w:hAnsi="宋体" w:eastAsia="宋体" w:cs="宋体"/>
                <w:color w:val="auto"/>
                <w:highlight w:val="none"/>
              </w:rPr>
            </w:pPr>
          </w:p>
        </w:tc>
      </w:tr>
      <w:tr w14:paraId="433F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514" w:type="pct"/>
            <w:tcBorders>
              <w:top w:val="single" w:color="000000" w:sz="4" w:space="0"/>
              <w:left w:val="single" w:color="000000" w:sz="4" w:space="0"/>
              <w:bottom w:val="single" w:color="000000" w:sz="4" w:space="0"/>
              <w:right w:val="single" w:color="000000" w:sz="4" w:space="0"/>
            </w:tcBorders>
            <w:shd w:val="clear" w:color="auto" w:fill="F8F8F8"/>
          </w:tcPr>
          <w:p w14:paraId="0223D427">
            <w:pPr>
              <w:pStyle w:val="71"/>
              <w:spacing w:before="122"/>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55" w:type="pct"/>
            <w:tcBorders>
              <w:top w:val="single" w:color="000000" w:sz="4" w:space="0"/>
              <w:left w:val="single" w:color="000000" w:sz="4" w:space="0"/>
              <w:bottom w:val="single" w:color="000000" w:sz="4" w:space="0"/>
              <w:right w:val="single" w:color="000000" w:sz="4" w:space="0"/>
            </w:tcBorders>
            <w:shd w:val="clear" w:color="auto" w:fill="F8F8F8"/>
          </w:tcPr>
          <w:p w14:paraId="6CEA5BE9">
            <w:pPr>
              <w:pStyle w:val="71"/>
              <w:rPr>
                <w:rFonts w:hint="eastAsia" w:ascii="宋体" w:hAnsi="宋体" w:eastAsia="宋体" w:cs="宋体"/>
                <w:color w:val="auto"/>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8F8F8"/>
          </w:tcPr>
          <w:p w14:paraId="4A8F5952">
            <w:pPr>
              <w:pStyle w:val="71"/>
              <w:rPr>
                <w:rFonts w:hint="eastAsia" w:ascii="宋体" w:hAnsi="宋体" w:eastAsia="宋体" w:cs="宋体"/>
                <w:color w:val="auto"/>
                <w:highlight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F8F8F8"/>
          </w:tcPr>
          <w:p w14:paraId="660D3F06">
            <w:pPr>
              <w:pStyle w:val="71"/>
              <w:rPr>
                <w:rFonts w:hint="eastAsia" w:ascii="宋体" w:hAnsi="宋体" w:eastAsia="宋体" w:cs="宋体"/>
                <w:color w:val="auto"/>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8F8F8"/>
          </w:tcPr>
          <w:p w14:paraId="6B197A32">
            <w:pPr>
              <w:pStyle w:val="71"/>
              <w:rPr>
                <w:rFonts w:hint="eastAsia" w:ascii="宋体" w:hAnsi="宋体" w:eastAsia="宋体" w:cs="宋体"/>
                <w:color w:val="auto"/>
                <w:highlight w:val="none"/>
              </w:rPr>
            </w:pPr>
          </w:p>
        </w:tc>
      </w:tr>
      <w:tr w14:paraId="328C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514" w:type="pct"/>
            <w:tcBorders>
              <w:top w:val="single" w:color="000000" w:sz="4" w:space="0"/>
              <w:left w:val="single" w:color="000000" w:sz="4" w:space="0"/>
              <w:bottom w:val="single" w:color="000000" w:sz="4" w:space="0"/>
              <w:right w:val="single" w:color="000000" w:sz="4" w:space="0"/>
            </w:tcBorders>
            <w:shd w:val="clear" w:color="auto" w:fill="F8F8F8"/>
          </w:tcPr>
          <w:p w14:paraId="5BCE9663">
            <w:pPr>
              <w:pStyle w:val="71"/>
              <w:spacing w:before="122"/>
              <w:ind w:lef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55" w:type="pct"/>
            <w:tcBorders>
              <w:top w:val="single" w:color="000000" w:sz="4" w:space="0"/>
              <w:left w:val="single" w:color="000000" w:sz="4" w:space="0"/>
              <w:bottom w:val="single" w:color="000000" w:sz="4" w:space="0"/>
              <w:right w:val="single" w:color="000000" w:sz="4" w:space="0"/>
            </w:tcBorders>
            <w:shd w:val="clear" w:color="auto" w:fill="F8F8F8"/>
          </w:tcPr>
          <w:p w14:paraId="4D7169D7">
            <w:pPr>
              <w:pStyle w:val="71"/>
              <w:rPr>
                <w:rFonts w:hint="eastAsia" w:ascii="宋体" w:hAnsi="宋体" w:eastAsia="宋体" w:cs="宋体"/>
                <w:color w:val="auto"/>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8F8F8"/>
          </w:tcPr>
          <w:p w14:paraId="7F9A52D2">
            <w:pPr>
              <w:pStyle w:val="71"/>
              <w:rPr>
                <w:rFonts w:hint="eastAsia" w:ascii="宋体" w:hAnsi="宋体" w:eastAsia="宋体" w:cs="宋体"/>
                <w:color w:val="auto"/>
                <w:highlight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F8F8F8"/>
          </w:tcPr>
          <w:p w14:paraId="24801F1D">
            <w:pPr>
              <w:pStyle w:val="71"/>
              <w:rPr>
                <w:rFonts w:hint="eastAsia" w:ascii="宋体" w:hAnsi="宋体" w:eastAsia="宋体" w:cs="宋体"/>
                <w:color w:val="auto"/>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8F8F8"/>
          </w:tcPr>
          <w:p w14:paraId="150C6B9C">
            <w:pPr>
              <w:pStyle w:val="71"/>
              <w:rPr>
                <w:rFonts w:hint="eastAsia" w:ascii="宋体" w:hAnsi="宋体" w:eastAsia="宋体" w:cs="宋体"/>
                <w:color w:val="auto"/>
                <w:highlight w:val="none"/>
              </w:rPr>
            </w:pPr>
          </w:p>
        </w:tc>
      </w:tr>
      <w:tr w14:paraId="544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514" w:type="pct"/>
            <w:tcBorders>
              <w:top w:val="single" w:color="000000" w:sz="4" w:space="0"/>
              <w:left w:val="single" w:color="000000" w:sz="4" w:space="0"/>
              <w:bottom w:val="single" w:color="000000" w:sz="4" w:space="0"/>
              <w:right w:val="single" w:color="000000" w:sz="4" w:space="0"/>
            </w:tcBorders>
            <w:shd w:val="clear" w:color="auto" w:fill="F8F8F8"/>
          </w:tcPr>
          <w:p w14:paraId="7D032D93">
            <w:pPr>
              <w:pStyle w:val="71"/>
              <w:spacing w:before="121"/>
              <w:ind w:left="179" w:right="16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55" w:type="pct"/>
            <w:tcBorders>
              <w:top w:val="single" w:color="000000" w:sz="4" w:space="0"/>
              <w:left w:val="single" w:color="000000" w:sz="4" w:space="0"/>
              <w:bottom w:val="single" w:color="000000" w:sz="4" w:space="0"/>
              <w:right w:val="single" w:color="000000" w:sz="4" w:space="0"/>
            </w:tcBorders>
            <w:shd w:val="clear" w:color="auto" w:fill="F8F8F8"/>
          </w:tcPr>
          <w:p w14:paraId="3422DA78">
            <w:pPr>
              <w:pStyle w:val="71"/>
              <w:rPr>
                <w:rFonts w:hint="eastAsia" w:ascii="宋体" w:hAnsi="宋体" w:eastAsia="宋体" w:cs="宋体"/>
                <w:color w:val="auto"/>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8F8F8"/>
          </w:tcPr>
          <w:p w14:paraId="1F285CB0">
            <w:pPr>
              <w:pStyle w:val="71"/>
              <w:rPr>
                <w:rFonts w:hint="eastAsia" w:ascii="宋体" w:hAnsi="宋体" w:eastAsia="宋体" w:cs="宋体"/>
                <w:color w:val="auto"/>
                <w:highlight w:val="none"/>
              </w:rPr>
            </w:pPr>
          </w:p>
        </w:tc>
        <w:tc>
          <w:tcPr>
            <w:tcW w:w="2039" w:type="pct"/>
            <w:tcBorders>
              <w:top w:val="single" w:color="000000" w:sz="4" w:space="0"/>
              <w:left w:val="single" w:color="000000" w:sz="4" w:space="0"/>
              <w:bottom w:val="single" w:color="000000" w:sz="4" w:space="0"/>
              <w:right w:val="single" w:color="000000" w:sz="4" w:space="0"/>
            </w:tcBorders>
            <w:shd w:val="clear" w:color="auto" w:fill="F8F8F8"/>
          </w:tcPr>
          <w:p w14:paraId="4A7C8C9F">
            <w:pPr>
              <w:pStyle w:val="71"/>
              <w:rPr>
                <w:rFonts w:hint="eastAsia" w:ascii="宋体" w:hAnsi="宋体" w:eastAsia="宋体" w:cs="宋体"/>
                <w:color w:val="auto"/>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F8F8F8"/>
          </w:tcPr>
          <w:p w14:paraId="6A0B7C0E">
            <w:pPr>
              <w:pStyle w:val="71"/>
              <w:rPr>
                <w:rFonts w:hint="eastAsia" w:ascii="宋体" w:hAnsi="宋体" w:eastAsia="宋体" w:cs="宋体"/>
                <w:color w:val="auto"/>
                <w:highlight w:val="none"/>
              </w:rPr>
            </w:pPr>
          </w:p>
        </w:tc>
      </w:tr>
    </w:tbl>
    <w:p w14:paraId="66987F02">
      <w:pPr>
        <w:rPr>
          <w:rFonts w:hint="eastAsia" w:ascii="宋体" w:hAnsi="宋体" w:eastAsia="宋体" w:cs="宋体"/>
          <w:color w:val="auto"/>
          <w:highlight w:val="none"/>
        </w:rPr>
      </w:pPr>
    </w:p>
    <w:p w14:paraId="573258C7">
      <w:pPr>
        <w:spacing w:before="1"/>
        <w:ind w:left="0"/>
        <w:outlineLvl w:val="9"/>
        <w:rPr>
          <w:rFonts w:hint="eastAsia" w:ascii="宋体" w:hAnsi="宋体" w:eastAsia="宋体" w:cs="宋体"/>
          <w:color w:val="auto"/>
          <w:highlight w:val="none"/>
        </w:rPr>
      </w:pPr>
      <w:r>
        <w:rPr>
          <w:rFonts w:hint="eastAsia" w:ascii="宋体" w:hAnsi="宋体" w:eastAsia="宋体" w:cs="宋体"/>
          <w:color w:val="auto"/>
          <w:highlight w:val="none"/>
        </w:rPr>
        <w:t>注：</w:t>
      </w:r>
    </w:p>
    <w:p w14:paraId="3DF770E4">
      <w:pPr>
        <w:tabs>
          <w:tab w:val="left" w:pos="1460"/>
        </w:tabs>
        <w:spacing w:before="5" w:line="360" w:lineRule="auto"/>
        <w:ind w:left="0" w:right="532" w:firstLine="408"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rPr>
        <w:t>1.</w:t>
      </w:r>
      <w:r>
        <w:rPr>
          <w:rFonts w:hint="eastAsia" w:ascii="宋体" w:hAnsi="宋体" w:eastAsia="宋体" w:cs="宋体"/>
          <w:color w:val="auto"/>
          <w:spacing w:val="-3"/>
          <w:sz w:val="21"/>
          <w:szCs w:val="21"/>
          <w:highlight w:val="none"/>
        </w:rPr>
        <w:t>直接控股股东：是指其出资额占有限责任公司资本总额百分之五十以上或者其持有</w:t>
      </w:r>
      <w:r>
        <w:rPr>
          <w:rFonts w:hint="eastAsia" w:ascii="宋体" w:hAnsi="宋体" w:eastAsia="宋体" w:cs="宋体"/>
          <w:color w:val="auto"/>
          <w:spacing w:val="-2"/>
          <w:sz w:val="21"/>
          <w:szCs w:val="21"/>
          <w:highlight w:val="none"/>
        </w:rPr>
        <w:t>的股份占股份有限公司股份总额百分之五十以上的股东；出资额或者持有股份的比例虽然</w:t>
      </w:r>
      <w:r>
        <w:rPr>
          <w:rFonts w:hint="eastAsia" w:ascii="宋体" w:hAnsi="宋体" w:eastAsia="宋体" w:cs="宋体"/>
          <w:color w:val="auto"/>
          <w:spacing w:val="-3"/>
          <w:sz w:val="21"/>
          <w:szCs w:val="21"/>
          <w:highlight w:val="none"/>
        </w:rPr>
        <w:t>不足百分之五十，但依其出资额或者持有的股份所享有的表决权已足以对股东会、股东大</w:t>
      </w:r>
      <w:r>
        <w:rPr>
          <w:rFonts w:hint="eastAsia" w:ascii="宋体" w:hAnsi="宋体" w:eastAsia="宋体" w:cs="宋体"/>
          <w:color w:val="auto"/>
          <w:sz w:val="21"/>
          <w:szCs w:val="21"/>
          <w:highlight w:val="none"/>
        </w:rPr>
        <w:t>会的决议产生重大影响的股东。</w:t>
      </w:r>
    </w:p>
    <w:p w14:paraId="19EC365C">
      <w:pPr>
        <w:tabs>
          <w:tab w:val="left" w:pos="1460"/>
        </w:tabs>
        <w:spacing w:line="360" w:lineRule="auto"/>
        <w:ind w:left="0" w:right="532" w:firstLine="408"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rPr>
        <w:t>2.</w:t>
      </w:r>
      <w:r>
        <w:rPr>
          <w:rFonts w:hint="eastAsia" w:ascii="宋体" w:hAnsi="宋体" w:eastAsia="宋体" w:cs="宋体"/>
          <w:color w:val="auto"/>
          <w:spacing w:val="-3"/>
          <w:sz w:val="21"/>
          <w:szCs w:val="21"/>
          <w:highlight w:val="none"/>
        </w:rPr>
        <w:t>本表所指的控股关系仅限于直接控股关系，不包括间接的控股关系。公司实际控制</w:t>
      </w:r>
      <w:r>
        <w:rPr>
          <w:rFonts w:hint="eastAsia" w:ascii="宋体" w:hAnsi="宋体" w:eastAsia="宋体" w:cs="宋体"/>
          <w:color w:val="auto"/>
          <w:sz w:val="21"/>
          <w:szCs w:val="21"/>
          <w:highlight w:val="none"/>
        </w:rPr>
        <w:t>人与公司之间的关系不属于本表所指的直接控股关系。</w:t>
      </w:r>
    </w:p>
    <w:p w14:paraId="5C5F5CA2">
      <w:pPr>
        <w:spacing w:line="360" w:lineRule="auto"/>
        <w:ind w:firstLine="420" w:firstLineChars="200"/>
        <w:outlineLvl w:val="9"/>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3.</w:t>
      </w:r>
      <w:r>
        <w:rPr>
          <w:rFonts w:hint="eastAsia" w:ascii="宋体" w:hAnsi="宋体" w:eastAsia="宋体" w:cs="宋体"/>
          <w:color w:val="auto"/>
          <w:sz w:val="21"/>
          <w:szCs w:val="21"/>
          <w:highlight w:val="none"/>
          <w:lang w:val="zh-CN" w:bidi="zh-CN"/>
        </w:rPr>
        <w:t>供应商不存在直接控股股东的，则填“无”。</w:t>
      </w:r>
    </w:p>
    <w:p w14:paraId="38CE5173">
      <w:pPr>
        <w:ind w:left="1158"/>
        <w:outlineLvl w:val="9"/>
        <w:rPr>
          <w:rFonts w:hint="eastAsia" w:ascii="宋体" w:hAnsi="宋体" w:eastAsia="宋体" w:cs="宋体"/>
          <w:color w:val="auto"/>
          <w:highlight w:val="none"/>
        </w:rPr>
      </w:pPr>
    </w:p>
    <w:p w14:paraId="2968EEF3">
      <w:pPr>
        <w:ind w:left="1158"/>
        <w:outlineLvl w:val="9"/>
        <w:rPr>
          <w:rFonts w:hint="eastAsia" w:ascii="宋体" w:hAnsi="宋体" w:eastAsia="宋体" w:cs="宋体"/>
          <w:color w:val="auto"/>
          <w:highlight w:val="none"/>
        </w:rPr>
      </w:pPr>
    </w:p>
    <w:p w14:paraId="4BCB34CC">
      <w:pPr>
        <w:pStyle w:val="16"/>
        <w:spacing w:before="10"/>
        <w:outlineLvl w:val="9"/>
        <w:rPr>
          <w:rFonts w:hint="eastAsia" w:ascii="宋体" w:hAnsi="宋体" w:eastAsia="宋体" w:cs="宋体"/>
          <w:color w:val="auto"/>
          <w:sz w:val="22"/>
          <w:highlight w:val="none"/>
        </w:rPr>
      </w:pPr>
    </w:p>
    <w:p w14:paraId="5666BA4E">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CC82361">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71DDF33">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14EB7E6B">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05F6B3">
      <w:pPr>
        <w:snapToGrid w:val="0"/>
        <w:spacing w:beforeLines="50" w:after="50" w:line="360" w:lineRule="auto"/>
        <w:ind w:right="480" w:firstLine="361" w:firstLineChars="100"/>
        <w:jc w:val="center"/>
        <w:outlineLvl w:val="2"/>
        <w:rPr>
          <w:rFonts w:hint="eastAsia" w:ascii="宋体" w:hAnsi="宋体" w:eastAsia="宋体" w:cs="宋体"/>
          <w:b/>
          <w:bCs/>
          <w:color w:val="auto"/>
          <w:sz w:val="36"/>
          <w:szCs w:val="36"/>
          <w:highlight w:val="none"/>
          <w:lang w:val="zh-CN" w:bidi="zh-CN"/>
        </w:rPr>
      </w:pPr>
      <w:bookmarkStart w:id="140" w:name="_Toc26159"/>
      <w:r>
        <w:rPr>
          <w:rFonts w:hint="eastAsia" w:ascii="宋体" w:hAnsi="宋体" w:eastAsia="宋体" w:cs="宋体"/>
          <w:b/>
          <w:bCs/>
          <w:color w:val="auto"/>
          <w:sz w:val="36"/>
          <w:szCs w:val="36"/>
          <w:highlight w:val="none"/>
          <w:lang w:val="zh-CN" w:bidi="zh-CN"/>
        </w:rPr>
        <w:t>供应商直接管理关系信息表</w:t>
      </w:r>
      <w:bookmarkEnd w:id="140"/>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5"/>
        <w:gridCol w:w="3500"/>
        <w:gridCol w:w="3457"/>
        <w:gridCol w:w="1641"/>
      </w:tblGrid>
      <w:tr w14:paraId="7A6D8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18" w:type="pct"/>
            <w:shd w:val="clear" w:color="auto" w:fill="EAE2D7"/>
          </w:tcPr>
          <w:p w14:paraId="142C9174">
            <w:pPr>
              <w:pStyle w:val="71"/>
              <w:spacing w:before="123"/>
              <w:ind w:left="142" w:right="133"/>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64" w:type="pct"/>
            <w:shd w:val="clear" w:color="auto" w:fill="EAE2D7"/>
          </w:tcPr>
          <w:p w14:paraId="20A6B1C3">
            <w:pPr>
              <w:pStyle w:val="71"/>
              <w:spacing w:before="123"/>
              <w:ind w:left="598"/>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直接管理关系单位名称</w:t>
            </w:r>
          </w:p>
        </w:tc>
        <w:tc>
          <w:tcPr>
            <w:tcW w:w="1841" w:type="pct"/>
            <w:shd w:val="clear" w:color="auto" w:fill="EAE2D7"/>
          </w:tcPr>
          <w:p w14:paraId="25CD1E95">
            <w:pPr>
              <w:pStyle w:val="71"/>
              <w:spacing w:before="123"/>
              <w:ind w:left="81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统一社会信用代码</w:t>
            </w:r>
          </w:p>
        </w:tc>
        <w:tc>
          <w:tcPr>
            <w:tcW w:w="874" w:type="pct"/>
            <w:shd w:val="clear" w:color="auto" w:fill="EAE2D7"/>
          </w:tcPr>
          <w:p w14:paraId="36B86DC2">
            <w:pPr>
              <w:pStyle w:val="71"/>
              <w:spacing w:before="123"/>
              <w:ind w:right="57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7FC6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18" w:type="pct"/>
            <w:shd w:val="clear" w:color="auto" w:fill="F8F8F8"/>
          </w:tcPr>
          <w:p w14:paraId="6DD0CB37">
            <w:pPr>
              <w:pStyle w:val="71"/>
              <w:spacing w:before="122"/>
              <w:ind w:left="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64" w:type="pct"/>
            <w:shd w:val="clear" w:color="auto" w:fill="F8F8F8"/>
          </w:tcPr>
          <w:p w14:paraId="1D1F9D13">
            <w:pPr>
              <w:pStyle w:val="71"/>
              <w:rPr>
                <w:rFonts w:hint="eastAsia" w:ascii="宋体" w:hAnsi="宋体" w:eastAsia="宋体" w:cs="宋体"/>
                <w:color w:val="auto"/>
                <w:highlight w:val="none"/>
              </w:rPr>
            </w:pPr>
          </w:p>
        </w:tc>
        <w:tc>
          <w:tcPr>
            <w:tcW w:w="1841" w:type="pct"/>
            <w:shd w:val="clear" w:color="auto" w:fill="F8F8F8"/>
          </w:tcPr>
          <w:p w14:paraId="0E9121DB">
            <w:pPr>
              <w:pStyle w:val="71"/>
              <w:rPr>
                <w:rFonts w:hint="eastAsia" w:ascii="宋体" w:hAnsi="宋体" w:eastAsia="宋体" w:cs="宋体"/>
                <w:color w:val="auto"/>
                <w:highlight w:val="none"/>
              </w:rPr>
            </w:pPr>
          </w:p>
        </w:tc>
        <w:tc>
          <w:tcPr>
            <w:tcW w:w="874" w:type="pct"/>
            <w:shd w:val="clear" w:color="auto" w:fill="F8F8F8"/>
          </w:tcPr>
          <w:p w14:paraId="23333E03">
            <w:pPr>
              <w:pStyle w:val="71"/>
              <w:rPr>
                <w:rFonts w:hint="eastAsia" w:ascii="宋体" w:hAnsi="宋体" w:eastAsia="宋体" w:cs="宋体"/>
                <w:color w:val="auto"/>
                <w:highlight w:val="none"/>
              </w:rPr>
            </w:pPr>
          </w:p>
        </w:tc>
      </w:tr>
      <w:tr w14:paraId="07C19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18" w:type="pct"/>
            <w:shd w:val="clear" w:color="auto" w:fill="F8F8F8"/>
          </w:tcPr>
          <w:p w14:paraId="73C36096">
            <w:pPr>
              <w:pStyle w:val="71"/>
              <w:spacing w:before="122"/>
              <w:ind w:left="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64" w:type="pct"/>
            <w:shd w:val="clear" w:color="auto" w:fill="F8F8F8"/>
          </w:tcPr>
          <w:p w14:paraId="023A60AB">
            <w:pPr>
              <w:pStyle w:val="71"/>
              <w:rPr>
                <w:rFonts w:hint="eastAsia" w:ascii="宋体" w:hAnsi="宋体" w:eastAsia="宋体" w:cs="宋体"/>
                <w:color w:val="auto"/>
                <w:highlight w:val="none"/>
              </w:rPr>
            </w:pPr>
          </w:p>
        </w:tc>
        <w:tc>
          <w:tcPr>
            <w:tcW w:w="1841" w:type="pct"/>
            <w:shd w:val="clear" w:color="auto" w:fill="F8F8F8"/>
          </w:tcPr>
          <w:p w14:paraId="76222976">
            <w:pPr>
              <w:pStyle w:val="71"/>
              <w:rPr>
                <w:rFonts w:hint="eastAsia" w:ascii="宋体" w:hAnsi="宋体" w:eastAsia="宋体" w:cs="宋体"/>
                <w:color w:val="auto"/>
                <w:highlight w:val="none"/>
              </w:rPr>
            </w:pPr>
          </w:p>
        </w:tc>
        <w:tc>
          <w:tcPr>
            <w:tcW w:w="874" w:type="pct"/>
            <w:shd w:val="clear" w:color="auto" w:fill="F8F8F8"/>
          </w:tcPr>
          <w:p w14:paraId="4260B431">
            <w:pPr>
              <w:pStyle w:val="71"/>
              <w:rPr>
                <w:rFonts w:hint="eastAsia" w:ascii="宋体" w:hAnsi="宋体" w:eastAsia="宋体" w:cs="宋体"/>
                <w:color w:val="auto"/>
                <w:highlight w:val="none"/>
              </w:rPr>
            </w:pPr>
          </w:p>
        </w:tc>
      </w:tr>
      <w:tr w14:paraId="13069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18" w:type="pct"/>
            <w:shd w:val="clear" w:color="auto" w:fill="F8F8F8"/>
          </w:tcPr>
          <w:p w14:paraId="7C62B3AA">
            <w:pPr>
              <w:pStyle w:val="71"/>
              <w:spacing w:before="124"/>
              <w:ind w:left="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64" w:type="pct"/>
            <w:shd w:val="clear" w:color="auto" w:fill="F8F8F8"/>
          </w:tcPr>
          <w:p w14:paraId="567D29B7">
            <w:pPr>
              <w:pStyle w:val="71"/>
              <w:rPr>
                <w:rFonts w:hint="eastAsia" w:ascii="宋体" w:hAnsi="宋体" w:eastAsia="宋体" w:cs="宋体"/>
                <w:color w:val="auto"/>
                <w:highlight w:val="none"/>
              </w:rPr>
            </w:pPr>
          </w:p>
        </w:tc>
        <w:tc>
          <w:tcPr>
            <w:tcW w:w="1841" w:type="pct"/>
            <w:shd w:val="clear" w:color="auto" w:fill="F8F8F8"/>
          </w:tcPr>
          <w:p w14:paraId="57A79301">
            <w:pPr>
              <w:pStyle w:val="71"/>
              <w:rPr>
                <w:rFonts w:hint="eastAsia" w:ascii="宋体" w:hAnsi="宋体" w:eastAsia="宋体" w:cs="宋体"/>
                <w:color w:val="auto"/>
                <w:highlight w:val="none"/>
              </w:rPr>
            </w:pPr>
          </w:p>
        </w:tc>
        <w:tc>
          <w:tcPr>
            <w:tcW w:w="874" w:type="pct"/>
            <w:shd w:val="clear" w:color="auto" w:fill="F8F8F8"/>
          </w:tcPr>
          <w:p w14:paraId="7F661408">
            <w:pPr>
              <w:pStyle w:val="71"/>
              <w:rPr>
                <w:rFonts w:hint="eastAsia" w:ascii="宋体" w:hAnsi="宋体" w:eastAsia="宋体" w:cs="宋体"/>
                <w:color w:val="auto"/>
                <w:highlight w:val="none"/>
              </w:rPr>
            </w:pPr>
          </w:p>
        </w:tc>
      </w:tr>
      <w:tr w14:paraId="6E31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18" w:type="pct"/>
            <w:shd w:val="clear" w:color="auto" w:fill="F8F8F8"/>
          </w:tcPr>
          <w:p w14:paraId="259A62EB">
            <w:pPr>
              <w:pStyle w:val="71"/>
              <w:spacing w:before="124"/>
              <w:ind w:left="142" w:right="13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864" w:type="pct"/>
            <w:shd w:val="clear" w:color="auto" w:fill="F8F8F8"/>
          </w:tcPr>
          <w:p w14:paraId="3AE3658F">
            <w:pPr>
              <w:pStyle w:val="71"/>
              <w:rPr>
                <w:rFonts w:hint="eastAsia" w:ascii="宋体" w:hAnsi="宋体" w:eastAsia="宋体" w:cs="宋体"/>
                <w:color w:val="auto"/>
                <w:highlight w:val="none"/>
              </w:rPr>
            </w:pPr>
          </w:p>
        </w:tc>
        <w:tc>
          <w:tcPr>
            <w:tcW w:w="1841" w:type="pct"/>
            <w:shd w:val="clear" w:color="auto" w:fill="F8F8F8"/>
          </w:tcPr>
          <w:p w14:paraId="5A7C5795">
            <w:pPr>
              <w:pStyle w:val="71"/>
              <w:rPr>
                <w:rFonts w:hint="eastAsia" w:ascii="宋体" w:hAnsi="宋体" w:eastAsia="宋体" w:cs="宋体"/>
                <w:color w:val="auto"/>
                <w:highlight w:val="none"/>
              </w:rPr>
            </w:pPr>
          </w:p>
        </w:tc>
        <w:tc>
          <w:tcPr>
            <w:tcW w:w="874" w:type="pct"/>
            <w:shd w:val="clear" w:color="auto" w:fill="F8F8F8"/>
          </w:tcPr>
          <w:p w14:paraId="69CFAE7C">
            <w:pPr>
              <w:pStyle w:val="71"/>
              <w:rPr>
                <w:rFonts w:hint="eastAsia" w:ascii="宋体" w:hAnsi="宋体" w:eastAsia="宋体" w:cs="宋体"/>
                <w:color w:val="auto"/>
                <w:highlight w:val="none"/>
              </w:rPr>
            </w:pPr>
          </w:p>
        </w:tc>
      </w:tr>
    </w:tbl>
    <w:p w14:paraId="1D6310C3">
      <w:pPr>
        <w:tabs>
          <w:tab w:val="left" w:pos="1460"/>
        </w:tabs>
        <w:spacing w:before="4" w:line="242" w:lineRule="auto"/>
        <w:ind w:left="0" w:right="532" w:firstLine="204" w:firstLineChars="100"/>
        <w:jc w:val="left"/>
        <w:outlineLvl w:val="9"/>
        <w:rPr>
          <w:rFonts w:hint="eastAsia" w:ascii="宋体" w:hAnsi="宋体" w:eastAsia="宋体" w:cs="宋体"/>
          <w:color w:val="auto"/>
          <w:spacing w:val="-3"/>
          <w:highlight w:val="none"/>
          <w:lang w:val="en-US"/>
        </w:rPr>
      </w:pPr>
    </w:p>
    <w:p w14:paraId="48B613BF">
      <w:pPr>
        <w:tabs>
          <w:tab w:val="left" w:pos="1460"/>
        </w:tabs>
        <w:spacing w:before="4" w:line="242" w:lineRule="auto"/>
        <w:ind w:left="0" w:right="532" w:firstLine="204" w:firstLineChars="100"/>
        <w:jc w:val="left"/>
        <w:outlineLvl w:val="9"/>
        <w:rPr>
          <w:rFonts w:hint="eastAsia" w:ascii="宋体" w:hAnsi="宋体" w:eastAsia="宋体" w:cs="宋体"/>
          <w:color w:val="auto"/>
          <w:spacing w:val="-3"/>
          <w:sz w:val="21"/>
          <w:szCs w:val="21"/>
          <w:highlight w:val="none"/>
          <w:lang w:val="en-US"/>
        </w:rPr>
      </w:pPr>
    </w:p>
    <w:p w14:paraId="6216844B">
      <w:pPr>
        <w:tabs>
          <w:tab w:val="left" w:pos="1460"/>
        </w:tabs>
        <w:spacing w:before="4" w:line="242" w:lineRule="auto"/>
        <w:ind w:left="0" w:right="532" w:firstLine="204" w:firstLineChars="100"/>
        <w:jc w:val="left"/>
        <w:outlineLvl w:val="9"/>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lang w:val="en-US"/>
        </w:rPr>
        <w:t>注：</w:t>
      </w:r>
    </w:p>
    <w:p w14:paraId="03B88AD2">
      <w:pPr>
        <w:tabs>
          <w:tab w:val="left" w:pos="1460"/>
        </w:tabs>
        <w:spacing w:before="4" w:line="360" w:lineRule="auto"/>
        <w:ind w:left="0" w:right="532" w:firstLine="408"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rPr>
        <w:t>1.</w:t>
      </w:r>
      <w:r>
        <w:rPr>
          <w:rFonts w:hint="eastAsia" w:ascii="宋体" w:hAnsi="宋体" w:eastAsia="宋体" w:cs="宋体"/>
          <w:color w:val="auto"/>
          <w:spacing w:val="-3"/>
          <w:sz w:val="21"/>
          <w:szCs w:val="21"/>
          <w:highlight w:val="none"/>
        </w:rPr>
        <w:t>管理关系：是指不具有出资持股关系的其他单位之间存在的管理与被管理关系，如</w:t>
      </w:r>
      <w:r>
        <w:rPr>
          <w:rFonts w:hint="eastAsia" w:ascii="宋体" w:hAnsi="宋体" w:eastAsia="宋体" w:cs="宋体"/>
          <w:color w:val="auto"/>
          <w:sz w:val="21"/>
          <w:szCs w:val="21"/>
          <w:highlight w:val="none"/>
        </w:rPr>
        <w:t>一些上下级关系的事业单位和团体组织。</w:t>
      </w:r>
    </w:p>
    <w:p w14:paraId="427A41AE">
      <w:pPr>
        <w:tabs>
          <w:tab w:val="left" w:pos="1460"/>
        </w:tabs>
        <w:spacing w:before="1" w:line="360" w:lineRule="auto"/>
        <w:ind w:left="0" w:firstLine="372"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rPr>
        <w:t>2.</w:t>
      </w:r>
      <w:r>
        <w:rPr>
          <w:rFonts w:hint="eastAsia" w:ascii="宋体" w:hAnsi="宋体" w:eastAsia="宋体" w:cs="宋体"/>
          <w:color w:val="auto"/>
          <w:spacing w:val="-12"/>
          <w:sz w:val="21"/>
          <w:szCs w:val="21"/>
          <w:highlight w:val="none"/>
        </w:rPr>
        <w:t>本表所指的管理关系仅限于直接管理关系，不包括间接的管理关系。</w:t>
      </w:r>
    </w:p>
    <w:p w14:paraId="586FA299">
      <w:pPr>
        <w:snapToGrid w:val="0"/>
        <w:spacing w:beforeLines="50" w:after="50" w:line="360" w:lineRule="auto"/>
        <w:ind w:right="480" w:firstLine="408" w:firstLineChars="200"/>
        <w:outlineLvl w:val="9"/>
        <w:rPr>
          <w:rFonts w:hint="eastAsia" w:ascii="宋体" w:hAnsi="宋体" w:eastAsia="宋体" w:cs="宋体"/>
          <w:color w:val="auto"/>
          <w:spacing w:val="-3"/>
          <w:kern w:val="0"/>
          <w:sz w:val="21"/>
          <w:szCs w:val="21"/>
          <w:highlight w:val="none"/>
          <w:lang w:val="zh-CN" w:bidi="zh-CN"/>
        </w:rPr>
      </w:pPr>
      <w:r>
        <w:rPr>
          <w:rFonts w:hint="eastAsia" w:ascii="宋体" w:hAnsi="宋体" w:eastAsia="宋体" w:cs="宋体"/>
          <w:color w:val="auto"/>
          <w:spacing w:val="-3"/>
          <w:kern w:val="0"/>
          <w:sz w:val="21"/>
          <w:szCs w:val="21"/>
          <w:highlight w:val="none"/>
          <w:lang w:bidi="zh-CN"/>
        </w:rPr>
        <w:t>3.</w:t>
      </w:r>
      <w:r>
        <w:rPr>
          <w:rFonts w:hint="eastAsia" w:ascii="宋体" w:hAnsi="宋体" w:eastAsia="宋体" w:cs="宋体"/>
          <w:color w:val="auto"/>
          <w:spacing w:val="-3"/>
          <w:kern w:val="0"/>
          <w:sz w:val="21"/>
          <w:szCs w:val="21"/>
          <w:highlight w:val="none"/>
          <w:lang w:val="zh-CN" w:bidi="zh-CN"/>
        </w:rPr>
        <w:t>供应商不存在直接管理关系的，则填“无”。</w:t>
      </w:r>
    </w:p>
    <w:p w14:paraId="2501C2C8">
      <w:pPr>
        <w:ind w:left="1158"/>
        <w:outlineLvl w:val="9"/>
        <w:rPr>
          <w:rFonts w:hint="eastAsia" w:ascii="宋体" w:hAnsi="宋体" w:eastAsia="宋体" w:cs="宋体"/>
          <w:color w:val="auto"/>
          <w:highlight w:val="none"/>
        </w:rPr>
      </w:pPr>
    </w:p>
    <w:p w14:paraId="574BBB8B">
      <w:pPr>
        <w:ind w:left="1158"/>
        <w:outlineLvl w:val="9"/>
        <w:rPr>
          <w:rFonts w:hint="eastAsia" w:ascii="宋体" w:hAnsi="宋体" w:eastAsia="宋体" w:cs="宋体"/>
          <w:color w:val="auto"/>
          <w:highlight w:val="none"/>
        </w:rPr>
      </w:pPr>
    </w:p>
    <w:p w14:paraId="0CCD9DCD">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2536BCDC">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79CE9E29">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DDB653B">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48366E9">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554B0128">
      <w:pPr>
        <w:pStyle w:val="16"/>
        <w:spacing w:before="10"/>
        <w:outlineLvl w:val="9"/>
        <w:rPr>
          <w:rFonts w:hint="eastAsia" w:ascii="宋体" w:hAnsi="宋体" w:eastAsia="宋体" w:cs="宋体"/>
          <w:color w:val="auto"/>
          <w:sz w:val="22"/>
          <w:highlight w:val="none"/>
        </w:rPr>
      </w:pPr>
    </w:p>
    <w:p w14:paraId="274A7290">
      <w:pPr>
        <w:snapToGrid w:val="0"/>
        <w:spacing w:beforeLines="50" w:after="50" w:line="360" w:lineRule="auto"/>
        <w:ind w:right="480" w:firstLine="321" w:firstLineChars="100"/>
        <w:jc w:val="left"/>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p>
    <w:p w14:paraId="34A8749D">
      <w:pPr>
        <w:snapToGrid w:val="0"/>
        <w:spacing w:beforeLines="50" w:after="50" w:line="360" w:lineRule="auto"/>
        <w:ind w:right="480" w:firstLine="321" w:firstLineChars="100"/>
        <w:jc w:val="left"/>
        <w:outlineLvl w:val="1"/>
        <w:rPr>
          <w:rFonts w:hint="eastAsia" w:ascii="宋体" w:hAnsi="宋体" w:eastAsia="宋体" w:cs="宋体"/>
          <w:b/>
          <w:color w:val="auto"/>
          <w:sz w:val="32"/>
          <w:szCs w:val="32"/>
          <w:highlight w:val="none"/>
        </w:rPr>
      </w:pPr>
      <w:bookmarkStart w:id="141" w:name="_Toc1291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lang w:eastAsia="zh-CN"/>
        </w:rPr>
        <w:t>报价</w:t>
      </w:r>
      <w:r>
        <w:rPr>
          <w:rFonts w:hint="eastAsia" w:ascii="宋体" w:hAnsi="宋体" w:eastAsia="宋体" w:cs="宋体"/>
          <w:b/>
          <w:color w:val="auto"/>
          <w:sz w:val="32"/>
          <w:szCs w:val="32"/>
          <w:highlight w:val="none"/>
        </w:rPr>
        <w:t>商务技术文件格式</w:t>
      </w:r>
      <w:bookmarkEnd w:id="141"/>
    </w:p>
    <w:p w14:paraId="7A1162B4">
      <w:pPr>
        <w:snapToGrid w:val="0"/>
        <w:spacing w:beforeLines="50" w:after="50" w:line="360" w:lineRule="auto"/>
        <w:ind w:firstLine="643"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eastAsia="zh-CN"/>
        </w:rPr>
        <w:t>报价</w:t>
      </w:r>
      <w:r>
        <w:rPr>
          <w:rFonts w:hint="eastAsia" w:ascii="宋体" w:hAnsi="宋体" w:eastAsia="宋体" w:cs="宋体"/>
          <w:b/>
          <w:color w:val="auto"/>
          <w:sz w:val="32"/>
          <w:szCs w:val="32"/>
          <w:highlight w:val="none"/>
        </w:rPr>
        <w:t>商务技术文件封面格式</w:t>
      </w:r>
    </w:p>
    <w:p w14:paraId="01355457">
      <w:pPr>
        <w:snapToGrid w:val="0"/>
        <w:spacing w:beforeLines="50" w:after="50"/>
        <w:rPr>
          <w:rFonts w:hint="eastAsia" w:ascii="宋体" w:hAnsi="宋体" w:eastAsia="宋体" w:cs="宋体"/>
          <w:bCs/>
          <w:color w:val="auto"/>
          <w:sz w:val="32"/>
          <w:szCs w:val="20"/>
          <w:highlight w:val="none"/>
        </w:rPr>
      </w:pPr>
    </w:p>
    <w:p w14:paraId="27C9695F">
      <w:pPr>
        <w:snapToGrid w:val="0"/>
        <w:spacing w:beforeLines="50" w:after="5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（电子响应文件）</w:t>
      </w:r>
    </w:p>
    <w:p w14:paraId="7416971A">
      <w:pPr>
        <w:snapToGrid w:val="0"/>
        <w:spacing w:beforeLines="50" w:after="50"/>
        <w:rPr>
          <w:rFonts w:hint="eastAsia" w:ascii="宋体" w:hAnsi="宋体" w:eastAsia="宋体" w:cs="宋体"/>
          <w:color w:val="auto"/>
          <w:sz w:val="24"/>
          <w:szCs w:val="20"/>
          <w:highlight w:val="none"/>
        </w:rPr>
      </w:pPr>
    </w:p>
    <w:p w14:paraId="27B9429E">
      <w:pPr>
        <w:snapToGrid w:val="0"/>
        <w:spacing w:beforeLines="50" w:after="50"/>
        <w:rPr>
          <w:rFonts w:hint="eastAsia" w:ascii="宋体" w:hAnsi="宋体" w:eastAsia="宋体" w:cs="宋体"/>
          <w:color w:val="auto"/>
          <w:sz w:val="24"/>
          <w:szCs w:val="20"/>
          <w:highlight w:val="none"/>
        </w:rPr>
      </w:pPr>
    </w:p>
    <w:p w14:paraId="45BA2B75">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 xml:space="preserve"> </w:t>
      </w:r>
      <w:r>
        <w:rPr>
          <w:rFonts w:hint="eastAsia" w:ascii="宋体" w:hAnsi="宋体" w:eastAsia="宋体" w:cs="宋体"/>
          <w:bCs/>
          <w:color w:val="auto"/>
          <w:sz w:val="44"/>
          <w:szCs w:val="44"/>
          <w:highlight w:val="none"/>
          <w:lang w:eastAsia="zh-CN"/>
        </w:rPr>
        <w:t>报</w:t>
      </w:r>
      <w:r>
        <w:rPr>
          <w:rFonts w:hint="eastAsia" w:ascii="宋体" w:hAnsi="宋体" w:eastAsia="宋体" w:cs="宋体"/>
          <w:bCs/>
          <w:color w:val="auto"/>
          <w:sz w:val="44"/>
          <w:szCs w:val="44"/>
          <w:highlight w:val="none"/>
          <w:lang w:val="en-US" w:eastAsia="zh-CN"/>
        </w:rPr>
        <w:t xml:space="preserve"> </w:t>
      </w:r>
      <w:r>
        <w:rPr>
          <w:rFonts w:hint="eastAsia" w:ascii="宋体" w:hAnsi="宋体" w:eastAsia="宋体" w:cs="宋体"/>
          <w:bCs/>
          <w:color w:val="auto"/>
          <w:sz w:val="44"/>
          <w:szCs w:val="44"/>
          <w:highlight w:val="none"/>
          <w:lang w:eastAsia="zh-CN"/>
        </w:rPr>
        <w:t>价</w:t>
      </w:r>
      <w:r>
        <w:rPr>
          <w:rFonts w:hint="eastAsia" w:ascii="宋体" w:hAnsi="宋体" w:eastAsia="宋体" w:cs="宋体"/>
          <w:bCs/>
          <w:color w:val="auto"/>
          <w:sz w:val="44"/>
          <w:szCs w:val="44"/>
          <w:highlight w:val="none"/>
        </w:rPr>
        <w:t xml:space="preserve"> 商 务 技 术 文 件</w:t>
      </w:r>
    </w:p>
    <w:p w14:paraId="69431E9B">
      <w:pPr>
        <w:snapToGrid w:val="0"/>
        <w:spacing w:beforeLines="50" w:after="50"/>
        <w:rPr>
          <w:rFonts w:hint="eastAsia" w:ascii="宋体" w:hAnsi="宋体" w:eastAsia="宋体" w:cs="宋体"/>
          <w:bCs/>
          <w:color w:val="auto"/>
          <w:sz w:val="24"/>
          <w:szCs w:val="20"/>
          <w:highlight w:val="none"/>
        </w:rPr>
      </w:pPr>
    </w:p>
    <w:p w14:paraId="110F686D">
      <w:pPr>
        <w:snapToGrid w:val="0"/>
        <w:spacing w:beforeLines="50" w:after="50"/>
        <w:rPr>
          <w:rFonts w:hint="eastAsia" w:ascii="宋体" w:hAnsi="宋体" w:eastAsia="宋体" w:cs="宋体"/>
          <w:bCs/>
          <w:color w:val="auto"/>
          <w:sz w:val="24"/>
          <w:szCs w:val="20"/>
          <w:highlight w:val="none"/>
        </w:rPr>
      </w:pPr>
    </w:p>
    <w:p w14:paraId="3D898AF4">
      <w:pPr>
        <w:snapToGrid w:val="0"/>
        <w:spacing w:beforeLines="50" w:after="50"/>
        <w:rPr>
          <w:rFonts w:hint="eastAsia" w:ascii="宋体" w:hAnsi="宋体" w:eastAsia="宋体" w:cs="宋体"/>
          <w:bCs/>
          <w:color w:val="auto"/>
          <w:sz w:val="24"/>
          <w:szCs w:val="20"/>
          <w:highlight w:val="none"/>
        </w:rPr>
      </w:pPr>
    </w:p>
    <w:p w14:paraId="4B81EB95">
      <w:pPr>
        <w:snapToGrid w:val="0"/>
        <w:spacing w:beforeLines="50" w:after="50"/>
        <w:rPr>
          <w:rFonts w:hint="eastAsia" w:ascii="宋体" w:hAnsi="宋体" w:eastAsia="宋体" w:cs="宋体"/>
          <w:bCs/>
          <w:color w:val="auto"/>
          <w:sz w:val="24"/>
          <w:szCs w:val="20"/>
          <w:highlight w:val="none"/>
        </w:rPr>
      </w:pPr>
    </w:p>
    <w:p w14:paraId="3A64E00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E44104E">
      <w:pPr>
        <w:snapToGrid w:val="0"/>
        <w:spacing w:beforeLines="50" w:after="50"/>
        <w:ind w:firstLine="720" w:firstLineChars="225"/>
        <w:rPr>
          <w:rFonts w:hint="eastAsia" w:ascii="宋体" w:hAnsi="宋体" w:eastAsia="宋体" w:cs="宋体"/>
          <w:bCs/>
          <w:color w:val="auto"/>
          <w:sz w:val="32"/>
          <w:szCs w:val="32"/>
          <w:highlight w:val="none"/>
        </w:rPr>
      </w:pPr>
    </w:p>
    <w:p w14:paraId="0F4C5912">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495B73">
      <w:pPr>
        <w:snapToGrid w:val="0"/>
        <w:spacing w:beforeLines="50" w:after="50"/>
        <w:ind w:firstLine="720" w:firstLineChars="225"/>
        <w:rPr>
          <w:rFonts w:hint="eastAsia" w:ascii="宋体" w:hAnsi="宋体" w:eastAsia="宋体" w:cs="宋体"/>
          <w:bCs/>
          <w:color w:val="auto"/>
          <w:sz w:val="32"/>
          <w:szCs w:val="32"/>
          <w:highlight w:val="none"/>
        </w:rPr>
      </w:pPr>
    </w:p>
    <w:p w14:paraId="4D21A291">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B9135DD">
      <w:pPr>
        <w:pStyle w:val="7"/>
        <w:snapToGrid w:val="0"/>
        <w:spacing w:before="50" w:after="50"/>
        <w:ind w:firstLine="720" w:firstLineChars="225"/>
        <w:rPr>
          <w:rFonts w:hint="eastAsia" w:ascii="宋体" w:hAnsi="宋体" w:eastAsia="宋体" w:cs="宋体"/>
          <w:bCs/>
          <w:color w:val="auto"/>
          <w:sz w:val="32"/>
          <w:szCs w:val="32"/>
          <w:highlight w:val="none"/>
        </w:rPr>
      </w:pPr>
    </w:p>
    <w:p w14:paraId="490B9095">
      <w:pPr>
        <w:pStyle w:val="7"/>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供应商地址</w:t>
      </w:r>
      <w:r>
        <w:rPr>
          <w:rFonts w:hint="eastAsia" w:ascii="宋体" w:hAnsi="宋体" w:eastAsia="宋体" w:cs="宋体"/>
          <w:bCs/>
          <w:color w:val="auto"/>
          <w:sz w:val="32"/>
          <w:szCs w:val="32"/>
          <w:highlight w:val="none"/>
        </w:rPr>
        <w:t>：</w:t>
      </w:r>
    </w:p>
    <w:p w14:paraId="43A4BC8E">
      <w:pPr>
        <w:pStyle w:val="7"/>
        <w:snapToGrid w:val="0"/>
        <w:spacing w:before="50" w:after="50"/>
        <w:ind w:firstLine="720" w:firstLineChars="225"/>
        <w:rPr>
          <w:rFonts w:hint="eastAsia" w:ascii="宋体" w:hAnsi="宋体" w:eastAsia="宋体" w:cs="宋体"/>
          <w:bCs/>
          <w:color w:val="auto"/>
          <w:sz w:val="32"/>
          <w:szCs w:val="32"/>
          <w:highlight w:val="none"/>
        </w:rPr>
      </w:pPr>
    </w:p>
    <w:p w14:paraId="3818A2C6">
      <w:pPr>
        <w:pStyle w:val="7"/>
        <w:snapToGrid w:val="0"/>
        <w:spacing w:before="50" w:after="50"/>
        <w:ind w:firstLine="1280" w:firstLineChars="400"/>
        <w:rPr>
          <w:rFonts w:hint="eastAsia" w:ascii="宋体" w:hAnsi="宋体" w:eastAsia="宋体" w:cs="宋体"/>
          <w:bCs/>
          <w:color w:val="auto"/>
          <w:sz w:val="32"/>
          <w:szCs w:val="32"/>
          <w:highlight w:val="none"/>
        </w:rPr>
      </w:pPr>
    </w:p>
    <w:p w14:paraId="236AA17D">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6E68D2">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eastAsia="zh-CN"/>
        </w:rPr>
        <w:t>报价</w:t>
      </w:r>
      <w:r>
        <w:rPr>
          <w:rFonts w:hint="eastAsia" w:ascii="宋体" w:hAnsi="宋体" w:eastAsia="宋体" w:cs="宋体"/>
          <w:b/>
          <w:bCs/>
          <w:color w:val="auto"/>
          <w:sz w:val="32"/>
          <w:szCs w:val="32"/>
          <w:highlight w:val="none"/>
        </w:rPr>
        <w:t>商务技术文件目录</w:t>
      </w:r>
    </w:p>
    <w:p w14:paraId="18085863">
      <w:pPr>
        <w:snapToGrid w:val="0"/>
        <w:spacing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483C2F83">
      <w:pPr>
        <w:pStyle w:val="11"/>
        <w:rPr>
          <w:rFonts w:hint="eastAsia" w:ascii="宋体" w:hAnsi="宋体" w:eastAsia="宋体" w:cs="宋体"/>
          <w:color w:val="auto"/>
          <w:highlight w:val="none"/>
        </w:rPr>
      </w:pPr>
    </w:p>
    <w:p w14:paraId="1D1167E3">
      <w:pPr>
        <w:spacing w:line="520" w:lineRule="exact"/>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bookmarkStart w:id="142" w:name="_Toc17293"/>
      <w:r>
        <w:rPr>
          <w:rFonts w:hint="eastAsia" w:ascii="宋体" w:hAnsi="宋体" w:eastAsia="宋体" w:cs="宋体"/>
          <w:bCs/>
          <w:color w:val="auto"/>
          <w:sz w:val="44"/>
          <w:szCs w:val="44"/>
          <w:highlight w:val="none"/>
        </w:rPr>
        <w:t>竞标报价表</w:t>
      </w:r>
      <w:r>
        <w:rPr>
          <w:rFonts w:hint="eastAsia" w:ascii="宋体" w:hAnsi="宋体" w:eastAsia="宋体" w:cs="宋体"/>
          <w:color w:val="auto"/>
          <w:sz w:val="44"/>
          <w:szCs w:val="44"/>
          <w:highlight w:val="none"/>
        </w:rPr>
        <w:t>（格式）</w:t>
      </w:r>
      <w:bookmarkEnd w:id="142"/>
    </w:p>
    <w:p w14:paraId="7D883765">
      <w:pPr>
        <w:spacing w:line="520" w:lineRule="exact"/>
        <w:jc w:val="center"/>
        <w:rPr>
          <w:rFonts w:hint="eastAsia" w:ascii="宋体" w:hAnsi="宋体" w:eastAsia="宋体" w:cs="宋体"/>
          <w:bCs/>
          <w:color w:val="auto"/>
          <w:sz w:val="32"/>
          <w:szCs w:val="32"/>
          <w:highlight w:val="none"/>
        </w:rPr>
      </w:pPr>
    </w:p>
    <w:p w14:paraId="2FFA2C01">
      <w:pPr>
        <w:spacing w:line="440" w:lineRule="exact"/>
        <w:jc w:val="center"/>
        <w:rPr>
          <w:rFonts w:hint="eastAsia" w:ascii="宋体" w:hAnsi="宋体" w:eastAsia="宋体" w:cs="宋体"/>
          <w:bCs/>
          <w:color w:val="auto"/>
          <w:sz w:val="32"/>
          <w:szCs w:val="32"/>
          <w:highlight w:val="none"/>
        </w:rPr>
      </w:pPr>
    </w:p>
    <w:p w14:paraId="4F94052A">
      <w:pPr>
        <w:spacing w:line="440" w:lineRule="exact"/>
        <w:ind w:firstLine="105" w:firstLineChars="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2EE82705">
      <w:pPr>
        <w:spacing w:line="440" w:lineRule="exact"/>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4E53F6D2">
      <w:pPr>
        <w:spacing w:line="440" w:lineRule="exact"/>
        <w:ind w:firstLine="105" w:firstLineChars="50"/>
        <w:rPr>
          <w:rFonts w:hint="eastAsia" w:ascii="宋体" w:hAnsi="宋体" w:eastAsia="宋体" w:cs="宋体"/>
          <w:color w:val="auto"/>
          <w:szCs w:val="21"/>
          <w:highlight w:val="none"/>
        </w:rPr>
      </w:pPr>
    </w:p>
    <w:tbl>
      <w:tblPr>
        <w:tblStyle w:val="33"/>
        <w:tblW w:w="89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58"/>
        <w:gridCol w:w="979"/>
        <w:gridCol w:w="964"/>
        <w:gridCol w:w="2859"/>
        <w:gridCol w:w="794"/>
      </w:tblGrid>
      <w:tr w14:paraId="33FD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02" w:type="dxa"/>
            <w:tcBorders>
              <w:top w:val="single" w:color="auto" w:sz="4" w:space="0"/>
              <w:left w:val="single" w:color="auto" w:sz="4" w:space="0"/>
              <w:bottom w:val="single" w:color="auto" w:sz="4" w:space="0"/>
              <w:right w:val="single" w:color="auto" w:sz="4" w:space="0"/>
            </w:tcBorders>
            <w:vAlign w:val="center"/>
          </w:tcPr>
          <w:p w14:paraId="17FB906A">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658" w:type="dxa"/>
            <w:tcBorders>
              <w:top w:val="single" w:color="auto" w:sz="4" w:space="0"/>
              <w:left w:val="single" w:color="auto" w:sz="4" w:space="0"/>
              <w:bottom w:val="single" w:color="auto" w:sz="4" w:space="0"/>
              <w:right w:val="single" w:color="auto" w:sz="4" w:space="0"/>
            </w:tcBorders>
            <w:vAlign w:val="center"/>
          </w:tcPr>
          <w:p w14:paraId="148931D5">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服务名称</w:t>
            </w:r>
          </w:p>
        </w:tc>
        <w:tc>
          <w:tcPr>
            <w:tcW w:w="979" w:type="dxa"/>
            <w:tcBorders>
              <w:top w:val="single" w:color="auto" w:sz="4" w:space="0"/>
              <w:left w:val="single" w:color="auto" w:sz="4" w:space="0"/>
              <w:bottom w:val="single" w:color="auto" w:sz="4" w:space="0"/>
              <w:right w:val="single" w:color="auto" w:sz="4" w:space="0"/>
            </w:tcBorders>
            <w:vAlign w:val="center"/>
          </w:tcPr>
          <w:p w14:paraId="7BD7FCCB">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964" w:type="dxa"/>
            <w:tcBorders>
              <w:top w:val="single" w:color="auto" w:sz="4" w:space="0"/>
              <w:left w:val="single" w:color="auto" w:sz="4" w:space="0"/>
              <w:bottom w:val="single" w:color="auto" w:sz="4" w:space="0"/>
              <w:right w:val="single" w:color="auto" w:sz="4" w:space="0"/>
            </w:tcBorders>
            <w:vAlign w:val="center"/>
          </w:tcPr>
          <w:p w14:paraId="4401AE5C">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2859" w:type="dxa"/>
            <w:tcBorders>
              <w:top w:val="single" w:color="auto" w:sz="4" w:space="0"/>
              <w:left w:val="single" w:color="auto" w:sz="4" w:space="0"/>
              <w:bottom w:val="single" w:color="auto" w:sz="4" w:space="0"/>
              <w:right w:val="single" w:color="auto" w:sz="4" w:space="0"/>
            </w:tcBorders>
            <w:vAlign w:val="center"/>
          </w:tcPr>
          <w:p w14:paraId="5A3F3A7C">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总价（元）</w:t>
            </w:r>
          </w:p>
        </w:tc>
        <w:tc>
          <w:tcPr>
            <w:tcW w:w="794" w:type="dxa"/>
            <w:tcBorders>
              <w:top w:val="single" w:color="auto" w:sz="4" w:space="0"/>
              <w:left w:val="single" w:color="auto" w:sz="4" w:space="0"/>
              <w:bottom w:val="single" w:color="auto" w:sz="4" w:space="0"/>
              <w:right w:val="single" w:color="auto" w:sz="4" w:space="0"/>
            </w:tcBorders>
            <w:vAlign w:val="center"/>
          </w:tcPr>
          <w:p w14:paraId="050BF3F0">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0A88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02" w:type="dxa"/>
            <w:tcBorders>
              <w:top w:val="single" w:color="auto" w:sz="4" w:space="0"/>
              <w:left w:val="single" w:color="auto" w:sz="4" w:space="0"/>
              <w:bottom w:val="single" w:color="auto" w:sz="4" w:space="0"/>
              <w:right w:val="single" w:color="auto" w:sz="4" w:space="0"/>
            </w:tcBorders>
            <w:vAlign w:val="center"/>
          </w:tcPr>
          <w:p w14:paraId="5C243B3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58" w:type="dxa"/>
            <w:tcBorders>
              <w:top w:val="single" w:color="auto" w:sz="4" w:space="0"/>
              <w:left w:val="single" w:color="auto" w:sz="4" w:space="0"/>
              <w:bottom w:val="single" w:color="auto" w:sz="4" w:space="0"/>
              <w:right w:val="single" w:color="auto" w:sz="4" w:space="0"/>
            </w:tcBorders>
            <w:vAlign w:val="center"/>
          </w:tcPr>
          <w:p w14:paraId="1E55F95B">
            <w:pPr>
              <w:spacing w:line="440" w:lineRule="exact"/>
              <w:jc w:val="center"/>
              <w:rPr>
                <w:rFonts w:hint="eastAsia" w:ascii="宋体" w:hAnsi="宋体" w:eastAsia="宋体" w:cs="宋体"/>
                <w:color w:val="auto"/>
                <w:sz w:val="24"/>
                <w:szCs w:val="24"/>
                <w:highlight w:val="none"/>
                <w:lang w:eastAsia="zh-CN"/>
              </w:rPr>
            </w:pPr>
          </w:p>
        </w:tc>
        <w:tc>
          <w:tcPr>
            <w:tcW w:w="979" w:type="dxa"/>
            <w:tcBorders>
              <w:top w:val="single" w:color="auto" w:sz="4" w:space="0"/>
              <w:left w:val="single" w:color="auto" w:sz="4" w:space="0"/>
              <w:bottom w:val="single" w:color="auto" w:sz="4" w:space="0"/>
              <w:right w:val="single" w:color="auto" w:sz="4" w:space="0"/>
            </w:tcBorders>
            <w:vAlign w:val="center"/>
          </w:tcPr>
          <w:p w14:paraId="54751185">
            <w:pPr>
              <w:widowControl/>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64" w:type="dxa"/>
            <w:tcBorders>
              <w:top w:val="single" w:color="auto" w:sz="4" w:space="0"/>
              <w:left w:val="single" w:color="auto" w:sz="4" w:space="0"/>
              <w:bottom w:val="single" w:color="auto" w:sz="4" w:space="0"/>
              <w:right w:val="single" w:color="auto" w:sz="4" w:space="0"/>
            </w:tcBorders>
            <w:vAlign w:val="center"/>
          </w:tcPr>
          <w:p w14:paraId="2DD82C92">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 xml:space="preserve"> 项</w:t>
            </w:r>
          </w:p>
        </w:tc>
        <w:tc>
          <w:tcPr>
            <w:tcW w:w="2859" w:type="dxa"/>
            <w:tcBorders>
              <w:top w:val="single" w:color="auto" w:sz="4" w:space="0"/>
              <w:left w:val="single" w:color="auto" w:sz="4" w:space="0"/>
              <w:bottom w:val="single" w:color="auto" w:sz="4" w:space="0"/>
              <w:right w:val="single" w:color="auto" w:sz="4" w:space="0"/>
            </w:tcBorders>
            <w:vAlign w:val="center"/>
          </w:tcPr>
          <w:p w14:paraId="25A17745">
            <w:pPr>
              <w:spacing w:line="440" w:lineRule="exact"/>
              <w:jc w:val="center"/>
              <w:rPr>
                <w:rFonts w:hint="eastAsia" w:ascii="宋体" w:hAnsi="宋体" w:eastAsia="宋体" w:cs="宋体"/>
                <w:color w:val="auto"/>
                <w:sz w:val="24"/>
                <w:szCs w:val="24"/>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5447250A">
            <w:pPr>
              <w:spacing w:line="440" w:lineRule="exact"/>
              <w:jc w:val="center"/>
              <w:rPr>
                <w:rFonts w:hint="eastAsia" w:ascii="宋体" w:hAnsi="宋体" w:eastAsia="宋体" w:cs="宋体"/>
                <w:color w:val="auto"/>
                <w:sz w:val="24"/>
                <w:szCs w:val="24"/>
                <w:highlight w:val="none"/>
              </w:rPr>
            </w:pPr>
          </w:p>
        </w:tc>
      </w:tr>
      <w:tr w14:paraId="7ECF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956" w:type="dxa"/>
            <w:gridSpan w:val="6"/>
            <w:tcBorders>
              <w:top w:val="single" w:color="auto" w:sz="4" w:space="0"/>
              <w:left w:val="single" w:color="auto" w:sz="4" w:space="0"/>
              <w:bottom w:val="single" w:color="auto" w:sz="4" w:space="0"/>
              <w:right w:val="single" w:color="auto" w:sz="4" w:space="0"/>
            </w:tcBorders>
            <w:vAlign w:val="center"/>
          </w:tcPr>
          <w:p w14:paraId="22D4A038">
            <w:pPr>
              <w:spacing w:line="44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总报价：大写</w:t>
            </w:r>
            <w:r>
              <w:rPr>
                <w:rFonts w:hint="eastAsia" w:ascii="宋体" w:hAnsi="宋体" w:eastAsia="宋体" w:cs="宋体"/>
                <w:color w:val="auto"/>
                <w:sz w:val="24"/>
                <w:szCs w:val="24"/>
                <w:highlight w:val="none"/>
                <w:u w:val="single"/>
              </w:rPr>
              <w:t xml:space="preserve">                    小写（                   ）</w:t>
            </w:r>
          </w:p>
        </w:tc>
      </w:tr>
      <w:tr w14:paraId="2B23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56" w:type="dxa"/>
            <w:gridSpan w:val="6"/>
            <w:tcBorders>
              <w:top w:val="single" w:color="auto" w:sz="4" w:space="0"/>
              <w:left w:val="single" w:color="auto" w:sz="4" w:space="0"/>
              <w:bottom w:val="single" w:color="auto" w:sz="4" w:space="0"/>
              <w:right w:val="single" w:color="auto" w:sz="4" w:space="0"/>
            </w:tcBorders>
            <w:vAlign w:val="center"/>
          </w:tcPr>
          <w:p w14:paraId="01C00334">
            <w:pPr>
              <w:spacing w:line="4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服务期</w:t>
            </w:r>
            <w:r>
              <w:rPr>
                <w:rFonts w:hint="eastAsia" w:ascii="宋体" w:hAnsi="宋体" w:eastAsia="宋体" w:cs="宋体"/>
                <w:color w:val="auto"/>
                <w:sz w:val="24"/>
                <w:szCs w:val="24"/>
                <w:highlight w:val="none"/>
              </w:rPr>
              <w:t>：</w:t>
            </w:r>
          </w:p>
        </w:tc>
      </w:tr>
    </w:tbl>
    <w:p w14:paraId="571D2298">
      <w:pPr>
        <w:spacing w:line="360" w:lineRule="auto"/>
        <w:contextualSpacing/>
        <w:jc w:val="left"/>
        <w:rPr>
          <w:rFonts w:hint="eastAsia" w:ascii="宋体" w:hAnsi="宋体" w:eastAsia="宋体" w:cs="宋体"/>
          <w:color w:val="auto"/>
          <w:sz w:val="24"/>
          <w:highlight w:val="none"/>
        </w:rPr>
      </w:pPr>
    </w:p>
    <w:p w14:paraId="41E313A0">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8D0DE2C">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1.供应商的报价表必须加盖供应商公章并由法定代表人或者委托代理人签字，</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0E59C51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报价一经涂改，应在涂改处加盖供应商公章或者由法定代表人或者委托代理人签字或者盖章</w:t>
      </w:r>
      <w:r>
        <w:rPr>
          <w:rFonts w:hint="eastAsia" w:ascii="宋体" w:hAnsi="宋体" w:eastAsia="宋体" w:cs="宋体"/>
          <w:b/>
          <w:color w:val="auto"/>
          <w:sz w:val="21"/>
          <w:szCs w:val="21"/>
          <w:highlight w:val="none"/>
        </w:rPr>
        <w:t>，否则其响应文件按无效响应处理。</w:t>
      </w:r>
    </w:p>
    <w:p w14:paraId="0AEEB3AF">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3.各路线的报价和总价保留小数点两位。</w:t>
      </w:r>
    </w:p>
    <w:p w14:paraId="1A5C5950">
      <w:pPr>
        <w:spacing w:line="360" w:lineRule="auto"/>
        <w:ind w:right="-817" w:rightChars="-389"/>
        <w:contextualSpacing/>
        <w:rPr>
          <w:rFonts w:hint="eastAsia" w:ascii="宋体" w:hAnsi="宋体" w:eastAsia="宋体" w:cs="宋体"/>
          <w:color w:val="auto"/>
          <w:sz w:val="24"/>
          <w:highlight w:val="none"/>
        </w:rPr>
      </w:pPr>
    </w:p>
    <w:p w14:paraId="79A3B5AE">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74E10EA">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3E1BF44">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07934C3B">
      <w:pPr>
        <w:rPr>
          <w:rFonts w:hint="eastAsia" w:ascii="宋体" w:hAnsi="宋体" w:eastAsia="宋体" w:cs="宋体"/>
          <w:color w:val="auto"/>
          <w:sz w:val="44"/>
          <w:szCs w:val="44"/>
          <w:highlight w:val="none"/>
        </w:rPr>
      </w:pPr>
      <w:bookmarkStart w:id="143" w:name="_Toc11507"/>
      <w:r>
        <w:rPr>
          <w:rFonts w:hint="eastAsia" w:ascii="宋体" w:hAnsi="宋体" w:eastAsia="宋体" w:cs="宋体"/>
          <w:color w:val="auto"/>
          <w:sz w:val="44"/>
          <w:szCs w:val="44"/>
          <w:highlight w:val="none"/>
        </w:rPr>
        <w:br w:type="page"/>
      </w:r>
    </w:p>
    <w:p w14:paraId="2064D63C">
      <w:pPr>
        <w:spacing w:line="520" w:lineRule="exact"/>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无串通竞标行为的承诺函（格式）</w:t>
      </w:r>
      <w:bookmarkEnd w:id="143"/>
    </w:p>
    <w:p w14:paraId="3F47593A">
      <w:pPr>
        <w:spacing w:line="360" w:lineRule="auto"/>
        <w:ind w:firstLine="640" w:firstLineChars="200"/>
        <w:contextualSpacing/>
        <w:rPr>
          <w:rFonts w:hint="eastAsia" w:ascii="宋体" w:hAnsi="宋体" w:eastAsia="宋体" w:cs="宋体"/>
          <w:color w:val="auto"/>
          <w:sz w:val="32"/>
          <w:szCs w:val="32"/>
          <w:highlight w:val="none"/>
        </w:rPr>
      </w:pPr>
    </w:p>
    <w:p w14:paraId="6CBD70E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6DE41C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717AC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E8764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4FA9FE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07AEBE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31A26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74A49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33BCD80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2DBB15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C152B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C71957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93FDF0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1BA2F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9260D2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9B502C0">
      <w:pPr>
        <w:spacing w:line="360" w:lineRule="auto"/>
        <w:ind w:firstLine="480" w:firstLineChars="200"/>
        <w:contextualSpacing/>
        <w:rPr>
          <w:rFonts w:hint="eastAsia" w:ascii="宋体" w:hAnsi="宋体" w:eastAsia="宋体" w:cs="宋体"/>
          <w:color w:val="auto"/>
          <w:sz w:val="24"/>
          <w:highlight w:val="none"/>
        </w:rPr>
      </w:pPr>
    </w:p>
    <w:p w14:paraId="004A7D68">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B8ACE97">
      <w:pPr>
        <w:spacing w:line="360" w:lineRule="auto"/>
        <w:contextualSpacing/>
        <w:rPr>
          <w:rFonts w:hint="eastAsia" w:ascii="宋体" w:hAnsi="宋体" w:eastAsia="宋体" w:cs="宋体"/>
          <w:color w:val="auto"/>
          <w:sz w:val="24"/>
          <w:highlight w:val="none"/>
        </w:rPr>
      </w:pPr>
    </w:p>
    <w:p w14:paraId="7A1BE861">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1EEB4FF">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461E799D">
      <w:pPr>
        <w:spacing w:line="520" w:lineRule="exact"/>
        <w:jc w:val="center"/>
        <w:outlineLvl w:val="2"/>
        <w:rPr>
          <w:rFonts w:hint="eastAsia" w:ascii="宋体" w:hAnsi="宋体" w:eastAsia="宋体" w:cs="宋体"/>
          <w:bCs/>
          <w:color w:val="auto"/>
          <w:sz w:val="44"/>
          <w:szCs w:val="44"/>
          <w:highlight w:val="none"/>
        </w:rPr>
        <w:sectPr>
          <w:footerReference r:id="rId6" w:type="first"/>
          <w:footerReference r:id="rId5" w:type="default"/>
          <w:pgSz w:w="11906" w:h="16838"/>
          <w:pgMar w:top="1440" w:right="1236" w:bottom="1440" w:left="1293" w:header="851" w:footer="992" w:gutter="0"/>
          <w:pgNumType w:fmt="decimal"/>
          <w:cols w:space="720" w:num="1"/>
          <w:titlePg/>
          <w:docGrid w:type="lines" w:linePitch="312" w:charSpace="0"/>
        </w:sectPr>
      </w:pPr>
    </w:p>
    <w:tbl>
      <w:tblPr>
        <w:tblStyle w:val="33"/>
        <w:tblW w:w="14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233"/>
        <w:gridCol w:w="1384"/>
        <w:gridCol w:w="1384"/>
        <w:gridCol w:w="1156"/>
        <w:gridCol w:w="1814"/>
        <w:gridCol w:w="5192"/>
      </w:tblGrid>
      <w:tr w14:paraId="49A3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941" w:type="dxa"/>
            <w:tcBorders>
              <w:top w:val="nil"/>
              <w:left w:val="nil"/>
              <w:bottom w:val="nil"/>
              <w:right w:val="nil"/>
            </w:tcBorders>
            <w:shd w:val="clear" w:color="auto" w:fill="auto"/>
            <w:noWrap/>
            <w:vAlign w:val="center"/>
          </w:tcPr>
          <w:p w14:paraId="2984ADA8">
            <w:pPr>
              <w:jc w:val="center"/>
              <w:rPr>
                <w:rFonts w:hint="eastAsia" w:ascii="宋体" w:hAnsi="宋体" w:eastAsia="宋体" w:cs="宋体"/>
                <w:i w:val="0"/>
                <w:iCs w:val="0"/>
                <w:color w:val="auto"/>
                <w:sz w:val="20"/>
                <w:szCs w:val="20"/>
                <w:u w:val="none"/>
              </w:rPr>
            </w:pPr>
          </w:p>
        </w:tc>
        <w:tc>
          <w:tcPr>
            <w:tcW w:w="13059" w:type="dxa"/>
            <w:gridSpan w:val="6"/>
            <w:tcBorders>
              <w:top w:val="nil"/>
              <w:left w:val="nil"/>
              <w:bottom w:val="nil"/>
              <w:right w:val="nil"/>
            </w:tcBorders>
            <w:shd w:val="clear" w:color="auto" w:fill="auto"/>
            <w:noWrap/>
            <w:vAlign w:val="center"/>
          </w:tcPr>
          <w:p w14:paraId="551AD6C3">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科技馆物业服务项目报价明细表</w:t>
            </w:r>
          </w:p>
        </w:tc>
      </w:tr>
      <w:tr w14:paraId="7799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9B9C">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D4CF">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4D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C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CC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月度费用</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CF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年度费用</w:t>
            </w: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1E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7D56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1E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A0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保安领班（主管）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1430">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B364">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6409">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1562">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E9A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负责项目的日常管理工作</w:t>
            </w:r>
          </w:p>
        </w:tc>
      </w:tr>
      <w:tr w14:paraId="5C45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EE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3F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保安员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EDB9">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1FC">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F233">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E19C">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B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负责项目的安保工作，包含保安机动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顶岗</w:t>
            </w:r>
          </w:p>
        </w:tc>
      </w:tr>
      <w:tr w14:paraId="4245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46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A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保洁员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B86">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36D">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D9B">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0059">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9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负责项目的日常保洁工作（不包含外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围保洁）</w:t>
            </w:r>
          </w:p>
        </w:tc>
      </w:tr>
      <w:tr w14:paraId="5EAA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1F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79A">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B7C1">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1D2B">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863">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D4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负责项目的水电维护工作</w:t>
            </w:r>
          </w:p>
        </w:tc>
      </w:tr>
      <w:tr w14:paraId="6D09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D9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9A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维修工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CD46">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EB27">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FA6B">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5F58">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B5">
            <w:pPr>
              <w:rPr>
                <w:rFonts w:hint="eastAsia" w:ascii="宋体" w:hAnsi="宋体" w:eastAsia="宋体" w:cs="宋体"/>
                <w:i w:val="0"/>
                <w:iCs w:val="0"/>
                <w:color w:val="auto"/>
                <w:sz w:val="20"/>
                <w:szCs w:val="20"/>
                <w:u w:val="none"/>
              </w:rPr>
            </w:pPr>
          </w:p>
        </w:tc>
      </w:tr>
      <w:tr w14:paraId="047F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A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EBEE">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57E4">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C58D">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402D">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023C">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FC1B">
            <w:pPr>
              <w:rPr>
                <w:rFonts w:hint="eastAsia" w:ascii="宋体" w:hAnsi="宋体" w:eastAsia="宋体" w:cs="宋体"/>
                <w:i w:val="0"/>
                <w:iCs w:val="0"/>
                <w:color w:val="auto"/>
                <w:sz w:val="20"/>
                <w:szCs w:val="20"/>
                <w:u w:val="none"/>
              </w:rPr>
            </w:pPr>
          </w:p>
        </w:tc>
      </w:tr>
      <w:tr w14:paraId="2555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1D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岗位人员工资合计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C747">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9F1D">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1624">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4D92">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A2A2">
            <w:pPr>
              <w:rPr>
                <w:rFonts w:hint="eastAsia" w:ascii="宋体" w:hAnsi="宋体" w:eastAsia="宋体" w:cs="宋体"/>
                <w:i w:val="0"/>
                <w:iCs w:val="0"/>
                <w:color w:val="auto"/>
                <w:sz w:val="20"/>
                <w:szCs w:val="20"/>
                <w:u w:val="none"/>
              </w:rPr>
            </w:pPr>
          </w:p>
        </w:tc>
      </w:tr>
      <w:tr w14:paraId="4BE0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7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FF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7DB4">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D248">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26D4">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FA17">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9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highlight w:val="yellow"/>
                <w:u w:val="none"/>
                <w:lang w:val="en-US" w:eastAsia="zh-CN" w:bidi="ar"/>
              </w:rPr>
              <w:t>按照 2024 年调整的最低基数 4053.63元计算，1039.76/人/月，大额医疗保险（90元/年/人）</w:t>
            </w:r>
          </w:p>
        </w:tc>
      </w:tr>
      <w:tr w14:paraId="3E27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86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5B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人身意外险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DA50">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6D2A">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D1DE">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ECC7">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AA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人身意外险：150 元/人/年</w:t>
            </w:r>
          </w:p>
        </w:tc>
      </w:tr>
      <w:tr w14:paraId="5B17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5E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B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法定加班费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598">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5B4E">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6E72">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9927">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9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1683 元/天，全年 13 天法定日（含三月三 2 天），三班倒的保安正常上班需支付法定加班费</w:t>
            </w:r>
          </w:p>
        </w:tc>
      </w:tr>
      <w:tr w14:paraId="1028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F6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EF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劳保费用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636A">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48BA">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02F5">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E2A5">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2C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 元/人，平均 3000 元/月.人；</w:t>
            </w:r>
          </w:p>
        </w:tc>
      </w:tr>
      <w:tr w14:paraId="7E4B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F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1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BF21">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7289">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47F8">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505B">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46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中秋节、春节按 200 元/人</w:t>
            </w:r>
          </w:p>
        </w:tc>
      </w:tr>
      <w:tr w14:paraId="7FAA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F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63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年终绩效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EBA8">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D02F">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06DD">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4F6B">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F1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 元/人.月</w:t>
            </w:r>
          </w:p>
        </w:tc>
      </w:tr>
      <w:tr w14:paraId="6F74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EB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B1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岗位物耗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EE4A">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19B">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D326">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B9D8">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E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服务岗位作业工具物耗由物业公司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承担</w:t>
            </w:r>
          </w:p>
        </w:tc>
      </w:tr>
      <w:tr w14:paraId="3287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7C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福利、社保、劳保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F020">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7EE">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EA01">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567E">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3EB6">
            <w:pPr>
              <w:rPr>
                <w:rFonts w:hint="eastAsia" w:ascii="宋体" w:hAnsi="宋体" w:eastAsia="宋体" w:cs="宋体"/>
                <w:i w:val="0"/>
                <w:iCs w:val="0"/>
                <w:color w:val="auto"/>
                <w:sz w:val="20"/>
                <w:szCs w:val="20"/>
                <w:u w:val="none"/>
              </w:rPr>
            </w:pPr>
          </w:p>
        </w:tc>
      </w:tr>
      <w:tr w14:paraId="5A31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A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加班、物耗等费用合计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213F">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EBC0">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4E0">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E08A">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A683">
            <w:pPr>
              <w:rPr>
                <w:rFonts w:hint="eastAsia" w:ascii="宋体" w:hAnsi="宋体" w:eastAsia="宋体" w:cs="宋体"/>
                <w:i w:val="0"/>
                <w:iCs w:val="0"/>
                <w:color w:val="auto"/>
                <w:sz w:val="20"/>
                <w:szCs w:val="20"/>
                <w:u w:val="none"/>
              </w:rPr>
            </w:pPr>
          </w:p>
        </w:tc>
      </w:tr>
      <w:tr w14:paraId="670C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1F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35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设备投入分摊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E7A5">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5E78">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9F37">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CAAC">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59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安保秩序维护应急处置设备配置</w:t>
            </w:r>
          </w:p>
        </w:tc>
      </w:tr>
      <w:tr w14:paraId="0973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0F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5D5">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5D7">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8409">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54C6">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820E">
            <w:pPr>
              <w:rPr>
                <w:rFonts w:hint="eastAsia" w:ascii="宋体" w:hAnsi="宋体" w:eastAsia="宋体" w:cs="宋体"/>
                <w:i w:val="0"/>
                <w:iCs w:val="0"/>
                <w:color w:val="auto"/>
                <w:sz w:val="20"/>
                <w:szCs w:val="20"/>
                <w:u w:val="none"/>
              </w:rPr>
            </w:pPr>
          </w:p>
        </w:tc>
      </w:tr>
      <w:tr w14:paraId="07B1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F9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14管理及企业合理利润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97C5">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07B2">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CB33">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8532">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85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 1-13 项的 6%核算</w:t>
            </w:r>
          </w:p>
        </w:tc>
      </w:tr>
      <w:tr w14:paraId="6597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35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5D2D">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D4DE">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6A8E">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4D3E">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33E7">
            <w:pPr>
              <w:rPr>
                <w:rFonts w:hint="eastAsia" w:ascii="宋体" w:hAnsi="宋体" w:eastAsia="宋体" w:cs="宋体"/>
                <w:i w:val="0"/>
                <w:iCs w:val="0"/>
                <w:color w:val="auto"/>
                <w:sz w:val="20"/>
                <w:szCs w:val="20"/>
                <w:u w:val="none"/>
              </w:rPr>
            </w:pPr>
          </w:p>
        </w:tc>
      </w:tr>
      <w:tr w14:paraId="5E44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E2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5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E955">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1F4D">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B5F1">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6EF4">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15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 1-14 项 6%的增值税</w:t>
            </w:r>
          </w:p>
        </w:tc>
      </w:tr>
      <w:tr w14:paraId="339B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C7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19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7929">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97C2">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DBD">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3619">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77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增值税的 12%</w:t>
            </w:r>
          </w:p>
        </w:tc>
      </w:tr>
      <w:tr w14:paraId="2A50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A1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3F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A50C">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8072">
            <w:pP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8DB0">
            <w:pPr>
              <w:rPr>
                <w:rFonts w:hint="eastAsia" w:ascii="宋体" w:hAnsi="宋体" w:eastAsia="宋体" w:cs="宋体"/>
                <w:i w:val="0"/>
                <w:iCs w:val="0"/>
                <w:color w:val="auto"/>
                <w:sz w:val="20"/>
                <w:szCs w:val="20"/>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7E0">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4D97">
            <w:pPr>
              <w:rPr>
                <w:rFonts w:hint="eastAsia" w:ascii="宋体" w:hAnsi="宋体" w:eastAsia="宋体" w:cs="宋体"/>
                <w:i w:val="0"/>
                <w:iCs w:val="0"/>
                <w:color w:val="auto"/>
                <w:sz w:val="20"/>
                <w:szCs w:val="20"/>
                <w:u w:val="none"/>
              </w:rPr>
            </w:pPr>
          </w:p>
        </w:tc>
      </w:tr>
      <w:tr w14:paraId="5421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5B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总计</w:t>
            </w:r>
          </w:p>
        </w:tc>
        <w:tc>
          <w:tcPr>
            <w:tcW w:w="82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FE85">
            <w:pPr>
              <w:rPr>
                <w:rFonts w:hint="eastAsia" w:ascii="宋体" w:hAnsi="宋体" w:eastAsia="宋体" w:cs="宋体"/>
                <w:i w:val="0"/>
                <w:iCs w:val="0"/>
                <w:color w:val="auto"/>
                <w:sz w:val="20"/>
                <w:szCs w:val="20"/>
                <w:u w:val="none"/>
              </w:rPr>
            </w:pPr>
          </w:p>
        </w:tc>
        <w:tc>
          <w:tcPr>
            <w:tcW w:w="4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1DAA">
            <w:pPr>
              <w:rPr>
                <w:rFonts w:hint="eastAsia" w:ascii="宋体" w:hAnsi="宋体" w:eastAsia="宋体" w:cs="宋体"/>
                <w:i w:val="0"/>
                <w:iCs w:val="0"/>
                <w:color w:val="auto"/>
                <w:sz w:val="20"/>
                <w:szCs w:val="20"/>
                <w:u w:val="none"/>
              </w:rPr>
            </w:pPr>
          </w:p>
        </w:tc>
      </w:tr>
    </w:tbl>
    <w:p w14:paraId="4AF7E324">
      <w:pPr>
        <w:spacing w:line="520" w:lineRule="exact"/>
        <w:jc w:val="both"/>
        <w:outlineLvl w:val="9"/>
        <w:rPr>
          <w:rFonts w:hint="eastAsia" w:ascii="宋体" w:hAnsi="宋体" w:eastAsia="宋体" w:cs="宋体"/>
          <w:bCs/>
          <w:color w:val="auto"/>
          <w:sz w:val="44"/>
          <w:szCs w:val="44"/>
          <w:highlight w:val="none"/>
        </w:rPr>
      </w:pPr>
    </w:p>
    <w:p w14:paraId="02612E33">
      <w:pPr>
        <w:spacing w:line="520" w:lineRule="exact"/>
        <w:jc w:val="center"/>
        <w:outlineLvl w:val="9"/>
        <w:rPr>
          <w:rFonts w:hint="eastAsia" w:ascii="宋体" w:hAnsi="宋体" w:eastAsia="宋体" w:cs="宋体"/>
          <w:bCs/>
          <w:color w:val="auto"/>
          <w:sz w:val="44"/>
          <w:szCs w:val="44"/>
          <w:highlight w:val="none"/>
        </w:rPr>
      </w:pPr>
    </w:p>
    <w:p w14:paraId="68E5FF9C">
      <w:pPr>
        <w:spacing w:line="520" w:lineRule="exact"/>
        <w:jc w:val="center"/>
        <w:outlineLvl w:val="2"/>
        <w:rPr>
          <w:rFonts w:hint="eastAsia" w:ascii="宋体" w:hAnsi="宋体" w:eastAsia="宋体" w:cs="宋体"/>
          <w:bCs/>
          <w:color w:val="auto"/>
          <w:sz w:val="44"/>
          <w:szCs w:val="44"/>
          <w:highlight w:val="none"/>
        </w:rPr>
        <w:sectPr>
          <w:pgSz w:w="16838" w:h="11906" w:orient="landscape"/>
          <w:pgMar w:top="1587" w:right="1440" w:bottom="1440" w:left="1440" w:header="851" w:footer="992" w:gutter="0"/>
          <w:pgNumType w:fmt="decimal"/>
          <w:cols w:space="720" w:num="1"/>
          <w:titlePg/>
          <w:docGrid w:type="lines" w:linePitch="312" w:charSpace="0"/>
        </w:sectPr>
      </w:pPr>
      <w:r>
        <w:rPr>
          <w:rFonts w:hint="eastAsia" w:ascii="宋体" w:hAnsi="宋体" w:eastAsia="宋体" w:cs="宋体"/>
          <w:bCs/>
          <w:color w:val="auto"/>
          <w:sz w:val="44"/>
          <w:szCs w:val="44"/>
          <w:highlight w:val="none"/>
        </w:rPr>
        <w:br w:type="page"/>
      </w:r>
      <w:bookmarkStart w:id="144" w:name="_Toc24436"/>
    </w:p>
    <w:p w14:paraId="536FEAC4">
      <w:pPr>
        <w:spacing w:line="520" w:lineRule="exact"/>
        <w:jc w:val="center"/>
        <w:outlineLvl w:val="2"/>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r>
        <w:rPr>
          <w:rFonts w:hint="eastAsia" w:ascii="宋体" w:hAnsi="宋体" w:eastAsia="宋体" w:cs="宋体"/>
          <w:color w:val="auto"/>
          <w:sz w:val="44"/>
          <w:szCs w:val="44"/>
          <w:highlight w:val="none"/>
        </w:rPr>
        <w:t>（格式）</w:t>
      </w:r>
      <w:bookmarkEnd w:id="144"/>
    </w:p>
    <w:p w14:paraId="0856BE39">
      <w:pPr>
        <w:spacing w:beforeLines="100" w:afterLines="50" w:line="520" w:lineRule="exact"/>
        <w:ind w:left="540"/>
        <w:jc w:val="center"/>
        <w:rPr>
          <w:rFonts w:hint="eastAsia" w:ascii="宋体" w:hAnsi="宋体" w:eastAsia="宋体" w:cs="宋体"/>
          <w:color w:val="auto"/>
          <w:sz w:val="32"/>
          <w:szCs w:val="32"/>
          <w:highlight w:val="none"/>
        </w:rPr>
      </w:pPr>
    </w:p>
    <w:p w14:paraId="64A8EB28">
      <w:pPr>
        <w:spacing w:line="360" w:lineRule="auto"/>
        <w:ind w:left="540"/>
        <w:contextualSpacing/>
        <w:rPr>
          <w:rFonts w:hint="eastAsia" w:ascii="宋体" w:hAnsi="宋体" w:eastAsia="宋体" w:cs="宋体"/>
          <w:color w:val="auto"/>
          <w:sz w:val="32"/>
          <w:szCs w:val="32"/>
          <w:highlight w:val="none"/>
        </w:rPr>
      </w:pPr>
    </w:p>
    <w:p w14:paraId="01BE793D">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3A000978">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50CAB55">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7C41DDAE">
      <w:pPr>
        <w:spacing w:line="500" w:lineRule="exact"/>
        <w:ind w:left="540"/>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29BBCEDB">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26FF78EA">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14:paraId="43EF4B99">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特此证明。</w:t>
      </w:r>
    </w:p>
    <w:p w14:paraId="2C2E6772">
      <w:pPr>
        <w:spacing w:line="360" w:lineRule="auto"/>
        <w:ind w:left="540"/>
        <w:contextualSpacing/>
        <w:rPr>
          <w:rFonts w:hint="eastAsia" w:ascii="宋体" w:hAnsi="宋体" w:eastAsia="宋体" w:cs="宋体"/>
          <w:color w:val="auto"/>
          <w:sz w:val="24"/>
          <w:highlight w:val="none"/>
        </w:rPr>
      </w:pPr>
    </w:p>
    <w:p w14:paraId="55047960">
      <w:pPr>
        <w:spacing w:line="360" w:lineRule="auto"/>
        <w:ind w:left="54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附件：法定代表人有效身份证正反面</w:t>
      </w:r>
      <w:r>
        <w:rPr>
          <w:rFonts w:hint="eastAsia" w:ascii="宋体" w:hAnsi="宋体" w:eastAsia="宋体" w:cs="宋体"/>
          <w:color w:val="auto"/>
          <w:sz w:val="21"/>
          <w:szCs w:val="21"/>
          <w:highlight w:val="none"/>
          <w:lang w:eastAsia="zh-CN"/>
        </w:rPr>
        <w:t>扫描件</w:t>
      </w:r>
    </w:p>
    <w:p w14:paraId="01423D78">
      <w:pPr>
        <w:spacing w:line="360" w:lineRule="auto"/>
        <w:ind w:left="540"/>
        <w:contextualSpacing/>
        <w:rPr>
          <w:rFonts w:hint="eastAsia" w:ascii="宋体" w:hAnsi="宋体" w:eastAsia="宋体" w:cs="宋体"/>
          <w:color w:val="auto"/>
          <w:sz w:val="24"/>
          <w:highlight w:val="none"/>
        </w:rPr>
      </w:pPr>
    </w:p>
    <w:p w14:paraId="6FA761AF">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7DFF3C0">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6D78670B">
      <w:pPr>
        <w:spacing w:line="360" w:lineRule="auto"/>
        <w:contextualSpacing/>
        <w:jc w:val="center"/>
        <w:rPr>
          <w:rFonts w:hint="eastAsia" w:ascii="宋体" w:hAnsi="宋体" w:eastAsia="宋体" w:cs="宋体"/>
          <w:b/>
          <w:color w:val="auto"/>
          <w:sz w:val="24"/>
          <w:highlight w:val="none"/>
        </w:rPr>
      </w:pPr>
    </w:p>
    <w:p w14:paraId="35F82CCD">
      <w:pPr>
        <w:spacing w:line="360" w:lineRule="auto"/>
        <w:contextualSpacing/>
        <w:jc w:val="left"/>
        <w:rPr>
          <w:rFonts w:hint="eastAsia" w:ascii="宋体" w:hAnsi="宋体" w:eastAsia="宋体" w:cs="宋体"/>
          <w:color w:val="auto"/>
          <w:sz w:val="24"/>
          <w:highlight w:val="none"/>
        </w:rPr>
      </w:pPr>
    </w:p>
    <w:p w14:paraId="00401DDE">
      <w:pPr>
        <w:spacing w:line="360" w:lineRule="auto"/>
        <w:contextualSpacing/>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注：1.自然人竞标的无需提供，联合体竞标的只需牵头人出具。</w:t>
      </w:r>
    </w:p>
    <w:p w14:paraId="7B1F3DE4">
      <w:pPr>
        <w:spacing w:line="360" w:lineRule="auto"/>
        <w:ind w:firstLine="422" w:firstLineChars="200"/>
        <w:contextualSpacing/>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C9CB6C">
      <w:pPr>
        <w:adjustRightInd w:val="0"/>
        <w:snapToGrid w:val="0"/>
        <w:spacing w:line="300" w:lineRule="auto"/>
        <w:jc w:val="left"/>
        <w:rPr>
          <w:rFonts w:hint="eastAsia" w:ascii="宋体" w:hAnsi="宋体" w:eastAsia="宋体" w:cs="宋体"/>
          <w:b/>
          <w:color w:val="auto"/>
          <w:szCs w:val="21"/>
          <w:highlight w:val="none"/>
        </w:rPr>
      </w:pPr>
    </w:p>
    <w:tbl>
      <w:tblPr>
        <w:tblStyle w:val="33"/>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6AF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B8C8252">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w:t>
            </w:r>
            <w:r>
              <w:rPr>
                <w:rFonts w:hint="eastAsia" w:ascii="宋体" w:hAnsi="宋体" w:cs="宋体"/>
                <w:b/>
                <w:color w:val="auto"/>
                <w:sz w:val="24"/>
                <w:lang w:eastAsia="zh-CN"/>
              </w:rPr>
              <w:t>粘贴</w:t>
            </w:r>
            <w:r>
              <w:rPr>
                <w:rFonts w:hint="eastAsia" w:ascii="宋体" w:hAnsi="宋体" w:eastAsia="宋体" w:cs="宋体"/>
                <w:b/>
                <w:color w:val="auto"/>
                <w:sz w:val="24"/>
              </w:rPr>
              <w:t>处（正、反面）</w:t>
            </w:r>
          </w:p>
        </w:tc>
      </w:tr>
    </w:tbl>
    <w:p w14:paraId="0CA54FA5">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b/>
          <w:color w:val="auto"/>
          <w:sz w:val="24"/>
          <w:szCs w:val="20"/>
        </w:rPr>
        <w:t>附件：</w:t>
      </w:r>
      <w:r>
        <w:rPr>
          <w:rFonts w:hint="eastAsia" w:ascii="宋体" w:hAnsi="宋体" w:eastAsia="宋体" w:cs="宋体"/>
          <w:color w:val="auto"/>
          <w:sz w:val="44"/>
          <w:szCs w:val="44"/>
          <w:highlight w:val="none"/>
        </w:rPr>
        <w:br w:type="page"/>
      </w:r>
    </w:p>
    <w:p w14:paraId="4EC7D79F">
      <w:pPr>
        <w:spacing w:line="520" w:lineRule="exact"/>
        <w:jc w:val="center"/>
        <w:outlineLvl w:val="2"/>
        <w:rPr>
          <w:rFonts w:hint="eastAsia" w:ascii="宋体" w:hAnsi="宋体" w:eastAsia="宋体" w:cs="宋体"/>
          <w:color w:val="auto"/>
          <w:sz w:val="32"/>
          <w:szCs w:val="32"/>
          <w:highlight w:val="none"/>
        </w:rPr>
      </w:pPr>
      <w:bookmarkStart w:id="145" w:name="_Toc28102"/>
      <w:bookmarkStart w:id="146" w:name="_Hlk65853643"/>
      <w:r>
        <w:rPr>
          <w:rFonts w:hint="eastAsia" w:ascii="宋体" w:hAnsi="宋体" w:eastAsia="宋体" w:cs="宋体"/>
          <w:color w:val="auto"/>
          <w:sz w:val="44"/>
          <w:szCs w:val="44"/>
          <w:highlight w:val="none"/>
        </w:rPr>
        <w:t>授权委托书（格式）</w:t>
      </w:r>
      <w:bookmarkEnd w:id="145"/>
    </w:p>
    <w:p w14:paraId="1FB6FE49">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14:paraId="45B694EE">
      <w:pPr>
        <w:spacing w:line="520" w:lineRule="exact"/>
        <w:rPr>
          <w:rFonts w:hint="eastAsia" w:ascii="宋体" w:hAnsi="宋体" w:eastAsia="宋体" w:cs="宋体"/>
          <w:color w:val="auto"/>
          <w:sz w:val="32"/>
          <w:szCs w:val="32"/>
          <w:highlight w:val="none"/>
        </w:rPr>
      </w:pPr>
    </w:p>
    <w:p w14:paraId="5DF6EF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3D2D0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sym w:font="Wingdings 2" w:char="00A3"/>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以我方的名义参加项目的竞标活动，并代表我方全权办理针对上述项目的所有采购程序和环节的具体事务和签署相关文件。</w:t>
      </w:r>
    </w:p>
    <w:p w14:paraId="01B559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2A171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31579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EA94B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6CB676E">
      <w:pPr>
        <w:spacing w:line="360" w:lineRule="auto"/>
        <w:rPr>
          <w:rFonts w:hint="eastAsia" w:ascii="宋体" w:hAnsi="宋体" w:eastAsia="宋体" w:cs="宋体"/>
          <w:color w:val="auto"/>
          <w:sz w:val="24"/>
          <w:highlight w:val="none"/>
        </w:rPr>
      </w:pPr>
    </w:p>
    <w:p w14:paraId="5FE8217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法定代表人（签字）：                    </w:t>
      </w:r>
    </w:p>
    <w:p w14:paraId="3437BBE7">
      <w:pPr>
        <w:spacing w:line="360" w:lineRule="auto"/>
        <w:rPr>
          <w:rFonts w:hint="eastAsia" w:ascii="宋体" w:hAnsi="宋体" w:eastAsia="宋体" w:cs="宋体"/>
          <w:color w:val="auto"/>
          <w:sz w:val="24"/>
          <w:highlight w:val="none"/>
        </w:rPr>
      </w:pPr>
    </w:p>
    <w:p w14:paraId="46023A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有效身份证正反面</w:t>
      </w:r>
      <w:r>
        <w:rPr>
          <w:rFonts w:hint="eastAsia" w:ascii="宋体" w:hAnsi="宋体" w:eastAsia="宋体" w:cs="宋体"/>
          <w:color w:val="auto"/>
          <w:sz w:val="21"/>
          <w:szCs w:val="21"/>
          <w:highlight w:val="none"/>
          <w:lang w:eastAsia="zh-CN"/>
        </w:rPr>
        <w:t>扫描件</w:t>
      </w:r>
    </w:p>
    <w:p w14:paraId="42E92B30">
      <w:pPr>
        <w:spacing w:line="360" w:lineRule="auto"/>
        <w:rPr>
          <w:rFonts w:hint="eastAsia" w:ascii="宋体" w:hAnsi="宋体" w:eastAsia="宋体" w:cs="宋体"/>
          <w:color w:val="auto"/>
          <w:sz w:val="24"/>
          <w:highlight w:val="none"/>
        </w:rPr>
      </w:pPr>
    </w:p>
    <w:p w14:paraId="38A34E61">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rPr>
      </w:pPr>
    </w:p>
    <w:p w14:paraId="7C103700">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DAF45AE">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41BD860A">
      <w:pPr>
        <w:spacing w:line="360" w:lineRule="auto"/>
        <w:rPr>
          <w:rFonts w:hint="eastAsia" w:ascii="宋体" w:hAnsi="宋体" w:eastAsia="宋体" w:cs="宋体"/>
          <w:color w:val="auto"/>
          <w:sz w:val="24"/>
          <w:highlight w:val="none"/>
        </w:rPr>
      </w:pPr>
    </w:p>
    <w:p w14:paraId="7C11604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 法定代表人必须在授权委托书上亲笔签字或盖章，委托代理人必须在授权委托书上亲笔签字，否则其响应文件按无效响应处理。</w:t>
      </w:r>
    </w:p>
    <w:p w14:paraId="55E28501">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4632A1">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bookmarkStart w:id="147" w:name="_Hlk65853109"/>
      <w:bookmarkStart w:id="148" w:name="_Hlk65853542"/>
      <w:r>
        <w:rPr>
          <w:rFonts w:hint="eastAsia" w:ascii="宋体" w:hAnsi="宋体" w:eastAsia="宋体" w:cs="宋体"/>
          <w:b/>
          <w:bCs/>
          <w:color w:val="auto"/>
          <w:sz w:val="21"/>
          <w:szCs w:val="21"/>
          <w:highlight w:val="none"/>
        </w:rPr>
        <w:t>法人、其他组织竞标时“我方”是指“我单位”，自然人竞标时“我方”是指“本人”。</w:t>
      </w:r>
      <w:bookmarkEnd w:id="147"/>
      <w:bookmarkEnd w:id="148"/>
    </w:p>
    <w:p w14:paraId="77D43EDA">
      <w:pPr>
        <w:spacing w:line="360" w:lineRule="auto"/>
        <w:rPr>
          <w:rFonts w:hint="eastAsia" w:ascii="宋体" w:hAnsi="宋体" w:eastAsia="宋体" w:cs="宋体"/>
          <w:b/>
          <w:bCs/>
          <w:color w:val="auto"/>
          <w:sz w:val="21"/>
          <w:szCs w:val="21"/>
          <w:highlight w:val="none"/>
        </w:rPr>
      </w:pPr>
    </w:p>
    <w:p w14:paraId="3928A8CB">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p>
    <w:tbl>
      <w:tblPr>
        <w:tblStyle w:val="33"/>
        <w:tblpPr w:leftFromText="180" w:rightFromText="180" w:vertAnchor="text" w:horzAnchor="margin" w:tblpY="26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445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0" w:hRule="atLeast"/>
        </w:trPr>
        <w:tc>
          <w:tcPr>
            <w:tcW w:w="8900" w:type="dxa"/>
            <w:noWrap w:val="0"/>
            <w:vAlign w:val="top"/>
          </w:tcPr>
          <w:p w14:paraId="0B8E280E">
            <w:pPr>
              <w:spacing w:line="360" w:lineRule="auto"/>
              <w:rPr>
                <w:rFonts w:hint="eastAsia" w:ascii="宋体" w:hAnsi="宋体" w:eastAsia="宋体" w:cs="宋体"/>
                <w:b/>
                <w:color w:val="auto"/>
                <w:sz w:val="24"/>
              </w:rPr>
            </w:pPr>
          </w:p>
          <w:p w14:paraId="0CCE7B85">
            <w:pPr>
              <w:spacing w:line="360" w:lineRule="auto"/>
              <w:rPr>
                <w:rFonts w:hint="eastAsia" w:ascii="宋体" w:hAnsi="宋体" w:eastAsia="宋体" w:cs="宋体"/>
                <w:b/>
                <w:color w:val="auto"/>
                <w:sz w:val="24"/>
              </w:rPr>
            </w:pPr>
            <w:r>
              <w:rPr>
                <w:rFonts w:hint="eastAsia" w:ascii="宋体" w:hAnsi="宋体" w:eastAsia="宋体" w:cs="宋体"/>
                <w:b/>
                <w:color w:val="auto"/>
                <w:sz w:val="24"/>
                <w:lang w:eastAsia="zh-CN"/>
              </w:rPr>
              <w:t>代理人</w:t>
            </w:r>
            <w:r>
              <w:rPr>
                <w:rFonts w:hint="eastAsia" w:ascii="宋体" w:hAnsi="宋体" w:eastAsia="宋体" w:cs="宋体"/>
                <w:b/>
                <w:color w:val="auto"/>
                <w:sz w:val="24"/>
              </w:rPr>
              <w:t>身份证</w:t>
            </w:r>
            <w:r>
              <w:rPr>
                <w:rFonts w:hint="eastAsia" w:ascii="宋体" w:hAnsi="宋体" w:cs="宋体"/>
                <w:b/>
                <w:color w:val="auto"/>
                <w:sz w:val="24"/>
                <w:lang w:eastAsia="zh-CN"/>
              </w:rPr>
              <w:t>粘贴</w:t>
            </w:r>
            <w:r>
              <w:rPr>
                <w:rFonts w:hint="eastAsia" w:ascii="宋体" w:hAnsi="宋体" w:eastAsia="宋体" w:cs="宋体"/>
                <w:b/>
                <w:color w:val="auto"/>
                <w:sz w:val="24"/>
              </w:rPr>
              <w:t>处（正、反面）</w:t>
            </w:r>
          </w:p>
        </w:tc>
      </w:tr>
    </w:tbl>
    <w:p w14:paraId="1246B4BF">
      <w:pPr>
        <w:spacing w:line="360" w:lineRule="auto"/>
        <w:ind w:firstLine="420" w:firstLineChars="200"/>
        <w:jc w:val="left"/>
        <w:rPr>
          <w:rFonts w:hint="eastAsia" w:ascii="宋体" w:hAnsi="宋体" w:eastAsia="宋体" w:cs="宋体"/>
          <w:color w:val="auto"/>
          <w:szCs w:val="21"/>
          <w:highlight w:val="none"/>
        </w:rPr>
      </w:pPr>
    </w:p>
    <w:p w14:paraId="41E2468D">
      <w:pPr>
        <w:bidi w:val="0"/>
        <w:rPr>
          <w:rFonts w:hint="eastAsia" w:ascii="宋体" w:hAnsi="宋体" w:eastAsia="宋体" w:cs="宋体"/>
          <w:color w:val="auto"/>
          <w:szCs w:val="21"/>
          <w:highlight w:val="none"/>
        </w:rPr>
      </w:pPr>
    </w:p>
    <w:p w14:paraId="7F4BAA27">
      <w:pPr>
        <w:bidi w:val="0"/>
        <w:rPr>
          <w:rFonts w:hint="eastAsia" w:ascii="宋体" w:hAnsi="宋体" w:eastAsia="宋体" w:cs="宋体"/>
          <w:color w:val="auto"/>
          <w:szCs w:val="21"/>
          <w:highlight w:val="none"/>
        </w:rPr>
      </w:pPr>
    </w:p>
    <w:p w14:paraId="586EC537">
      <w:pPr>
        <w:bidi w:val="0"/>
        <w:rPr>
          <w:rFonts w:hint="eastAsia" w:ascii="宋体" w:hAnsi="宋体" w:eastAsia="宋体" w:cs="宋体"/>
          <w:color w:val="auto"/>
          <w:szCs w:val="21"/>
          <w:highlight w:val="none"/>
        </w:rPr>
      </w:pPr>
    </w:p>
    <w:p w14:paraId="58041C32">
      <w:pPr>
        <w:bidi w:val="0"/>
        <w:rPr>
          <w:rFonts w:hint="eastAsia" w:ascii="宋体" w:hAnsi="宋体" w:eastAsia="宋体" w:cs="宋体"/>
          <w:color w:val="auto"/>
          <w:szCs w:val="21"/>
          <w:highlight w:val="none"/>
        </w:rPr>
      </w:pPr>
    </w:p>
    <w:p w14:paraId="0A83BB1B">
      <w:pPr>
        <w:bidi w:val="0"/>
        <w:rPr>
          <w:rFonts w:hint="eastAsia" w:ascii="宋体" w:hAnsi="宋体" w:eastAsia="宋体" w:cs="宋体"/>
          <w:color w:val="auto"/>
          <w:szCs w:val="21"/>
          <w:highlight w:val="none"/>
        </w:rPr>
      </w:pPr>
    </w:p>
    <w:p w14:paraId="752DA9C3">
      <w:pPr>
        <w:bidi w:val="0"/>
        <w:rPr>
          <w:rFonts w:hint="eastAsia" w:ascii="宋体" w:hAnsi="宋体" w:eastAsia="宋体" w:cs="宋体"/>
          <w:color w:val="auto"/>
          <w:szCs w:val="21"/>
          <w:highlight w:val="none"/>
        </w:rPr>
      </w:pPr>
    </w:p>
    <w:p w14:paraId="4C5A24D3">
      <w:pPr>
        <w:bidi w:val="0"/>
        <w:rPr>
          <w:rFonts w:hint="eastAsia" w:ascii="宋体" w:hAnsi="宋体" w:eastAsia="宋体" w:cs="宋体"/>
          <w:color w:val="auto"/>
          <w:szCs w:val="21"/>
          <w:highlight w:val="none"/>
        </w:rPr>
      </w:pPr>
    </w:p>
    <w:p w14:paraId="6981623D">
      <w:pPr>
        <w:bidi w:val="0"/>
        <w:rPr>
          <w:rFonts w:hint="eastAsia" w:ascii="宋体" w:hAnsi="宋体" w:eastAsia="宋体" w:cs="宋体"/>
          <w:color w:val="auto"/>
          <w:szCs w:val="21"/>
          <w:highlight w:val="none"/>
        </w:rPr>
      </w:pPr>
    </w:p>
    <w:p w14:paraId="7F877DD1">
      <w:pPr>
        <w:bidi w:val="0"/>
        <w:rPr>
          <w:rFonts w:hint="eastAsia" w:ascii="宋体" w:hAnsi="宋体" w:eastAsia="宋体" w:cs="宋体"/>
          <w:color w:val="auto"/>
          <w:szCs w:val="21"/>
          <w:highlight w:val="none"/>
        </w:rPr>
      </w:pPr>
    </w:p>
    <w:p w14:paraId="711A62C6">
      <w:pPr>
        <w:bidi w:val="0"/>
        <w:rPr>
          <w:rFonts w:hint="eastAsia" w:ascii="宋体" w:hAnsi="宋体" w:eastAsia="宋体" w:cs="宋体"/>
          <w:color w:val="auto"/>
          <w:szCs w:val="21"/>
          <w:highlight w:val="none"/>
        </w:rPr>
      </w:pPr>
    </w:p>
    <w:p w14:paraId="5B77D433">
      <w:pPr>
        <w:bidi w:val="0"/>
        <w:rPr>
          <w:rFonts w:hint="eastAsia" w:ascii="宋体" w:hAnsi="宋体" w:eastAsia="宋体" w:cs="宋体"/>
          <w:color w:val="auto"/>
          <w:szCs w:val="21"/>
          <w:highlight w:val="none"/>
        </w:rPr>
      </w:pPr>
    </w:p>
    <w:p w14:paraId="78DA6AF1">
      <w:pPr>
        <w:bidi w:val="0"/>
        <w:rPr>
          <w:rFonts w:hint="eastAsia" w:ascii="宋体" w:hAnsi="宋体" w:eastAsia="宋体" w:cs="宋体"/>
          <w:color w:val="auto"/>
          <w:szCs w:val="21"/>
          <w:highlight w:val="none"/>
        </w:rPr>
      </w:pPr>
    </w:p>
    <w:p w14:paraId="2AC0F534">
      <w:pPr>
        <w:bidi w:val="0"/>
        <w:rPr>
          <w:rFonts w:hint="eastAsia" w:ascii="宋体" w:hAnsi="宋体" w:eastAsia="宋体" w:cs="宋体"/>
          <w:color w:val="auto"/>
          <w:szCs w:val="21"/>
          <w:highlight w:val="none"/>
        </w:rPr>
      </w:pPr>
    </w:p>
    <w:p w14:paraId="3AC5DFA0">
      <w:pPr>
        <w:spacing w:line="500" w:lineRule="exact"/>
        <w:jc w:val="center"/>
        <w:outlineLvl w:val="2"/>
        <w:rPr>
          <w:rFonts w:hint="eastAsia" w:ascii="宋体" w:hAnsi="宋体" w:eastAsia="宋体" w:cs="宋体"/>
          <w:bCs/>
          <w:color w:val="auto"/>
          <w:sz w:val="44"/>
          <w:szCs w:val="44"/>
          <w:lang w:eastAsia="zh-CN"/>
        </w:rPr>
      </w:pPr>
      <w:bookmarkStart w:id="149" w:name="_Toc15234"/>
      <w:r>
        <w:rPr>
          <w:rFonts w:hint="eastAsia" w:ascii="宋体" w:hAnsi="宋体" w:eastAsia="宋体" w:cs="宋体"/>
          <w:bCs/>
          <w:color w:val="auto"/>
          <w:sz w:val="44"/>
          <w:szCs w:val="44"/>
        </w:rPr>
        <w:br w:type="column"/>
      </w:r>
      <w:r>
        <w:rPr>
          <w:rFonts w:hint="eastAsia" w:ascii="宋体" w:hAnsi="宋体" w:eastAsia="宋体" w:cs="宋体"/>
          <w:bCs/>
          <w:color w:val="auto"/>
          <w:sz w:val="44"/>
          <w:szCs w:val="44"/>
        </w:rPr>
        <w:t>商务条款偏离表</w:t>
      </w:r>
      <w:r>
        <w:rPr>
          <w:rFonts w:hint="eastAsia" w:ascii="宋体" w:hAnsi="宋体" w:eastAsia="宋体" w:cs="宋体"/>
          <w:bCs/>
          <w:color w:val="auto"/>
          <w:sz w:val="44"/>
          <w:szCs w:val="44"/>
          <w:lang w:eastAsia="zh-CN"/>
        </w:rPr>
        <w:t>（格式）</w:t>
      </w:r>
      <w:bookmarkEnd w:id="149"/>
    </w:p>
    <w:p w14:paraId="27EE42D4">
      <w:pPr>
        <w:snapToGrid w:val="0"/>
        <w:spacing w:before="50"/>
        <w:jc w:val="left"/>
        <w:rPr>
          <w:rFonts w:hint="eastAsia" w:ascii="宋体" w:hAnsi="宋体" w:eastAsia="宋体" w:cs="宋体"/>
          <w:color w:val="auto"/>
          <w:sz w:val="24"/>
        </w:rPr>
      </w:pPr>
    </w:p>
    <w:p w14:paraId="3D4964B5">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p w14:paraId="53E2C9AC">
      <w:pPr>
        <w:spacing w:line="360" w:lineRule="auto"/>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tbl>
      <w:tblPr>
        <w:tblStyle w:val="33"/>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14:paraId="2CE13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19EFB86">
            <w:pPr>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6683738">
            <w:pPr>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文件商务条款要求</w:t>
            </w:r>
          </w:p>
        </w:tc>
        <w:tc>
          <w:tcPr>
            <w:tcW w:w="2917" w:type="dxa"/>
            <w:tcBorders>
              <w:top w:val="single" w:color="auto" w:sz="4" w:space="0"/>
              <w:left w:val="single" w:color="auto" w:sz="4" w:space="0"/>
              <w:bottom w:val="single" w:color="auto" w:sz="4" w:space="0"/>
              <w:right w:val="single" w:color="auto" w:sz="4" w:space="0"/>
            </w:tcBorders>
            <w:noWrap w:val="0"/>
            <w:vAlign w:val="center"/>
          </w:tcPr>
          <w:p w14:paraId="3C4CDA79">
            <w:pPr>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供应商的承诺</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A364E20">
            <w:pPr>
              <w:snapToGrid w:val="0"/>
              <w:spacing w:before="156"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偏离说明</w:t>
            </w:r>
          </w:p>
        </w:tc>
      </w:tr>
      <w:tr w14:paraId="081F5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08AF5A9">
            <w:pPr>
              <w:spacing w:after="0" w:line="44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highlight w:val="yellow"/>
              </w:rPr>
              <w:t>服</w:t>
            </w:r>
            <w:r>
              <w:rPr>
                <w:rFonts w:hint="eastAsia" w:ascii="宋体" w:hAnsi="宋体" w:eastAsia="宋体" w:cs="宋体"/>
                <w:bCs/>
                <w:color w:val="auto"/>
                <w:sz w:val="21"/>
                <w:szCs w:val="21"/>
                <w:highlight w:val="none"/>
              </w:rPr>
              <w:t>务的时间或服务期限</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3365335">
            <w:pPr>
              <w:snapToGrid w:val="0"/>
              <w:spacing w:before="156" w:beforeLines="50" w:line="360" w:lineRule="auto"/>
              <w:jc w:val="center"/>
              <w:rPr>
                <w:rFonts w:hint="eastAsia" w:ascii="宋体" w:hAnsi="宋体" w:eastAsia="宋体" w:cs="宋体"/>
                <w:color w:val="auto"/>
                <w:sz w:val="24"/>
              </w:rPr>
            </w:pPr>
          </w:p>
        </w:tc>
        <w:tc>
          <w:tcPr>
            <w:tcW w:w="2917" w:type="dxa"/>
            <w:tcBorders>
              <w:top w:val="single" w:color="auto" w:sz="4" w:space="0"/>
              <w:left w:val="single" w:color="auto" w:sz="4" w:space="0"/>
              <w:bottom w:val="single" w:color="auto" w:sz="4" w:space="0"/>
              <w:right w:val="single" w:color="auto" w:sz="4" w:space="0"/>
            </w:tcBorders>
            <w:noWrap w:val="0"/>
            <w:vAlign w:val="center"/>
          </w:tcPr>
          <w:p w14:paraId="41BE5003">
            <w:pPr>
              <w:snapToGrid w:val="0"/>
              <w:spacing w:before="156" w:beforeLines="50" w:line="360" w:lineRule="auto"/>
              <w:jc w:val="center"/>
              <w:rPr>
                <w:rFonts w:hint="eastAsia" w:ascii="宋体" w:hAnsi="宋体" w:eastAsia="宋体" w:cs="宋体"/>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080DC9B">
            <w:pPr>
              <w:snapToGrid w:val="0"/>
              <w:spacing w:before="156" w:beforeLines="50" w:line="360" w:lineRule="auto"/>
              <w:jc w:val="center"/>
              <w:rPr>
                <w:rFonts w:hint="eastAsia" w:ascii="宋体" w:hAnsi="宋体" w:eastAsia="宋体" w:cs="宋体"/>
                <w:color w:val="auto"/>
                <w:sz w:val="24"/>
              </w:rPr>
            </w:pPr>
          </w:p>
        </w:tc>
      </w:tr>
      <w:tr w14:paraId="48202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56488FA">
            <w:pPr>
              <w:spacing w:after="0" w:line="440" w:lineRule="exact"/>
              <w:jc w:val="center"/>
              <w:rPr>
                <w:rFonts w:hint="eastAsia" w:ascii="宋体" w:hAnsi="宋体" w:eastAsia="宋体" w:cs="宋体"/>
                <w:color w:val="auto"/>
                <w:sz w:val="24"/>
              </w:rPr>
            </w:pPr>
            <w:r>
              <w:rPr>
                <w:rFonts w:hint="eastAsia" w:ascii="宋体" w:hAnsi="宋体" w:eastAsia="宋体" w:cs="宋体"/>
                <w:bCs/>
                <w:color w:val="auto"/>
                <w:sz w:val="21"/>
                <w:szCs w:val="21"/>
              </w:rPr>
              <w:t>服务地点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699F1EC">
            <w:pPr>
              <w:snapToGrid w:val="0"/>
              <w:spacing w:before="156" w:beforeLines="50" w:line="360" w:lineRule="auto"/>
              <w:jc w:val="center"/>
              <w:rPr>
                <w:rFonts w:hint="eastAsia" w:ascii="宋体" w:hAnsi="宋体" w:eastAsia="宋体" w:cs="宋体"/>
                <w:color w:val="auto"/>
                <w:sz w:val="24"/>
              </w:rPr>
            </w:pPr>
          </w:p>
        </w:tc>
        <w:tc>
          <w:tcPr>
            <w:tcW w:w="2917" w:type="dxa"/>
            <w:tcBorders>
              <w:top w:val="single" w:color="auto" w:sz="4" w:space="0"/>
              <w:left w:val="single" w:color="auto" w:sz="4" w:space="0"/>
              <w:bottom w:val="single" w:color="auto" w:sz="4" w:space="0"/>
              <w:right w:val="single" w:color="auto" w:sz="4" w:space="0"/>
            </w:tcBorders>
            <w:noWrap w:val="0"/>
            <w:vAlign w:val="center"/>
          </w:tcPr>
          <w:p w14:paraId="685D9C92">
            <w:pPr>
              <w:snapToGrid w:val="0"/>
              <w:spacing w:before="156" w:beforeLines="50" w:line="360" w:lineRule="auto"/>
              <w:ind w:left="43"/>
              <w:jc w:val="center"/>
              <w:rPr>
                <w:rFonts w:hint="eastAsia" w:ascii="宋体" w:hAnsi="宋体" w:eastAsia="宋体" w:cs="宋体"/>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BFCA826">
            <w:pPr>
              <w:snapToGrid w:val="0"/>
              <w:spacing w:before="156" w:beforeLines="50" w:line="360" w:lineRule="auto"/>
              <w:ind w:left="43"/>
              <w:jc w:val="center"/>
              <w:rPr>
                <w:rFonts w:hint="eastAsia" w:ascii="宋体" w:hAnsi="宋体" w:eastAsia="宋体" w:cs="宋体"/>
                <w:color w:val="auto"/>
                <w:sz w:val="24"/>
              </w:rPr>
            </w:pPr>
          </w:p>
        </w:tc>
      </w:tr>
      <w:tr w14:paraId="240ED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31499DE">
            <w:pPr>
              <w:spacing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A88985">
            <w:pPr>
              <w:snapToGrid w:val="0"/>
              <w:spacing w:before="156" w:beforeLines="50" w:line="360" w:lineRule="auto"/>
              <w:jc w:val="center"/>
              <w:rPr>
                <w:rFonts w:hint="eastAsia" w:ascii="宋体" w:hAnsi="宋体" w:eastAsia="宋体" w:cs="宋体"/>
                <w:color w:val="auto"/>
                <w:sz w:val="24"/>
              </w:rPr>
            </w:pPr>
          </w:p>
        </w:tc>
        <w:tc>
          <w:tcPr>
            <w:tcW w:w="2917" w:type="dxa"/>
            <w:tcBorders>
              <w:top w:val="single" w:color="auto" w:sz="4" w:space="0"/>
              <w:left w:val="single" w:color="auto" w:sz="4" w:space="0"/>
              <w:bottom w:val="single" w:color="auto" w:sz="4" w:space="0"/>
              <w:right w:val="single" w:color="auto" w:sz="4" w:space="0"/>
            </w:tcBorders>
            <w:noWrap w:val="0"/>
            <w:vAlign w:val="center"/>
          </w:tcPr>
          <w:p w14:paraId="221F869A">
            <w:pPr>
              <w:snapToGrid w:val="0"/>
              <w:spacing w:before="156" w:beforeLines="50" w:line="360" w:lineRule="auto"/>
              <w:jc w:val="center"/>
              <w:rPr>
                <w:rFonts w:hint="eastAsia" w:ascii="宋体" w:hAnsi="宋体" w:eastAsia="宋体" w:cs="宋体"/>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0DC8116">
            <w:pPr>
              <w:snapToGrid w:val="0"/>
              <w:spacing w:before="156" w:beforeLines="50" w:line="360" w:lineRule="auto"/>
              <w:jc w:val="center"/>
              <w:rPr>
                <w:rFonts w:hint="eastAsia" w:ascii="宋体" w:hAnsi="宋体" w:eastAsia="宋体" w:cs="宋体"/>
                <w:color w:val="auto"/>
                <w:sz w:val="24"/>
              </w:rPr>
            </w:pPr>
          </w:p>
        </w:tc>
      </w:tr>
      <w:tr w14:paraId="4EE7C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549E985">
            <w:pPr>
              <w:spacing w:after="0" w:line="440" w:lineRule="exact"/>
              <w:jc w:val="center"/>
              <w:rPr>
                <w:rFonts w:hint="eastAsia" w:ascii="宋体" w:hAnsi="宋体" w:eastAsia="宋体" w:cs="宋体"/>
                <w:color w:val="auto"/>
                <w:sz w:val="21"/>
                <w:szCs w:val="21"/>
              </w:rPr>
            </w:pPr>
            <w:r>
              <w:rPr>
                <w:rFonts w:hint="eastAsia" w:ascii="宋体" w:hAnsi="宋体" w:eastAsia="宋体" w:cs="宋体"/>
                <w:bCs/>
                <w:color w:val="auto"/>
                <w:sz w:val="21"/>
                <w:szCs w:val="21"/>
              </w:rPr>
              <w:t>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2260C0A">
            <w:pPr>
              <w:snapToGrid w:val="0"/>
              <w:spacing w:before="156" w:beforeLines="50" w:line="360" w:lineRule="auto"/>
              <w:jc w:val="center"/>
              <w:rPr>
                <w:rFonts w:hint="eastAsia" w:ascii="宋体" w:hAnsi="宋体" w:eastAsia="宋体" w:cs="宋体"/>
                <w:color w:val="auto"/>
                <w:sz w:val="24"/>
              </w:rPr>
            </w:pPr>
          </w:p>
        </w:tc>
        <w:tc>
          <w:tcPr>
            <w:tcW w:w="2917" w:type="dxa"/>
            <w:tcBorders>
              <w:top w:val="single" w:color="auto" w:sz="4" w:space="0"/>
              <w:left w:val="single" w:color="auto" w:sz="4" w:space="0"/>
              <w:bottom w:val="single" w:color="auto" w:sz="4" w:space="0"/>
              <w:right w:val="single" w:color="auto" w:sz="4" w:space="0"/>
            </w:tcBorders>
            <w:noWrap w:val="0"/>
            <w:vAlign w:val="center"/>
          </w:tcPr>
          <w:p w14:paraId="0F3FB51E">
            <w:pPr>
              <w:snapToGrid w:val="0"/>
              <w:spacing w:before="156" w:beforeLines="50" w:line="360" w:lineRule="auto"/>
              <w:jc w:val="center"/>
              <w:rPr>
                <w:rFonts w:hint="eastAsia" w:ascii="宋体" w:hAnsi="宋体" w:eastAsia="宋体" w:cs="宋体"/>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B77DF69">
            <w:pPr>
              <w:snapToGrid w:val="0"/>
              <w:spacing w:before="156" w:beforeLines="50" w:line="360" w:lineRule="auto"/>
              <w:jc w:val="center"/>
              <w:rPr>
                <w:rFonts w:hint="eastAsia" w:ascii="宋体" w:hAnsi="宋体" w:eastAsia="宋体" w:cs="宋体"/>
                <w:color w:val="auto"/>
                <w:sz w:val="24"/>
              </w:rPr>
            </w:pPr>
          </w:p>
        </w:tc>
      </w:tr>
      <w:tr w14:paraId="37244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703C8B9">
            <w:pPr>
              <w:spacing w:after="0" w:line="44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3A642C">
            <w:pPr>
              <w:snapToGrid w:val="0"/>
              <w:spacing w:before="156" w:beforeLines="50" w:line="360" w:lineRule="auto"/>
              <w:jc w:val="center"/>
              <w:rPr>
                <w:rFonts w:hint="eastAsia" w:ascii="宋体" w:hAnsi="宋体" w:eastAsia="宋体" w:cs="宋体"/>
                <w:color w:val="auto"/>
                <w:sz w:val="24"/>
              </w:rPr>
            </w:pPr>
          </w:p>
        </w:tc>
        <w:tc>
          <w:tcPr>
            <w:tcW w:w="2917" w:type="dxa"/>
            <w:tcBorders>
              <w:top w:val="single" w:color="auto" w:sz="4" w:space="0"/>
              <w:left w:val="single" w:color="auto" w:sz="4" w:space="0"/>
              <w:bottom w:val="single" w:color="auto" w:sz="4" w:space="0"/>
              <w:right w:val="single" w:color="auto" w:sz="4" w:space="0"/>
            </w:tcBorders>
            <w:noWrap w:val="0"/>
            <w:vAlign w:val="center"/>
          </w:tcPr>
          <w:p w14:paraId="59BCA60A">
            <w:pPr>
              <w:snapToGrid w:val="0"/>
              <w:spacing w:before="156" w:beforeLines="50" w:line="360" w:lineRule="auto"/>
              <w:jc w:val="center"/>
              <w:rPr>
                <w:rFonts w:hint="eastAsia" w:ascii="宋体" w:hAnsi="宋体" w:eastAsia="宋体" w:cs="宋体"/>
                <w:color w:val="auto"/>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EFBD67B">
            <w:pPr>
              <w:snapToGrid w:val="0"/>
              <w:spacing w:before="156" w:beforeLines="50" w:line="360" w:lineRule="auto"/>
              <w:jc w:val="center"/>
              <w:rPr>
                <w:rFonts w:hint="eastAsia" w:ascii="宋体" w:hAnsi="宋体" w:eastAsia="宋体" w:cs="宋体"/>
                <w:color w:val="auto"/>
                <w:sz w:val="24"/>
              </w:rPr>
            </w:pPr>
          </w:p>
        </w:tc>
      </w:tr>
    </w:tbl>
    <w:p w14:paraId="4ECC6994">
      <w:pPr>
        <w:pStyle w:val="15"/>
        <w:rPr>
          <w:rFonts w:hint="eastAsia" w:ascii="宋体" w:hAnsi="宋体" w:eastAsia="宋体" w:cs="宋体"/>
          <w:color w:val="auto"/>
          <w:kern w:val="0"/>
          <w:sz w:val="24"/>
          <w:szCs w:val="24"/>
        </w:rPr>
      </w:pPr>
    </w:p>
    <w:p w14:paraId="1A43465A">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w:t>
      </w:r>
    </w:p>
    <w:p w14:paraId="12C66025">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说明：应对照</w:t>
      </w:r>
      <w:r>
        <w:rPr>
          <w:rFonts w:hint="eastAsia" w:ascii="宋体" w:hAnsi="宋体" w:eastAsia="宋体" w:cs="宋体"/>
          <w:color w:val="auto"/>
          <w:kern w:val="0"/>
          <w:sz w:val="21"/>
          <w:szCs w:val="21"/>
          <w:lang w:eastAsia="zh-CN"/>
        </w:rPr>
        <w:t>磋商</w:t>
      </w:r>
      <w:r>
        <w:rPr>
          <w:rFonts w:hint="eastAsia" w:ascii="宋体" w:hAnsi="宋体" w:eastAsia="宋体" w:cs="宋体"/>
          <w:color w:val="auto"/>
          <w:kern w:val="0"/>
          <w:sz w:val="21"/>
          <w:szCs w:val="21"/>
        </w:rPr>
        <w:t>文件“第三章 采购需求”中的商务条款逐条实质性响应，并作出偏离说明。</w:t>
      </w:r>
    </w:p>
    <w:p w14:paraId="6D2601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2.供应商应根据自身的承诺，对照</w:t>
      </w:r>
      <w:r>
        <w:rPr>
          <w:rFonts w:hint="eastAsia" w:ascii="宋体" w:hAnsi="宋体" w:eastAsia="宋体" w:cs="宋体"/>
          <w:color w:val="auto"/>
          <w:kern w:val="0"/>
          <w:sz w:val="21"/>
          <w:szCs w:val="21"/>
          <w:lang w:eastAsia="zh-CN"/>
        </w:rPr>
        <w:t>磋商</w:t>
      </w:r>
      <w:r>
        <w:rPr>
          <w:rFonts w:hint="eastAsia" w:ascii="宋体" w:hAnsi="宋体" w:eastAsia="宋体" w:cs="宋体"/>
          <w:color w:val="auto"/>
          <w:kern w:val="0"/>
          <w:sz w:val="21"/>
          <w:szCs w:val="21"/>
        </w:rPr>
        <w:t>文件要求在“偏离说明”中注明“正偏离”、“负偏离”或者“无偏离”。既不属于“正偏离”也不属于“负偏离”即为“无偏离”。</w:t>
      </w:r>
    </w:p>
    <w:p w14:paraId="443A337A">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0AE22BAA">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60D2AECC">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BCD235F">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155815C">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3A56604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64F5349">
      <w:pPr>
        <w:adjustRightInd w:val="0"/>
        <w:snapToGrid w:val="0"/>
        <w:spacing w:line="300" w:lineRule="auto"/>
        <w:jc w:val="center"/>
        <w:outlineLvl w:val="2"/>
        <w:rPr>
          <w:rFonts w:hint="eastAsia" w:ascii="宋体" w:hAnsi="宋体" w:eastAsia="宋体" w:cs="宋体"/>
          <w:bCs/>
          <w:color w:val="auto"/>
          <w:sz w:val="44"/>
          <w:szCs w:val="44"/>
        </w:rPr>
      </w:pPr>
      <w:bookmarkStart w:id="150" w:name="_Toc27049"/>
      <w:r>
        <w:rPr>
          <w:rFonts w:hint="eastAsia" w:ascii="宋体" w:hAnsi="宋体" w:eastAsia="宋体" w:cs="宋体"/>
          <w:bCs/>
          <w:color w:val="auto"/>
          <w:sz w:val="44"/>
          <w:szCs w:val="44"/>
        </w:rPr>
        <w:t>技术需求偏离表</w:t>
      </w:r>
      <w:r>
        <w:rPr>
          <w:rFonts w:hint="eastAsia" w:ascii="宋体" w:hAnsi="宋体" w:eastAsia="宋体" w:cs="宋体"/>
          <w:bCs/>
          <w:color w:val="auto"/>
          <w:sz w:val="44"/>
          <w:szCs w:val="44"/>
          <w:lang w:eastAsia="zh-CN"/>
        </w:rPr>
        <w:t>（格式）</w:t>
      </w:r>
      <w:bookmarkEnd w:id="150"/>
    </w:p>
    <w:p w14:paraId="274F6C5E">
      <w:pPr>
        <w:spacing w:line="520" w:lineRule="exact"/>
        <w:rPr>
          <w:rFonts w:hint="eastAsia" w:ascii="宋体" w:hAnsi="宋体" w:eastAsia="宋体" w:cs="宋体"/>
          <w:color w:val="auto"/>
          <w:sz w:val="32"/>
          <w:szCs w:val="32"/>
        </w:rPr>
      </w:pPr>
    </w:p>
    <w:p w14:paraId="37578F44">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p w14:paraId="69CD1B6F">
      <w:pPr>
        <w:spacing w:line="360" w:lineRule="auto"/>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tbl>
      <w:tblPr>
        <w:tblStyle w:val="33"/>
        <w:tblW w:w="479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5"/>
        <w:gridCol w:w="877"/>
        <w:gridCol w:w="2912"/>
        <w:gridCol w:w="2622"/>
        <w:gridCol w:w="1431"/>
      </w:tblGrid>
      <w:tr w14:paraId="20EC6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502" w:type="pct"/>
            <w:noWrap w:val="0"/>
            <w:vAlign w:val="center"/>
          </w:tcPr>
          <w:p w14:paraId="3136CAA0">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151" w:name="_Toc301781611"/>
            <w:bookmarkStart w:id="152" w:name="_Toc383699906"/>
            <w:bookmarkStart w:id="153" w:name="_Toc173211900"/>
            <w:bookmarkStart w:id="154" w:name="_Toc254970729"/>
            <w:bookmarkStart w:id="155" w:name="_Toc254970588"/>
            <w:bookmarkStart w:id="156" w:name="_Toc295404981"/>
            <w:bookmarkStart w:id="157" w:name="_Toc173066401"/>
            <w:bookmarkStart w:id="158" w:name="_Toc373333689"/>
            <w:bookmarkStart w:id="159" w:name="_Toc297193185"/>
            <w:r>
              <w:rPr>
                <w:rFonts w:hint="eastAsia" w:ascii="宋体" w:hAnsi="宋体" w:eastAsia="宋体" w:cs="宋体"/>
                <w:color w:val="auto"/>
                <w:kern w:val="2"/>
                <w:sz w:val="24"/>
                <w:szCs w:val="24"/>
                <w:lang w:val="en-US" w:eastAsia="zh-CN"/>
              </w:rPr>
              <w:t>序号</w:t>
            </w:r>
            <w:bookmarkEnd w:id="151"/>
            <w:bookmarkEnd w:id="152"/>
            <w:bookmarkEnd w:id="153"/>
            <w:bookmarkEnd w:id="154"/>
            <w:bookmarkEnd w:id="155"/>
            <w:bookmarkEnd w:id="156"/>
            <w:bookmarkEnd w:id="157"/>
            <w:bookmarkEnd w:id="158"/>
            <w:bookmarkEnd w:id="159"/>
          </w:p>
        </w:tc>
        <w:tc>
          <w:tcPr>
            <w:tcW w:w="503" w:type="pct"/>
            <w:tcBorders>
              <w:right w:val="single" w:color="auto" w:sz="4" w:space="0"/>
            </w:tcBorders>
            <w:noWrap w:val="0"/>
            <w:vAlign w:val="center"/>
          </w:tcPr>
          <w:p w14:paraId="79A2D313">
            <w:pPr>
              <w:pStyle w:val="17"/>
              <w:spacing w:line="360" w:lineRule="auto"/>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名称</w:t>
            </w:r>
          </w:p>
        </w:tc>
        <w:tc>
          <w:tcPr>
            <w:tcW w:w="1670" w:type="pct"/>
            <w:tcBorders>
              <w:left w:val="single" w:color="auto" w:sz="4" w:space="0"/>
            </w:tcBorders>
            <w:noWrap w:val="0"/>
            <w:vAlign w:val="center"/>
          </w:tcPr>
          <w:p w14:paraId="3150BCD9">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160" w:name="_Toc383699907"/>
            <w:bookmarkStart w:id="161" w:name="_Toc173066402"/>
            <w:bookmarkStart w:id="162" w:name="_Toc254970730"/>
            <w:bookmarkStart w:id="163" w:name="_Toc301781612"/>
            <w:bookmarkStart w:id="164" w:name="_Toc173211901"/>
            <w:bookmarkStart w:id="165" w:name="_Toc295404982"/>
            <w:bookmarkStart w:id="166" w:name="_Toc254970589"/>
            <w:bookmarkStart w:id="167" w:name="_Toc297193186"/>
            <w:bookmarkStart w:id="168" w:name="_Toc373333690"/>
            <w:r>
              <w:rPr>
                <w:rFonts w:hint="eastAsia" w:ascii="宋体" w:hAnsi="宋体" w:eastAsia="宋体" w:cs="宋体"/>
                <w:color w:val="auto"/>
                <w:kern w:val="2"/>
                <w:sz w:val="24"/>
                <w:szCs w:val="24"/>
                <w:lang w:val="en-US" w:eastAsia="zh-CN"/>
              </w:rPr>
              <w:t>磋商文件要求</w:t>
            </w:r>
            <w:bookmarkEnd w:id="160"/>
            <w:bookmarkEnd w:id="161"/>
            <w:bookmarkEnd w:id="162"/>
            <w:bookmarkEnd w:id="163"/>
            <w:bookmarkEnd w:id="164"/>
            <w:bookmarkEnd w:id="165"/>
            <w:bookmarkEnd w:id="166"/>
            <w:bookmarkEnd w:id="167"/>
            <w:bookmarkEnd w:id="168"/>
          </w:p>
        </w:tc>
        <w:tc>
          <w:tcPr>
            <w:tcW w:w="1503" w:type="pct"/>
            <w:noWrap w:val="0"/>
            <w:vAlign w:val="center"/>
          </w:tcPr>
          <w:p w14:paraId="1480D9F1">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169" w:name="_Toc295404983"/>
            <w:bookmarkStart w:id="170" w:name="_Toc173066403"/>
            <w:bookmarkStart w:id="171" w:name="_Toc373333691"/>
            <w:bookmarkStart w:id="172" w:name="_Toc301781613"/>
            <w:bookmarkStart w:id="173" w:name="_Toc254970731"/>
            <w:bookmarkStart w:id="174" w:name="_Toc254970590"/>
            <w:bookmarkStart w:id="175" w:name="_Toc383699908"/>
            <w:bookmarkStart w:id="176" w:name="_Toc297193187"/>
            <w:bookmarkStart w:id="177" w:name="_Toc173211902"/>
            <w:r>
              <w:rPr>
                <w:rFonts w:hint="eastAsia" w:ascii="宋体" w:hAnsi="宋体" w:eastAsia="宋体" w:cs="宋体"/>
                <w:color w:val="auto"/>
                <w:kern w:val="2"/>
                <w:sz w:val="24"/>
                <w:szCs w:val="24"/>
                <w:lang w:val="en-US" w:eastAsia="zh-CN"/>
              </w:rPr>
              <w:t>竞标响应</w:t>
            </w:r>
            <w:bookmarkEnd w:id="169"/>
            <w:bookmarkEnd w:id="170"/>
            <w:bookmarkEnd w:id="171"/>
            <w:bookmarkEnd w:id="172"/>
            <w:bookmarkEnd w:id="173"/>
            <w:bookmarkEnd w:id="174"/>
            <w:bookmarkEnd w:id="175"/>
            <w:bookmarkEnd w:id="176"/>
            <w:bookmarkEnd w:id="177"/>
          </w:p>
        </w:tc>
        <w:tc>
          <w:tcPr>
            <w:tcW w:w="820" w:type="pct"/>
            <w:noWrap w:val="0"/>
            <w:vAlign w:val="center"/>
          </w:tcPr>
          <w:p w14:paraId="7327CB06">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178" w:name="_Toc373333692"/>
            <w:bookmarkStart w:id="179" w:name="_Toc254970591"/>
            <w:bookmarkStart w:id="180" w:name="_Toc297193188"/>
            <w:bookmarkStart w:id="181" w:name="_Toc383699909"/>
            <w:bookmarkStart w:id="182" w:name="_Toc173066404"/>
            <w:bookmarkStart w:id="183" w:name="_Toc301781614"/>
            <w:bookmarkStart w:id="184" w:name="_Toc295404984"/>
            <w:bookmarkStart w:id="185" w:name="_Toc254970732"/>
            <w:bookmarkStart w:id="186" w:name="_Toc173211903"/>
            <w:r>
              <w:rPr>
                <w:rFonts w:hint="eastAsia" w:ascii="宋体" w:hAnsi="宋体" w:eastAsia="宋体" w:cs="宋体"/>
                <w:color w:val="auto"/>
                <w:kern w:val="2"/>
                <w:sz w:val="24"/>
                <w:szCs w:val="24"/>
                <w:lang w:val="en-US" w:eastAsia="zh-CN"/>
              </w:rPr>
              <w:t>偏离</w:t>
            </w:r>
            <w:bookmarkEnd w:id="178"/>
            <w:bookmarkEnd w:id="179"/>
            <w:bookmarkEnd w:id="180"/>
            <w:bookmarkEnd w:id="181"/>
            <w:bookmarkEnd w:id="182"/>
            <w:bookmarkEnd w:id="183"/>
            <w:bookmarkEnd w:id="184"/>
            <w:bookmarkEnd w:id="185"/>
            <w:bookmarkEnd w:id="186"/>
            <w:r>
              <w:rPr>
                <w:rFonts w:hint="eastAsia" w:ascii="宋体" w:hAnsi="宋体" w:eastAsia="宋体" w:cs="宋体"/>
                <w:color w:val="auto"/>
                <w:kern w:val="2"/>
                <w:sz w:val="24"/>
                <w:szCs w:val="24"/>
                <w:lang w:val="en-US" w:eastAsia="zh-CN"/>
              </w:rPr>
              <w:t>说明</w:t>
            </w:r>
          </w:p>
        </w:tc>
      </w:tr>
      <w:tr w14:paraId="09E02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502" w:type="pct"/>
            <w:noWrap w:val="0"/>
            <w:vAlign w:val="center"/>
          </w:tcPr>
          <w:p w14:paraId="339A4AE3">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187" w:name="_Toc295404986"/>
            <w:bookmarkStart w:id="188" w:name="_Toc373333694"/>
            <w:bookmarkStart w:id="189" w:name="_Toc383699911"/>
            <w:bookmarkStart w:id="190" w:name="_Toc173066406"/>
            <w:bookmarkStart w:id="191" w:name="_Toc301781616"/>
            <w:bookmarkStart w:id="192" w:name="_Toc173211905"/>
            <w:bookmarkStart w:id="193" w:name="_Toc254970734"/>
            <w:bookmarkStart w:id="194" w:name="_Toc297193190"/>
            <w:bookmarkStart w:id="195" w:name="_Toc254970593"/>
            <w:r>
              <w:rPr>
                <w:rFonts w:hint="eastAsia" w:ascii="宋体" w:hAnsi="宋体" w:eastAsia="宋体" w:cs="宋体"/>
                <w:color w:val="auto"/>
                <w:kern w:val="2"/>
                <w:sz w:val="24"/>
                <w:szCs w:val="24"/>
                <w:lang w:val="en-US" w:eastAsia="zh-CN"/>
              </w:rPr>
              <w:t>1</w:t>
            </w:r>
            <w:bookmarkEnd w:id="187"/>
            <w:bookmarkEnd w:id="188"/>
            <w:bookmarkEnd w:id="189"/>
            <w:bookmarkEnd w:id="190"/>
            <w:bookmarkEnd w:id="191"/>
            <w:bookmarkEnd w:id="192"/>
            <w:bookmarkEnd w:id="193"/>
            <w:bookmarkEnd w:id="194"/>
            <w:bookmarkEnd w:id="195"/>
          </w:p>
        </w:tc>
        <w:tc>
          <w:tcPr>
            <w:tcW w:w="503" w:type="pct"/>
            <w:tcBorders>
              <w:right w:val="single" w:color="auto" w:sz="4" w:space="0"/>
            </w:tcBorders>
            <w:noWrap w:val="0"/>
            <w:vAlign w:val="center"/>
          </w:tcPr>
          <w:p w14:paraId="5F4B9B08">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670" w:type="pct"/>
            <w:tcBorders>
              <w:left w:val="single" w:color="auto" w:sz="4" w:space="0"/>
            </w:tcBorders>
            <w:noWrap w:val="0"/>
            <w:vAlign w:val="center"/>
          </w:tcPr>
          <w:p w14:paraId="62FDA607">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503" w:type="pct"/>
            <w:noWrap w:val="0"/>
            <w:vAlign w:val="center"/>
          </w:tcPr>
          <w:p w14:paraId="5E68D4B8">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820" w:type="pct"/>
            <w:noWrap w:val="0"/>
            <w:vAlign w:val="center"/>
          </w:tcPr>
          <w:p w14:paraId="78488D7D">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r>
      <w:tr w14:paraId="2FD9A9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502" w:type="pct"/>
            <w:noWrap w:val="0"/>
            <w:vAlign w:val="center"/>
          </w:tcPr>
          <w:p w14:paraId="63C13957">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196" w:name="_Toc383699912"/>
            <w:bookmarkStart w:id="197" w:name="_Toc297193191"/>
            <w:bookmarkStart w:id="198" w:name="_Toc301781617"/>
            <w:bookmarkStart w:id="199" w:name="_Toc373333695"/>
            <w:bookmarkStart w:id="200" w:name="_Toc173066407"/>
            <w:bookmarkStart w:id="201" w:name="_Toc173211906"/>
            <w:bookmarkStart w:id="202" w:name="_Toc295404987"/>
            <w:bookmarkStart w:id="203" w:name="_Toc254970594"/>
            <w:bookmarkStart w:id="204" w:name="_Toc254970735"/>
            <w:r>
              <w:rPr>
                <w:rFonts w:hint="eastAsia" w:ascii="宋体" w:hAnsi="宋体" w:eastAsia="宋体" w:cs="宋体"/>
                <w:color w:val="auto"/>
                <w:kern w:val="2"/>
                <w:sz w:val="24"/>
                <w:szCs w:val="24"/>
                <w:lang w:val="en-US" w:eastAsia="zh-CN"/>
              </w:rPr>
              <w:t>2</w:t>
            </w:r>
            <w:bookmarkEnd w:id="196"/>
            <w:bookmarkEnd w:id="197"/>
            <w:bookmarkEnd w:id="198"/>
            <w:bookmarkEnd w:id="199"/>
            <w:bookmarkEnd w:id="200"/>
            <w:bookmarkEnd w:id="201"/>
            <w:bookmarkEnd w:id="202"/>
            <w:bookmarkEnd w:id="203"/>
            <w:bookmarkEnd w:id="204"/>
          </w:p>
        </w:tc>
        <w:tc>
          <w:tcPr>
            <w:tcW w:w="503" w:type="pct"/>
            <w:tcBorders>
              <w:right w:val="single" w:color="auto" w:sz="4" w:space="0"/>
            </w:tcBorders>
            <w:noWrap w:val="0"/>
            <w:vAlign w:val="center"/>
          </w:tcPr>
          <w:p w14:paraId="5B108E96">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670" w:type="pct"/>
            <w:tcBorders>
              <w:left w:val="single" w:color="auto" w:sz="4" w:space="0"/>
            </w:tcBorders>
            <w:noWrap w:val="0"/>
            <w:vAlign w:val="center"/>
          </w:tcPr>
          <w:p w14:paraId="50E22389">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503" w:type="pct"/>
            <w:noWrap w:val="0"/>
            <w:vAlign w:val="center"/>
          </w:tcPr>
          <w:p w14:paraId="0DCDCD4C">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820" w:type="pct"/>
            <w:noWrap w:val="0"/>
            <w:vAlign w:val="center"/>
          </w:tcPr>
          <w:p w14:paraId="1DF0454F">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r>
      <w:tr w14:paraId="473757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502" w:type="pct"/>
            <w:noWrap w:val="0"/>
            <w:vAlign w:val="center"/>
          </w:tcPr>
          <w:p w14:paraId="13EAC1BB">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205" w:name="_Toc373333696"/>
            <w:bookmarkStart w:id="206" w:name="_Toc297193192"/>
            <w:bookmarkStart w:id="207" w:name="_Toc254970595"/>
            <w:bookmarkStart w:id="208" w:name="_Toc301781618"/>
            <w:bookmarkStart w:id="209" w:name="_Toc254970736"/>
            <w:bookmarkStart w:id="210" w:name="_Toc295404988"/>
            <w:bookmarkStart w:id="211" w:name="_Toc173211907"/>
            <w:bookmarkStart w:id="212" w:name="_Toc383699913"/>
            <w:bookmarkStart w:id="213" w:name="_Toc173066408"/>
            <w:r>
              <w:rPr>
                <w:rFonts w:hint="eastAsia" w:ascii="宋体" w:hAnsi="宋体" w:eastAsia="宋体" w:cs="宋体"/>
                <w:color w:val="auto"/>
                <w:kern w:val="2"/>
                <w:sz w:val="24"/>
                <w:szCs w:val="24"/>
                <w:lang w:val="en-US" w:eastAsia="zh-CN"/>
              </w:rPr>
              <w:t>3</w:t>
            </w:r>
            <w:bookmarkEnd w:id="205"/>
            <w:bookmarkEnd w:id="206"/>
            <w:bookmarkEnd w:id="207"/>
            <w:bookmarkEnd w:id="208"/>
            <w:bookmarkEnd w:id="209"/>
            <w:bookmarkEnd w:id="210"/>
            <w:bookmarkEnd w:id="211"/>
            <w:bookmarkEnd w:id="212"/>
            <w:bookmarkEnd w:id="213"/>
          </w:p>
        </w:tc>
        <w:tc>
          <w:tcPr>
            <w:tcW w:w="503" w:type="pct"/>
            <w:tcBorders>
              <w:right w:val="single" w:color="auto" w:sz="4" w:space="0"/>
            </w:tcBorders>
            <w:noWrap w:val="0"/>
            <w:vAlign w:val="center"/>
          </w:tcPr>
          <w:p w14:paraId="6AE1880F">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670" w:type="pct"/>
            <w:tcBorders>
              <w:left w:val="single" w:color="auto" w:sz="4" w:space="0"/>
            </w:tcBorders>
            <w:noWrap w:val="0"/>
            <w:vAlign w:val="center"/>
          </w:tcPr>
          <w:p w14:paraId="30278DB1">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503" w:type="pct"/>
            <w:noWrap w:val="0"/>
            <w:vAlign w:val="center"/>
          </w:tcPr>
          <w:p w14:paraId="5E592927">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820" w:type="pct"/>
            <w:noWrap w:val="0"/>
            <w:vAlign w:val="center"/>
          </w:tcPr>
          <w:p w14:paraId="07D35760">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r>
      <w:tr w14:paraId="2330D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502" w:type="pct"/>
            <w:noWrap w:val="0"/>
            <w:vAlign w:val="center"/>
          </w:tcPr>
          <w:p w14:paraId="1DB29D2E">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214" w:name="_Toc295404989"/>
            <w:bookmarkStart w:id="215" w:name="_Toc173066409"/>
            <w:bookmarkStart w:id="216" w:name="_Toc173211908"/>
            <w:bookmarkStart w:id="217" w:name="_Toc254970596"/>
            <w:bookmarkStart w:id="218" w:name="_Toc297193193"/>
            <w:bookmarkStart w:id="219" w:name="_Toc254970737"/>
            <w:bookmarkStart w:id="220" w:name="_Toc373333697"/>
            <w:bookmarkStart w:id="221" w:name="_Toc383699914"/>
            <w:bookmarkStart w:id="222" w:name="_Toc301781619"/>
            <w:r>
              <w:rPr>
                <w:rFonts w:hint="eastAsia" w:ascii="宋体" w:hAnsi="宋体" w:eastAsia="宋体" w:cs="宋体"/>
                <w:color w:val="auto"/>
                <w:kern w:val="2"/>
                <w:sz w:val="24"/>
                <w:szCs w:val="24"/>
                <w:lang w:val="en-US" w:eastAsia="zh-CN"/>
              </w:rPr>
              <w:t>4</w:t>
            </w:r>
            <w:bookmarkEnd w:id="214"/>
            <w:bookmarkEnd w:id="215"/>
            <w:bookmarkEnd w:id="216"/>
            <w:bookmarkEnd w:id="217"/>
            <w:bookmarkEnd w:id="218"/>
            <w:bookmarkEnd w:id="219"/>
            <w:bookmarkEnd w:id="220"/>
            <w:bookmarkEnd w:id="221"/>
            <w:bookmarkEnd w:id="222"/>
          </w:p>
        </w:tc>
        <w:tc>
          <w:tcPr>
            <w:tcW w:w="503" w:type="pct"/>
            <w:tcBorders>
              <w:right w:val="single" w:color="auto" w:sz="4" w:space="0"/>
            </w:tcBorders>
            <w:noWrap w:val="0"/>
            <w:vAlign w:val="center"/>
          </w:tcPr>
          <w:p w14:paraId="788F1F5B">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670" w:type="pct"/>
            <w:tcBorders>
              <w:left w:val="single" w:color="auto" w:sz="4" w:space="0"/>
            </w:tcBorders>
            <w:noWrap w:val="0"/>
            <w:vAlign w:val="center"/>
          </w:tcPr>
          <w:p w14:paraId="4174B560">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503" w:type="pct"/>
            <w:noWrap w:val="0"/>
            <w:vAlign w:val="center"/>
          </w:tcPr>
          <w:p w14:paraId="6A4A58A3">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820" w:type="pct"/>
            <w:noWrap w:val="0"/>
            <w:vAlign w:val="center"/>
          </w:tcPr>
          <w:p w14:paraId="7A37A6F4">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r>
      <w:tr w14:paraId="01EF09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502" w:type="pct"/>
            <w:noWrap w:val="0"/>
            <w:vAlign w:val="center"/>
          </w:tcPr>
          <w:p w14:paraId="2881CE19">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223" w:name="_Toc295404990"/>
            <w:bookmarkStart w:id="224" w:name="_Toc173066410"/>
            <w:bookmarkStart w:id="225" w:name="_Toc373333698"/>
            <w:bookmarkStart w:id="226" w:name="_Toc254970738"/>
            <w:bookmarkStart w:id="227" w:name="_Toc383699915"/>
            <w:bookmarkStart w:id="228" w:name="_Toc301781620"/>
            <w:bookmarkStart w:id="229" w:name="_Toc173211909"/>
            <w:bookmarkStart w:id="230" w:name="_Toc254970597"/>
            <w:bookmarkStart w:id="231" w:name="_Toc297193194"/>
            <w:r>
              <w:rPr>
                <w:rFonts w:hint="eastAsia" w:ascii="宋体" w:hAnsi="宋体" w:eastAsia="宋体" w:cs="宋体"/>
                <w:color w:val="auto"/>
                <w:kern w:val="2"/>
                <w:sz w:val="24"/>
                <w:szCs w:val="24"/>
                <w:lang w:val="en-US" w:eastAsia="zh-CN"/>
              </w:rPr>
              <w:t>5</w:t>
            </w:r>
            <w:bookmarkEnd w:id="223"/>
            <w:bookmarkEnd w:id="224"/>
            <w:bookmarkEnd w:id="225"/>
            <w:bookmarkEnd w:id="226"/>
            <w:bookmarkEnd w:id="227"/>
            <w:bookmarkEnd w:id="228"/>
            <w:bookmarkEnd w:id="229"/>
            <w:bookmarkEnd w:id="230"/>
            <w:bookmarkEnd w:id="231"/>
          </w:p>
        </w:tc>
        <w:tc>
          <w:tcPr>
            <w:tcW w:w="503" w:type="pct"/>
            <w:tcBorders>
              <w:right w:val="single" w:color="auto" w:sz="4" w:space="0"/>
            </w:tcBorders>
            <w:noWrap w:val="0"/>
            <w:vAlign w:val="center"/>
          </w:tcPr>
          <w:p w14:paraId="17BA06CA">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670" w:type="pct"/>
            <w:tcBorders>
              <w:left w:val="single" w:color="auto" w:sz="4" w:space="0"/>
            </w:tcBorders>
            <w:noWrap w:val="0"/>
            <w:vAlign w:val="center"/>
          </w:tcPr>
          <w:p w14:paraId="47A53FAF">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503" w:type="pct"/>
            <w:noWrap w:val="0"/>
            <w:vAlign w:val="center"/>
          </w:tcPr>
          <w:p w14:paraId="64743BF0">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820" w:type="pct"/>
            <w:noWrap w:val="0"/>
            <w:vAlign w:val="center"/>
          </w:tcPr>
          <w:p w14:paraId="6B469B65">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r>
      <w:tr w14:paraId="0FB27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502" w:type="pct"/>
            <w:noWrap w:val="0"/>
            <w:vAlign w:val="center"/>
          </w:tcPr>
          <w:p w14:paraId="575C6332">
            <w:pPr>
              <w:pStyle w:val="17"/>
              <w:spacing w:line="360" w:lineRule="auto"/>
              <w:ind w:firstLine="0" w:firstLineChars="0"/>
              <w:jc w:val="center"/>
              <w:rPr>
                <w:rFonts w:hint="eastAsia" w:ascii="宋体" w:hAnsi="宋体" w:eastAsia="宋体" w:cs="宋体"/>
                <w:color w:val="auto"/>
                <w:kern w:val="2"/>
                <w:sz w:val="24"/>
                <w:szCs w:val="24"/>
                <w:lang w:val="en-US" w:eastAsia="zh-CN"/>
              </w:rPr>
            </w:pPr>
            <w:bookmarkStart w:id="232" w:name="_Toc301781621"/>
            <w:bookmarkStart w:id="233" w:name="_Toc173066415"/>
            <w:bookmarkStart w:id="234" w:name="_Toc383699916"/>
            <w:bookmarkStart w:id="235" w:name="_Toc373333699"/>
            <w:bookmarkStart w:id="236" w:name="_Toc173211914"/>
            <w:bookmarkStart w:id="237" w:name="_Toc297193195"/>
            <w:bookmarkStart w:id="238" w:name="_Toc254970743"/>
            <w:bookmarkStart w:id="239" w:name="_Toc295404991"/>
            <w:bookmarkStart w:id="240" w:name="_Toc254970602"/>
            <w:r>
              <w:rPr>
                <w:rFonts w:hint="eastAsia" w:ascii="宋体" w:hAnsi="宋体" w:eastAsia="宋体" w:cs="宋体"/>
                <w:color w:val="auto"/>
                <w:kern w:val="2"/>
                <w:sz w:val="24"/>
                <w:szCs w:val="24"/>
                <w:lang w:val="en-US" w:eastAsia="zh-CN"/>
              </w:rPr>
              <w:t>…</w:t>
            </w:r>
            <w:bookmarkEnd w:id="232"/>
            <w:bookmarkEnd w:id="233"/>
            <w:bookmarkEnd w:id="234"/>
            <w:bookmarkEnd w:id="235"/>
            <w:bookmarkEnd w:id="236"/>
            <w:bookmarkEnd w:id="237"/>
            <w:bookmarkEnd w:id="238"/>
            <w:bookmarkEnd w:id="239"/>
            <w:bookmarkEnd w:id="240"/>
          </w:p>
        </w:tc>
        <w:tc>
          <w:tcPr>
            <w:tcW w:w="503" w:type="pct"/>
            <w:tcBorders>
              <w:right w:val="single" w:color="auto" w:sz="4" w:space="0"/>
            </w:tcBorders>
            <w:noWrap w:val="0"/>
            <w:vAlign w:val="center"/>
          </w:tcPr>
          <w:p w14:paraId="67562200">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670" w:type="pct"/>
            <w:tcBorders>
              <w:left w:val="single" w:color="auto" w:sz="4" w:space="0"/>
            </w:tcBorders>
            <w:noWrap w:val="0"/>
            <w:vAlign w:val="center"/>
          </w:tcPr>
          <w:p w14:paraId="6F36A1FC">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1503" w:type="pct"/>
            <w:noWrap w:val="0"/>
            <w:vAlign w:val="center"/>
          </w:tcPr>
          <w:p w14:paraId="3A6FD75E">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c>
          <w:tcPr>
            <w:tcW w:w="820" w:type="pct"/>
            <w:tcBorders>
              <w:right w:val="single" w:color="auto" w:sz="4" w:space="0"/>
            </w:tcBorders>
            <w:noWrap w:val="0"/>
            <w:vAlign w:val="center"/>
          </w:tcPr>
          <w:p w14:paraId="06E597AC">
            <w:pPr>
              <w:pStyle w:val="17"/>
              <w:spacing w:line="360" w:lineRule="auto"/>
              <w:ind w:firstLine="0" w:firstLineChars="0"/>
              <w:jc w:val="center"/>
              <w:rPr>
                <w:rFonts w:hint="eastAsia" w:ascii="宋体" w:hAnsi="宋体" w:eastAsia="宋体" w:cs="宋体"/>
                <w:color w:val="auto"/>
                <w:kern w:val="2"/>
                <w:sz w:val="24"/>
                <w:szCs w:val="24"/>
                <w:lang w:val="en-US" w:eastAsia="zh-CN"/>
              </w:rPr>
            </w:pPr>
          </w:p>
        </w:tc>
      </w:tr>
    </w:tbl>
    <w:p w14:paraId="35E984D0">
      <w:pPr>
        <w:adjustRightInd w:val="0"/>
        <w:snapToGrid w:val="0"/>
        <w:spacing w:line="360" w:lineRule="auto"/>
        <w:rPr>
          <w:rFonts w:hint="eastAsia" w:ascii="宋体" w:hAnsi="宋体" w:eastAsia="宋体" w:cs="宋体"/>
          <w:color w:val="auto"/>
          <w:sz w:val="24"/>
        </w:rPr>
      </w:pPr>
    </w:p>
    <w:p w14:paraId="0B4598A2">
      <w:pPr>
        <w:pStyle w:val="17"/>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3486E25">
      <w:pPr>
        <w:pStyle w:val="17"/>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 说明：应对照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文件“第三章 采购需求”中的技术需求逐条实质性响应，并作出偏离说明。</w:t>
      </w:r>
    </w:p>
    <w:p w14:paraId="52D35FD8">
      <w:pPr>
        <w:pStyle w:val="17"/>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应根据</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设备的性能指标，对照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在“偏离说明”中注明“正偏离”、“负偏离”或者“无偏离”。既不属于“正偏离”也不属于“负偏离”即为“无偏离”。</w:t>
      </w:r>
    </w:p>
    <w:p w14:paraId="528355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p>
    <w:p w14:paraId="1D104959">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8D6C4BF">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7D79762">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6353F30B">
      <w:pPr>
        <w:rPr>
          <w:rFonts w:hint="eastAsia" w:ascii="宋体" w:hAnsi="宋体" w:eastAsia="宋体" w:cs="宋体"/>
          <w:b/>
          <w:color w:val="auto"/>
          <w:sz w:val="24"/>
        </w:rPr>
      </w:pPr>
      <w:r>
        <w:rPr>
          <w:rFonts w:hint="eastAsia" w:ascii="宋体" w:hAnsi="宋体" w:eastAsia="宋体" w:cs="宋体"/>
          <w:b/>
          <w:color w:val="auto"/>
          <w:sz w:val="24"/>
        </w:rPr>
        <w:br w:type="page"/>
      </w:r>
    </w:p>
    <w:p w14:paraId="397F8C28">
      <w:pPr>
        <w:keepNext w:val="0"/>
        <w:keepLines w:val="0"/>
        <w:pageBreakBefore w:val="0"/>
        <w:widowControl w:val="0"/>
        <w:kinsoku/>
        <w:wordWrap/>
        <w:overflowPunct/>
        <w:topLinePunct w:val="0"/>
        <w:autoSpaceDE/>
        <w:autoSpaceDN/>
        <w:bidi w:val="0"/>
        <w:adjustRightInd/>
        <w:snapToGrid w:val="0"/>
        <w:spacing w:before="156" w:beforeLines="50" w:after="50" w:line="480" w:lineRule="auto"/>
        <w:ind w:left="142"/>
        <w:jc w:val="center"/>
        <w:textAlignment w:val="auto"/>
        <w:outlineLvl w:val="2"/>
        <w:rPr>
          <w:rFonts w:hint="eastAsia" w:ascii="宋体" w:hAnsi="宋体" w:eastAsia="宋体" w:cs="宋体"/>
          <w:b/>
          <w:color w:val="auto"/>
          <w:sz w:val="44"/>
          <w:szCs w:val="44"/>
          <w:lang w:val="en-US" w:eastAsia="zh-CN"/>
        </w:rPr>
      </w:pPr>
      <w:bookmarkStart w:id="241" w:name="_Toc21713"/>
      <w:r>
        <w:rPr>
          <w:rFonts w:hint="eastAsia" w:ascii="宋体" w:hAnsi="宋体" w:eastAsia="宋体" w:cs="宋体"/>
          <w:b/>
          <w:color w:val="auto"/>
          <w:sz w:val="44"/>
          <w:szCs w:val="44"/>
        </w:rPr>
        <w:t>项目实施人员一览表</w:t>
      </w:r>
      <w:r>
        <w:rPr>
          <w:rFonts w:hint="eastAsia" w:ascii="宋体" w:hAnsi="宋体" w:eastAsia="宋体" w:cs="宋体"/>
          <w:b/>
          <w:color w:val="auto"/>
          <w:sz w:val="44"/>
          <w:szCs w:val="44"/>
          <w:lang w:val="en-US" w:eastAsia="zh-CN"/>
        </w:rPr>
        <w:t>(</w:t>
      </w:r>
      <w:r>
        <w:rPr>
          <w:rFonts w:hint="eastAsia" w:ascii="宋体" w:hAnsi="宋体" w:eastAsia="宋体" w:cs="宋体"/>
          <w:b/>
          <w:color w:val="auto"/>
          <w:sz w:val="44"/>
          <w:szCs w:val="44"/>
        </w:rPr>
        <w:t>格式</w:t>
      </w:r>
      <w:r>
        <w:rPr>
          <w:rFonts w:hint="eastAsia" w:ascii="宋体" w:hAnsi="宋体" w:eastAsia="宋体" w:cs="宋体"/>
          <w:b/>
          <w:color w:val="auto"/>
          <w:sz w:val="44"/>
          <w:szCs w:val="44"/>
          <w:lang w:val="en-US" w:eastAsia="zh-CN"/>
        </w:rPr>
        <w:t>)</w:t>
      </w:r>
      <w:bookmarkEnd w:id="241"/>
    </w:p>
    <w:tbl>
      <w:tblPr>
        <w:tblStyle w:val="3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787"/>
        <w:gridCol w:w="1890"/>
        <w:gridCol w:w="1578"/>
        <w:gridCol w:w="1887"/>
        <w:gridCol w:w="2048"/>
      </w:tblGrid>
      <w:tr w14:paraId="4B6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14:paraId="16D2B61E">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87" w:type="dxa"/>
            <w:noWrap w:val="0"/>
            <w:vAlign w:val="center"/>
          </w:tcPr>
          <w:p w14:paraId="7D751FC2">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890" w:type="dxa"/>
            <w:noWrap w:val="0"/>
            <w:vAlign w:val="center"/>
          </w:tcPr>
          <w:p w14:paraId="6623420A">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专业技术资格（职称）或者职业资格或者执业资格证或者其他证书</w:t>
            </w:r>
          </w:p>
        </w:tc>
        <w:tc>
          <w:tcPr>
            <w:tcW w:w="1578" w:type="dxa"/>
            <w:noWrap w:val="0"/>
            <w:vAlign w:val="center"/>
          </w:tcPr>
          <w:p w14:paraId="539D8EDB">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1887" w:type="dxa"/>
            <w:noWrap w:val="0"/>
            <w:vAlign w:val="center"/>
          </w:tcPr>
          <w:p w14:paraId="096B6B96">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参加本单位</w:t>
            </w:r>
          </w:p>
          <w:p w14:paraId="37331EDE">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工作时间</w:t>
            </w:r>
          </w:p>
        </w:tc>
        <w:tc>
          <w:tcPr>
            <w:tcW w:w="2048" w:type="dxa"/>
            <w:noWrap w:val="0"/>
            <w:vAlign w:val="center"/>
          </w:tcPr>
          <w:p w14:paraId="4B088567">
            <w:pPr>
              <w:snapToGrid w:val="0"/>
              <w:spacing w:before="50" w:after="156" w:afterLines="50"/>
              <w:jc w:val="center"/>
              <w:rPr>
                <w:rFonts w:hint="eastAsia" w:ascii="宋体" w:hAnsi="宋体" w:eastAsia="宋体" w:cs="宋体"/>
                <w:color w:val="auto"/>
                <w:sz w:val="24"/>
                <w:szCs w:val="24"/>
              </w:rPr>
            </w:pPr>
            <w:r>
              <w:rPr>
                <w:rFonts w:hint="eastAsia" w:ascii="宋体" w:hAnsi="宋体" w:eastAsia="宋体" w:cs="宋体"/>
                <w:color w:val="auto"/>
                <w:sz w:val="24"/>
                <w:szCs w:val="24"/>
              </w:rPr>
              <w:t>劳动合同编号</w:t>
            </w:r>
          </w:p>
        </w:tc>
      </w:tr>
      <w:tr w14:paraId="7F2A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14:paraId="0DF92618">
            <w:pPr>
              <w:snapToGrid w:val="0"/>
              <w:spacing w:before="50" w:after="156" w:afterLines="50"/>
              <w:jc w:val="center"/>
              <w:rPr>
                <w:rFonts w:hint="eastAsia" w:ascii="宋体" w:hAnsi="宋体" w:eastAsia="宋体" w:cs="宋体"/>
                <w:color w:val="auto"/>
                <w:sz w:val="24"/>
                <w:szCs w:val="24"/>
              </w:rPr>
            </w:pPr>
          </w:p>
        </w:tc>
        <w:tc>
          <w:tcPr>
            <w:tcW w:w="787" w:type="dxa"/>
            <w:noWrap w:val="0"/>
            <w:vAlign w:val="center"/>
          </w:tcPr>
          <w:p w14:paraId="6D72A21F">
            <w:pPr>
              <w:snapToGrid w:val="0"/>
              <w:spacing w:before="50" w:after="156" w:afterLines="50"/>
              <w:jc w:val="center"/>
              <w:rPr>
                <w:rFonts w:hint="eastAsia" w:ascii="宋体" w:hAnsi="宋体" w:eastAsia="宋体" w:cs="宋体"/>
                <w:color w:val="auto"/>
                <w:sz w:val="24"/>
                <w:szCs w:val="24"/>
              </w:rPr>
            </w:pPr>
          </w:p>
        </w:tc>
        <w:tc>
          <w:tcPr>
            <w:tcW w:w="1890" w:type="dxa"/>
            <w:noWrap w:val="0"/>
            <w:vAlign w:val="center"/>
          </w:tcPr>
          <w:p w14:paraId="4FE2A58A">
            <w:pPr>
              <w:snapToGrid w:val="0"/>
              <w:spacing w:before="50" w:after="156" w:afterLines="50"/>
              <w:jc w:val="center"/>
              <w:rPr>
                <w:rFonts w:hint="eastAsia" w:ascii="宋体" w:hAnsi="宋体" w:eastAsia="宋体" w:cs="宋体"/>
                <w:color w:val="auto"/>
                <w:sz w:val="24"/>
                <w:szCs w:val="24"/>
              </w:rPr>
            </w:pPr>
          </w:p>
        </w:tc>
        <w:tc>
          <w:tcPr>
            <w:tcW w:w="1578" w:type="dxa"/>
            <w:noWrap w:val="0"/>
            <w:vAlign w:val="center"/>
          </w:tcPr>
          <w:p w14:paraId="1F478BDA">
            <w:pPr>
              <w:snapToGrid w:val="0"/>
              <w:spacing w:before="50" w:after="156" w:afterLines="50"/>
              <w:jc w:val="center"/>
              <w:rPr>
                <w:rFonts w:hint="eastAsia" w:ascii="宋体" w:hAnsi="宋体" w:eastAsia="宋体" w:cs="宋体"/>
                <w:color w:val="auto"/>
                <w:sz w:val="24"/>
                <w:szCs w:val="24"/>
              </w:rPr>
            </w:pPr>
          </w:p>
        </w:tc>
        <w:tc>
          <w:tcPr>
            <w:tcW w:w="1887" w:type="dxa"/>
            <w:noWrap w:val="0"/>
            <w:vAlign w:val="center"/>
          </w:tcPr>
          <w:p w14:paraId="381ECB73">
            <w:pPr>
              <w:snapToGrid w:val="0"/>
              <w:spacing w:before="50" w:after="156" w:afterLines="50"/>
              <w:jc w:val="center"/>
              <w:rPr>
                <w:rFonts w:hint="eastAsia" w:ascii="宋体" w:hAnsi="宋体" w:eastAsia="宋体" w:cs="宋体"/>
                <w:color w:val="auto"/>
                <w:sz w:val="24"/>
                <w:szCs w:val="24"/>
              </w:rPr>
            </w:pPr>
          </w:p>
        </w:tc>
        <w:tc>
          <w:tcPr>
            <w:tcW w:w="2048" w:type="dxa"/>
            <w:noWrap w:val="0"/>
            <w:vAlign w:val="center"/>
          </w:tcPr>
          <w:p w14:paraId="2321BFA1">
            <w:pPr>
              <w:snapToGrid w:val="0"/>
              <w:spacing w:before="50" w:after="156" w:afterLines="50"/>
              <w:jc w:val="center"/>
              <w:rPr>
                <w:rFonts w:hint="eastAsia" w:ascii="宋体" w:hAnsi="宋体" w:eastAsia="宋体" w:cs="宋体"/>
                <w:color w:val="auto"/>
                <w:sz w:val="24"/>
                <w:szCs w:val="24"/>
              </w:rPr>
            </w:pPr>
          </w:p>
        </w:tc>
      </w:tr>
      <w:tr w14:paraId="79C8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14:paraId="0CD5B45C">
            <w:pPr>
              <w:snapToGrid w:val="0"/>
              <w:spacing w:before="50" w:after="156" w:afterLines="50"/>
              <w:jc w:val="center"/>
              <w:rPr>
                <w:rFonts w:hint="eastAsia" w:ascii="宋体" w:hAnsi="宋体" w:eastAsia="宋体" w:cs="宋体"/>
                <w:color w:val="auto"/>
                <w:sz w:val="24"/>
                <w:szCs w:val="24"/>
              </w:rPr>
            </w:pPr>
          </w:p>
        </w:tc>
        <w:tc>
          <w:tcPr>
            <w:tcW w:w="787" w:type="dxa"/>
            <w:noWrap w:val="0"/>
            <w:vAlign w:val="center"/>
          </w:tcPr>
          <w:p w14:paraId="239CAE4D">
            <w:pPr>
              <w:snapToGrid w:val="0"/>
              <w:spacing w:before="50" w:after="156" w:afterLines="50"/>
              <w:jc w:val="center"/>
              <w:rPr>
                <w:rFonts w:hint="eastAsia" w:ascii="宋体" w:hAnsi="宋体" w:eastAsia="宋体" w:cs="宋体"/>
                <w:color w:val="auto"/>
                <w:sz w:val="24"/>
                <w:szCs w:val="24"/>
              </w:rPr>
            </w:pPr>
          </w:p>
        </w:tc>
        <w:tc>
          <w:tcPr>
            <w:tcW w:w="1890" w:type="dxa"/>
            <w:noWrap w:val="0"/>
            <w:vAlign w:val="center"/>
          </w:tcPr>
          <w:p w14:paraId="13F038DA">
            <w:pPr>
              <w:snapToGrid w:val="0"/>
              <w:spacing w:before="50" w:after="156" w:afterLines="50"/>
              <w:jc w:val="center"/>
              <w:rPr>
                <w:rFonts w:hint="eastAsia" w:ascii="宋体" w:hAnsi="宋体" w:eastAsia="宋体" w:cs="宋体"/>
                <w:color w:val="auto"/>
                <w:sz w:val="24"/>
                <w:szCs w:val="24"/>
              </w:rPr>
            </w:pPr>
          </w:p>
        </w:tc>
        <w:tc>
          <w:tcPr>
            <w:tcW w:w="1578" w:type="dxa"/>
            <w:noWrap w:val="0"/>
            <w:vAlign w:val="center"/>
          </w:tcPr>
          <w:p w14:paraId="4CF257CD">
            <w:pPr>
              <w:snapToGrid w:val="0"/>
              <w:spacing w:before="50" w:after="156" w:afterLines="50"/>
              <w:jc w:val="center"/>
              <w:rPr>
                <w:rFonts w:hint="eastAsia" w:ascii="宋体" w:hAnsi="宋体" w:eastAsia="宋体" w:cs="宋体"/>
                <w:color w:val="auto"/>
                <w:sz w:val="24"/>
                <w:szCs w:val="24"/>
              </w:rPr>
            </w:pPr>
          </w:p>
        </w:tc>
        <w:tc>
          <w:tcPr>
            <w:tcW w:w="1887" w:type="dxa"/>
            <w:noWrap w:val="0"/>
            <w:vAlign w:val="center"/>
          </w:tcPr>
          <w:p w14:paraId="76C2E8D0">
            <w:pPr>
              <w:snapToGrid w:val="0"/>
              <w:spacing w:before="50" w:after="156" w:afterLines="50"/>
              <w:jc w:val="center"/>
              <w:rPr>
                <w:rFonts w:hint="eastAsia" w:ascii="宋体" w:hAnsi="宋体" w:eastAsia="宋体" w:cs="宋体"/>
                <w:color w:val="auto"/>
                <w:sz w:val="24"/>
                <w:szCs w:val="24"/>
              </w:rPr>
            </w:pPr>
          </w:p>
        </w:tc>
        <w:tc>
          <w:tcPr>
            <w:tcW w:w="2048" w:type="dxa"/>
            <w:noWrap w:val="0"/>
            <w:vAlign w:val="center"/>
          </w:tcPr>
          <w:p w14:paraId="25A1950F">
            <w:pPr>
              <w:snapToGrid w:val="0"/>
              <w:spacing w:before="50" w:after="156" w:afterLines="50"/>
              <w:jc w:val="center"/>
              <w:rPr>
                <w:rFonts w:hint="eastAsia" w:ascii="宋体" w:hAnsi="宋体" w:eastAsia="宋体" w:cs="宋体"/>
                <w:color w:val="auto"/>
                <w:sz w:val="24"/>
                <w:szCs w:val="24"/>
              </w:rPr>
            </w:pPr>
          </w:p>
        </w:tc>
      </w:tr>
      <w:tr w14:paraId="3558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noWrap w:val="0"/>
            <w:vAlign w:val="center"/>
          </w:tcPr>
          <w:p w14:paraId="2F439545">
            <w:pPr>
              <w:snapToGrid w:val="0"/>
              <w:spacing w:before="50" w:after="156" w:afterLines="50"/>
              <w:jc w:val="center"/>
              <w:rPr>
                <w:rFonts w:hint="eastAsia" w:ascii="宋体" w:hAnsi="宋体" w:eastAsia="宋体" w:cs="宋体"/>
                <w:color w:val="auto"/>
                <w:sz w:val="24"/>
                <w:szCs w:val="24"/>
              </w:rPr>
            </w:pPr>
          </w:p>
        </w:tc>
        <w:tc>
          <w:tcPr>
            <w:tcW w:w="787" w:type="dxa"/>
            <w:noWrap w:val="0"/>
            <w:vAlign w:val="center"/>
          </w:tcPr>
          <w:p w14:paraId="1D3F5AFC">
            <w:pPr>
              <w:snapToGrid w:val="0"/>
              <w:spacing w:before="50" w:after="156" w:afterLines="50"/>
              <w:jc w:val="center"/>
              <w:rPr>
                <w:rFonts w:hint="eastAsia" w:ascii="宋体" w:hAnsi="宋体" w:eastAsia="宋体" w:cs="宋体"/>
                <w:color w:val="auto"/>
                <w:sz w:val="24"/>
                <w:szCs w:val="24"/>
              </w:rPr>
            </w:pPr>
          </w:p>
        </w:tc>
        <w:tc>
          <w:tcPr>
            <w:tcW w:w="1890" w:type="dxa"/>
            <w:noWrap w:val="0"/>
            <w:vAlign w:val="center"/>
          </w:tcPr>
          <w:p w14:paraId="0C69F1A7">
            <w:pPr>
              <w:snapToGrid w:val="0"/>
              <w:spacing w:before="50" w:after="156" w:afterLines="50"/>
              <w:jc w:val="center"/>
              <w:rPr>
                <w:rFonts w:hint="eastAsia" w:ascii="宋体" w:hAnsi="宋体" w:eastAsia="宋体" w:cs="宋体"/>
                <w:color w:val="auto"/>
                <w:sz w:val="24"/>
                <w:szCs w:val="24"/>
              </w:rPr>
            </w:pPr>
          </w:p>
        </w:tc>
        <w:tc>
          <w:tcPr>
            <w:tcW w:w="1578" w:type="dxa"/>
            <w:noWrap w:val="0"/>
            <w:vAlign w:val="center"/>
          </w:tcPr>
          <w:p w14:paraId="51977BE4">
            <w:pPr>
              <w:snapToGrid w:val="0"/>
              <w:spacing w:before="50" w:after="156" w:afterLines="50"/>
              <w:jc w:val="center"/>
              <w:rPr>
                <w:rFonts w:hint="eastAsia" w:ascii="宋体" w:hAnsi="宋体" w:eastAsia="宋体" w:cs="宋体"/>
                <w:color w:val="auto"/>
                <w:sz w:val="24"/>
                <w:szCs w:val="24"/>
              </w:rPr>
            </w:pPr>
          </w:p>
        </w:tc>
        <w:tc>
          <w:tcPr>
            <w:tcW w:w="1887" w:type="dxa"/>
            <w:noWrap w:val="0"/>
            <w:vAlign w:val="center"/>
          </w:tcPr>
          <w:p w14:paraId="0A7E5047">
            <w:pPr>
              <w:snapToGrid w:val="0"/>
              <w:spacing w:before="50" w:after="156" w:afterLines="50"/>
              <w:jc w:val="center"/>
              <w:rPr>
                <w:rFonts w:hint="eastAsia" w:ascii="宋体" w:hAnsi="宋体" w:eastAsia="宋体" w:cs="宋体"/>
                <w:color w:val="auto"/>
                <w:sz w:val="24"/>
                <w:szCs w:val="24"/>
              </w:rPr>
            </w:pPr>
          </w:p>
        </w:tc>
        <w:tc>
          <w:tcPr>
            <w:tcW w:w="2048" w:type="dxa"/>
            <w:noWrap w:val="0"/>
            <w:vAlign w:val="center"/>
          </w:tcPr>
          <w:p w14:paraId="0D1CD4E9">
            <w:pPr>
              <w:snapToGrid w:val="0"/>
              <w:spacing w:before="50" w:after="156" w:afterLines="50"/>
              <w:jc w:val="center"/>
              <w:rPr>
                <w:rFonts w:hint="eastAsia" w:ascii="宋体" w:hAnsi="宋体" w:eastAsia="宋体" w:cs="宋体"/>
                <w:color w:val="auto"/>
                <w:sz w:val="24"/>
                <w:szCs w:val="24"/>
              </w:rPr>
            </w:pPr>
          </w:p>
        </w:tc>
      </w:tr>
    </w:tbl>
    <w:p w14:paraId="3B85B495">
      <w:pPr>
        <w:keepNext w:val="0"/>
        <w:keepLines w:val="0"/>
        <w:pageBreakBefore w:val="0"/>
        <w:widowControl w:val="0"/>
        <w:kinsoku/>
        <w:wordWrap/>
        <w:overflowPunct/>
        <w:topLinePunct w:val="0"/>
        <w:autoSpaceDE/>
        <w:autoSpaceDN/>
        <w:bidi w:val="0"/>
        <w:adjustRightInd/>
        <w:snapToGrid w:val="0"/>
        <w:spacing w:before="781" w:beforeLines="250" w:after="156" w:afterLines="50" w:line="480" w:lineRule="auto"/>
        <w:jc w:val="left"/>
        <w:textAlignment w:val="auto"/>
        <w:rPr>
          <w:rFonts w:hint="eastAsia" w:ascii="宋体" w:hAnsi="宋体" w:eastAsia="宋体" w:cs="宋体"/>
          <w:b/>
          <w:bCs/>
          <w:color w:val="auto"/>
          <w:sz w:val="24"/>
          <w:szCs w:val="20"/>
        </w:rPr>
      </w:pPr>
      <w:r>
        <w:rPr>
          <w:rFonts w:hint="eastAsia" w:ascii="宋体" w:hAnsi="宋体" w:eastAsia="宋体" w:cs="宋体"/>
          <w:b/>
          <w:bCs/>
          <w:color w:val="auto"/>
          <w:sz w:val="24"/>
          <w:szCs w:val="20"/>
        </w:rPr>
        <w:t>注：在填写时，如本表格不适合供应商的实际情况，可根据本表格式自行制表填写。</w:t>
      </w:r>
    </w:p>
    <w:p w14:paraId="7C70B799">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0CB97711">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725DD019">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8AECA10">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55A4C45">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101651FB">
      <w:pPr>
        <w:jc w:val="both"/>
        <w:outlineLvl w:val="9"/>
        <w:rPr>
          <w:rFonts w:hint="eastAsia" w:ascii="宋体" w:hAnsi="宋体" w:eastAsia="宋体" w:cs="宋体"/>
          <w:color w:val="auto"/>
          <w:sz w:val="24"/>
          <w:szCs w:val="24"/>
          <w:highlight w:val="none"/>
        </w:rPr>
      </w:pPr>
    </w:p>
    <w:p w14:paraId="7F6C69F4">
      <w:pPr>
        <w:rPr>
          <w:rFonts w:hint="eastAsia"/>
          <w:color w:val="auto"/>
        </w:rPr>
      </w:pPr>
      <w:r>
        <w:rPr>
          <w:rFonts w:hint="eastAsia"/>
          <w:color w:val="auto"/>
        </w:rPr>
        <w:br w:type="page"/>
      </w:r>
    </w:p>
    <w:p w14:paraId="420F7035">
      <w:pPr>
        <w:keepNext w:val="0"/>
        <w:keepLines w:val="0"/>
        <w:pageBreakBefore w:val="0"/>
        <w:widowControl w:val="0"/>
        <w:kinsoku/>
        <w:wordWrap/>
        <w:overflowPunct/>
        <w:topLinePunct w:val="0"/>
        <w:autoSpaceDE/>
        <w:autoSpaceDN/>
        <w:bidi w:val="0"/>
        <w:adjustRightInd/>
        <w:snapToGrid w:val="0"/>
        <w:spacing w:before="156" w:beforeLines="50" w:after="50" w:line="480" w:lineRule="auto"/>
        <w:ind w:left="142"/>
        <w:jc w:val="center"/>
        <w:textAlignment w:val="auto"/>
        <w:outlineLvl w:val="2"/>
        <w:rPr>
          <w:rFonts w:hint="default" w:ascii="宋体" w:hAnsi="宋体" w:eastAsia="宋体" w:cs="宋体"/>
          <w:b/>
          <w:color w:val="auto"/>
          <w:sz w:val="44"/>
          <w:szCs w:val="44"/>
          <w:lang w:val="en-US" w:eastAsia="zh-CN"/>
        </w:rPr>
      </w:pPr>
      <w:r>
        <w:rPr>
          <w:rFonts w:hint="eastAsia" w:ascii="宋体" w:hAnsi="宋体" w:eastAsia="宋体" w:cs="宋体"/>
          <w:b/>
          <w:color w:val="auto"/>
          <w:sz w:val="44"/>
          <w:szCs w:val="44"/>
          <w:lang w:eastAsia="zh-CN"/>
        </w:rPr>
        <w:t>供应商</w:t>
      </w:r>
      <w:r>
        <w:rPr>
          <w:rFonts w:hint="eastAsia" w:ascii="宋体" w:hAnsi="宋体" w:eastAsia="宋体" w:cs="宋体"/>
          <w:b/>
          <w:color w:val="auto"/>
          <w:sz w:val="44"/>
          <w:szCs w:val="44"/>
        </w:rPr>
        <w:t>同类项目情况一览表格式</w:t>
      </w:r>
      <w:r>
        <w:rPr>
          <w:rFonts w:hint="eastAsia" w:ascii="宋体" w:hAnsi="宋体" w:eastAsia="宋体" w:cs="宋体"/>
          <w:b/>
          <w:color w:val="auto"/>
          <w:sz w:val="44"/>
          <w:szCs w:val="44"/>
          <w:lang w:val="en-US" w:eastAsia="zh-CN"/>
        </w:rPr>
        <w:t>()</w:t>
      </w:r>
    </w:p>
    <w:tbl>
      <w:tblPr>
        <w:tblStyle w:val="33"/>
        <w:tblW w:w="93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7"/>
        <w:gridCol w:w="1853"/>
        <w:gridCol w:w="1521"/>
        <w:gridCol w:w="2331"/>
        <w:gridCol w:w="1955"/>
      </w:tblGrid>
      <w:tr w14:paraId="2F70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1697" w:type="dxa"/>
            <w:tcBorders>
              <w:top w:val="single" w:color="auto" w:sz="4" w:space="0"/>
              <w:left w:val="single" w:color="auto" w:sz="4" w:space="0"/>
              <w:bottom w:val="single" w:color="auto" w:sz="4" w:space="0"/>
              <w:right w:val="single" w:color="auto" w:sz="4" w:space="0"/>
            </w:tcBorders>
            <w:noWrap w:val="0"/>
            <w:vAlign w:val="center"/>
          </w:tcPr>
          <w:p w14:paraId="62FFE6A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271A63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A8EACC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B53C724">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38CA5D1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791EDD16">
            <w:pPr>
              <w:snapToGrid w:val="0"/>
              <w:spacing w:line="24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eastAsia="zh-CN"/>
              </w:rPr>
              <w:t>扫描件</w:t>
            </w:r>
            <w:r>
              <w:rPr>
                <w:rFonts w:hint="eastAsia" w:ascii="宋体" w:hAnsi="宋体" w:eastAsia="宋体" w:cs="宋体"/>
                <w:color w:val="auto"/>
                <w:sz w:val="24"/>
                <w:highlight w:val="none"/>
                <w:lang w:val="en-US" w:eastAsia="zh-CN"/>
              </w:rPr>
              <w:t>及相关验收报告</w:t>
            </w:r>
          </w:p>
        </w:tc>
        <w:tc>
          <w:tcPr>
            <w:tcW w:w="1955" w:type="dxa"/>
            <w:tcBorders>
              <w:top w:val="single" w:color="auto" w:sz="4" w:space="0"/>
              <w:left w:val="single" w:color="auto" w:sz="4" w:space="0"/>
              <w:bottom w:val="single" w:color="auto" w:sz="4" w:space="0"/>
              <w:right w:val="single" w:color="auto" w:sz="4" w:space="0"/>
            </w:tcBorders>
            <w:noWrap w:val="0"/>
            <w:vAlign w:val="center"/>
          </w:tcPr>
          <w:p w14:paraId="7C26C8A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24AED33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27A06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697" w:type="dxa"/>
            <w:tcBorders>
              <w:top w:val="single" w:color="auto" w:sz="4" w:space="0"/>
              <w:left w:val="single" w:color="auto" w:sz="4" w:space="0"/>
              <w:bottom w:val="single" w:color="auto" w:sz="4" w:space="0"/>
              <w:right w:val="single" w:color="auto" w:sz="4" w:space="0"/>
            </w:tcBorders>
            <w:noWrap w:val="0"/>
            <w:vAlign w:val="top"/>
          </w:tcPr>
          <w:p w14:paraId="13A10353">
            <w:pPr>
              <w:snapToGrid w:val="0"/>
              <w:spacing w:line="240" w:lineRule="exact"/>
              <w:jc w:val="left"/>
              <w:rPr>
                <w:rFonts w:hint="eastAsia" w:ascii="宋体" w:hAnsi="宋体" w:eastAsia="宋体" w:cs="宋体"/>
                <w:color w:val="auto"/>
                <w:sz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FB77C4">
            <w:pPr>
              <w:snapToGrid w:val="0"/>
              <w:spacing w:line="240" w:lineRule="exact"/>
              <w:jc w:val="left"/>
              <w:rPr>
                <w:rFonts w:hint="eastAsia" w:ascii="宋体" w:hAnsi="宋体" w:eastAsia="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top"/>
          </w:tcPr>
          <w:p w14:paraId="5A8FEDFC">
            <w:pPr>
              <w:snapToGrid w:val="0"/>
              <w:spacing w:line="24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14:paraId="002D3215">
            <w:pPr>
              <w:snapToGrid w:val="0"/>
              <w:spacing w:line="240" w:lineRule="exact"/>
              <w:jc w:val="left"/>
              <w:rPr>
                <w:rFonts w:hint="eastAsia" w:ascii="宋体" w:hAnsi="宋体" w:eastAsia="宋体" w:cs="宋体"/>
                <w:color w:val="auto"/>
                <w:sz w:val="24"/>
                <w:highlight w:val="none"/>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41D124EB">
            <w:pPr>
              <w:snapToGrid w:val="0"/>
              <w:spacing w:line="240" w:lineRule="exact"/>
              <w:jc w:val="left"/>
              <w:rPr>
                <w:rFonts w:hint="eastAsia" w:ascii="宋体" w:hAnsi="宋体" w:eastAsia="宋体" w:cs="宋体"/>
                <w:color w:val="auto"/>
                <w:sz w:val="24"/>
                <w:highlight w:val="none"/>
              </w:rPr>
            </w:pPr>
          </w:p>
        </w:tc>
      </w:tr>
      <w:tr w14:paraId="745AA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97" w:type="dxa"/>
            <w:tcBorders>
              <w:top w:val="single" w:color="auto" w:sz="4" w:space="0"/>
              <w:left w:val="single" w:color="auto" w:sz="4" w:space="0"/>
              <w:bottom w:val="single" w:color="auto" w:sz="4" w:space="0"/>
              <w:right w:val="single" w:color="auto" w:sz="4" w:space="0"/>
            </w:tcBorders>
            <w:noWrap w:val="0"/>
            <w:vAlign w:val="top"/>
          </w:tcPr>
          <w:p w14:paraId="6B61B7E9">
            <w:pPr>
              <w:snapToGrid w:val="0"/>
              <w:spacing w:before="50" w:after="120" w:afterLines="50" w:line="400" w:lineRule="exact"/>
              <w:jc w:val="left"/>
              <w:rPr>
                <w:rFonts w:hint="eastAsia" w:ascii="宋体" w:hAnsi="宋体" w:eastAsia="宋体" w:cs="宋体"/>
                <w:color w:val="auto"/>
                <w:sz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40E9AF1">
            <w:pPr>
              <w:snapToGrid w:val="0"/>
              <w:spacing w:before="50" w:after="120" w:afterLines="50" w:line="400" w:lineRule="exact"/>
              <w:jc w:val="left"/>
              <w:rPr>
                <w:rFonts w:hint="eastAsia" w:ascii="宋体" w:hAnsi="宋体" w:eastAsia="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top"/>
          </w:tcPr>
          <w:p w14:paraId="3F604718">
            <w:pPr>
              <w:snapToGrid w:val="0"/>
              <w:spacing w:before="50" w:after="120"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14:paraId="275674F4">
            <w:pPr>
              <w:snapToGrid w:val="0"/>
              <w:spacing w:before="50" w:after="120" w:afterLines="50" w:line="400" w:lineRule="exact"/>
              <w:jc w:val="left"/>
              <w:rPr>
                <w:rFonts w:hint="eastAsia" w:ascii="宋体" w:hAnsi="宋体" w:eastAsia="宋体" w:cs="宋体"/>
                <w:color w:val="auto"/>
                <w:sz w:val="24"/>
                <w:highlight w:val="none"/>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2567CBAB">
            <w:pPr>
              <w:snapToGrid w:val="0"/>
              <w:spacing w:before="50" w:after="120" w:afterLines="50" w:line="400" w:lineRule="exact"/>
              <w:jc w:val="left"/>
              <w:rPr>
                <w:rFonts w:hint="eastAsia" w:ascii="宋体" w:hAnsi="宋体" w:eastAsia="宋体" w:cs="宋体"/>
                <w:color w:val="auto"/>
                <w:sz w:val="24"/>
                <w:highlight w:val="none"/>
              </w:rPr>
            </w:pPr>
          </w:p>
        </w:tc>
      </w:tr>
      <w:tr w14:paraId="0C69B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697" w:type="dxa"/>
            <w:tcBorders>
              <w:top w:val="single" w:color="auto" w:sz="4" w:space="0"/>
              <w:left w:val="single" w:color="auto" w:sz="4" w:space="0"/>
              <w:bottom w:val="single" w:color="auto" w:sz="4" w:space="0"/>
              <w:right w:val="single" w:color="auto" w:sz="4" w:space="0"/>
            </w:tcBorders>
            <w:noWrap w:val="0"/>
            <w:vAlign w:val="top"/>
          </w:tcPr>
          <w:p w14:paraId="4C9B43F4">
            <w:pPr>
              <w:snapToGrid w:val="0"/>
              <w:spacing w:before="50" w:after="120" w:afterLines="50" w:line="400" w:lineRule="exact"/>
              <w:jc w:val="left"/>
              <w:rPr>
                <w:rFonts w:hint="eastAsia" w:ascii="宋体" w:hAnsi="宋体" w:eastAsia="宋体" w:cs="宋体"/>
                <w:color w:val="auto"/>
                <w:sz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21B0497">
            <w:pPr>
              <w:snapToGrid w:val="0"/>
              <w:spacing w:before="50" w:after="120" w:afterLines="50" w:line="400" w:lineRule="exact"/>
              <w:jc w:val="left"/>
              <w:rPr>
                <w:rFonts w:hint="eastAsia" w:ascii="宋体" w:hAnsi="宋体" w:eastAsia="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top"/>
          </w:tcPr>
          <w:p w14:paraId="1511DE4A">
            <w:pPr>
              <w:snapToGrid w:val="0"/>
              <w:spacing w:before="50" w:after="120"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14:paraId="028E7328">
            <w:pPr>
              <w:snapToGrid w:val="0"/>
              <w:spacing w:before="50" w:after="120" w:afterLines="50" w:line="400" w:lineRule="exact"/>
              <w:jc w:val="left"/>
              <w:rPr>
                <w:rFonts w:hint="eastAsia" w:ascii="宋体" w:hAnsi="宋体" w:eastAsia="宋体" w:cs="宋体"/>
                <w:color w:val="auto"/>
                <w:sz w:val="24"/>
                <w:highlight w:val="none"/>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3A9E8646">
            <w:pPr>
              <w:snapToGrid w:val="0"/>
              <w:spacing w:before="50" w:after="120" w:afterLines="50" w:line="400" w:lineRule="exact"/>
              <w:jc w:val="left"/>
              <w:rPr>
                <w:rFonts w:hint="eastAsia" w:ascii="宋体" w:hAnsi="宋体" w:eastAsia="宋体" w:cs="宋体"/>
                <w:color w:val="auto"/>
                <w:sz w:val="24"/>
                <w:highlight w:val="none"/>
              </w:rPr>
            </w:pPr>
          </w:p>
        </w:tc>
      </w:tr>
      <w:tr w14:paraId="3E172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97" w:type="dxa"/>
            <w:tcBorders>
              <w:top w:val="single" w:color="auto" w:sz="4" w:space="0"/>
              <w:left w:val="single" w:color="auto" w:sz="4" w:space="0"/>
              <w:bottom w:val="single" w:color="auto" w:sz="4" w:space="0"/>
              <w:right w:val="single" w:color="auto" w:sz="4" w:space="0"/>
            </w:tcBorders>
            <w:noWrap w:val="0"/>
            <w:vAlign w:val="top"/>
          </w:tcPr>
          <w:p w14:paraId="16752234">
            <w:pPr>
              <w:snapToGrid w:val="0"/>
              <w:spacing w:before="50" w:after="120" w:afterLines="50" w:line="400" w:lineRule="exact"/>
              <w:jc w:val="left"/>
              <w:rPr>
                <w:rFonts w:hint="eastAsia" w:ascii="宋体" w:hAnsi="宋体" w:eastAsia="宋体" w:cs="宋体"/>
                <w:color w:val="auto"/>
                <w:sz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830C069">
            <w:pPr>
              <w:snapToGrid w:val="0"/>
              <w:spacing w:before="50" w:after="120" w:afterLines="50" w:line="400" w:lineRule="exact"/>
              <w:jc w:val="left"/>
              <w:rPr>
                <w:rFonts w:hint="eastAsia" w:ascii="宋体" w:hAnsi="宋体" w:eastAsia="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top"/>
          </w:tcPr>
          <w:p w14:paraId="7570DAD5">
            <w:pPr>
              <w:snapToGrid w:val="0"/>
              <w:spacing w:before="50" w:after="120"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14:paraId="169E9E64">
            <w:pPr>
              <w:snapToGrid w:val="0"/>
              <w:spacing w:before="50" w:after="120" w:afterLines="50" w:line="400" w:lineRule="exact"/>
              <w:jc w:val="left"/>
              <w:rPr>
                <w:rFonts w:hint="eastAsia" w:ascii="宋体" w:hAnsi="宋体" w:eastAsia="宋体" w:cs="宋体"/>
                <w:color w:val="auto"/>
                <w:sz w:val="24"/>
                <w:highlight w:val="none"/>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0BD59769">
            <w:pPr>
              <w:snapToGrid w:val="0"/>
              <w:spacing w:before="50" w:after="120" w:afterLines="50" w:line="400" w:lineRule="exact"/>
              <w:jc w:val="left"/>
              <w:rPr>
                <w:rFonts w:hint="eastAsia" w:ascii="宋体" w:hAnsi="宋体" w:eastAsia="宋体" w:cs="宋体"/>
                <w:color w:val="auto"/>
                <w:sz w:val="24"/>
                <w:highlight w:val="none"/>
              </w:rPr>
            </w:pPr>
          </w:p>
        </w:tc>
      </w:tr>
      <w:tr w14:paraId="0475F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697" w:type="dxa"/>
            <w:tcBorders>
              <w:top w:val="single" w:color="auto" w:sz="4" w:space="0"/>
              <w:left w:val="single" w:color="auto" w:sz="4" w:space="0"/>
              <w:bottom w:val="single" w:color="auto" w:sz="4" w:space="0"/>
              <w:right w:val="single" w:color="auto" w:sz="4" w:space="0"/>
            </w:tcBorders>
            <w:noWrap w:val="0"/>
            <w:vAlign w:val="top"/>
          </w:tcPr>
          <w:p w14:paraId="644DB9E7">
            <w:pPr>
              <w:snapToGrid w:val="0"/>
              <w:spacing w:before="50" w:after="120" w:afterLines="50" w:line="400" w:lineRule="exact"/>
              <w:jc w:val="left"/>
              <w:rPr>
                <w:rFonts w:hint="eastAsia" w:ascii="宋体" w:hAnsi="宋体" w:eastAsia="宋体" w:cs="宋体"/>
                <w:color w:val="auto"/>
                <w:sz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382C70">
            <w:pPr>
              <w:snapToGrid w:val="0"/>
              <w:spacing w:before="50" w:after="120" w:afterLines="50" w:line="400" w:lineRule="exact"/>
              <w:jc w:val="left"/>
              <w:rPr>
                <w:rFonts w:hint="eastAsia" w:ascii="宋体" w:hAnsi="宋体" w:eastAsia="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top"/>
          </w:tcPr>
          <w:p w14:paraId="36E723D0">
            <w:pPr>
              <w:snapToGrid w:val="0"/>
              <w:spacing w:before="50" w:after="120"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14:paraId="41A6933D">
            <w:pPr>
              <w:snapToGrid w:val="0"/>
              <w:spacing w:before="50" w:after="120" w:afterLines="50" w:line="400" w:lineRule="exact"/>
              <w:jc w:val="left"/>
              <w:rPr>
                <w:rFonts w:hint="eastAsia" w:ascii="宋体" w:hAnsi="宋体" w:eastAsia="宋体" w:cs="宋体"/>
                <w:color w:val="auto"/>
                <w:sz w:val="24"/>
                <w:highlight w:val="none"/>
              </w:rPr>
            </w:pPr>
          </w:p>
        </w:tc>
        <w:tc>
          <w:tcPr>
            <w:tcW w:w="1955" w:type="dxa"/>
            <w:tcBorders>
              <w:top w:val="single" w:color="auto" w:sz="4" w:space="0"/>
              <w:left w:val="single" w:color="auto" w:sz="4" w:space="0"/>
              <w:bottom w:val="single" w:color="auto" w:sz="4" w:space="0"/>
              <w:right w:val="single" w:color="auto" w:sz="4" w:space="0"/>
            </w:tcBorders>
            <w:noWrap w:val="0"/>
            <w:vAlign w:val="top"/>
          </w:tcPr>
          <w:p w14:paraId="6A137DE0">
            <w:pPr>
              <w:snapToGrid w:val="0"/>
              <w:spacing w:before="50" w:after="120" w:afterLines="50" w:line="400" w:lineRule="exact"/>
              <w:jc w:val="left"/>
              <w:rPr>
                <w:rFonts w:hint="eastAsia" w:ascii="宋体" w:hAnsi="宋体" w:eastAsia="宋体" w:cs="宋体"/>
                <w:color w:val="auto"/>
                <w:sz w:val="24"/>
                <w:highlight w:val="none"/>
              </w:rPr>
            </w:pPr>
          </w:p>
        </w:tc>
      </w:tr>
    </w:tbl>
    <w:p w14:paraId="03070658">
      <w:pPr>
        <w:pStyle w:val="13"/>
        <w:snapToGrid w:val="0"/>
        <w:rPr>
          <w:rFonts w:hint="eastAsia" w:ascii="宋体" w:hAnsi="宋体" w:eastAsia="宋体" w:cs="宋体"/>
          <w:color w:val="auto"/>
          <w:sz w:val="24"/>
          <w:szCs w:val="24"/>
          <w:highlight w:val="none"/>
        </w:rPr>
      </w:pPr>
    </w:p>
    <w:p w14:paraId="23827074">
      <w:pPr>
        <w:outlineLvl w:val="9"/>
        <w:rPr>
          <w:rFonts w:hint="eastAsia"/>
          <w:color w:val="auto"/>
        </w:rPr>
      </w:pPr>
    </w:p>
    <w:p w14:paraId="303D6FBD">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83553A9">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E94A1E7">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044844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End w:id="146"/>
      <w:r>
        <w:rPr>
          <w:rFonts w:hint="eastAsia" w:ascii="宋体" w:hAnsi="宋体" w:eastAsia="宋体" w:cs="宋体"/>
          <w:color w:val="auto"/>
          <w:sz w:val="44"/>
          <w:szCs w:val="44"/>
          <w:highlight w:val="none"/>
        </w:rPr>
        <w:t>其他文书、文件格式</w:t>
      </w:r>
    </w:p>
    <w:p w14:paraId="65E341CD">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2"/>
        <w:rPr>
          <w:rFonts w:hint="eastAsia" w:ascii="宋体" w:hAnsi="宋体" w:eastAsia="宋体" w:cs="宋体"/>
          <w:b/>
          <w:bCs/>
          <w:color w:val="auto"/>
          <w:sz w:val="24"/>
          <w:highlight w:val="none"/>
        </w:rPr>
      </w:pPr>
      <w:bookmarkStart w:id="242" w:name="_Toc71365926"/>
      <w:bookmarkStart w:id="243" w:name="_Toc16238"/>
      <w:r>
        <w:rPr>
          <w:rFonts w:hint="eastAsia" w:ascii="宋体" w:hAnsi="宋体" w:eastAsia="宋体" w:cs="宋体"/>
          <w:color w:val="auto"/>
          <w:sz w:val="44"/>
          <w:szCs w:val="44"/>
          <w:highlight w:val="none"/>
        </w:rPr>
        <w:t>中小企业声明函</w:t>
      </w:r>
      <w:bookmarkEnd w:id="242"/>
      <w:r>
        <w:rPr>
          <w:rFonts w:hint="eastAsia" w:ascii="宋体" w:hAnsi="宋体" w:eastAsia="宋体" w:cs="宋体"/>
          <w:color w:val="auto"/>
          <w:sz w:val="44"/>
          <w:szCs w:val="44"/>
          <w:highlight w:val="none"/>
        </w:rPr>
        <w:t>（格式）</w:t>
      </w:r>
      <w:bookmarkEnd w:id="243"/>
    </w:p>
    <w:p w14:paraId="21970B68">
      <w:pPr>
        <w:pStyle w:val="16"/>
        <w:spacing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w:t>
      </w:r>
      <w:r>
        <w:rPr>
          <w:rFonts w:hint="eastAsia" w:ascii="宋体" w:hAnsi="宋体" w:eastAsia="宋体" w:cs="宋体"/>
          <w:color w:val="auto"/>
          <w:sz w:val="24"/>
          <w:highlight w:val="none"/>
          <w:lang w:val="en-US"/>
        </w:rPr>
        <w:t>政府采购促进中小企业发展管理办法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财库</w:t>
      </w:r>
      <w:r>
        <w:rPr>
          <w:rFonts w:hint="eastAsia" w:ascii="宋体" w:hAnsi="宋体" w:cs="宋体"/>
          <w:color w:val="auto"/>
          <w:sz w:val="24"/>
          <w:highlight w:val="none"/>
          <w:lang w:val="en-US" w:eastAsia="zh-CN"/>
        </w:rPr>
        <w:t>〔2020〕46号</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rPr>
        <w:t>《关于进一步加大政府采购支持中小企业力度的通知》（</w:t>
      </w:r>
      <w:r>
        <w:rPr>
          <w:rFonts w:hint="eastAsia" w:ascii="宋体" w:hAnsi="宋体" w:eastAsia="宋体" w:cs="宋体"/>
          <w:color w:val="auto"/>
          <w:sz w:val="24"/>
          <w:highlight w:val="none"/>
          <w:shd w:val="clear" w:color="auto" w:fill="FFFFFF"/>
        </w:rPr>
        <w:t>财库〔2022〕19号</w:t>
      </w:r>
      <w:r>
        <w:rPr>
          <w:rFonts w:hint="eastAsia" w:ascii="宋体" w:hAnsi="宋体" w:eastAsia="宋体" w:cs="宋体"/>
          <w:color w:val="auto"/>
          <w:sz w:val="24"/>
          <w:highlight w:val="none"/>
        </w:rPr>
        <w:t>）、《广西壮族自治区财政厅关于进一步发挥政府采购政策功能促进企业发展的通知》（桂财采〔2022〕30 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5A2F2999">
      <w:pPr>
        <w:tabs>
          <w:tab w:val="left" w:pos="1384"/>
          <w:tab w:val="left" w:pos="4562"/>
          <w:tab w:val="left" w:pos="6803"/>
        </w:tabs>
        <w:spacing w:before="13" w:line="500" w:lineRule="exact"/>
        <w:ind w:right="142" w:firstLine="772" w:firstLineChars="32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790908C">
      <w:pPr>
        <w:tabs>
          <w:tab w:val="left" w:pos="1065"/>
          <w:tab w:val="left" w:pos="4262"/>
          <w:tab w:val="left" w:pos="6477"/>
        </w:tabs>
        <w:spacing w:before="20" w:line="500" w:lineRule="exact"/>
        <w:ind w:right="84" w:firstLine="772" w:firstLineChars="32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DBFA651">
      <w:pPr>
        <w:pStyle w:val="16"/>
        <w:spacing w:before="34"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7C4250A">
      <w:pPr>
        <w:pStyle w:val="16"/>
        <w:spacing w:before="34"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9753B61">
      <w:pPr>
        <w:pStyle w:val="16"/>
        <w:spacing w:before="25"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248F77FB">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p>
    <w:p w14:paraId="4B423B8E">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2D24BA4">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8257927">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75B98184">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7652937">
      <w:pPr>
        <w:spacing w:line="520" w:lineRule="exact"/>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bookmarkStart w:id="244" w:name="_Toc5259"/>
      <w:r>
        <w:rPr>
          <w:rFonts w:hint="eastAsia" w:ascii="宋体" w:hAnsi="宋体" w:eastAsia="宋体" w:cs="宋体"/>
          <w:color w:val="auto"/>
          <w:sz w:val="44"/>
          <w:szCs w:val="44"/>
          <w:highlight w:val="none"/>
        </w:rPr>
        <w:t>残疾人福利性单位声明函（格式）</w:t>
      </w:r>
      <w:bookmarkEnd w:id="244"/>
    </w:p>
    <w:p w14:paraId="45B6D1D3">
      <w:pPr>
        <w:spacing w:line="360" w:lineRule="auto"/>
        <w:contextualSpacing/>
        <w:rPr>
          <w:rFonts w:hint="eastAsia" w:ascii="宋体" w:hAnsi="宋体" w:eastAsia="宋体" w:cs="宋体"/>
          <w:color w:val="auto"/>
          <w:sz w:val="32"/>
          <w:szCs w:val="32"/>
          <w:highlight w:val="none"/>
        </w:rPr>
      </w:pPr>
    </w:p>
    <w:p w14:paraId="441B02D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（采购单位名称）</w:t>
      </w:r>
      <w:r>
        <w:rPr>
          <w:rFonts w:hint="eastAsia" w:ascii="宋体" w:hAnsi="宋体" w:eastAsia="宋体" w:cs="宋体"/>
          <w:color w:val="auto"/>
          <w:sz w:val="24"/>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FCD5A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0BA7157">
      <w:pPr>
        <w:spacing w:line="360" w:lineRule="auto"/>
        <w:contextualSpacing/>
        <w:rPr>
          <w:rFonts w:hint="eastAsia" w:ascii="宋体" w:hAnsi="宋体" w:eastAsia="宋体" w:cs="宋体"/>
          <w:color w:val="auto"/>
          <w:sz w:val="24"/>
          <w:highlight w:val="none"/>
        </w:rPr>
      </w:pPr>
    </w:p>
    <w:p w14:paraId="5E39093A">
      <w:pPr>
        <w:spacing w:line="360" w:lineRule="auto"/>
        <w:contextualSpacing/>
        <w:rPr>
          <w:rFonts w:hint="eastAsia" w:ascii="宋体" w:hAnsi="宋体" w:eastAsia="宋体" w:cs="宋体"/>
          <w:color w:val="auto"/>
          <w:sz w:val="24"/>
          <w:highlight w:val="none"/>
        </w:rPr>
      </w:pPr>
    </w:p>
    <w:p w14:paraId="1424647F">
      <w:pPr>
        <w:spacing w:line="360" w:lineRule="auto"/>
        <w:contextualSpacing/>
        <w:rPr>
          <w:rFonts w:hint="eastAsia" w:ascii="宋体" w:hAnsi="宋体" w:eastAsia="宋体" w:cs="宋体"/>
          <w:color w:val="auto"/>
          <w:sz w:val="24"/>
          <w:highlight w:val="none"/>
        </w:rPr>
      </w:pPr>
    </w:p>
    <w:p w14:paraId="60F94894">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565843D">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71050F1">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782705B3">
      <w:pPr>
        <w:spacing w:line="360" w:lineRule="auto"/>
        <w:contextualSpacing/>
        <w:rPr>
          <w:rFonts w:hint="eastAsia" w:ascii="宋体" w:hAnsi="宋体" w:eastAsia="宋体" w:cs="宋体"/>
          <w:color w:val="auto"/>
          <w:sz w:val="24"/>
          <w:highlight w:val="none"/>
        </w:rPr>
      </w:pPr>
    </w:p>
    <w:p w14:paraId="305D895C">
      <w:pPr>
        <w:spacing w:line="360" w:lineRule="auto"/>
        <w:contextualSpacing/>
        <w:rPr>
          <w:rFonts w:hint="eastAsia" w:ascii="宋体" w:hAnsi="宋体" w:eastAsia="宋体" w:cs="宋体"/>
          <w:color w:val="auto"/>
          <w:sz w:val="24"/>
          <w:highlight w:val="none"/>
        </w:rPr>
      </w:pPr>
    </w:p>
    <w:p w14:paraId="161A2FC0">
      <w:pPr>
        <w:spacing w:line="360" w:lineRule="auto"/>
        <w:contextualSpacing/>
        <w:rPr>
          <w:rFonts w:hint="eastAsia" w:ascii="宋体" w:hAnsi="宋体" w:eastAsia="宋体" w:cs="宋体"/>
          <w:color w:val="auto"/>
          <w:sz w:val="24"/>
          <w:highlight w:val="none"/>
        </w:rPr>
      </w:pPr>
    </w:p>
    <w:p w14:paraId="3D27DA87">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EF5A7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DD9C411">
      <w:pPr>
        <w:spacing w:line="520" w:lineRule="exact"/>
        <w:jc w:val="center"/>
        <w:outlineLvl w:val="2"/>
        <w:rPr>
          <w:rFonts w:hint="eastAsia" w:ascii="宋体" w:hAnsi="宋体" w:eastAsia="宋体" w:cs="宋体"/>
          <w:color w:val="auto"/>
          <w:sz w:val="44"/>
          <w:szCs w:val="44"/>
          <w:highlight w:val="none"/>
        </w:rPr>
      </w:pPr>
      <w:bookmarkStart w:id="245" w:name="_Toc19149"/>
      <w:r>
        <w:rPr>
          <w:rFonts w:hint="eastAsia" w:ascii="宋体" w:hAnsi="宋体" w:eastAsia="宋体" w:cs="宋体"/>
          <w:color w:val="auto"/>
          <w:sz w:val="44"/>
          <w:szCs w:val="44"/>
          <w:highlight w:val="none"/>
        </w:rPr>
        <w:t>监狱企业声明函（格式）</w:t>
      </w:r>
      <w:bookmarkEnd w:id="245"/>
    </w:p>
    <w:p w14:paraId="26A3AF4B">
      <w:pPr>
        <w:pStyle w:val="16"/>
        <w:spacing w:before="5"/>
        <w:rPr>
          <w:rFonts w:hint="eastAsia" w:ascii="宋体" w:hAnsi="宋体" w:eastAsia="宋体" w:cs="宋体"/>
          <w:b/>
          <w:color w:val="auto"/>
          <w:sz w:val="24"/>
          <w:highlight w:val="none"/>
        </w:rPr>
      </w:pPr>
    </w:p>
    <w:p w14:paraId="41AC005D">
      <w:pPr>
        <w:tabs>
          <w:tab w:val="left" w:pos="3375"/>
        </w:tabs>
        <w:spacing w:before="1" w:line="364" w:lineRule="auto"/>
        <w:ind w:left="0" w:right="53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r>
        <w:rPr>
          <w:rFonts w:hint="eastAsia" w:ascii="宋体" w:hAnsi="宋体" w:eastAsia="宋体" w:cs="宋体"/>
          <w:color w:val="auto"/>
          <w:spacing w:val="-3"/>
          <w:sz w:val="24"/>
          <w:szCs w:val="24"/>
          <w:highlight w:val="none"/>
        </w:rPr>
        <w:t>，按照《财政部、司法部关于政府采购支持监狱企业发展有关问题的通知》（财库〔</w:t>
      </w:r>
      <w:r>
        <w:rPr>
          <w:rFonts w:hint="eastAsia" w:ascii="宋体" w:hAnsi="宋体" w:cs="宋体"/>
          <w:color w:val="auto"/>
          <w:spacing w:val="-3"/>
          <w:sz w:val="24"/>
          <w:szCs w:val="24"/>
          <w:highlight w:val="none"/>
          <w:lang w:eastAsia="zh-CN"/>
        </w:rPr>
        <w:t>〔2014〕68号</w:t>
      </w:r>
      <w:r>
        <w:rPr>
          <w:rFonts w:hint="eastAsia" w:ascii="宋体" w:hAnsi="宋体" w:eastAsia="宋体" w:cs="宋体"/>
          <w:color w:val="auto"/>
          <w:spacing w:val="-3"/>
          <w:sz w:val="24"/>
          <w:szCs w:val="24"/>
          <w:highlight w:val="none"/>
        </w:rPr>
        <w:t>）的规定</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本单位为符合条件的</w:t>
      </w:r>
      <w:r>
        <w:rPr>
          <w:rFonts w:hint="eastAsia" w:ascii="宋体" w:hAnsi="宋体" w:eastAsia="宋体" w:cs="宋体"/>
          <w:color w:val="auto"/>
          <w:sz w:val="24"/>
          <w:szCs w:val="24"/>
          <w:highlight w:val="none"/>
          <w:lang w:val="en-US"/>
        </w:rPr>
        <w:t>监狱企业</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且本单位参加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highlight w:val="none"/>
        </w:rPr>
        <w:t>项目采购活动提供本单位服</w:t>
      </w:r>
      <w:r>
        <w:rPr>
          <w:rFonts w:hint="eastAsia" w:ascii="宋体" w:hAnsi="宋体" w:eastAsia="宋体" w:cs="宋体"/>
          <w:color w:val="auto"/>
          <w:spacing w:val="-5"/>
          <w:sz w:val="24"/>
          <w:szCs w:val="24"/>
          <w:highlight w:val="none"/>
        </w:rPr>
        <w:t>务</w:t>
      </w:r>
      <w:r>
        <w:rPr>
          <w:rFonts w:hint="eastAsia" w:ascii="宋体" w:hAnsi="宋体" w:eastAsia="宋体" w:cs="宋体"/>
          <w:color w:val="auto"/>
          <w:sz w:val="24"/>
          <w:szCs w:val="24"/>
          <w:highlight w:val="none"/>
        </w:rPr>
        <w:t>（由本单位承担工程</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z w:val="24"/>
          <w:szCs w:val="24"/>
          <w:highlight w:val="none"/>
        </w:rPr>
        <w:t>提供服务）。</w:t>
      </w:r>
    </w:p>
    <w:p w14:paraId="38E659B7">
      <w:pPr>
        <w:pStyle w:val="16"/>
        <w:spacing w:before="11"/>
        <w:outlineLvl w:val="9"/>
        <w:rPr>
          <w:rFonts w:hint="eastAsia" w:ascii="宋体" w:hAnsi="宋体" w:eastAsia="宋体" w:cs="宋体"/>
          <w:color w:val="auto"/>
          <w:sz w:val="24"/>
          <w:szCs w:val="24"/>
          <w:highlight w:val="none"/>
        </w:rPr>
      </w:pPr>
    </w:p>
    <w:p w14:paraId="02BE6DF4">
      <w:pPr>
        <w:ind w:lef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7D7799B">
      <w:pPr>
        <w:pStyle w:val="16"/>
        <w:outlineLvl w:val="9"/>
        <w:rPr>
          <w:rFonts w:hint="eastAsia" w:ascii="宋体" w:hAnsi="宋体" w:eastAsia="宋体" w:cs="宋体"/>
          <w:color w:val="auto"/>
          <w:sz w:val="24"/>
          <w:szCs w:val="24"/>
          <w:highlight w:val="none"/>
        </w:rPr>
      </w:pPr>
    </w:p>
    <w:p w14:paraId="025E5D82">
      <w:pPr>
        <w:keepNext w:val="0"/>
        <w:keepLines w:val="0"/>
        <w:pageBreakBefore w:val="0"/>
        <w:widowControl w:val="0"/>
        <w:kinsoku/>
        <w:wordWrap/>
        <w:overflowPunct/>
        <w:topLinePunct w:val="0"/>
        <w:autoSpaceDE/>
        <w:autoSpaceDN/>
        <w:bidi w:val="0"/>
        <w:adjustRightInd/>
        <w:spacing w:line="480" w:lineRule="auto"/>
        <w:ind w:left="0" w:firstLine="1200" w:firstLineChars="5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9ED9342">
      <w:pPr>
        <w:keepNext w:val="0"/>
        <w:keepLines w:val="0"/>
        <w:pageBreakBefore w:val="0"/>
        <w:widowControl w:val="0"/>
        <w:kinsoku/>
        <w:wordWrap/>
        <w:overflowPunct/>
        <w:topLinePunct w:val="0"/>
        <w:autoSpaceDE/>
        <w:autoSpaceDN/>
        <w:bidi w:val="0"/>
        <w:adjustRightInd/>
        <w:snapToGrid/>
        <w:spacing w:line="480" w:lineRule="auto"/>
        <w:ind w:firstLine="2160" w:firstLineChars="9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29A656E">
      <w:pPr>
        <w:keepNext w:val="0"/>
        <w:keepLines w:val="0"/>
        <w:pageBreakBefore w:val="0"/>
        <w:widowControl w:val="0"/>
        <w:kinsoku/>
        <w:wordWrap/>
        <w:overflowPunct/>
        <w:topLinePunct w:val="0"/>
        <w:autoSpaceDE/>
        <w:autoSpaceDN/>
        <w:bidi w:val="0"/>
        <w:adjustRightInd/>
        <w:snapToGrid w:val="0"/>
        <w:spacing w:beforeLines="50" w:after="50" w:line="480" w:lineRule="auto"/>
        <w:ind w:right="480" w:firstLine="4800" w:firstLineChars="20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r>
        <w:rPr>
          <w:rFonts w:hint="eastAsia" w:ascii="宋体" w:hAnsi="宋体" w:eastAsia="宋体" w:cs="宋体"/>
          <w:color w:val="auto"/>
          <w:sz w:val="24"/>
          <w:szCs w:val="24"/>
          <w:highlight w:val="none"/>
        </w:rPr>
        <w:t>年    月    日</w:t>
      </w:r>
    </w:p>
    <w:p w14:paraId="19A624E9">
      <w:pPr>
        <w:pStyle w:val="16"/>
        <w:outlineLvl w:val="9"/>
        <w:rPr>
          <w:rFonts w:hint="eastAsia" w:ascii="宋体" w:hAnsi="宋体" w:eastAsia="宋体" w:cs="宋体"/>
          <w:color w:val="auto"/>
          <w:sz w:val="26"/>
          <w:highlight w:val="none"/>
        </w:rPr>
      </w:pPr>
    </w:p>
    <w:p w14:paraId="03831CA7">
      <w:pPr>
        <w:pStyle w:val="16"/>
        <w:outlineLvl w:val="9"/>
        <w:rPr>
          <w:rFonts w:hint="eastAsia" w:ascii="宋体" w:hAnsi="宋体" w:eastAsia="宋体" w:cs="宋体"/>
          <w:color w:val="auto"/>
          <w:sz w:val="26"/>
          <w:highlight w:val="none"/>
        </w:rPr>
      </w:pPr>
    </w:p>
    <w:p w14:paraId="36D7B1E0">
      <w:pPr>
        <w:pStyle w:val="16"/>
        <w:outlineLvl w:val="9"/>
        <w:rPr>
          <w:rFonts w:hint="eastAsia" w:ascii="宋体" w:hAnsi="宋体" w:eastAsia="宋体" w:cs="宋体"/>
          <w:color w:val="auto"/>
          <w:sz w:val="20"/>
          <w:highlight w:val="none"/>
        </w:rPr>
      </w:pPr>
    </w:p>
    <w:p w14:paraId="6BABA3B9">
      <w:pPr>
        <w:pStyle w:val="16"/>
        <w:rPr>
          <w:rFonts w:hint="eastAsia" w:ascii="宋体" w:hAnsi="宋体" w:eastAsia="宋体" w:cs="宋体"/>
          <w:color w:val="auto"/>
          <w:sz w:val="20"/>
          <w:highlight w:val="none"/>
        </w:rPr>
      </w:pPr>
    </w:p>
    <w:p w14:paraId="3CDA7606">
      <w:pPr>
        <w:pStyle w:val="16"/>
        <w:rPr>
          <w:rFonts w:hint="eastAsia" w:ascii="宋体" w:hAnsi="宋体" w:eastAsia="宋体" w:cs="宋体"/>
          <w:color w:val="auto"/>
          <w:sz w:val="20"/>
          <w:highlight w:val="none"/>
        </w:rPr>
      </w:pPr>
    </w:p>
    <w:p w14:paraId="3FC78178">
      <w:pPr>
        <w:pStyle w:val="16"/>
        <w:rPr>
          <w:rFonts w:hint="eastAsia" w:ascii="宋体" w:hAnsi="宋体" w:eastAsia="宋体" w:cs="宋体"/>
          <w:color w:val="auto"/>
          <w:sz w:val="20"/>
          <w:highlight w:val="none"/>
        </w:rPr>
      </w:pPr>
    </w:p>
    <w:p w14:paraId="6A1EA7E5">
      <w:pPr>
        <w:pStyle w:val="16"/>
        <w:rPr>
          <w:rFonts w:hint="eastAsia" w:ascii="宋体" w:hAnsi="宋体" w:eastAsia="宋体" w:cs="宋体"/>
          <w:color w:val="auto"/>
          <w:sz w:val="20"/>
          <w:highlight w:val="none"/>
        </w:rPr>
      </w:pPr>
    </w:p>
    <w:p w14:paraId="49C795C1">
      <w:pPr>
        <w:pStyle w:val="16"/>
        <w:rPr>
          <w:rFonts w:hint="eastAsia" w:ascii="宋体" w:hAnsi="宋体" w:eastAsia="宋体" w:cs="宋体"/>
          <w:color w:val="auto"/>
          <w:sz w:val="20"/>
          <w:highlight w:val="none"/>
        </w:rPr>
      </w:pPr>
    </w:p>
    <w:p w14:paraId="2D8E183F">
      <w:pPr>
        <w:pStyle w:val="16"/>
        <w:rPr>
          <w:rFonts w:hint="eastAsia" w:ascii="宋体" w:hAnsi="宋体" w:eastAsia="宋体" w:cs="宋体"/>
          <w:color w:val="auto"/>
          <w:sz w:val="20"/>
          <w:highlight w:val="none"/>
        </w:rPr>
      </w:pPr>
    </w:p>
    <w:p w14:paraId="0DA02A1A">
      <w:pPr>
        <w:pStyle w:val="16"/>
        <w:rPr>
          <w:rFonts w:hint="eastAsia" w:ascii="宋体" w:hAnsi="宋体" w:eastAsia="宋体" w:cs="宋体"/>
          <w:color w:val="auto"/>
          <w:sz w:val="20"/>
          <w:highlight w:val="none"/>
        </w:rPr>
      </w:pPr>
    </w:p>
    <w:p w14:paraId="710335FB">
      <w:pPr>
        <w:pStyle w:val="16"/>
        <w:rPr>
          <w:rFonts w:hint="eastAsia" w:ascii="宋体" w:hAnsi="宋体" w:eastAsia="宋体" w:cs="宋体"/>
          <w:color w:val="auto"/>
          <w:sz w:val="20"/>
          <w:highlight w:val="none"/>
        </w:rPr>
      </w:pPr>
    </w:p>
    <w:p w14:paraId="50C3EF09">
      <w:pPr>
        <w:pStyle w:val="16"/>
        <w:rPr>
          <w:rFonts w:hint="eastAsia" w:ascii="宋体" w:hAnsi="宋体" w:eastAsia="宋体" w:cs="宋体"/>
          <w:color w:val="auto"/>
          <w:sz w:val="20"/>
          <w:highlight w:val="none"/>
        </w:rPr>
      </w:pPr>
    </w:p>
    <w:p w14:paraId="031D9C13">
      <w:pPr>
        <w:pStyle w:val="16"/>
        <w:rPr>
          <w:rFonts w:hint="eastAsia" w:ascii="宋体" w:hAnsi="宋体" w:eastAsia="宋体" w:cs="宋体"/>
          <w:color w:val="auto"/>
          <w:sz w:val="20"/>
          <w:highlight w:val="none"/>
        </w:rPr>
      </w:pPr>
    </w:p>
    <w:p w14:paraId="3B7BE403">
      <w:pPr>
        <w:pStyle w:val="16"/>
        <w:rPr>
          <w:rFonts w:hint="eastAsia" w:ascii="宋体" w:hAnsi="宋体" w:eastAsia="宋体" w:cs="宋体"/>
          <w:color w:val="auto"/>
          <w:sz w:val="20"/>
          <w:highlight w:val="none"/>
        </w:rPr>
      </w:pPr>
    </w:p>
    <w:p w14:paraId="65C77B44">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253AB310">
      <w:pPr>
        <w:spacing w:line="360" w:lineRule="auto"/>
        <w:jc w:val="center"/>
        <w:outlineLvl w:val="2"/>
        <w:rPr>
          <w:rFonts w:hint="eastAsia" w:ascii="宋体" w:hAnsi="宋体" w:eastAsia="宋体" w:cs="宋体"/>
          <w:b/>
          <w:bCs/>
          <w:color w:val="auto"/>
          <w:sz w:val="32"/>
          <w:szCs w:val="32"/>
          <w:highlight w:val="none"/>
        </w:rPr>
      </w:pPr>
      <w:bookmarkStart w:id="246" w:name="_Toc27115"/>
      <w:r>
        <w:rPr>
          <w:rFonts w:hint="eastAsia" w:ascii="宋体" w:hAnsi="宋体" w:eastAsia="宋体" w:cs="宋体"/>
          <w:color w:val="auto"/>
          <w:sz w:val="44"/>
          <w:szCs w:val="44"/>
          <w:highlight w:val="none"/>
        </w:rPr>
        <w:t>质疑函（格式）</w:t>
      </w:r>
      <w:bookmarkEnd w:id="246"/>
    </w:p>
    <w:p w14:paraId="7A288CEF">
      <w:pPr>
        <w:pStyle w:val="2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CDBB32D">
      <w:pPr>
        <w:pStyle w:val="2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p>
    <w:p w14:paraId="2213FBD7">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2617CB6F">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00A24FFF">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p>
    <w:p w14:paraId="40BC79B2">
      <w:pPr>
        <w:pStyle w:val="2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p>
    <w:p w14:paraId="220595D0">
      <w:pPr>
        <w:pStyle w:val="2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13CCA1E2">
      <w:pPr>
        <w:pStyle w:val="2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79CFE64">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7F2771E1">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2F6D4E8F">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22CC3C00">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B1A6950">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p>
    <w:p w14:paraId="6396C7AC">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6C0E529">
      <w:pPr>
        <w:pStyle w:val="2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6DC220C">
      <w:pPr>
        <w:pStyle w:val="2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4449690">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14:paraId="1C72568C">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7F0FD4D3">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14:paraId="76F74D2D">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69EE79A">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780754E">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41A538B">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3E31EFFA">
      <w:pPr>
        <w:pStyle w:val="20"/>
        <w:spacing w:line="360" w:lineRule="auto"/>
        <w:ind w:left="25" w:leftChars="12" w:firstLine="352" w:firstLineChars="147"/>
        <w:contextualSpacing/>
        <w:rPr>
          <w:rFonts w:hint="eastAsia" w:ascii="宋体" w:hAnsi="宋体" w:eastAsia="宋体" w:cs="宋体"/>
          <w:color w:val="auto"/>
          <w:sz w:val="24"/>
          <w:szCs w:val="24"/>
          <w:highlight w:val="none"/>
        </w:rPr>
      </w:pPr>
    </w:p>
    <w:p w14:paraId="47FA552A">
      <w:pPr>
        <w:pStyle w:val="2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6A3E8D5">
      <w:pPr>
        <w:pStyle w:val="20"/>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44EEA37E">
      <w:pPr>
        <w:pStyle w:val="2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1862741">
      <w:pPr>
        <w:pStyle w:val="2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FF95A78">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686FB4">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5E949EED">
      <w:pPr>
        <w:pStyle w:val="2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9E007E8">
      <w:pPr>
        <w:pStyle w:val="2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56CF8D6">
      <w:pPr>
        <w:pStyle w:val="20"/>
        <w:snapToGrid w:val="0"/>
        <w:rPr>
          <w:rFonts w:hint="eastAsia" w:ascii="宋体" w:hAnsi="宋体" w:eastAsia="宋体" w:cs="宋体"/>
          <w:b/>
          <w:color w:val="auto"/>
          <w:sz w:val="24"/>
          <w:szCs w:val="24"/>
          <w:highlight w:val="none"/>
        </w:rPr>
      </w:pPr>
    </w:p>
    <w:p w14:paraId="777ACCBD">
      <w:pPr>
        <w:rPr>
          <w:rFonts w:hint="eastAsia" w:ascii="宋体" w:hAnsi="宋体" w:eastAsia="宋体" w:cs="宋体"/>
          <w:color w:val="auto"/>
          <w:sz w:val="32"/>
          <w:szCs w:val="40"/>
          <w:highlight w:val="none"/>
        </w:rPr>
      </w:pPr>
    </w:p>
    <w:p w14:paraId="18925422">
      <w:pPr>
        <w:rPr>
          <w:rFonts w:hint="eastAsia" w:ascii="宋体" w:hAnsi="宋体" w:eastAsia="宋体" w:cs="宋体"/>
          <w:color w:val="auto"/>
          <w:sz w:val="32"/>
          <w:szCs w:val="40"/>
          <w:highlight w:val="none"/>
        </w:rPr>
      </w:pPr>
    </w:p>
    <w:p w14:paraId="578EED7E">
      <w:pPr>
        <w:rPr>
          <w:rFonts w:hint="eastAsia" w:ascii="宋体" w:hAnsi="宋体" w:eastAsia="宋体" w:cs="宋体"/>
          <w:color w:val="auto"/>
          <w:sz w:val="32"/>
          <w:szCs w:val="40"/>
          <w:highlight w:val="none"/>
        </w:rPr>
      </w:pPr>
    </w:p>
    <w:p w14:paraId="13B8B672">
      <w:pPr>
        <w:rPr>
          <w:rFonts w:hint="eastAsia" w:ascii="宋体" w:hAnsi="宋体" w:eastAsia="宋体" w:cs="宋体"/>
          <w:color w:val="auto"/>
          <w:sz w:val="32"/>
          <w:szCs w:val="40"/>
          <w:highlight w:val="none"/>
        </w:rPr>
      </w:pPr>
    </w:p>
    <w:p w14:paraId="76C0A4E4">
      <w:pPr>
        <w:rPr>
          <w:rFonts w:hint="eastAsia" w:ascii="宋体" w:hAnsi="宋体" w:eastAsia="宋体" w:cs="宋体"/>
          <w:color w:val="auto"/>
          <w:sz w:val="32"/>
          <w:szCs w:val="40"/>
          <w:highlight w:val="none"/>
        </w:rPr>
      </w:pPr>
    </w:p>
    <w:p w14:paraId="46C260D2">
      <w:pPr>
        <w:rPr>
          <w:rFonts w:hint="eastAsia" w:ascii="宋体" w:hAnsi="宋体" w:eastAsia="宋体" w:cs="宋体"/>
          <w:color w:val="auto"/>
          <w:sz w:val="32"/>
          <w:szCs w:val="40"/>
          <w:highlight w:val="none"/>
        </w:rPr>
      </w:pPr>
    </w:p>
    <w:p w14:paraId="4317CAE2">
      <w:pPr>
        <w:rPr>
          <w:rFonts w:hint="eastAsia" w:ascii="宋体" w:hAnsi="宋体" w:eastAsia="宋体" w:cs="宋体"/>
          <w:color w:val="auto"/>
          <w:sz w:val="32"/>
          <w:szCs w:val="40"/>
          <w:highlight w:val="none"/>
        </w:rPr>
      </w:pPr>
    </w:p>
    <w:p w14:paraId="4B195A4C">
      <w:pPr>
        <w:rPr>
          <w:rFonts w:hint="eastAsia" w:ascii="宋体" w:hAnsi="宋体" w:eastAsia="宋体" w:cs="宋体"/>
          <w:color w:val="auto"/>
          <w:sz w:val="32"/>
          <w:szCs w:val="40"/>
          <w:highlight w:val="none"/>
        </w:rPr>
      </w:pPr>
    </w:p>
    <w:p w14:paraId="08A6A437">
      <w:pPr>
        <w:rPr>
          <w:rFonts w:hint="eastAsia" w:ascii="宋体" w:hAnsi="宋体" w:eastAsia="宋体" w:cs="宋体"/>
          <w:color w:val="auto"/>
          <w:sz w:val="32"/>
          <w:szCs w:val="40"/>
          <w:highlight w:val="none"/>
        </w:rPr>
      </w:pPr>
    </w:p>
    <w:p w14:paraId="0F0A4350">
      <w:pPr>
        <w:rPr>
          <w:rFonts w:hint="eastAsia" w:ascii="宋体" w:hAnsi="宋体" w:eastAsia="宋体" w:cs="宋体"/>
          <w:color w:val="auto"/>
          <w:sz w:val="32"/>
          <w:szCs w:val="40"/>
          <w:highlight w:val="none"/>
        </w:rPr>
      </w:pPr>
    </w:p>
    <w:p w14:paraId="7BA607F3">
      <w:pPr>
        <w:rPr>
          <w:rFonts w:hint="eastAsia" w:ascii="宋体" w:hAnsi="宋体" w:eastAsia="宋体" w:cs="宋体"/>
          <w:color w:val="auto"/>
          <w:sz w:val="32"/>
          <w:szCs w:val="40"/>
          <w:highlight w:val="none"/>
        </w:rPr>
      </w:pPr>
    </w:p>
    <w:p w14:paraId="161C9A74">
      <w:pPr>
        <w:rPr>
          <w:rFonts w:hint="eastAsia" w:ascii="宋体" w:hAnsi="宋体" w:eastAsia="宋体" w:cs="宋体"/>
          <w:color w:val="auto"/>
          <w:sz w:val="32"/>
          <w:szCs w:val="40"/>
          <w:highlight w:val="none"/>
        </w:rPr>
      </w:pPr>
    </w:p>
    <w:p w14:paraId="32C57F4B">
      <w:pPr>
        <w:pStyle w:val="2"/>
        <w:rPr>
          <w:rFonts w:hint="eastAsia" w:ascii="宋体" w:hAnsi="宋体" w:eastAsia="宋体" w:cs="宋体"/>
          <w:color w:val="auto"/>
          <w:sz w:val="32"/>
          <w:szCs w:val="40"/>
          <w:highlight w:val="none"/>
        </w:rPr>
      </w:pPr>
    </w:p>
    <w:p w14:paraId="16630E7C">
      <w:pPr>
        <w:pStyle w:val="2"/>
        <w:rPr>
          <w:rFonts w:hint="eastAsia" w:ascii="宋体" w:hAnsi="宋体" w:eastAsia="宋体" w:cs="宋体"/>
          <w:color w:val="auto"/>
          <w:sz w:val="32"/>
          <w:szCs w:val="40"/>
          <w:highlight w:val="none"/>
        </w:rPr>
      </w:pPr>
    </w:p>
    <w:p w14:paraId="10D24DF3">
      <w:pPr>
        <w:rPr>
          <w:rFonts w:hint="eastAsia" w:ascii="宋体" w:hAnsi="宋体" w:eastAsia="宋体" w:cs="宋体"/>
          <w:color w:val="auto"/>
          <w:sz w:val="32"/>
          <w:szCs w:val="40"/>
          <w:highlight w:val="none"/>
        </w:rPr>
      </w:pPr>
    </w:p>
    <w:p w14:paraId="6DB3EB22">
      <w:pPr>
        <w:rPr>
          <w:rFonts w:hint="eastAsia" w:ascii="宋体" w:hAnsi="宋体" w:eastAsia="宋体" w:cs="宋体"/>
          <w:color w:val="auto"/>
          <w:sz w:val="32"/>
          <w:szCs w:val="40"/>
          <w:highlight w:val="none"/>
        </w:rPr>
      </w:pPr>
    </w:p>
    <w:p w14:paraId="13768C49">
      <w:pPr>
        <w:pStyle w:val="2"/>
        <w:rPr>
          <w:rFonts w:hint="eastAsia" w:ascii="宋体" w:hAnsi="宋体" w:eastAsia="宋体" w:cs="宋体"/>
          <w:color w:val="auto"/>
          <w:highlight w:val="none"/>
        </w:rPr>
      </w:pPr>
    </w:p>
    <w:p w14:paraId="34A09946">
      <w:pPr>
        <w:spacing w:line="360" w:lineRule="auto"/>
        <w:jc w:val="center"/>
        <w:outlineLvl w:val="2"/>
        <w:rPr>
          <w:rFonts w:hint="eastAsia" w:ascii="宋体" w:hAnsi="宋体" w:eastAsia="宋体" w:cs="宋体"/>
          <w:color w:val="auto"/>
          <w:sz w:val="44"/>
          <w:szCs w:val="44"/>
          <w:highlight w:val="none"/>
        </w:rPr>
      </w:pPr>
      <w:bookmarkStart w:id="247" w:name="_Toc24273"/>
      <w:r>
        <w:rPr>
          <w:rFonts w:hint="eastAsia" w:ascii="宋体" w:hAnsi="宋体" w:eastAsia="宋体" w:cs="宋体"/>
          <w:color w:val="auto"/>
          <w:sz w:val="44"/>
          <w:szCs w:val="44"/>
          <w:highlight w:val="none"/>
        </w:rPr>
        <w:t>投诉书（格式）</w:t>
      </w:r>
      <w:bookmarkEnd w:id="247"/>
    </w:p>
    <w:p w14:paraId="545502EA">
      <w:pPr>
        <w:pStyle w:val="2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193265F">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p>
    <w:p w14:paraId="19C34777">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5FC07B71">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p>
    <w:p w14:paraId="7A506738">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42671899">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授权代表：联系电话：</w:t>
      </w:r>
    </w:p>
    <w:p w14:paraId="78876357">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6D99D51B">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138D6EC5">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6D4166C4">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7F5BCD58">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04BD733F">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联系人：联系电话：</w:t>
      </w:r>
    </w:p>
    <w:p w14:paraId="4631FE41">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E70DB80">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FAF1FB6">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p>
    <w:p w14:paraId="46204CF5">
      <w:pPr>
        <w:pStyle w:val="2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地址：邮编：</w:t>
      </w:r>
    </w:p>
    <w:p w14:paraId="418BB817">
      <w:pPr>
        <w:pStyle w:val="2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1F7B1F87">
      <w:pPr>
        <w:pStyle w:val="2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E96555">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p>
    <w:p w14:paraId="1D5A8D78">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p>
    <w:p w14:paraId="1FDF58BB">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p>
    <w:p w14:paraId="765892E0">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p>
    <w:p w14:paraId="48FE6211">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4B6081BA">
      <w:pPr>
        <w:pStyle w:val="2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6C9004BA">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3BAD17F9">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投诉人于年月日，向</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提出质疑，质疑事项为：</w:t>
      </w:r>
    </w:p>
    <w:p w14:paraId="249A1AF1">
      <w:pPr>
        <w:pStyle w:val="20"/>
        <w:spacing w:line="360" w:lineRule="auto"/>
        <w:ind w:firstLine="241"/>
        <w:rPr>
          <w:rFonts w:hint="eastAsia" w:ascii="宋体" w:hAnsi="宋体" w:eastAsia="宋体" w:cs="宋体"/>
          <w:bCs/>
          <w:color w:val="auto"/>
          <w:sz w:val="24"/>
          <w:szCs w:val="24"/>
          <w:highlight w:val="none"/>
          <w:u w:val="single"/>
        </w:rPr>
      </w:pPr>
    </w:p>
    <w:p w14:paraId="5CB262F0">
      <w:pPr>
        <w:pStyle w:val="20"/>
        <w:spacing w:line="360" w:lineRule="auto"/>
        <w:ind w:firstLine="241"/>
        <w:rPr>
          <w:rFonts w:hint="eastAsia" w:ascii="宋体" w:hAnsi="宋体" w:eastAsia="宋体" w:cs="宋体"/>
          <w:bCs/>
          <w:color w:val="auto"/>
          <w:sz w:val="24"/>
          <w:szCs w:val="24"/>
          <w:highlight w:val="none"/>
          <w:u w:val="single"/>
        </w:rPr>
      </w:pPr>
    </w:p>
    <w:p w14:paraId="132F617E">
      <w:pPr>
        <w:pStyle w:val="2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rPr>
        <w:t>年月日，</w:t>
      </w:r>
      <w:r>
        <w:rPr>
          <w:rFonts w:hint="eastAsia" w:ascii="宋体" w:hAnsi="宋体" w:eastAsia="宋体" w:cs="宋体"/>
          <w:bCs/>
          <w:color w:val="auto"/>
          <w:sz w:val="24"/>
          <w:szCs w:val="24"/>
          <w:highlight w:val="none"/>
        </w:rPr>
        <w:t xml:space="preserve">就质疑事项作出了答复/没有在法定期限内作出答复。                                                                                             </w:t>
      </w:r>
    </w:p>
    <w:p w14:paraId="35FE2BBE">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DE07DA3">
      <w:pPr>
        <w:pStyle w:val="2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p>
    <w:p w14:paraId="5789E590">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p>
    <w:p w14:paraId="7C162A91">
      <w:pPr>
        <w:pStyle w:val="20"/>
        <w:spacing w:line="360" w:lineRule="auto"/>
        <w:ind w:left="25" w:leftChars="12" w:firstLine="472" w:firstLineChars="197"/>
        <w:rPr>
          <w:rFonts w:hint="eastAsia" w:ascii="宋体" w:hAnsi="宋体" w:eastAsia="宋体" w:cs="宋体"/>
          <w:color w:val="auto"/>
          <w:sz w:val="24"/>
          <w:szCs w:val="24"/>
          <w:highlight w:val="none"/>
        </w:rPr>
      </w:pPr>
    </w:p>
    <w:p w14:paraId="3647E56F">
      <w:pPr>
        <w:pStyle w:val="2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p>
    <w:p w14:paraId="73E1F5FA">
      <w:pPr>
        <w:pStyle w:val="20"/>
        <w:spacing w:line="360" w:lineRule="auto"/>
        <w:ind w:left="25" w:leftChars="12" w:firstLine="352" w:firstLineChars="147"/>
        <w:rPr>
          <w:rFonts w:hint="eastAsia" w:ascii="宋体" w:hAnsi="宋体" w:eastAsia="宋体" w:cs="宋体"/>
          <w:bCs/>
          <w:color w:val="auto"/>
          <w:sz w:val="24"/>
          <w:szCs w:val="24"/>
          <w:highlight w:val="none"/>
          <w:u w:val="single"/>
        </w:rPr>
      </w:pPr>
    </w:p>
    <w:p w14:paraId="56DD19E2">
      <w:pPr>
        <w:pStyle w:val="2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p>
    <w:p w14:paraId="4A83D8AA">
      <w:pPr>
        <w:pStyle w:val="2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80693D6">
      <w:pPr>
        <w:pStyle w:val="2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38EEE76">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548A091A">
      <w:pPr>
        <w:pStyle w:val="20"/>
        <w:spacing w:line="360" w:lineRule="auto"/>
        <w:ind w:left="25" w:leftChars="12" w:firstLine="352" w:firstLineChars="147"/>
        <w:rPr>
          <w:rFonts w:hint="eastAsia" w:ascii="宋体" w:hAnsi="宋体" w:eastAsia="宋体" w:cs="宋体"/>
          <w:color w:val="auto"/>
          <w:sz w:val="24"/>
          <w:szCs w:val="24"/>
          <w:highlight w:val="none"/>
        </w:rPr>
      </w:pPr>
    </w:p>
    <w:p w14:paraId="54E2B21E">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D1E22A7">
      <w:pPr>
        <w:pStyle w:val="20"/>
        <w:spacing w:line="360" w:lineRule="auto"/>
        <w:ind w:left="25" w:leftChars="12" w:firstLine="352" w:firstLineChars="147"/>
        <w:rPr>
          <w:rFonts w:hint="eastAsia" w:ascii="宋体" w:hAnsi="宋体" w:eastAsia="宋体" w:cs="宋体"/>
          <w:color w:val="auto"/>
          <w:sz w:val="24"/>
          <w:szCs w:val="24"/>
          <w:highlight w:val="none"/>
        </w:rPr>
      </w:pPr>
    </w:p>
    <w:p w14:paraId="68AA2B01">
      <w:pPr>
        <w:pStyle w:val="2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6F3D1BB">
      <w:pPr>
        <w:pStyle w:val="20"/>
        <w:spacing w:line="360" w:lineRule="auto"/>
        <w:ind w:left="25" w:leftChars="12" w:firstLine="475" w:firstLineChars="197"/>
        <w:rPr>
          <w:rFonts w:hint="eastAsia" w:ascii="宋体" w:hAnsi="宋体" w:eastAsia="宋体" w:cs="宋体"/>
          <w:b/>
          <w:color w:val="auto"/>
          <w:sz w:val="24"/>
          <w:szCs w:val="24"/>
          <w:highlight w:val="none"/>
        </w:rPr>
      </w:pPr>
    </w:p>
    <w:p w14:paraId="095B65D8">
      <w:pPr>
        <w:pStyle w:val="2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0410173">
      <w:pPr>
        <w:pStyle w:val="2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E691F1D">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D83BF00">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65CC420">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68B2B18B">
      <w:pPr>
        <w:pStyle w:val="2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CA1D0BC">
      <w:pPr>
        <w:pStyle w:val="2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D92345F">
      <w:pPr>
        <w:jc w:val="center"/>
        <w:outlineLvl w:val="9"/>
        <w:rPr>
          <w:rFonts w:hint="eastAsia" w:ascii="宋体" w:hAnsi="宋体" w:eastAsia="宋体" w:cs="宋体"/>
          <w:color w:val="auto"/>
          <w:highlight w:val="none"/>
        </w:rPr>
      </w:pPr>
    </w:p>
    <w:p w14:paraId="5813FBE5">
      <w:pPr>
        <w:jc w:val="center"/>
        <w:outlineLvl w:val="9"/>
        <w:rPr>
          <w:rFonts w:hint="eastAsia" w:ascii="宋体" w:hAnsi="宋体" w:eastAsia="宋体" w:cs="宋体"/>
          <w:color w:val="auto"/>
          <w:highlight w:val="none"/>
        </w:rPr>
      </w:pPr>
    </w:p>
    <w:p w14:paraId="74B753F5">
      <w:pPr>
        <w:outlineLvl w:val="9"/>
        <w:rPr>
          <w:rFonts w:hint="eastAsia" w:ascii="宋体" w:hAnsi="宋体" w:eastAsia="宋体" w:cs="宋体"/>
          <w:color w:val="auto"/>
          <w:highlight w:val="none"/>
          <w:lang w:val="zh-CN"/>
        </w:rPr>
      </w:pPr>
    </w:p>
    <w:p w14:paraId="5E075B55">
      <w:pPr>
        <w:outlineLvl w:val="9"/>
        <w:rPr>
          <w:rFonts w:hint="eastAsia" w:ascii="宋体" w:hAnsi="宋体" w:eastAsia="宋体" w:cs="宋体"/>
          <w:color w:val="auto"/>
          <w:highlight w:val="none"/>
          <w:lang w:val="zh-CN"/>
        </w:rPr>
      </w:pPr>
    </w:p>
    <w:p w14:paraId="14587059">
      <w:pPr>
        <w:pStyle w:val="3"/>
        <w:numPr>
          <w:ilvl w:val="0"/>
          <w:numId w:val="1"/>
        </w:numPr>
        <w:jc w:val="center"/>
        <w:rPr>
          <w:rFonts w:hint="eastAsia" w:ascii="宋体" w:hAnsi="宋体" w:eastAsia="宋体" w:cs="宋体"/>
          <w:color w:val="auto"/>
          <w:highlight w:val="none"/>
        </w:rPr>
      </w:pPr>
      <w:bookmarkStart w:id="248" w:name="_Toc398"/>
      <w:r>
        <w:rPr>
          <w:rFonts w:hint="eastAsia" w:ascii="宋体" w:hAnsi="宋体" w:eastAsia="宋体" w:cs="宋体"/>
          <w:color w:val="auto"/>
          <w:highlight w:val="none"/>
        </w:rPr>
        <w:t>合同文本</w:t>
      </w:r>
      <w:bookmarkEnd w:id="248"/>
    </w:p>
    <w:p w14:paraId="734DE626">
      <w:pPr>
        <w:pStyle w:val="4"/>
        <w:spacing w:line="520" w:lineRule="exact"/>
        <w:jc w:val="center"/>
        <w:rPr>
          <w:rFonts w:hint="eastAsia"/>
          <w:color w:val="auto"/>
        </w:rPr>
      </w:pPr>
      <w:r>
        <w:rPr>
          <w:rFonts w:hint="eastAsia"/>
          <w:color w:val="auto"/>
        </w:rPr>
        <w:t>合同文本</w:t>
      </w:r>
    </w:p>
    <w:p w14:paraId="6C6E7AF9">
      <w:pPr>
        <w:spacing w:line="520" w:lineRule="exact"/>
        <w:rPr>
          <w:rFonts w:hint="eastAsia" w:ascii="宋体" w:hAnsi="宋体" w:cs="Courier New"/>
          <w:b/>
          <w:color w:val="auto"/>
          <w:sz w:val="32"/>
          <w:szCs w:val="32"/>
        </w:rPr>
      </w:pPr>
    </w:p>
    <w:p w14:paraId="7816D6B0">
      <w:pPr>
        <w:spacing w:line="360" w:lineRule="auto"/>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52F6B313">
      <w:pPr>
        <w:spacing w:line="360" w:lineRule="auto"/>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14:paraId="1D959FB5">
      <w:pPr>
        <w:spacing w:line="360" w:lineRule="auto"/>
        <w:rPr>
          <w:rFonts w:hint="eastAsia"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14:paraId="5AF7A33B">
      <w:pPr>
        <w:spacing w:line="360" w:lineRule="auto"/>
        <w:rPr>
          <w:rFonts w:hint="eastAsia"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4FCD06DF">
      <w:pPr>
        <w:spacing w:line="360" w:lineRule="auto"/>
        <w:ind w:firstLine="420" w:firstLineChars="200"/>
        <w:rPr>
          <w:rFonts w:hint="eastAsia" w:ascii="宋体" w:hAnsi="宋体" w:cs="宋体"/>
          <w:color w:val="auto"/>
          <w:szCs w:val="21"/>
        </w:rPr>
      </w:pPr>
    </w:p>
    <w:p w14:paraId="2FC345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根据《中华人民共和国政府采购法》、《中华人民共和国</w:t>
      </w:r>
      <w:r>
        <w:rPr>
          <w:rFonts w:hint="eastAsia" w:ascii="宋体" w:hAnsi="宋体" w:cs="宋体"/>
          <w:color w:val="auto"/>
          <w:szCs w:val="21"/>
          <w:lang w:eastAsia="zh-CN"/>
        </w:rPr>
        <w:t>民法典</w:t>
      </w:r>
      <w:r>
        <w:rPr>
          <w:rFonts w:hint="eastAsia" w:ascii="宋体" w:hAnsi="宋体" w:cs="宋体"/>
          <w:color w:val="auto"/>
          <w:szCs w:val="21"/>
        </w:rPr>
        <w:t>》等法律、法规规定，按照</w:t>
      </w:r>
      <w:r>
        <w:rPr>
          <w:rFonts w:hint="eastAsia" w:ascii="宋体" w:hAnsi="宋体"/>
          <w:color w:val="auto"/>
          <w:szCs w:val="21"/>
        </w:rPr>
        <w:t>招标文件规定条款和乙方投标文件及其承诺，甲乙双方签订本合同。</w:t>
      </w:r>
    </w:p>
    <w:p w14:paraId="2097ACB7">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第一条　合同标的</w:t>
      </w:r>
    </w:p>
    <w:p w14:paraId="289EAC0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1、项目一览表</w:t>
      </w:r>
    </w:p>
    <w:tbl>
      <w:tblPr>
        <w:tblStyle w:val="3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D17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1E94CF7">
            <w:pPr>
              <w:spacing w:line="360" w:lineRule="auto"/>
              <w:jc w:val="center"/>
              <w:rPr>
                <w:rFonts w:ascii="宋体" w:hAnsi="宋体" w:cs="宋体"/>
                <w:color w:val="auto"/>
                <w:szCs w:val="21"/>
              </w:rPr>
            </w:pPr>
            <w:r>
              <w:rPr>
                <w:rFonts w:hint="eastAsia" w:ascii="宋体" w:hAnsi="宋体" w:cs="宋体"/>
                <w:color w:val="auto"/>
                <w:szCs w:val="21"/>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FE475EB">
            <w:pPr>
              <w:spacing w:line="360" w:lineRule="auto"/>
              <w:jc w:val="center"/>
              <w:rPr>
                <w:rFonts w:ascii="宋体" w:hAnsi="宋体" w:cs="宋体"/>
                <w:color w:val="auto"/>
                <w:szCs w:val="21"/>
              </w:rPr>
            </w:pPr>
            <w:r>
              <w:rPr>
                <w:rFonts w:hint="eastAsia" w:ascii="宋体" w:hAnsi="宋体" w:cs="宋体"/>
                <w:color w:val="auto"/>
                <w:szCs w:val="21"/>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81100E0">
            <w:pPr>
              <w:spacing w:line="360" w:lineRule="auto"/>
              <w:jc w:val="center"/>
              <w:rPr>
                <w:rFonts w:ascii="宋体" w:hAnsi="宋体" w:cs="宋体"/>
                <w:color w:val="auto"/>
                <w:szCs w:val="21"/>
              </w:rPr>
            </w:pPr>
            <w:r>
              <w:rPr>
                <w:rFonts w:hint="eastAsia" w:ascii="宋体" w:hAnsi="宋体" w:cs="宋体"/>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BA3B465">
            <w:pPr>
              <w:spacing w:line="360" w:lineRule="auto"/>
              <w:jc w:val="center"/>
              <w:rPr>
                <w:rFonts w:ascii="宋体" w:hAnsi="宋体" w:cs="宋体"/>
                <w:color w:val="auto"/>
                <w:szCs w:val="21"/>
              </w:rPr>
            </w:pPr>
            <w:r>
              <w:rPr>
                <w:rFonts w:hint="eastAsia" w:ascii="宋体" w:hAnsi="宋体" w:cs="宋体"/>
                <w:color w:val="auto"/>
                <w:szCs w:val="21"/>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DBDE40B">
            <w:pPr>
              <w:spacing w:line="360" w:lineRule="auto"/>
              <w:jc w:val="center"/>
              <w:rPr>
                <w:rFonts w:ascii="宋体" w:hAnsi="宋体" w:cs="宋体"/>
                <w:color w:val="auto"/>
                <w:szCs w:val="21"/>
              </w:rPr>
            </w:pPr>
            <w:r>
              <w:rPr>
                <w:rFonts w:hint="eastAsia" w:ascii="宋体" w:hAnsi="宋体" w:cs="宋体"/>
                <w:color w:val="auto"/>
                <w:szCs w:val="21"/>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A0E0BEF">
            <w:pPr>
              <w:spacing w:line="360" w:lineRule="auto"/>
              <w:jc w:val="center"/>
              <w:rPr>
                <w:rFonts w:ascii="宋体" w:hAnsi="宋体" w:cs="宋体"/>
                <w:color w:val="auto"/>
                <w:szCs w:val="21"/>
              </w:rPr>
            </w:pPr>
            <w:r>
              <w:rPr>
                <w:rFonts w:hint="eastAsia" w:ascii="宋体" w:hAnsi="宋体" w:cs="宋体"/>
                <w:color w:val="auto"/>
                <w:szCs w:val="21"/>
              </w:rPr>
              <w:t>单  价</w:t>
            </w:r>
          </w:p>
          <w:p w14:paraId="3DD644AD">
            <w:pPr>
              <w:spacing w:line="360" w:lineRule="auto"/>
              <w:jc w:val="center"/>
              <w:rPr>
                <w:rFonts w:ascii="宋体" w:hAnsi="宋体" w:cs="宋体"/>
                <w:color w:val="auto"/>
                <w:szCs w:val="21"/>
              </w:rPr>
            </w:pPr>
            <w:r>
              <w:rPr>
                <w:rFonts w:hint="eastAsia" w:ascii="宋体" w:hAnsi="宋体" w:cs="宋体"/>
                <w:color w:val="auto"/>
                <w:szCs w:val="21"/>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DE2F7CF">
            <w:pPr>
              <w:spacing w:line="360" w:lineRule="auto"/>
              <w:jc w:val="center"/>
              <w:rPr>
                <w:rFonts w:ascii="宋体" w:hAnsi="宋体" w:cs="宋体"/>
                <w:color w:val="auto"/>
                <w:szCs w:val="21"/>
              </w:rPr>
            </w:pPr>
            <w:r>
              <w:rPr>
                <w:rFonts w:hint="eastAsia" w:ascii="宋体" w:hAnsi="宋体" w:cs="宋体"/>
                <w:color w:val="auto"/>
                <w:szCs w:val="21"/>
              </w:rPr>
              <w:t xml:space="preserve">总 </w:t>
            </w:r>
            <w:r>
              <w:rPr>
                <w:rFonts w:ascii="宋体" w:hAnsi="宋体" w:cs="宋体"/>
                <w:color w:val="auto"/>
                <w:szCs w:val="21"/>
              </w:rPr>
              <w:t xml:space="preserve"> </w:t>
            </w:r>
            <w:r>
              <w:rPr>
                <w:rFonts w:hint="eastAsia" w:ascii="宋体" w:hAnsi="宋体" w:cs="宋体"/>
                <w:color w:val="auto"/>
                <w:szCs w:val="21"/>
              </w:rPr>
              <w:t>价</w:t>
            </w:r>
          </w:p>
          <w:p w14:paraId="4DF837E7">
            <w:pPr>
              <w:spacing w:line="360" w:lineRule="auto"/>
              <w:jc w:val="center"/>
              <w:rPr>
                <w:rFonts w:ascii="宋体" w:hAnsi="宋体" w:cs="宋体"/>
                <w:color w:val="auto"/>
                <w:szCs w:val="21"/>
              </w:rPr>
            </w:pPr>
            <w:r>
              <w:rPr>
                <w:rFonts w:hint="eastAsia" w:ascii="宋体" w:hAnsi="宋体" w:cs="宋体"/>
                <w:color w:val="auto"/>
                <w:szCs w:val="21"/>
              </w:rPr>
              <w:t>（元）</w:t>
            </w:r>
          </w:p>
        </w:tc>
      </w:tr>
      <w:tr w14:paraId="5BBC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74684D8">
            <w:pPr>
              <w:spacing w:line="360" w:lineRule="auto"/>
              <w:jc w:val="center"/>
              <w:rPr>
                <w:rFonts w:ascii="宋体" w:hAnsi="宋体" w:cs="宋体"/>
                <w:color w:val="auto"/>
                <w:szCs w:val="21"/>
              </w:rPr>
            </w:pPr>
            <w:r>
              <w:rPr>
                <w:rFonts w:hint="eastAsia" w:ascii="宋体" w:hAnsi="宋体" w:cs="宋体"/>
                <w:color w:val="auto"/>
                <w:szCs w:val="21"/>
              </w:rPr>
              <w:t>详见开标一览表</w:t>
            </w:r>
          </w:p>
        </w:tc>
      </w:tr>
      <w:tr w14:paraId="365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4E9BF7D6">
            <w:pPr>
              <w:spacing w:line="360" w:lineRule="auto"/>
              <w:rPr>
                <w:rFonts w:ascii="宋体" w:hAnsi="宋体" w:cs="宋体"/>
                <w:color w:val="auto"/>
                <w:szCs w:val="21"/>
              </w:rPr>
            </w:pPr>
            <w:r>
              <w:rPr>
                <w:rFonts w:hint="eastAsia" w:ascii="宋体" w:hAnsi="宋体" w:cs="宋体"/>
                <w:color w:val="auto"/>
                <w:szCs w:val="21"/>
              </w:rPr>
              <w:t>人民币合计金额（大写）：</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元整（¥</w:t>
            </w:r>
            <w:r>
              <w:rPr>
                <w:rFonts w:ascii="宋体" w:hAnsi="宋体" w:cs="宋体"/>
                <w:color w:val="auto"/>
                <w:szCs w:val="21"/>
                <w:u w:val="single"/>
              </w:rPr>
              <w:t xml:space="preserve">           </w:t>
            </w:r>
            <w:r>
              <w:rPr>
                <w:rFonts w:hint="eastAsia" w:ascii="宋体" w:hAnsi="宋体" w:cs="宋体"/>
                <w:color w:val="auto"/>
                <w:szCs w:val="21"/>
              </w:rPr>
              <w:t xml:space="preserve">）              </w:t>
            </w:r>
          </w:p>
        </w:tc>
      </w:tr>
    </w:tbl>
    <w:p w14:paraId="623760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3E9D58DD">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第二条　质量保证</w:t>
      </w:r>
    </w:p>
    <w:p w14:paraId="599A69D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14:paraId="0872023F">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第三条　权利保证</w:t>
      </w:r>
    </w:p>
    <w:p w14:paraId="7508DFD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14:paraId="310EDC0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6C56497">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第四条　交付和验收</w:t>
      </w:r>
    </w:p>
    <w:p w14:paraId="34EB86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1、服务期限：</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起至</w:t>
      </w:r>
      <w:r>
        <w:rPr>
          <w:rFonts w:ascii="宋体" w:hAnsi="宋体" w:cs="宋体"/>
          <w:color w:val="auto"/>
          <w:szCs w:val="21"/>
          <w:u w:val="single"/>
        </w:rPr>
        <w:t xml:space="preserve">              </w:t>
      </w:r>
      <w:r>
        <w:rPr>
          <w:rFonts w:hint="eastAsia" w:ascii="宋体" w:hAnsi="宋体" w:cs="宋体"/>
          <w:color w:val="auto"/>
          <w:szCs w:val="21"/>
        </w:rPr>
        <w:t>，服务地点：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w:t>
      </w:r>
    </w:p>
    <w:p w14:paraId="720B3D01">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2、乙方应按投标文件的承诺向甲方提供相应的服务，并提供所服务内容的相关技术资料。</w:t>
      </w:r>
    </w:p>
    <w:p w14:paraId="4D74D0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3、乙方提供不符合投标文件和本合同规定的服务成果，甲方有权拒绝接受。</w:t>
      </w:r>
    </w:p>
    <w:p w14:paraId="09FE592B">
      <w:pPr>
        <w:spacing w:line="360" w:lineRule="auto"/>
        <w:ind w:firstLine="420" w:firstLineChars="200"/>
        <w:rPr>
          <w:rFonts w:hint="eastAsia" w:ascii="宋体" w:hAnsi="宋体"/>
          <w:color w:val="auto"/>
          <w:szCs w:val="21"/>
        </w:rPr>
      </w:pPr>
      <w:r>
        <w:rPr>
          <w:rFonts w:hint="eastAsia" w:ascii="宋体" w:hAnsi="宋体"/>
          <w:color w:val="auto"/>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5889E17">
      <w:pPr>
        <w:spacing w:line="360" w:lineRule="auto"/>
        <w:ind w:firstLine="420" w:firstLineChars="200"/>
        <w:rPr>
          <w:rFonts w:hint="eastAsia" w:ascii="宋体" w:hAnsi="宋体"/>
          <w:color w:val="auto"/>
          <w:szCs w:val="21"/>
        </w:rPr>
      </w:pPr>
      <w:r>
        <w:rPr>
          <w:rFonts w:hint="eastAsia" w:ascii="宋体" w:hAnsi="宋体" w:cs="宋体"/>
          <w:color w:val="auto"/>
          <w:szCs w:val="21"/>
        </w:rPr>
        <w:t>5、甲乙双方应按照《</w:t>
      </w:r>
      <w:r>
        <w:rPr>
          <w:rFonts w:ascii="宋体" w:hAnsi="宋体" w:cs="宋体"/>
          <w:color w:val="auto"/>
          <w:szCs w:val="21"/>
        </w:rPr>
        <w:t>广西壮族自治区政府采购项目履约验收管理办法</w:t>
      </w:r>
      <w:r>
        <w:rPr>
          <w:rFonts w:hint="eastAsia" w:ascii="宋体" w:hAnsi="宋体" w:cs="宋体"/>
          <w:color w:val="auto"/>
          <w:szCs w:val="21"/>
        </w:rPr>
        <w:t>》、双方合同、投标文件验收。</w:t>
      </w:r>
    </w:p>
    <w:p w14:paraId="1441A7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6、甲方在初步验收或者最终验收过程中如发现乙方提供的服务成果不满足投标文件及本合同规定的，可暂缓向乙方付款，直到乙方及时完善并提交相应的服务成果且经甲方验收合格后，方可办理付款。</w:t>
      </w:r>
    </w:p>
    <w:p w14:paraId="2D8B36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7、甲方验收时以书面形式提出异议的，乙方应自收到甲方书面异议后五个工作日内及时予以解决，否则甲方有权不出具服务验收合格单。</w:t>
      </w:r>
    </w:p>
    <w:p w14:paraId="374C94D4">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第五条  售后服务及培训</w:t>
      </w:r>
    </w:p>
    <w:p w14:paraId="3076FC2B">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1、乙方应按照国家有关法律法规和本合同所附的《售后服务承诺》要求为甲方提供相应的售后服务。</w:t>
      </w:r>
    </w:p>
    <w:p w14:paraId="4CB6DF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2、甲方应提供必要测试条件（如场地、电源、水源等）。</w:t>
      </w:r>
    </w:p>
    <w:p w14:paraId="665843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3、乙方负责甲方有关人员的培训。培训时间、地点：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w:t>
      </w:r>
    </w:p>
    <w:p w14:paraId="2CF6942C">
      <w:pPr>
        <w:snapToGrid w:val="0"/>
        <w:spacing w:line="360" w:lineRule="auto"/>
        <w:ind w:firstLine="422" w:firstLineChars="200"/>
        <w:rPr>
          <w:rFonts w:hint="eastAsia" w:ascii="宋体" w:hAnsi="宋体" w:cs="宋体"/>
          <w:color w:val="auto"/>
          <w:szCs w:val="21"/>
          <w:u w:val="single"/>
        </w:rPr>
      </w:pPr>
      <w:r>
        <w:rPr>
          <w:rFonts w:hint="eastAsia" w:ascii="宋体" w:hAnsi="宋体" w:cs="宋体"/>
          <w:b/>
          <w:color w:val="auto"/>
          <w:szCs w:val="21"/>
        </w:rPr>
        <w:t>第六条　付款方式</w:t>
      </w:r>
    </w:p>
    <w:p w14:paraId="4E8DD867">
      <w:pPr>
        <w:spacing w:line="360" w:lineRule="auto"/>
        <w:ind w:firstLine="420" w:firstLineChars="200"/>
        <w:rPr>
          <w:rFonts w:hint="eastAsia" w:ascii="宋体" w:hAnsi="宋体"/>
          <w:color w:val="auto"/>
          <w:szCs w:val="21"/>
          <w:u w:val="single"/>
        </w:rPr>
      </w:pPr>
      <w:r>
        <w:rPr>
          <w:rFonts w:hint="eastAsia" w:ascii="宋体" w:hAnsi="宋体"/>
          <w:color w:val="auto"/>
          <w:szCs w:val="21"/>
        </w:rPr>
        <w:t>甲乙双方同意本合同金额的支付按以下第</w:t>
      </w:r>
      <w:r>
        <w:rPr>
          <w:rFonts w:hint="eastAsia" w:ascii="宋体" w:hAnsi="宋体"/>
          <w:color w:val="auto"/>
          <w:szCs w:val="21"/>
          <w:u w:val="single"/>
        </w:rPr>
        <w:t xml:space="preserve">    </w:t>
      </w:r>
      <w:r>
        <w:rPr>
          <w:rFonts w:hint="eastAsia" w:ascii="宋体" w:hAnsi="宋体"/>
          <w:color w:val="auto"/>
          <w:szCs w:val="21"/>
        </w:rPr>
        <w:t>项约定执行：</w:t>
      </w:r>
    </w:p>
    <w:p w14:paraId="3400C663">
      <w:pPr>
        <w:spacing w:line="360" w:lineRule="auto"/>
        <w:ind w:firstLine="420" w:firstLineChars="200"/>
        <w:rPr>
          <w:rFonts w:hint="eastAsia" w:ascii="宋体" w:hAnsi="宋体"/>
          <w:color w:val="auto"/>
          <w:szCs w:val="21"/>
        </w:rPr>
      </w:pPr>
      <w:r>
        <w:rPr>
          <w:rFonts w:hint="eastAsia" w:ascii="宋体" w:hAnsi="宋体"/>
          <w:color w:val="auto"/>
          <w:szCs w:val="21"/>
        </w:rPr>
        <w:t>1、一次性支付</w:t>
      </w:r>
    </w:p>
    <w:p w14:paraId="48FE0EA2">
      <w:pPr>
        <w:spacing w:line="360" w:lineRule="auto"/>
        <w:ind w:firstLine="420" w:firstLineChars="200"/>
        <w:rPr>
          <w:rFonts w:hint="eastAsia" w:ascii="宋体" w:hAnsi="宋体"/>
          <w:color w:val="auto"/>
          <w:szCs w:val="21"/>
        </w:rPr>
      </w:pPr>
      <w:r>
        <w:rPr>
          <w:rFonts w:hint="eastAsia" w:ascii="宋体" w:hAnsi="宋体"/>
          <w:color w:val="auto"/>
          <w:szCs w:val="21"/>
        </w:rPr>
        <w:t>2、分期支付</w:t>
      </w:r>
    </w:p>
    <w:p w14:paraId="492F42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本项目预付款在合同生效以及具备实施条件后15日内支付，预付款比例为合同金额的30％（以人工投入为主的，可适当降低预付款比例，但不得低于10%，项目分年安排预算的，第二年预付时间为次年相对应月份，以此类推）……服务期限满后七天内支付总额的</w:t>
      </w:r>
      <w:bookmarkStart w:id="249" w:name="_Hlk55986672"/>
      <w:r>
        <w:rPr>
          <w:rFonts w:hint="eastAsia" w:ascii="宋体" w:hAnsi="宋体"/>
          <w:color w:val="auto"/>
          <w:szCs w:val="21"/>
          <w:u w:val="single"/>
        </w:rPr>
        <w:t xml:space="preserve">     </w:t>
      </w:r>
      <w:bookmarkEnd w:id="249"/>
      <w:r>
        <w:rPr>
          <w:rFonts w:hint="eastAsia" w:ascii="宋体" w:hAnsi="宋体"/>
          <w:color w:val="auto"/>
          <w:szCs w:val="21"/>
        </w:rPr>
        <w:t>%。</w:t>
      </w:r>
    </w:p>
    <w:p w14:paraId="49CC4B1B">
      <w:pPr>
        <w:snapToGrid w:val="0"/>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第七条　履约保证金</w:t>
      </w:r>
    </w:p>
    <w:p w14:paraId="39CECE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履约保证金金额：每分标按中标金额的</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%（注：履约保证金不超过5%）。</w:t>
      </w:r>
    </w:p>
    <w:p w14:paraId="0A5391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履约保证金递交方式：支票、汇票、本票或者金融、担保机构出具的保函等非现金方式（参照投标保证金）。</w:t>
      </w:r>
    </w:p>
    <w:p w14:paraId="2003AF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退付方式、时间及条件：由中标人向履约保证金收取单位提供《广西壮族自治区政府采购项目合同验收书》（详见附件1）及《政府采购项目履约保证金退付意见书》（详见附件2），保证金收取单位在收到合格材料后5个工作日内办理退还手续（不计利息）。</w:t>
      </w:r>
    </w:p>
    <w:p w14:paraId="281BDB28">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第八条  税费</w:t>
      </w:r>
    </w:p>
    <w:p w14:paraId="0CD171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346A7227">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第九条　违约责任</w:t>
      </w:r>
    </w:p>
    <w:p w14:paraId="28846BC4">
      <w:pPr>
        <w:snapToGrid w:val="0"/>
        <w:spacing w:line="360" w:lineRule="auto"/>
        <w:ind w:firstLine="420" w:firstLineChars="200"/>
        <w:rPr>
          <w:rFonts w:hint="eastAsia" w:ascii="宋体" w:hAnsi="宋体" w:cs="宋体"/>
          <w:color w:val="auto"/>
          <w:szCs w:val="21"/>
        </w:rPr>
      </w:pPr>
      <w:r>
        <w:rPr>
          <w:rFonts w:hint="eastAsia" w:ascii="宋体" w:hAnsi="宋体"/>
          <w:color w:val="auto"/>
          <w:szCs w:val="21"/>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rPr>
        <w:t xml:space="preserve">                                  </w:t>
      </w:r>
    </w:p>
    <w:p w14:paraId="269B5EC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58B7FFA5">
      <w:pPr>
        <w:snapToGrid w:val="0"/>
        <w:spacing w:line="360" w:lineRule="auto"/>
        <w:ind w:firstLine="420" w:firstLineChars="200"/>
        <w:rPr>
          <w:rFonts w:hint="eastAsia" w:ascii="宋体" w:hAnsi="宋体" w:cs="宋体"/>
          <w:color w:val="auto"/>
          <w:szCs w:val="21"/>
        </w:rPr>
      </w:pPr>
      <w:r>
        <w:rPr>
          <w:rFonts w:ascii="宋体" w:hAnsi="宋体"/>
          <w:color w:val="auto"/>
          <w:szCs w:val="21"/>
        </w:rPr>
        <w:t>3</w:t>
      </w:r>
      <w:r>
        <w:rPr>
          <w:rFonts w:hint="eastAsia" w:ascii="宋体" w:hAnsi="宋体"/>
          <w:color w:val="auto"/>
          <w:szCs w:val="21"/>
        </w:rPr>
        <w:t>、甲方延期付款的，每天向乙方偿付延期款额3‰滞纳金，但滞纳金累计不得超过延期款额5%。</w:t>
      </w:r>
    </w:p>
    <w:p w14:paraId="05CE2913">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第十条  不可抗力事件处理</w:t>
      </w:r>
    </w:p>
    <w:p w14:paraId="6E3625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75CA38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3FC2A7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755F010F">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第十一条  合同争议解决</w:t>
      </w:r>
    </w:p>
    <w:p w14:paraId="50CA6E5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4604F9C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w:t>
      </w:r>
      <w:r>
        <w:rPr>
          <w:rFonts w:hint="eastAsia" w:ascii="宋体" w:hAnsi="宋体" w:cs="宋体"/>
          <w:color w:val="auto"/>
          <w:szCs w:val="21"/>
          <w:lang w:eastAsia="zh-CN"/>
        </w:rPr>
        <w:t>权的</w:t>
      </w:r>
      <w:r>
        <w:rPr>
          <w:rFonts w:hint="eastAsia" w:ascii="宋体" w:hAnsi="宋体" w:cs="宋体"/>
          <w:color w:val="auto"/>
          <w:szCs w:val="21"/>
        </w:rPr>
        <w:t>人民法院提起诉讼。</w:t>
      </w:r>
    </w:p>
    <w:p w14:paraId="77C5BC6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3、诉讼期间，本合同继续履行。</w:t>
      </w:r>
    </w:p>
    <w:p w14:paraId="59FDC019">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第十二条  合同生效及其它</w:t>
      </w:r>
    </w:p>
    <w:p w14:paraId="141877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1、合同经双方法定代表人或者授权代表签字并加盖单位公章后生效（委托代理人签字的需后附法定代表人授权委托书，格式自拟）。</w:t>
      </w:r>
    </w:p>
    <w:p w14:paraId="41529C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2、合同执行中涉及采购资金和采购内容修改或者补充的，须经财政部门审批，并</w:t>
      </w:r>
      <w:r>
        <w:rPr>
          <w:rFonts w:hint="eastAsia" w:ascii="宋体" w:hAnsi="宋体" w:cs="宋体"/>
          <w:color w:val="auto"/>
          <w:szCs w:val="21"/>
          <w:lang w:eastAsia="zh-CN"/>
        </w:rPr>
        <w:t>签订</w:t>
      </w:r>
      <w:r>
        <w:rPr>
          <w:rFonts w:hint="eastAsia" w:ascii="宋体" w:hAnsi="宋体" w:cs="宋体"/>
          <w:color w:val="auto"/>
          <w:szCs w:val="21"/>
        </w:rPr>
        <w:t>书面补充协议报财政部门备案，方可作为主合同不可分割的一部分。</w:t>
      </w:r>
    </w:p>
    <w:p w14:paraId="3F2725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3、本合同未尽事宜，遵照《中华人民共和国民法典》有关条文执行。</w:t>
      </w:r>
    </w:p>
    <w:p w14:paraId="535C8A5E">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第十三条　合同的变更、终止与转让</w:t>
      </w:r>
    </w:p>
    <w:p w14:paraId="7B3766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46A266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2、乙方不得擅自转让其应履行的合同义务。</w:t>
      </w:r>
    </w:p>
    <w:p w14:paraId="0F13F23A">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第十四条　签订本合同依据</w:t>
      </w:r>
    </w:p>
    <w:p w14:paraId="630381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成交</w:t>
      </w:r>
      <w:r>
        <w:rPr>
          <w:rFonts w:hint="eastAsia" w:ascii="宋体" w:hAnsi="宋体"/>
          <w:color w:val="auto"/>
          <w:szCs w:val="21"/>
        </w:rPr>
        <w:t>通知书</w:t>
      </w:r>
      <w:r>
        <w:rPr>
          <w:rFonts w:hint="eastAsia" w:ascii="宋体" w:hAnsi="宋体" w:cs="宋体"/>
          <w:color w:val="auto"/>
          <w:szCs w:val="21"/>
        </w:rPr>
        <w:t>；</w:t>
      </w:r>
    </w:p>
    <w:p w14:paraId="1EF9AF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竞标报价</w:t>
      </w:r>
      <w:r>
        <w:rPr>
          <w:rFonts w:hint="eastAsia" w:ascii="宋体" w:hAnsi="宋体" w:cs="宋体"/>
          <w:color w:val="auto"/>
          <w:szCs w:val="21"/>
        </w:rPr>
        <w:t>表；</w:t>
      </w:r>
    </w:p>
    <w:p w14:paraId="0BFBDBE4">
      <w:pPr>
        <w:spacing w:line="360" w:lineRule="auto"/>
        <w:ind w:firstLine="420" w:firstLineChars="200"/>
        <w:rPr>
          <w:rFonts w:ascii="宋体" w:hAnsi="宋体" w:cs="宋体"/>
          <w:color w:val="auto"/>
          <w:szCs w:val="21"/>
        </w:rPr>
      </w:pPr>
      <w:r>
        <w:rPr>
          <w:rFonts w:hint="eastAsia" w:ascii="宋体" w:hAnsi="宋体" w:cs="宋体"/>
          <w:color w:val="auto"/>
          <w:szCs w:val="21"/>
        </w:rPr>
        <w:t>3、商务条款偏离表和技术需求偏离表；</w:t>
      </w:r>
    </w:p>
    <w:p w14:paraId="0FAC6ED8">
      <w:pPr>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、服务方案；</w:t>
      </w:r>
    </w:p>
    <w:p w14:paraId="1F344DE5">
      <w:pPr>
        <w:spacing w:line="360" w:lineRule="auto"/>
        <w:ind w:firstLine="420" w:firstLineChars="200"/>
        <w:rPr>
          <w:rFonts w:ascii="宋体" w:hAnsi="宋体" w:cs="宋体"/>
          <w:color w:val="auto"/>
          <w:szCs w:val="21"/>
        </w:rPr>
      </w:pPr>
      <w:r>
        <w:rPr>
          <w:rFonts w:hint="eastAsia" w:ascii="宋体" w:hAnsi="宋体" w:cs="宋体"/>
          <w:color w:val="auto"/>
          <w:szCs w:val="21"/>
        </w:rPr>
        <w:t>5、投标文件中的其他相关文件。</w:t>
      </w:r>
    </w:p>
    <w:p w14:paraId="069E15BD">
      <w:pPr>
        <w:spacing w:line="360" w:lineRule="auto"/>
        <w:ind w:firstLine="420" w:firstLineChars="200"/>
        <w:rPr>
          <w:rFonts w:hint="eastAsia" w:ascii="宋体" w:hAnsi="宋体" w:cs="宋体"/>
          <w:color w:val="auto"/>
          <w:szCs w:val="21"/>
        </w:rPr>
      </w:pPr>
      <w:r>
        <w:rPr>
          <w:rFonts w:ascii="宋体" w:hAnsi="宋体" w:cs="宋体"/>
          <w:color w:val="auto"/>
          <w:szCs w:val="21"/>
        </w:rPr>
        <w:t>6</w:t>
      </w:r>
      <w:r>
        <w:rPr>
          <w:rFonts w:hint="eastAsia" w:ascii="宋体" w:hAnsi="宋体" w:cs="宋体"/>
          <w:color w:val="auto"/>
          <w:szCs w:val="21"/>
        </w:rPr>
        <w:t>、上述合同文件互相补充和解释。如果合同文件之间存在矛盾或者不一致之处，以上述文件的排列顺序在先者为准。</w:t>
      </w:r>
    </w:p>
    <w:p w14:paraId="7E650E74">
      <w:p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本合同一式四份，具有同等法律效力，财政部门（政府采购监管部门）、采购代理机构各一份，甲乙双方各一份（可根据需要另增加）。</w:t>
      </w:r>
    </w:p>
    <w:p w14:paraId="2CEC33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w:t>
      </w:r>
      <w:r>
        <w:rPr>
          <w:rFonts w:hint="eastAsia" w:ascii="宋体" w:hAnsi="宋体" w:cs="宋体"/>
          <w:color w:val="auto"/>
          <w:szCs w:val="21"/>
          <w:lang w:eastAsia="zh-CN"/>
        </w:rPr>
        <w:t>同在</w:t>
      </w:r>
      <w:r>
        <w:rPr>
          <w:rFonts w:hint="eastAsia" w:ascii="宋体" w:hAnsi="宋体" w:cs="宋体"/>
          <w:color w:val="auto"/>
          <w:szCs w:val="21"/>
        </w:rPr>
        <w:t>甲乙双方签字盖章后生效，自签订之日起七个工作日内，甲方应当将合同副本报同级财政部门备案。</w:t>
      </w:r>
    </w:p>
    <w:p w14:paraId="57C63F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本合同自签订之日起2个工作日内，甲方应当将采购合同在广西壮族自治区财政厅指定的媒体上公告。</w:t>
      </w:r>
    </w:p>
    <w:p w14:paraId="581B055B">
      <w:pPr>
        <w:numPr>
          <w:ilvl w:val="0"/>
          <w:numId w:val="0"/>
        </w:numPr>
        <w:rPr>
          <w:rFonts w:hint="eastAsia"/>
          <w:color w:val="auto"/>
        </w:rPr>
      </w:pPr>
    </w:p>
    <w:tbl>
      <w:tblPr>
        <w:tblStyle w:val="33"/>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40"/>
      </w:tblGrid>
      <w:tr w14:paraId="2FF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70F5611F">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甲方：（章）</w:t>
            </w:r>
          </w:p>
          <w:p w14:paraId="50A71A6E">
            <w:pPr>
              <w:snapToGrid w:val="0"/>
              <w:spacing w:line="360" w:lineRule="auto"/>
              <w:jc w:val="both"/>
              <w:rPr>
                <w:rFonts w:hint="eastAsia" w:ascii="宋体" w:hAnsi="宋体" w:eastAsia="宋体" w:cs="宋体"/>
                <w:color w:val="auto"/>
                <w:sz w:val="24"/>
                <w:szCs w:val="24"/>
              </w:rPr>
            </w:pP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D6EF04D">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乙方：（章）       </w:t>
            </w:r>
          </w:p>
          <w:p w14:paraId="00A28184">
            <w:pPr>
              <w:snapToGrid w:val="0"/>
              <w:spacing w:line="360" w:lineRule="auto"/>
              <w:rPr>
                <w:rFonts w:hint="eastAsia" w:ascii="宋体" w:hAnsi="宋体" w:eastAsia="宋体" w:cs="宋体"/>
                <w:color w:val="auto"/>
                <w:sz w:val="24"/>
                <w:szCs w:val="24"/>
              </w:rPr>
            </w:pPr>
          </w:p>
          <w:p w14:paraId="147D844C">
            <w:pPr>
              <w:snapToGrid w:val="0"/>
              <w:spacing w:line="360" w:lineRule="auto"/>
              <w:jc w:val="right"/>
              <w:rPr>
                <w:rFonts w:hint="eastAsia" w:ascii="宋体" w:hAnsi="宋体" w:eastAsia="宋体" w:cs="宋体"/>
                <w:color w:val="auto"/>
                <w:sz w:val="24"/>
                <w:szCs w:val="24"/>
              </w:rPr>
            </w:pPr>
          </w:p>
        </w:tc>
      </w:tr>
      <w:tr w14:paraId="2C4E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36E803DC">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单位地址：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FAAD853">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单位地址： </w:t>
            </w:r>
          </w:p>
        </w:tc>
      </w:tr>
      <w:tr w14:paraId="2A4B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1E2726F5">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8200EB3">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r>
      <w:tr w14:paraId="45FC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13B38F2D">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31EBFDC">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r>
      <w:tr w14:paraId="6B6A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5BEAA667">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6D8515C">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02BE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26A168E9">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12A4A4F">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p>
        </w:tc>
      </w:tr>
      <w:tr w14:paraId="688F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3EA9AB97">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E0B7C59">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36B0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409A77B8">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9F9A4AF">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r>
      <w:tr w14:paraId="2784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4539" w:type="dxa"/>
            <w:tcBorders>
              <w:top w:val="single" w:color="auto" w:sz="4" w:space="0"/>
              <w:left w:val="single" w:color="auto" w:sz="4" w:space="0"/>
              <w:bottom w:val="single" w:color="auto" w:sz="4" w:space="0"/>
              <w:right w:val="single" w:color="auto" w:sz="4" w:space="0"/>
            </w:tcBorders>
            <w:noWrap w:val="0"/>
            <w:vAlign w:val="center"/>
          </w:tcPr>
          <w:p w14:paraId="3D84C0D3">
            <w:pPr>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签订日期：</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690B261">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签订日期：</w:t>
            </w:r>
          </w:p>
        </w:tc>
      </w:tr>
    </w:tbl>
    <w:p w14:paraId="11643DCF">
      <w:pPr>
        <w:spacing w:line="720" w:lineRule="auto"/>
        <w:jc w:val="center"/>
        <w:outlineLvl w:val="9"/>
        <w:rPr>
          <w:rFonts w:hint="eastAsia" w:ascii="宋体" w:hAnsi="宋体" w:eastAsia="宋体" w:cs="宋体"/>
          <w:color w:val="auto"/>
          <w:highlight w:val="none"/>
          <w:lang w:val="en-US"/>
        </w:rPr>
      </w:pPr>
    </w:p>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9473">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EB76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FEB762">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4E3B9F0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FE2D">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A0FFCD">
                          <w:pPr>
                            <w:pStyle w:val="2"/>
                            <w:jc w:val="center"/>
                          </w:pPr>
                          <w:r>
                            <w:fldChar w:fldCharType="begin"/>
                          </w:r>
                          <w:r>
                            <w:instrText xml:space="preserve"> PAGE  \* MERGEFORMAT </w:instrText>
                          </w:r>
                          <w:r>
                            <w:fldChar w:fldCharType="separate"/>
                          </w:r>
                          <w:r>
                            <w:rPr>
                              <w:lang w:val="en-US"/>
                            </w:rPr>
                            <w:t>59</w:t>
                          </w:r>
                          <w:r>
                            <w:rPr>
                              <w:lang w:val="en-US"/>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xeT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fxeT80BAACnAwAADgAAAAAAAAABACAAAAAeAQAAZHJzL2Uy&#10;b0RvYy54bWxQSwUGAAAAAAYABgBZAQAAXQUAAAAA&#10;">
              <v:fill on="f" focussize="0,0"/>
              <v:stroke on="f"/>
              <v:imagedata o:title=""/>
              <o:lock v:ext="edit" aspectratio="f"/>
              <v:textbox inset="0mm,0mm,0mm,0mm" style="mso-fit-shape-to-text:t;">
                <w:txbxContent>
                  <w:p w14:paraId="50A0FFCD">
                    <w:pPr>
                      <w:pStyle w:val="2"/>
                      <w:jc w:val="center"/>
                    </w:pPr>
                    <w:r>
                      <w:fldChar w:fldCharType="begin"/>
                    </w:r>
                    <w:r>
                      <w:instrText xml:space="preserve"> PAGE  \* MERGEFORMAT </w:instrText>
                    </w:r>
                    <w:r>
                      <w:fldChar w:fldCharType="separate"/>
                    </w:r>
                    <w:r>
                      <w:rPr>
                        <w:lang w:val="en-US"/>
                      </w:rPr>
                      <w:t>59</w:t>
                    </w:r>
                    <w:r>
                      <w:rPr>
                        <w:lang w:val="en-US"/>
                      </w:rPr>
                      <w:fldChar w:fldCharType="end"/>
                    </w:r>
                  </w:p>
                </w:txbxContent>
              </v:textbox>
            </v:shape>
          </w:pict>
        </mc:Fallback>
      </mc:AlternateContent>
    </w:r>
  </w:p>
  <w:p w14:paraId="2FE6DD3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8D2E">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030DBC">
                          <w:pPr>
                            <w:pStyle w:val="2"/>
                          </w:pPr>
                          <w:r>
                            <w:fldChar w:fldCharType="begin"/>
                          </w:r>
                          <w:r>
                            <w:instrText xml:space="preserve"> PAGE  \* MERGEFORMAT </w:instrText>
                          </w:r>
                          <w:r>
                            <w:fldChar w:fldCharType="separate"/>
                          </w:r>
                          <w:r>
                            <w:rPr>
                              <w:lang w:val="en-US"/>
                            </w:rPr>
                            <w:t>4</w:t>
                          </w:r>
                          <w:r>
                            <w:rPr>
                              <w:lang w:val="en-US"/>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03030DBC">
                    <w:pPr>
                      <w:pStyle w:val="2"/>
                    </w:pPr>
                    <w:r>
                      <w:fldChar w:fldCharType="begin"/>
                    </w:r>
                    <w:r>
                      <w:instrText xml:space="preserve"> PAGE  \* MERGEFORMAT </w:instrText>
                    </w:r>
                    <w:r>
                      <w:fldChar w:fldCharType="separate"/>
                    </w:r>
                    <w:r>
                      <w:rPr>
                        <w:lang w:val="en-US"/>
                      </w:rPr>
                      <w:t>4</w:t>
                    </w:r>
                    <w:r>
                      <w:rPr>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132F">
    <w:pPr>
      <w:pStyle w:val="23"/>
      <w:pBdr>
        <w:bottom w:val="none" w:color="auto" w:sz="0" w:space="0"/>
      </w:pBdr>
      <w:jc w:val="both"/>
      <w:rPr>
        <w:rFonts w:ascii="宋体" w:hAnsi="宋体" w:cs="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047E4"/>
    <w:multiLevelType w:val="singleLevel"/>
    <w:tmpl w:val="CA4047E4"/>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MTk4MzZmMzAxNjlhOTgyMmRhNDY1YWE4YjllOTEifQ=="/>
  </w:docVars>
  <w:rsids>
    <w:rsidRoot w:val="00432438"/>
    <w:rsid w:val="00047001"/>
    <w:rsid w:val="000C253A"/>
    <w:rsid w:val="000E601B"/>
    <w:rsid w:val="001747BE"/>
    <w:rsid w:val="00177059"/>
    <w:rsid w:val="00177BA3"/>
    <w:rsid w:val="001A251E"/>
    <w:rsid w:val="00250AFB"/>
    <w:rsid w:val="002C3826"/>
    <w:rsid w:val="002E3584"/>
    <w:rsid w:val="003259DE"/>
    <w:rsid w:val="003A1BE1"/>
    <w:rsid w:val="003B1B61"/>
    <w:rsid w:val="00432438"/>
    <w:rsid w:val="00441591"/>
    <w:rsid w:val="004D4C30"/>
    <w:rsid w:val="004D68F8"/>
    <w:rsid w:val="004E2611"/>
    <w:rsid w:val="005077B5"/>
    <w:rsid w:val="00547787"/>
    <w:rsid w:val="00550021"/>
    <w:rsid w:val="00576D65"/>
    <w:rsid w:val="005B46D6"/>
    <w:rsid w:val="00600CB9"/>
    <w:rsid w:val="006647AB"/>
    <w:rsid w:val="0071343A"/>
    <w:rsid w:val="007D79EA"/>
    <w:rsid w:val="007E0F2E"/>
    <w:rsid w:val="00806567"/>
    <w:rsid w:val="0086349B"/>
    <w:rsid w:val="008C0D01"/>
    <w:rsid w:val="00946734"/>
    <w:rsid w:val="00991E08"/>
    <w:rsid w:val="0099717C"/>
    <w:rsid w:val="009A2F38"/>
    <w:rsid w:val="00A34428"/>
    <w:rsid w:val="00B03C8D"/>
    <w:rsid w:val="00B61942"/>
    <w:rsid w:val="00B77094"/>
    <w:rsid w:val="00B8147A"/>
    <w:rsid w:val="00BB71A9"/>
    <w:rsid w:val="00BE2BB9"/>
    <w:rsid w:val="00C122F0"/>
    <w:rsid w:val="00D26ABD"/>
    <w:rsid w:val="00D37506"/>
    <w:rsid w:val="00D5681E"/>
    <w:rsid w:val="00DD52E8"/>
    <w:rsid w:val="00E62F58"/>
    <w:rsid w:val="00E7278D"/>
    <w:rsid w:val="00E91E7A"/>
    <w:rsid w:val="00F30F79"/>
    <w:rsid w:val="00F5223F"/>
    <w:rsid w:val="00F8272C"/>
    <w:rsid w:val="00F909D6"/>
    <w:rsid w:val="00FB31B7"/>
    <w:rsid w:val="01055032"/>
    <w:rsid w:val="01A60743"/>
    <w:rsid w:val="01B6046E"/>
    <w:rsid w:val="020E2058"/>
    <w:rsid w:val="02491172"/>
    <w:rsid w:val="02CB1CF7"/>
    <w:rsid w:val="02EF1E8A"/>
    <w:rsid w:val="033963DF"/>
    <w:rsid w:val="036B5147"/>
    <w:rsid w:val="038D3451"/>
    <w:rsid w:val="039D18E6"/>
    <w:rsid w:val="039E2CB1"/>
    <w:rsid w:val="03D01ADF"/>
    <w:rsid w:val="040137DD"/>
    <w:rsid w:val="04077C8F"/>
    <w:rsid w:val="0474676A"/>
    <w:rsid w:val="04B769D7"/>
    <w:rsid w:val="05082297"/>
    <w:rsid w:val="052878D5"/>
    <w:rsid w:val="05773A31"/>
    <w:rsid w:val="059C5085"/>
    <w:rsid w:val="05CD5051"/>
    <w:rsid w:val="05D22BD7"/>
    <w:rsid w:val="061816F7"/>
    <w:rsid w:val="06642296"/>
    <w:rsid w:val="06654211"/>
    <w:rsid w:val="066F6E3E"/>
    <w:rsid w:val="068154EF"/>
    <w:rsid w:val="068D7546"/>
    <w:rsid w:val="07087BAB"/>
    <w:rsid w:val="07177C01"/>
    <w:rsid w:val="07385325"/>
    <w:rsid w:val="074D5B34"/>
    <w:rsid w:val="075C73C2"/>
    <w:rsid w:val="0768381A"/>
    <w:rsid w:val="076D7CE3"/>
    <w:rsid w:val="079040D6"/>
    <w:rsid w:val="07E214E0"/>
    <w:rsid w:val="07E759C1"/>
    <w:rsid w:val="07F12200"/>
    <w:rsid w:val="082131DB"/>
    <w:rsid w:val="08B66E20"/>
    <w:rsid w:val="08B72CF7"/>
    <w:rsid w:val="08BF66F3"/>
    <w:rsid w:val="090167BA"/>
    <w:rsid w:val="090F7036"/>
    <w:rsid w:val="092263E9"/>
    <w:rsid w:val="092E4B14"/>
    <w:rsid w:val="0934480F"/>
    <w:rsid w:val="095A3426"/>
    <w:rsid w:val="09616F12"/>
    <w:rsid w:val="098E1701"/>
    <w:rsid w:val="09AE0F7B"/>
    <w:rsid w:val="09B25A52"/>
    <w:rsid w:val="09D86055"/>
    <w:rsid w:val="0A77146D"/>
    <w:rsid w:val="0A9B6453"/>
    <w:rsid w:val="0ADD29A7"/>
    <w:rsid w:val="0AF878EC"/>
    <w:rsid w:val="0B102933"/>
    <w:rsid w:val="0B495EAF"/>
    <w:rsid w:val="0B4C7FDE"/>
    <w:rsid w:val="0B5331D2"/>
    <w:rsid w:val="0B564C52"/>
    <w:rsid w:val="0B5826E4"/>
    <w:rsid w:val="0B804A38"/>
    <w:rsid w:val="0C3E353A"/>
    <w:rsid w:val="0C402E2C"/>
    <w:rsid w:val="0C4B297F"/>
    <w:rsid w:val="0C631D06"/>
    <w:rsid w:val="0C6531BD"/>
    <w:rsid w:val="0CB832EC"/>
    <w:rsid w:val="0CE24042"/>
    <w:rsid w:val="0CEE683D"/>
    <w:rsid w:val="0D242020"/>
    <w:rsid w:val="0D4E3C51"/>
    <w:rsid w:val="0D8479B0"/>
    <w:rsid w:val="0D864848"/>
    <w:rsid w:val="0DB53CD0"/>
    <w:rsid w:val="0DD26630"/>
    <w:rsid w:val="0E3F3599"/>
    <w:rsid w:val="0E5E1C72"/>
    <w:rsid w:val="0E7D2A40"/>
    <w:rsid w:val="0E807E3A"/>
    <w:rsid w:val="0E8536A2"/>
    <w:rsid w:val="0E9F5DF3"/>
    <w:rsid w:val="0EAE1468"/>
    <w:rsid w:val="0EC51CF1"/>
    <w:rsid w:val="0EC817E1"/>
    <w:rsid w:val="0F0F63E8"/>
    <w:rsid w:val="0F1C6C56"/>
    <w:rsid w:val="0F212A6D"/>
    <w:rsid w:val="0F3A0931"/>
    <w:rsid w:val="0FA712D3"/>
    <w:rsid w:val="0FC63F72"/>
    <w:rsid w:val="0FD80032"/>
    <w:rsid w:val="10354C54"/>
    <w:rsid w:val="10522D27"/>
    <w:rsid w:val="10772B94"/>
    <w:rsid w:val="10C55FD8"/>
    <w:rsid w:val="10DC394E"/>
    <w:rsid w:val="11056D1C"/>
    <w:rsid w:val="11074842"/>
    <w:rsid w:val="1109680C"/>
    <w:rsid w:val="11134FF5"/>
    <w:rsid w:val="115E69D0"/>
    <w:rsid w:val="11D04813"/>
    <w:rsid w:val="127A5093"/>
    <w:rsid w:val="129465AA"/>
    <w:rsid w:val="12F31522"/>
    <w:rsid w:val="12FB03D7"/>
    <w:rsid w:val="131E5EEC"/>
    <w:rsid w:val="13487F20"/>
    <w:rsid w:val="13780343"/>
    <w:rsid w:val="13790B8E"/>
    <w:rsid w:val="13A21FD6"/>
    <w:rsid w:val="13BA0DB6"/>
    <w:rsid w:val="13E0137B"/>
    <w:rsid w:val="13E250F3"/>
    <w:rsid w:val="13FD5E48"/>
    <w:rsid w:val="140C0252"/>
    <w:rsid w:val="146F16F7"/>
    <w:rsid w:val="147A0B54"/>
    <w:rsid w:val="14BA21A1"/>
    <w:rsid w:val="14BE346A"/>
    <w:rsid w:val="14FE7D0A"/>
    <w:rsid w:val="15446298"/>
    <w:rsid w:val="157C272F"/>
    <w:rsid w:val="157F76A8"/>
    <w:rsid w:val="15B66837"/>
    <w:rsid w:val="15CB4A5C"/>
    <w:rsid w:val="15EC3507"/>
    <w:rsid w:val="15F61110"/>
    <w:rsid w:val="15FC29D1"/>
    <w:rsid w:val="166D0D2A"/>
    <w:rsid w:val="16810BF3"/>
    <w:rsid w:val="16C84406"/>
    <w:rsid w:val="16F92E7F"/>
    <w:rsid w:val="171C4DC0"/>
    <w:rsid w:val="173A2DBA"/>
    <w:rsid w:val="17421FB9"/>
    <w:rsid w:val="179713BC"/>
    <w:rsid w:val="17981D0B"/>
    <w:rsid w:val="17C5453A"/>
    <w:rsid w:val="18166994"/>
    <w:rsid w:val="181810E3"/>
    <w:rsid w:val="181D485B"/>
    <w:rsid w:val="18362096"/>
    <w:rsid w:val="187F2FB0"/>
    <w:rsid w:val="18982224"/>
    <w:rsid w:val="18C474BD"/>
    <w:rsid w:val="18F8232F"/>
    <w:rsid w:val="190B4923"/>
    <w:rsid w:val="192B4048"/>
    <w:rsid w:val="19314B52"/>
    <w:rsid w:val="196B7938"/>
    <w:rsid w:val="19B65058"/>
    <w:rsid w:val="19B87A90"/>
    <w:rsid w:val="19E73F4A"/>
    <w:rsid w:val="19E9304F"/>
    <w:rsid w:val="1A1A55E6"/>
    <w:rsid w:val="1A1B310D"/>
    <w:rsid w:val="1A393D45"/>
    <w:rsid w:val="1A406249"/>
    <w:rsid w:val="1A46462D"/>
    <w:rsid w:val="1A4E393B"/>
    <w:rsid w:val="1A6C5716"/>
    <w:rsid w:val="1A806D32"/>
    <w:rsid w:val="1AD96622"/>
    <w:rsid w:val="1AF70C4B"/>
    <w:rsid w:val="1AFF2A2E"/>
    <w:rsid w:val="1B1062F2"/>
    <w:rsid w:val="1B124510"/>
    <w:rsid w:val="1B195CB1"/>
    <w:rsid w:val="1B1B3DEC"/>
    <w:rsid w:val="1B6B68D9"/>
    <w:rsid w:val="1B876BD4"/>
    <w:rsid w:val="1B8F66D6"/>
    <w:rsid w:val="1BA86D66"/>
    <w:rsid w:val="1BAD248A"/>
    <w:rsid w:val="1BBF2C16"/>
    <w:rsid w:val="1BC11A92"/>
    <w:rsid w:val="1C5E3937"/>
    <w:rsid w:val="1C7D1E5D"/>
    <w:rsid w:val="1C8925AF"/>
    <w:rsid w:val="1C9A3F77"/>
    <w:rsid w:val="1CBB3DEF"/>
    <w:rsid w:val="1CBC6F98"/>
    <w:rsid w:val="1D6A20B5"/>
    <w:rsid w:val="1D970CFC"/>
    <w:rsid w:val="1E1643EB"/>
    <w:rsid w:val="1E9E304B"/>
    <w:rsid w:val="1EB4196B"/>
    <w:rsid w:val="1ED27713"/>
    <w:rsid w:val="1EF511F7"/>
    <w:rsid w:val="1F0D396C"/>
    <w:rsid w:val="1F134CFA"/>
    <w:rsid w:val="1F275D40"/>
    <w:rsid w:val="1F471F16"/>
    <w:rsid w:val="1F6D3E3B"/>
    <w:rsid w:val="1F9C5FFC"/>
    <w:rsid w:val="1FBB1D2F"/>
    <w:rsid w:val="1FEE27BD"/>
    <w:rsid w:val="202F7912"/>
    <w:rsid w:val="206C2914"/>
    <w:rsid w:val="20886FD7"/>
    <w:rsid w:val="20CB0BD7"/>
    <w:rsid w:val="20CC5B9F"/>
    <w:rsid w:val="20D10BA6"/>
    <w:rsid w:val="20E71F9A"/>
    <w:rsid w:val="20F46465"/>
    <w:rsid w:val="20F63F8C"/>
    <w:rsid w:val="213543BA"/>
    <w:rsid w:val="213F3B84"/>
    <w:rsid w:val="214C62A1"/>
    <w:rsid w:val="216435EB"/>
    <w:rsid w:val="2197576F"/>
    <w:rsid w:val="21A974B5"/>
    <w:rsid w:val="221C1BC3"/>
    <w:rsid w:val="228A0E2F"/>
    <w:rsid w:val="22EA46D7"/>
    <w:rsid w:val="23260E29"/>
    <w:rsid w:val="234F2931"/>
    <w:rsid w:val="23824C4D"/>
    <w:rsid w:val="238B4E5F"/>
    <w:rsid w:val="238D53E2"/>
    <w:rsid w:val="242F3D08"/>
    <w:rsid w:val="245B6F27"/>
    <w:rsid w:val="245E4322"/>
    <w:rsid w:val="247268A5"/>
    <w:rsid w:val="24F2482F"/>
    <w:rsid w:val="250D45D9"/>
    <w:rsid w:val="251A6B46"/>
    <w:rsid w:val="25285360"/>
    <w:rsid w:val="253B6663"/>
    <w:rsid w:val="253F05F7"/>
    <w:rsid w:val="25947D35"/>
    <w:rsid w:val="25A0292D"/>
    <w:rsid w:val="25F856D1"/>
    <w:rsid w:val="25FA1E59"/>
    <w:rsid w:val="26081032"/>
    <w:rsid w:val="262B46D7"/>
    <w:rsid w:val="265A320F"/>
    <w:rsid w:val="26865DB2"/>
    <w:rsid w:val="268D5605"/>
    <w:rsid w:val="269B185D"/>
    <w:rsid w:val="26A10E3D"/>
    <w:rsid w:val="27765E26"/>
    <w:rsid w:val="27E92788"/>
    <w:rsid w:val="27EC7E96"/>
    <w:rsid w:val="27F52DCC"/>
    <w:rsid w:val="27FB3EDA"/>
    <w:rsid w:val="282A0C0B"/>
    <w:rsid w:val="282B5ABF"/>
    <w:rsid w:val="285B24CC"/>
    <w:rsid w:val="28952672"/>
    <w:rsid w:val="28BB52B5"/>
    <w:rsid w:val="28BE6683"/>
    <w:rsid w:val="28C47EE0"/>
    <w:rsid w:val="292D1178"/>
    <w:rsid w:val="2933787D"/>
    <w:rsid w:val="29694B3B"/>
    <w:rsid w:val="2A686C78"/>
    <w:rsid w:val="2A7B5273"/>
    <w:rsid w:val="2A862824"/>
    <w:rsid w:val="2AFA13BE"/>
    <w:rsid w:val="2B2F1034"/>
    <w:rsid w:val="2B7037B2"/>
    <w:rsid w:val="2B8F74B6"/>
    <w:rsid w:val="2BED1224"/>
    <w:rsid w:val="2C26403D"/>
    <w:rsid w:val="2C355316"/>
    <w:rsid w:val="2C955043"/>
    <w:rsid w:val="2CC73564"/>
    <w:rsid w:val="2CFD3656"/>
    <w:rsid w:val="2D1D6B09"/>
    <w:rsid w:val="2D446357"/>
    <w:rsid w:val="2D5F5CFD"/>
    <w:rsid w:val="2D713637"/>
    <w:rsid w:val="2D7C1CBC"/>
    <w:rsid w:val="2D8017AD"/>
    <w:rsid w:val="2DB428E0"/>
    <w:rsid w:val="2DFB7085"/>
    <w:rsid w:val="2E337FC9"/>
    <w:rsid w:val="2E377F5E"/>
    <w:rsid w:val="2E3A5DFF"/>
    <w:rsid w:val="2E635F67"/>
    <w:rsid w:val="2EC340FA"/>
    <w:rsid w:val="2ECC424B"/>
    <w:rsid w:val="2EFE507F"/>
    <w:rsid w:val="2F320885"/>
    <w:rsid w:val="2F544C9F"/>
    <w:rsid w:val="2F7215C9"/>
    <w:rsid w:val="2F776BDF"/>
    <w:rsid w:val="2FC11C09"/>
    <w:rsid w:val="2FEF5060"/>
    <w:rsid w:val="300E150D"/>
    <w:rsid w:val="30422D49"/>
    <w:rsid w:val="307355F9"/>
    <w:rsid w:val="3075279F"/>
    <w:rsid w:val="30A60882"/>
    <w:rsid w:val="30AD7887"/>
    <w:rsid w:val="30B319D3"/>
    <w:rsid w:val="30B874AF"/>
    <w:rsid w:val="3120566D"/>
    <w:rsid w:val="3174050B"/>
    <w:rsid w:val="31A16195"/>
    <w:rsid w:val="31B06269"/>
    <w:rsid w:val="31CA6EA6"/>
    <w:rsid w:val="31D33FCD"/>
    <w:rsid w:val="31E85B72"/>
    <w:rsid w:val="3201186B"/>
    <w:rsid w:val="32270449"/>
    <w:rsid w:val="325307FB"/>
    <w:rsid w:val="326E7E26"/>
    <w:rsid w:val="329F0927"/>
    <w:rsid w:val="330C5891"/>
    <w:rsid w:val="331F3816"/>
    <w:rsid w:val="33276009"/>
    <w:rsid w:val="33315CB4"/>
    <w:rsid w:val="3359561A"/>
    <w:rsid w:val="33802506"/>
    <w:rsid w:val="33A132C4"/>
    <w:rsid w:val="33D23E7D"/>
    <w:rsid w:val="33E83C08"/>
    <w:rsid w:val="33EA3E24"/>
    <w:rsid w:val="344835B8"/>
    <w:rsid w:val="346E1392"/>
    <w:rsid w:val="34D66156"/>
    <w:rsid w:val="3571489A"/>
    <w:rsid w:val="35820162"/>
    <w:rsid w:val="358A0144"/>
    <w:rsid w:val="35A973C7"/>
    <w:rsid w:val="35C43EC2"/>
    <w:rsid w:val="35DE1766"/>
    <w:rsid w:val="361B36F8"/>
    <w:rsid w:val="362829E1"/>
    <w:rsid w:val="36DB5911"/>
    <w:rsid w:val="37076230"/>
    <w:rsid w:val="37265173"/>
    <w:rsid w:val="375804DF"/>
    <w:rsid w:val="37647A49"/>
    <w:rsid w:val="3796787A"/>
    <w:rsid w:val="37A8376F"/>
    <w:rsid w:val="37AF1958"/>
    <w:rsid w:val="37C552A0"/>
    <w:rsid w:val="37F475E5"/>
    <w:rsid w:val="38810BBF"/>
    <w:rsid w:val="38C018B2"/>
    <w:rsid w:val="38E12F30"/>
    <w:rsid w:val="38F24C72"/>
    <w:rsid w:val="39517449"/>
    <w:rsid w:val="395E7878"/>
    <w:rsid w:val="39704948"/>
    <w:rsid w:val="39921977"/>
    <w:rsid w:val="39A12F19"/>
    <w:rsid w:val="39BA4298"/>
    <w:rsid w:val="39E15381"/>
    <w:rsid w:val="3A804B9A"/>
    <w:rsid w:val="3A947046"/>
    <w:rsid w:val="3A9C74FA"/>
    <w:rsid w:val="3B3101AC"/>
    <w:rsid w:val="3B460D4B"/>
    <w:rsid w:val="3B650D66"/>
    <w:rsid w:val="3B840388"/>
    <w:rsid w:val="3BC211E2"/>
    <w:rsid w:val="3BCE402B"/>
    <w:rsid w:val="3BEB0739"/>
    <w:rsid w:val="3C2E4BC0"/>
    <w:rsid w:val="3C6109FB"/>
    <w:rsid w:val="3C7E313B"/>
    <w:rsid w:val="3CC63911"/>
    <w:rsid w:val="3CE1686E"/>
    <w:rsid w:val="3CF61143"/>
    <w:rsid w:val="3CFB0E50"/>
    <w:rsid w:val="3D0C6691"/>
    <w:rsid w:val="3D1141CF"/>
    <w:rsid w:val="3D3B0201"/>
    <w:rsid w:val="3D602340"/>
    <w:rsid w:val="3D713A88"/>
    <w:rsid w:val="3D956BAE"/>
    <w:rsid w:val="3D970F85"/>
    <w:rsid w:val="3E03620E"/>
    <w:rsid w:val="3E2C3534"/>
    <w:rsid w:val="3E3B007D"/>
    <w:rsid w:val="3E4E3201"/>
    <w:rsid w:val="3E570308"/>
    <w:rsid w:val="3E5E1A3B"/>
    <w:rsid w:val="3EF53139"/>
    <w:rsid w:val="3EF679E5"/>
    <w:rsid w:val="3F0A2951"/>
    <w:rsid w:val="3F181D11"/>
    <w:rsid w:val="3F212620"/>
    <w:rsid w:val="3F292510"/>
    <w:rsid w:val="3F3146B5"/>
    <w:rsid w:val="3F67457A"/>
    <w:rsid w:val="3F8B520E"/>
    <w:rsid w:val="3FD85478"/>
    <w:rsid w:val="40183AC7"/>
    <w:rsid w:val="40445E39"/>
    <w:rsid w:val="404535C5"/>
    <w:rsid w:val="40867B64"/>
    <w:rsid w:val="40A8309D"/>
    <w:rsid w:val="40BE0C19"/>
    <w:rsid w:val="40D236F1"/>
    <w:rsid w:val="40F756AD"/>
    <w:rsid w:val="411F04C2"/>
    <w:rsid w:val="41387C6B"/>
    <w:rsid w:val="41546F63"/>
    <w:rsid w:val="41766CF7"/>
    <w:rsid w:val="41C04416"/>
    <w:rsid w:val="41E67CCE"/>
    <w:rsid w:val="41F26CB9"/>
    <w:rsid w:val="41FB71FC"/>
    <w:rsid w:val="42013B7F"/>
    <w:rsid w:val="420662CD"/>
    <w:rsid w:val="420D4AD1"/>
    <w:rsid w:val="4249440B"/>
    <w:rsid w:val="428D16F6"/>
    <w:rsid w:val="431B1F06"/>
    <w:rsid w:val="432451AF"/>
    <w:rsid w:val="43830114"/>
    <w:rsid w:val="438F496B"/>
    <w:rsid w:val="43AF029E"/>
    <w:rsid w:val="43B57B21"/>
    <w:rsid w:val="43F03412"/>
    <w:rsid w:val="440356A1"/>
    <w:rsid w:val="44096FEB"/>
    <w:rsid w:val="44416194"/>
    <w:rsid w:val="44AF36C1"/>
    <w:rsid w:val="44D62D68"/>
    <w:rsid w:val="44D81604"/>
    <w:rsid w:val="44F52628"/>
    <w:rsid w:val="450325E4"/>
    <w:rsid w:val="45121F3C"/>
    <w:rsid w:val="45504A4C"/>
    <w:rsid w:val="45537DEC"/>
    <w:rsid w:val="456A4505"/>
    <w:rsid w:val="45AA3413"/>
    <w:rsid w:val="45B1017C"/>
    <w:rsid w:val="463B406B"/>
    <w:rsid w:val="46662C09"/>
    <w:rsid w:val="46845A12"/>
    <w:rsid w:val="46916381"/>
    <w:rsid w:val="46C05002"/>
    <w:rsid w:val="46F25071"/>
    <w:rsid w:val="474207F8"/>
    <w:rsid w:val="47FB7F56"/>
    <w:rsid w:val="481951DF"/>
    <w:rsid w:val="483A26D1"/>
    <w:rsid w:val="485A1120"/>
    <w:rsid w:val="486A0A5A"/>
    <w:rsid w:val="48740C1F"/>
    <w:rsid w:val="488713AB"/>
    <w:rsid w:val="49153299"/>
    <w:rsid w:val="49375FAE"/>
    <w:rsid w:val="495B7468"/>
    <w:rsid w:val="49621748"/>
    <w:rsid w:val="49896373"/>
    <w:rsid w:val="49A308A5"/>
    <w:rsid w:val="49EB7B56"/>
    <w:rsid w:val="49ED4B92"/>
    <w:rsid w:val="49EF5898"/>
    <w:rsid w:val="4A1A079F"/>
    <w:rsid w:val="4A3925A3"/>
    <w:rsid w:val="4A487AF9"/>
    <w:rsid w:val="4A4A79F2"/>
    <w:rsid w:val="4A547DF1"/>
    <w:rsid w:val="4A9C2FD5"/>
    <w:rsid w:val="4B01400A"/>
    <w:rsid w:val="4B0F7F8F"/>
    <w:rsid w:val="4B376AF3"/>
    <w:rsid w:val="4B565F71"/>
    <w:rsid w:val="4B880AC4"/>
    <w:rsid w:val="4C3165B4"/>
    <w:rsid w:val="4C5948D2"/>
    <w:rsid w:val="4C6B0285"/>
    <w:rsid w:val="4C744BBF"/>
    <w:rsid w:val="4C842CF8"/>
    <w:rsid w:val="4C894F55"/>
    <w:rsid w:val="4C975D73"/>
    <w:rsid w:val="4CDB0D10"/>
    <w:rsid w:val="4CE91E3C"/>
    <w:rsid w:val="4D021D86"/>
    <w:rsid w:val="4D0F5D4C"/>
    <w:rsid w:val="4D1F4086"/>
    <w:rsid w:val="4D463256"/>
    <w:rsid w:val="4D5B3422"/>
    <w:rsid w:val="4DA370C6"/>
    <w:rsid w:val="4DAB6AA9"/>
    <w:rsid w:val="4DDB128C"/>
    <w:rsid w:val="4DF55447"/>
    <w:rsid w:val="4E3441C2"/>
    <w:rsid w:val="4E636981"/>
    <w:rsid w:val="4E810A89"/>
    <w:rsid w:val="4EA34EA3"/>
    <w:rsid w:val="4EB41A1D"/>
    <w:rsid w:val="4EB778A0"/>
    <w:rsid w:val="4EDF7597"/>
    <w:rsid w:val="4EEC05F8"/>
    <w:rsid w:val="4F0A3E3B"/>
    <w:rsid w:val="4F72518C"/>
    <w:rsid w:val="4F791EF0"/>
    <w:rsid w:val="4F941000"/>
    <w:rsid w:val="503A372E"/>
    <w:rsid w:val="50632B3C"/>
    <w:rsid w:val="506A143A"/>
    <w:rsid w:val="50A970CD"/>
    <w:rsid w:val="50AA42C7"/>
    <w:rsid w:val="50DB26D2"/>
    <w:rsid w:val="50EA6DB9"/>
    <w:rsid w:val="51581F75"/>
    <w:rsid w:val="5188168E"/>
    <w:rsid w:val="519564F9"/>
    <w:rsid w:val="51962A9D"/>
    <w:rsid w:val="526C3842"/>
    <w:rsid w:val="52794DC7"/>
    <w:rsid w:val="529E5241"/>
    <w:rsid w:val="52BD424C"/>
    <w:rsid w:val="52C04276"/>
    <w:rsid w:val="52C7273B"/>
    <w:rsid w:val="52E11882"/>
    <w:rsid w:val="52EC6BE6"/>
    <w:rsid w:val="534808AB"/>
    <w:rsid w:val="540D3E2D"/>
    <w:rsid w:val="541A6387"/>
    <w:rsid w:val="54244390"/>
    <w:rsid w:val="545571E3"/>
    <w:rsid w:val="546D21DB"/>
    <w:rsid w:val="54BA6041"/>
    <w:rsid w:val="54CA318A"/>
    <w:rsid w:val="54F57B22"/>
    <w:rsid w:val="55220F42"/>
    <w:rsid w:val="552A1D0A"/>
    <w:rsid w:val="554F368F"/>
    <w:rsid w:val="5582425E"/>
    <w:rsid w:val="55853555"/>
    <w:rsid w:val="558A5663"/>
    <w:rsid w:val="569F23F4"/>
    <w:rsid w:val="56C73327"/>
    <w:rsid w:val="57064221"/>
    <w:rsid w:val="5716225A"/>
    <w:rsid w:val="575149A9"/>
    <w:rsid w:val="576215A8"/>
    <w:rsid w:val="577F157B"/>
    <w:rsid w:val="578408CB"/>
    <w:rsid w:val="57874821"/>
    <w:rsid w:val="57A23F00"/>
    <w:rsid w:val="57D4431F"/>
    <w:rsid w:val="57D656BE"/>
    <w:rsid w:val="57F14ED1"/>
    <w:rsid w:val="581A7F84"/>
    <w:rsid w:val="582C0361"/>
    <w:rsid w:val="58300F7C"/>
    <w:rsid w:val="5886561A"/>
    <w:rsid w:val="59126EAD"/>
    <w:rsid w:val="594F0101"/>
    <w:rsid w:val="597F55E4"/>
    <w:rsid w:val="598F49A2"/>
    <w:rsid w:val="59A176E8"/>
    <w:rsid w:val="59AD55EF"/>
    <w:rsid w:val="59AF0790"/>
    <w:rsid w:val="59BA053E"/>
    <w:rsid w:val="59EE791A"/>
    <w:rsid w:val="59F43024"/>
    <w:rsid w:val="5A481574"/>
    <w:rsid w:val="5AB95994"/>
    <w:rsid w:val="5B257B44"/>
    <w:rsid w:val="5B484E08"/>
    <w:rsid w:val="5B61411C"/>
    <w:rsid w:val="5B785C55"/>
    <w:rsid w:val="5B7F2398"/>
    <w:rsid w:val="5BA06984"/>
    <w:rsid w:val="5BC3354F"/>
    <w:rsid w:val="5C135D05"/>
    <w:rsid w:val="5C163158"/>
    <w:rsid w:val="5C240471"/>
    <w:rsid w:val="5C2707DA"/>
    <w:rsid w:val="5C43555B"/>
    <w:rsid w:val="5C66165A"/>
    <w:rsid w:val="5CB52971"/>
    <w:rsid w:val="5CBE7C34"/>
    <w:rsid w:val="5CCE2780"/>
    <w:rsid w:val="5CDA4186"/>
    <w:rsid w:val="5CF93E86"/>
    <w:rsid w:val="5D277242"/>
    <w:rsid w:val="5D5932FD"/>
    <w:rsid w:val="5D641CA2"/>
    <w:rsid w:val="5DBF4FEB"/>
    <w:rsid w:val="5DC9728B"/>
    <w:rsid w:val="5DD4723A"/>
    <w:rsid w:val="5DE4329A"/>
    <w:rsid w:val="5E015742"/>
    <w:rsid w:val="5E196F30"/>
    <w:rsid w:val="5E316028"/>
    <w:rsid w:val="5E5F2BE4"/>
    <w:rsid w:val="5E6210B6"/>
    <w:rsid w:val="5EA44A4C"/>
    <w:rsid w:val="5ECC54B0"/>
    <w:rsid w:val="5EDF7F9C"/>
    <w:rsid w:val="5F125E59"/>
    <w:rsid w:val="5F1B695F"/>
    <w:rsid w:val="5F2800AE"/>
    <w:rsid w:val="5F2E2CC8"/>
    <w:rsid w:val="5F2E71D6"/>
    <w:rsid w:val="5F376098"/>
    <w:rsid w:val="5F517C91"/>
    <w:rsid w:val="5F687A49"/>
    <w:rsid w:val="5FB02BD3"/>
    <w:rsid w:val="5FE239D1"/>
    <w:rsid w:val="606A37E0"/>
    <w:rsid w:val="607246D5"/>
    <w:rsid w:val="60913A63"/>
    <w:rsid w:val="60C32FD9"/>
    <w:rsid w:val="60E27AAD"/>
    <w:rsid w:val="60E47381"/>
    <w:rsid w:val="60EA572C"/>
    <w:rsid w:val="610E43FE"/>
    <w:rsid w:val="61146955"/>
    <w:rsid w:val="612969BF"/>
    <w:rsid w:val="618D5725"/>
    <w:rsid w:val="61E32C38"/>
    <w:rsid w:val="61E8784E"/>
    <w:rsid w:val="61EC7E6A"/>
    <w:rsid w:val="6220263B"/>
    <w:rsid w:val="63021D41"/>
    <w:rsid w:val="63130619"/>
    <w:rsid w:val="63247388"/>
    <w:rsid w:val="63461ABD"/>
    <w:rsid w:val="636F06D2"/>
    <w:rsid w:val="63704BE7"/>
    <w:rsid w:val="63760161"/>
    <w:rsid w:val="63783526"/>
    <w:rsid w:val="638E5D64"/>
    <w:rsid w:val="639F3A33"/>
    <w:rsid w:val="63E12291"/>
    <w:rsid w:val="640F1388"/>
    <w:rsid w:val="64152454"/>
    <w:rsid w:val="649255D7"/>
    <w:rsid w:val="64BD0615"/>
    <w:rsid w:val="64C9520C"/>
    <w:rsid w:val="64CC01D9"/>
    <w:rsid w:val="64D65CFB"/>
    <w:rsid w:val="64F56B1E"/>
    <w:rsid w:val="6530528B"/>
    <w:rsid w:val="655E098A"/>
    <w:rsid w:val="65BF03BD"/>
    <w:rsid w:val="65E41BD1"/>
    <w:rsid w:val="66432D9C"/>
    <w:rsid w:val="664B490B"/>
    <w:rsid w:val="66680A54"/>
    <w:rsid w:val="666B5609"/>
    <w:rsid w:val="66715875"/>
    <w:rsid w:val="66925AD1"/>
    <w:rsid w:val="66A15D14"/>
    <w:rsid w:val="66D02156"/>
    <w:rsid w:val="66E31E89"/>
    <w:rsid w:val="67226E55"/>
    <w:rsid w:val="672838DB"/>
    <w:rsid w:val="67407898"/>
    <w:rsid w:val="678D3C58"/>
    <w:rsid w:val="67B27D49"/>
    <w:rsid w:val="67BF2D76"/>
    <w:rsid w:val="67C65A33"/>
    <w:rsid w:val="68182006"/>
    <w:rsid w:val="682165BF"/>
    <w:rsid w:val="6831307D"/>
    <w:rsid w:val="6856490D"/>
    <w:rsid w:val="685D63E6"/>
    <w:rsid w:val="687927CB"/>
    <w:rsid w:val="687C2595"/>
    <w:rsid w:val="6886359A"/>
    <w:rsid w:val="688F1E4D"/>
    <w:rsid w:val="68E0363A"/>
    <w:rsid w:val="68FE11FC"/>
    <w:rsid w:val="696D0F78"/>
    <w:rsid w:val="699F29DF"/>
    <w:rsid w:val="69B6799D"/>
    <w:rsid w:val="69BF67A6"/>
    <w:rsid w:val="69D72179"/>
    <w:rsid w:val="69F21CB2"/>
    <w:rsid w:val="6A08501C"/>
    <w:rsid w:val="6A086F97"/>
    <w:rsid w:val="6A0F7E04"/>
    <w:rsid w:val="6A285BB8"/>
    <w:rsid w:val="6A3368E3"/>
    <w:rsid w:val="6A9339A0"/>
    <w:rsid w:val="6ABC3EF9"/>
    <w:rsid w:val="6AD466B8"/>
    <w:rsid w:val="6B0A4126"/>
    <w:rsid w:val="6B0B7C20"/>
    <w:rsid w:val="6B213A13"/>
    <w:rsid w:val="6BA75920"/>
    <w:rsid w:val="6BCC69BA"/>
    <w:rsid w:val="6BD34359"/>
    <w:rsid w:val="6BE31711"/>
    <w:rsid w:val="6BFB16E4"/>
    <w:rsid w:val="6C47110C"/>
    <w:rsid w:val="6C4946E9"/>
    <w:rsid w:val="6C67460A"/>
    <w:rsid w:val="6CE07597"/>
    <w:rsid w:val="6D213709"/>
    <w:rsid w:val="6D521B17"/>
    <w:rsid w:val="6D6964FF"/>
    <w:rsid w:val="6D997ADE"/>
    <w:rsid w:val="6D9B21BC"/>
    <w:rsid w:val="6DF523F6"/>
    <w:rsid w:val="6E3D27C7"/>
    <w:rsid w:val="6E58315D"/>
    <w:rsid w:val="6ECE341F"/>
    <w:rsid w:val="6F0F013C"/>
    <w:rsid w:val="6F191C51"/>
    <w:rsid w:val="6F467459"/>
    <w:rsid w:val="6F490542"/>
    <w:rsid w:val="6F5050DE"/>
    <w:rsid w:val="6F506AD1"/>
    <w:rsid w:val="6F5608D3"/>
    <w:rsid w:val="6F796A75"/>
    <w:rsid w:val="6FA11A97"/>
    <w:rsid w:val="6FEF5A34"/>
    <w:rsid w:val="70074C3C"/>
    <w:rsid w:val="700B625D"/>
    <w:rsid w:val="7023779A"/>
    <w:rsid w:val="70633C32"/>
    <w:rsid w:val="70B8153B"/>
    <w:rsid w:val="70E85971"/>
    <w:rsid w:val="71045670"/>
    <w:rsid w:val="7108013A"/>
    <w:rsid w:val="71920CAD"/>
    <w:rsid w:val="719426FE"/>
    <w:rsid w:val="71984E56"/>
    <w:rsid w:val="71C867F5"/>
    <w:rsid w:val="72447E14"/>
    <w:rsid w:val="72874010"/>
    <w:rsid w:val="72F378F8"/>
    <w:rsid w:val="72FD7534"/>
    <w:rsid w:val="73215F87"/>
    <w:rsid w:val="735C549D"/>
    <w:rsid w:val="738E13CF"/>
    <w:rsid w:val="739E401C"/>
    <w:rsid w:val="73E7745D"/>
    <w:rsid w:val="73FB5212"/>
    <w:rsid w:val="74076457"/>
    <w:rsid w:val="74220495"/>
    <w:rsid w:val="74F72EF3"/>
    <w:rsid w:val="74FE7E45"/>
    <w:rsid w:val="7528439D"/>
    <w:rsid w:val="753471E9"/>
    <w:rsid w:val="753E20C0"/>
    <w:rsid w:val="755F3C1D"/>
    <w:rsid w:val="758F6774"/>
    <w:rsid w:val="759C43C9"/>
    <w:rsid w:val="76004806"/>
    <w:rsid w:val="760D0CD1"/>
    <w:rsid w:val="761738FD"/>
    <w:rsid w:val="762027B2"/>
    <w:rsid w:val="764364A0"/>
    <w:rsid w:val="766D15FF"/>
    <w:rsid w:val="768014A2"/>
    <w:rsid w:val="768571C8"/>
    <w:rsid w:val="7688510D"/>
    <w:rsid w:val="76AE3806"/>
    <w:rsid w:val="76B86E8E"/>
    <w:rsid w:val="76BF7FE5"/>
    <w:rsid w:val="76D8250B"/>
    <w:rsid w:val="76FF686B"/>
    <w:rsid w:val="770F493D"/>
    <w:rsid w:val="773109EF"/>
    <w:rsid w:val="773468B6"/>
    <w:rsid w:val="77862AE9"/>
    <w:rsid w:val="778D4600"/>
    <w:rsid w:val="778D723C"/>
    <w:rsid w:val="779C0907"/>
    <w:rsid w:val="77B24599"/>
    <w:rsid w:val="77DF6A61"/>
    <w:rsid w:val="77F04406"/>
    <w:rsid w:val="784C2545"/>
    <w:rsid w:val="78695EAF"/>
    <w:rsid w:val="786B5C36"/>
    <w:rsid w:val="787F6F31"/>
    <w:rsid w:val="788F3C1F"/>
    <w:rsid w:val="78994A9D"/>
    <w:rsid w:val="789D458E"/>
    <w:rsid w:val="78A91184"/>
    <w:rsid w:val="78B2205F"/>
    <w:rsid w:val="78D4194A"/>
    <w:rsid w:val="78DD2859"/>
    <w:rsid w:val="79004B1D"/>
    <w:rsid w:val="797760A9"/>
    <w:rsid w:val="797F2048"/>
    <w:rsid w:val="79BD2A0E"/>
    <w:rsid w:val="79CB608D"/>
    <w:rsid w:val="7A036070"/>
    <w:rsid w:val="7A540C7C"/>
    <w:rsid w:val="7A995229"/>
    <w:rsid w:val="7A9F3140"/>
    <w:rsid w:val="7AAA22AC"/>
    <w:rsid w:val="7ACD6C80"/>
    <w:rsid w:val="7B034B67"/>
    <w:rsid w:val="7B205002"/>
    <w:rsid w:val="7B4F7EDC"/>
    <w:rsid w:val="7B7F5317"/>
    <w:rsid w:val="7B7F7F7B"/>
    <w:rsid w:val="7B86755B"/>
    <w:rsid w:val="7B885CBA"/>
    <w:rsid w:val="7B89704B"/>
    <w:rsid w:val="7B8E6410"/>
    <w:rsid w:val="7BA8691B"/>
    <w:rsid w:val="7BF74E3B"/>
    <w:rsid w:val="7C704248"/>
    <w:rsid w:val="7CA75346"/>
    <w:rsid w:val="7CAB512E"/>
    <w:rsid w:val="7CB41EA6"/>
    <w:rsid w:val="7CB63E70"/>
    <w:rsid w:val="7CFF7D5E"/>
    <w:rsid w:val="7D306835"/>
    <w:rsid w:val="7D3533F7"/>
    <w:rsid w:val="7D3E79C1"/>
    <w:rsid w:val="7D941212"/>
    <w:rsid w:val="7DA27F66"/>
    <w:rsid w:val="7E631DD5"/>
    <w:rsid w:val="7E815BA9"/>
    <w:rsid w:val="7ED71403"/>
    <w:rsid w:val="7ED93E46"/>
    <w:rsid w:val="7F074977"/>
    <w:rsid w:val="7F7E1368"/>
    <w:rsid w:val="7FAC1D32"/>
    <w:rsid w:val="7FC06DB4"/>
    <w:rsid w:val="7FF72B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nhideWhenUsed="0" w:uiPriority="1" w:semiHidden="0" w:name="heading 6"/>
    <w:lsdException w:qFormat="1" w:uiPriority="0" w:name="heading 7"/>
    <w:lsdException w:qFormat="1" w:unhideWhenUsed="0" w:uiPriority="9"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autoRedefine/>
    <w:qFormat/>
    <w:uiPriority w:val="9"/>
    <w:pPr>
      <w:keepNext/>
      <w:keepLines/>
      <w:spacing w:before="340" w:after="330" w:line="578" w:lineRule="auto"/>
      <w:outlineLvl w:val="0"/>
    </w:pPr>
    <w:rPr>
      <w:b/>
      <w:bCs/>
      <w:kern w:val="44"/>
      <w:sz w:val="44"/>
      <w:szCs w:val="44"/>
      <w:lang w:val="zh-CN"/>
    </w:rPr>
  </w:style>
  <w:style w:type="paragraph" w:styleId="4">
    <w:name w:val="heading 2"/>
    <w:basedOn w:val="1"/>
    <w:next w:val="1"/>
    <w:link w:val="45"/>
    <w:autoRedefine/>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5"/>
    <w:basedOn w:val="1"/>
    <w:next w:val="7"/>
    <w:link w:val="43"/>
    <w:autoRedefine/>
    <w:qFormat/>
    <w:uiPriority w:val="9"/>
    <w:pPr>
      <w:keepNext/>
      <w:keepLines/>
      <w:spacing w:before="280" w:after="290" w:line="376" w:lineRule="auto"/>
      <w:outlineLvl w:val="4"/>
    </w:pPr>
    <w:rPr>
      <w:b/>
      <w:bCs/>
      <w:sz w:val="28"/>
      <w:szCs w:val="28"/>
      <w:lang w:val="zh-CN"/>
    </w:rPr>
  </w:style>
  <w:style w:type="paragraph" w:styleId="8">
    <w:name w:val="heading 6"/>
    <w:basedOn w:val="1"/>
    <w:next w:val="1"/>
    <w:autoRedefine/>
    <w:qFormat/>
    <w:uiPriority w:val="1"/>
    <w:pPr>
      <w:spacing w:before="62"/>
      <w:ind w:left="203"/>
      <w:jc w:val="center"/>
      <w:outlineLvl w:val="5"/>
    </w:pPr>
    <w:rPr>
      <w:rFonts w:ascii="宋体" w:hAnsi="宋体" w:cs="宋体"/>
      <w:b/>
      <w:bCs/>
      <w:sz w:val="28"/>
      <w:szCs w:val="28"/>
      <w:lang w:val="zh-CN" w:bidi="zh-CN"/>
    </w:rPr>
  </w:style>
  <w:style w:type="paragraph" w:styleId="9">
    <w:name w:val="heading 8"/>
    <w:basedOn w:val="1"/>
    <w:next w:val="1"/>
    <w:link w:val="46"/>
    <w:autoRedefine/>
    <w:qFormat/>
    <w:uiPriority w:val="9"/>
    <w:pPr>
      <w:keepNext/>
      <w:keepLines/>
      <w:spacing w:before="240" w:after="64" w:line="320" w:lineRule="auto"/>
      <w:outlineLvl w:val="7"/>
    </w:pPr>
    <w:rPr>
      <w:rFonts w:ascii="等线 Light" w:hAnsi="等线 Light" w:eastAsia="等线 Light"/>
      <w:sz w:val="24"/>
      <w:lang w:val="zh-CN"/>
    </w:rPr>
  </w:style>
  <w:style w:type="paragraph" w:styleId="10">
    <w:name w:val="heading 9"/>
    <w:basedOn w:val="1"/>
    <w:next w:val="1"/>
    <w:autoRedefine/>
    <w:qFormat/>
    <w:uiPriority w:val="1"/>
    <w:pPr>
      <w:ind w:left="738"/>
      <w:outlineLvl w:val="8"/>
    </w:pPr>
    <w:rPr>
      <w:rFonts w:ascii="宋体" w:hAnsi="宋体" w:cs="宋体"/>
      <w:sz w:val="24"/>
      <w:lang w:val="zh-CN" w:bidi="zh-CN"/>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57"/>
    <w:autoRedefine/>
    <w:unhideWhenUsed/>
    <w:qFormat/>
    <w:uiPriority w:val="99"/>
    <w:pPr>
      <w:tabs>
        <w:tab w:val="center" w:pos="4153"/>
        <w:tab w:val="right" w:pos="8306"/>
      </w:tabs>
      <w:snapToGrid w:val="0"/>
      <w:jc w:val="left"/>
    </w:pPr>
    <w:rPr>
      <w:kern w:val="0"/>
      <w:sz w:val="18"/>
      <w:szCs w:val="18"/>
      <w:lang w:val="zh-CN"/>
    </w:rPr>
  </w:style>
  <w:style w:type="paragraph" w:styleId="7">
    <w:name w:val="Normal Indent"/>
    <w:basedOn w:val="1"/>
    <w:autoRedefine/>
    <w:qFormat/>
    <w:uiPriority w:val="0"/>
    <w:pPr>
      <w:ind w:firstLine="420"/>
    </w:pPr>
    <w:rPr>
      <w:szCs w:val="20"/>
    </w:rPr>
  </w:style>
  <w:style w:type="paragraph" w:styleId="11">
    <w:name w:val="table of authorities"/>
    <w:basedOn w:val="1"/>
    <w:next w:val="1"/>
    <w:autoRedefine/>
    <w:unhideWhenUsed/>
    <w:qFormat/>
    <w:uiPriority w:val="99"/>
    <w:pPr>
      <w:ind w:left="420" w:leftChars="200"/>
    </w:pPr>
  </w:style>
  <w:style w:type="paragraph" w:styleId="12">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annotation text"/>
    <w:basedOn w:val="1"/>
    <w:link w:val="48"/>
    <w:autoRedefine/>
    <w:qFormat/>
    <w:uiPriority w:val="0"/>
    <w:pPr>
      <w:jc w:val="left"/>
    </w:pPr>
    <w:rPr>
      <w:lang w:val="zh-CN"/>
    </w:rPr>
  </w:style>
  <w:style w:type="paragraph" w:styleId="15">
    <w:name w:val="Body Text 3"/>
    <w:basedOn w:val="1"/>
    <w:link w:val="49"/>
    <w:autoRedefine/>
    <w:unhideWhenUsed/>
    <w:qFormat/>
    <w:uiPriority w:val="99"/>
    <w:pPr>
      <w:spacing w:after="120"/>
    </w:pPr>
    <w:rPr>
      <w:sz w:val="16"/>
      <w:szCs w:val="16"/>
      <w:lang w:val="zh-CN"/>
    </w:rPr>
  </w:style>
  <w:style w:type="paragraph" w:styleId="16">
    <w:name w:val="Body Text"/>
    <w:basedOn w:val="1"/>
    <w:link w:val="51"/>
    <w:autoRedefine/>
    <w:unhideWhenUsed/>
    <w:qFormat/>
    <w:uiPriority w:val="0"/>
    <w:pPr>
      <w:spacing w:after="120"/>
    </w:pPr>
    <w:rPr>
      <w:lang w:val="zh-CN"/>
    </w:rPr>
  </w:style>
  <w:style w:type="paragraph" w:styleId="17">
    <w:name w:val="Body Text Indent"/>
    <w:basedOn w:val="1"/>
    <w:link w:val="52"/>
    <w:autoRedefine/>
    <w:qFormat/>
    <w:uiPriority w:val="0"/>
    <w:pPr>
      <w:ind w:firstLine="830" w:firstLineChars="352"/>
    </w:pPr>
    <w:rPr>
      <w:rFonts w:ascii="仿宋_GB2312" w:eastAsia="仿宋_GB2312"/>
      <w:kern w:val="0"/>
      <w:sz w:val="32"/>
      <w:szCs w:val="20"/>
      <w:lang w:val="zh-CN"/>
    </w:rPr>
  </w:style>
  <w:style w:type="paragraph" w:styleId="18">
    <w:name w:val="List 2"/>
    <w:basedOn w:val="1"/>
    <w:autoRedefine/>
    <w:unhideWhenUsed/>
    <w:qFormat/>
    <w:uiPriority w:val="99"/>
    <w:pPr>
      <w:ind w:left="100" w:leftChars="200" w:hanging="200" w:hangingChars="200"/>
      <w:contextualSpacing/>
    </w:pPr>
  </w:style>
  <w:style w:type="paragraph" w:styleId="19">
    <w:name w:val="toc 3"/>
    <w:basedOn w:val="1"/>
    <w:next w:val="1"/>
    <w:qFormat/>
    <w:uiPriority w:val="0"/>
    <w:pPr>
      <w:ind w:left="840" w:leftChars="400"/>
    </w:pPr>
  </w:style>
  <w:style w:type="paragraph" w:styleId="20">
    <w:name w:val="Plain Text"/>
    <w:basedOn w:val="1"/>
    <w:link w:val="54"/>
    <w:autoRedefine/>
    <w:qFormat/>
    <w:uiPriority w:val="0"/>
    <w:rPr>
      <w:rFonts w:ascii="宋体" w:hAnsi="Courier New"/>
      <w:kern w:val="0"/>
      <w:sz w:val="20"/>
      <w:szCs w:val="21"/>
      <w:lang w:val="zh-CN"/>
    </w:rPr>
  </w:style>
  <w:style w:type="paragraph" w:styleId="21">
    <w:name w:val="Date"/>
    <w:basedOn w:val="1"/>
    <w:next w:val="1"/>
    <w:link w:val="55"/>
    <w:autoRedefine/>
    <w:unhideWhenUsed/>
    <w:qFormat/>
    <w:uiPriority w:val="99"/>
    <w:pPr>
      <w:ind w:left="100" w:leftChars="2500"/>
    </w:pPr>
    <w:rPr>
      <w:lang w:val="zh-CN"/>
    </w:rPr>
  </w:style>
  <w:style w:type="paragraph" w:styleId="22">
    <w:name w:val="Balloon Text"/>
    <w:basedOn w:val="1"/>
    <w:link w:val="56"/>
    <w:autoRedefine/>
    <w:qFormat/>
    <w:uiPriority w:val="0"/>
    <w:rPr>
      <w:sz w:val="18"/>
      <w:szCs w:val="18"/>
    </w:rPr>
  </w:style>
  <w:style w:type="paragraph" w:styleId="23">
    <w:name w:val="header"/>
    <w:basedOn w:val="1"/>
    <w:link w:val="58"/>
    <w:autoRedefine/>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4">
    <w:name w:val="toc 1"/>
    <w:basedOn w:val="1"/>
    <w:next w:val="1"/>
    <w:autoRedefine/>
    <w:unhideWhenUsed/>
    <w:qFormat/>
    <w:uiPriority w:val="39"/>
  </w:style>
  <w:style w:type="paragraph" w:styleId="25">
    <w:name w:val="Subtitle"/>
    <w:basedOn w:val="1"/>
    <w:next w:val="1"/>
    <w:autoRedefine/>
    <w:qFormat/>
    <w:uiPriority w:val="0"/>
    <w:pPr>
      <w:widowControl w:val="0"/>
      <w:adjustRightInd/>
      <w:snapToGrid/>
      <w:spacing w:before="240" w:after="60" w:line="312" w:lineRule="auto"/>
      <w:jc w:val="center"/>
      <w:outlineLvl w:val="1"/>
    </w:pPr>
    <w:rPr>
      <w:rFonts w:ascii="Cambria" w:hAnsi="Cambria" w:eastAsia="宋体"/>
      <w:b/>
      <w:bCs/>
      <w:kern w:val="28"/>
      <w:sz w:val="32"/>
      <w:szCs w:val="32"/>
    </w:rPr>
  </w:style>
  <w:style w:type="paragraph" w:styleId="26">
    <w:name w:val="List"/>
    <w:basedOn w:val="1"/>
    <w:qFormat/>
    <w:uiPriority w:val="0"/>
    <w:pPr>
      <w:ind w:left="200" w:hanging="200" w:hangingChars="200"/>
    </w:pPr>
    <w:rPr>
      <w:sz w:val="28"/>
    </w:rPr>
  </w:style>
  <w:style w:type="paragraph" w:styleId="27">
    <w:name w:val="toc 2"/>
    <w:basedOn w:val="1"/>
    <w:next w:val="1"/>
    <w:autoRedefine/>
    <w:unhideWhenUsed/>
    <w:qFormat/>
    <w:uiPriority w:val="39"/>
    <w:pPr>
      <w:tabs>
        <w:tab w:val="right" w:leader="dot" w:pos="8296"/>
      </w:tabs>
      <w:ind w:left="420" w:leftChars="200"/>
    </w:pPr>
  </w:style>
  <w:style w:type="paragraph" w:styleId="28">
    <w:name w:val="Body Text 2"/>
    <w:basedOn w:val="1"/>
    <w:qFormat/>
    <w:uiPriority w:val="0"/>
    <w:pPr>
      <w:spacing w:after="120" w:line="480" w:lineRule="auto"/>
    </w:pPr>
  </w:style>
  <w:style w:type="paragraph" w:styleId="2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0">
    <w:name w:val="Normal (Web)"/>
    <w:basedOn w:val="1"/>
    <w:autoRedefine/>
    <w:unhideWhenUsed/>
    <w:qFormat/>
    <w:uiPriority w:val="99"/>
    <w:rPr>
      <w:rFonts w:ascii="Calibri" w:hAnsi="Calibri"/>
      <w:kern w:val="0"/>
      <w:sz w:val="24"/>
    </w:rPr>
  </w:style>
  <w:style w:type="paragraph" w:styleId="31">
    <w:name w:val="annotation subject"/>
    <w:basedOn w:val="14"/>
    <w:next w:val="14"/>
    <w:link w:val="59"/>
    <w:autoRedefine/>
    <w:qFormat/>
    <w:uiPriority w:val="99"/>
    <w:rPr>
      <w:b/>
      <w:bCs/>
    </w:rPr>
  </w:style>
  <w:style w:type="paragraph" w:styleId="32">
    <w:name w:val="Body Text First Indent 2"/>
    <w:basedOn w:val="17"/>
    <w:autoRedefine/>
    <w:unhideWhenUsed/>
    <w:qFormat/>
    <w:uiPriority w:val="99"/>
    <w:pPr>
      <w:ind w:firstLine="420" w:firstLineChars="200"/>
    </w:pPr>
    <w:rPr>
      <w:rFonts w:ascii="等线" w:hAnsi="等线" w:eastAsia="等线"/>
      <w:szCs w:val="22"/>
    </w:rPr>
  </w:style>
  <w:style w:type="table" w:styleId="34">
    <w:name w:val="Table Grid"/>
    <w:basedOn w:val="3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autoRedefine/>
    <w:unhideWhenUsed/>
    <w:qFormat/>
    <w:uiPriority w:val="99"/>
    <w:rPr>
      <w:vertAlign w:val="superscript"/>
    </w:rPr>
  </w:style>
  <w:style w:type="character" w:styleId="37">
    <w:name w:val="page number"/>
    <w:autoRedefine/>
    <w:qFormat/>
    <w:uiPriority w:val="0"/>
  </w:style>
  <w:style w:type="character" w:styleId="38">
    <w:name w:val="Hyperlink"/>
    <w:autoRedefine/>
    <w:unhideWhenUsed/>
    <w:qFormat/>
    <w:uiPriority w:val="99"/>
    <w:rPr>
      <w:color w:val="0000FF"/>
      <w:u w:val="single"/>
    </w:rPr>
  </w:style>
  <w:style w:type="character" w:styleId="39">
    <w:name w:val="annotation reference"/>
    <w:autoRedefine/>
    <w:qFormat/>
    <w:uiPriority w:val="0"/>
    <w:rPr>
      <w:sz w:val="21"/>
      <w:szCs w:val="21"/>
    </w:rPr>
  </w:style>
  <w:style w:type="character" w:styleId="40">
    <w:name w:val="HTML Sample"/>
    <w:basedOn w:val="35"/>
    <w:autoRedefine/>
    <w:qFormat/>
    <w:uiPriority w:val="0"/>
    <w:rPr>
      <w:rFonts w:ascii="Courier New" w:hAnsi="Courier New"/>
    </w:rPr>
  </w:style>
  <w:style w:type="character" w:customStyle="1" w:styleId="41">
    <w:name w:val="标题 1 Char"/>
    <w:basedOn w:val="35"/>
    <w:link w:val="3"/>
    <w:autoRedefine/>
    <w:qFormat/>
    <w:uiPriority w:val="9"/>
    <w:rPr>
      <w:b/>
      <w:bCs/>
      <w:kern w:val="44"/>
      <w:sz w:val="44"/>
      <w:szCs w:val="44"/>
      <w:lang w:val="zh-CN" w:eastAsia="zh-CN"/>
    </w:rPr>
  </w:style>
  <w:style w:type="character" w:customStyle="1" w:styleId="42">
    <w:name w:val="标题 2 Char"/>
    <w:basedOn w:val="35"/>
    <w:autoRedefine/>
    <w:qFormat/>
    <w:uiPriority w:val="9"/>
    <w:rPr>
      <w:rFonts w:asciiTheme="majorHAnsi" w:hAnsiTheme="majorHAnsi" w:eastAsiaTheme="majorEastAsia" w:cstheme="majorBidi"/>
      <w:b/>
      <w:bCs/>
      <w:kern w:val="2"/>
      <w:sz w:val="32"/>
      <w:szCs w:val="32"/>
    </w:rPr>
  </w:style>
  <w:style w:type="character" w:customStyle="1" w:styleId="43">
    <w:name w:val="标题 5 Char"/>
    <w:basedOn w:val="35"/>
    <w:link w:val="6"/>
    <w:autoRedefine/>
    <w:qFormat/>
    <w:uiPriority w:val="9"/>
    <w:rPr>
      <w:b/>
      <w:bCs/>
      <w:kern w:val="2"/>
      <w:sz w:val="28"/>
      <w:szCs w:val="28"/>
      <w:lang w:val="zh-CN" w:eastAsia="zh-CN"/>
    </w:rPr>
  </w:style>
  <w:style w:type="character" w:customStyle="1" w:styleId="44">
    <w:name w:val="标题 8 Char"/>
    <w:basedOn w:val="35"/>
    <w:autoRedefine/>
    <w:qFormat/>
    <w:uiPriority w:val="0"/>
    <w:rPr>
      <w:rFonts w:asciiTheme="majorHAnsi" w:hAnsiTheme="majorHAnsi" w:eastAsiaTheme="majorEastAsia" w:cstheme="majorBidi"/>
      <w:kern w:val="2"/>
      <w:sz w:val="24"/>
      <w:szCs w:val="24"/>
    </w:rPr>
  </w:style>
  <w:style w:type="character" w:customStyle="1" w:styleId="45">
    <w:name w:val="标题 2 Char1"/>
    <w:link w:val="4"/>
    <w:autoRedefine/>
    <w:qFormat/>
    <w:uiPriority w:val="9"/>
    <w:rPr>
      <w:rFonts w:ascii="Cambria" w:hAnsi="Cambria"/>
      <w:b/>
      <w:bCs/>
      <w:kern w:val="2"/>
      <w:sz w:val="32"/>
      <w:szCs w:val="32"/>
      <w:lang w:val="zh-CN" w:eastAsia="zh-CN"/>
    </w:rPr>
  </w:style>
  <w:style w:type="character" w:customStyle="1" w:styleId="46">
    <w:name w:val="标题 8 Char1"/>
    <w:link w:val="9"/>
    <w:autoRedefine/>
    <w:qFormat/>
    <w:uiPriority w:val="9"/>
    <w:rPr>
      <w:rFonts w:ascii="等线 Light" w:hAnsi="等线 Light" w:eastAsia="等线 Light"/>
      <w:kern w:val="2"/>
      <w:sz w:val="24"/>
      <w:szCs w:val="24"/>
      <w:lang w:val="zh-CN" w:eastAsia="zh-CN"/>
    </w:rPr>
  </w:style>
  <w:style w:type="character" w:customStyle="1" w:styleId="47">
    <w:name w:val="批注文字 Char"/>
    <w:basedOn w:val="35"/>
    <w:autoRedefine/>
    <w:qFormat/>
    <w:uiPriority w:val="0"/>
    <w:rPr>
      <w:kern w:val="2"/>
      <w:sz w:val="21"/>
      <w:szCs w:val="24"/>
    </w:rPr>
  </w:style>
  <w:style w:type="character" w:customStyle="1" w:styleId="48">
    <w:name w:val="批注文字 Char1"/>
    <w:link w:val="14"/>
    <w:autoRedefine/>
    <w:qFormat/>
    <w:uiPriority w:val="0"/>
    <w:rPr>
      <w:kern w:val="2"/>
      <w:sz w:val="21"/>
      <w:szCs w:val="24"/>
      <w:lang w:val="zh-CN" w:eastAsia="zh-CN"/>
    </w:rPr>
  </w:style>
  <w:style w:type="character" w:customStyle="1" w:styleId="49">
    <w:name w:val="正文文本 3 Char"/>
    <w:basedOn w:val="35"/>
    <w:link w:val="15"/>
    <w:autoRedefine/>
    <w:qFormat/>
    <w:uiPriority w:val="99"/>
    <w:rPr>
      <w:kern w:val="2"/>
      <w:sz w:val="16"/>
      <w:szCs w:val="16"/>
      <w:lang w:val="zh-CN" w:eastAsia="zh-CN"/>
    </w:rPr>
  </w:style>
  <w:style w:type="character" w:customStyle="1" w:styleId="50">
    <w:name w:val="正文文本 Char"/>
    <w:basedOn w:val="35"/>
    <w:autoRedefine/>
    <w:qFormat/>
    <w:uiPriority w:val="0"/>
    <w:rPr>
      <w:kern w:val="2"/>
      <w:sz w:val="21"/>
      <w:szCs w:val="24"/>
    </w:rPr>
  </w:style>
  <w:style w:type="character" w:customStyle="1" w:styleId="51">
    <w:name w:val="正文文本 Char1"/>
    <w:link w:val="16"/>
    <w:autoRedefine/>
    <w:qFormat/>
    <w:uiPriority w:val="0"/>
    <w:rPr>
      <w:kern w:val="2"/>
      <w:sz w:val="21"/>
      <w:szCs w:val="24"/>
      <w:lang w:val="zh-CN" w:eastAsia="zh-CN"/>
    </w:rPr>
  </w:style>
  <w:style w:type="character" w:customStyle="1" w:styleId="52">
    <w:name w:val="正文文本缩进 Char"/>
    <w:basedOn w:val="35"/>
    <w:link w:val="17"/>
    <w:autoRedefine/>
    <w:qFormat/>
    <w:uiPriority w:val="0"/>
    <w:rPr>
      <w:rFonts w:ascii="仿宋_GB2312" w:eastAsia="仿宋_GB2312"/>
      <w:sz w:val="32"/>
      <w:lang w:val="zh-CN" w:eastAsia="zh-CN"/>
    </w:rPr>
  </w:style>
  <w:style w:type="character" w:customStyle="1" w:styleId="53">
    <w:name w:val="纯文本 Char"/>
    <w:basedOn w:val="35"/>
    <w:autoRedefine/>
    <w:qFormat/>
    <w:uiPriority w:val="0"/>
    <w:rPr>
      <w:rFonts w:ascii="宋体" w:hAnsi="Courier New" w:cs="Courier New"/>
      <w:kern w:val="2"/>
      <w:sz w:val="21"/>
      <w:szCs w:val="21"/>
    </w:rPr>
  </w:style>
  <w:style w:type="character" w:customStyle="1" w:styleId="54">
    <w:name w:val="纯文本 Char1"/>
    <w:link w:val="20"/>
    <w:autoRedefine/>
    <w:qFormat/>
    <w:uiPriority w:val="0"/>
    <w:rPr>
      <w:rFonts w:ascii="宋体" w:hAnsi="Courier New"/>
      <w:szCs w:val="21"/>
      <w:lang w:val="zh-CN" w:eastAsia="zh-CN"/>
    </w:rPr>
  </w:style>
  <w:style w:type="character" w:customStyle="1" w:styleId="55">
    <w:name w:val="日期 Char"/>
    <w:basedOn w:val="35"/>
    <w:link w:val="21"/>
    <w:autoRedefine/>
    <w:qFormat/>
    <w:uiPriority w:val="99"/>
    <w:rPr>
      <w:kern w:val="2"/>
      <w:sz w:val="21"/>
      <w:szCs w:val="24"/>
      <w:lang w:val="zh-CN" w:eastAsia="zh-CN"/>
    </w:rPr>
  </w:style>
  <w:style w:type="character" w:customStyle="1" w:styleId="56">
    <w:name w:val="批注框文本 Char"/>
    <w:basedOn w:val="35"/>
    <w:link w:val="22"/>
    <w:autoRedefine/>
    <w:qFormat/>
    <w:uiPriority w:val="0"/>
    <w:rPr>
      <w:kern w:val="2"/>
      <w:sz w:val="18"/>
      <w:szCs w:val="18"/>
    </w:rPr>
  </w:style>
  <w:style w:type="character" w:customStyle="1" w:styleId="57">
    <w:name w:val="页脚 Char"/>
    <w:basedOn w:val="35"/>
    <w:link w:val="2"/>
    <w:autoRedefine/>
    <w:qFormat/>
    <w:uiPriority w:val="99"/>
    <w:rPr>
      <w:sz w:val="18"/>
      <w:szCs w:val="18"/>
      <w:lang w:val="zh-CN" w:eastAsia="zh-CN"/>
    </w:rPr>
  </w:style>
  <w:style w:type="character" w:customStyle="1" w:styleId="58">
    <w:name w:val="页眉 Char"/>
    <w:basedOn w:val="35"/>
    <w:link w:val="23"/>
    <w:autoRedefine/>
    <w:qFormat/>
    <w:uiPriority w:val="99"/>
    <w:rPr>
      <w:sz w:val="18"/>
      <w:szCs w:val="18"/>
      <w:lang w:val="zh-CN" w:eastAsia="zh-CN"/>
    </w:rPr>
  </w:style>
  <w:style w:type="character" w:customStyle="1" w:styleId="59">
    <w:name w:val="批注主题 Char"/>
    <w:basedOn w:val="47"/>
    <w:link w:val="31"/>
    <w:autoRedefine/>
    <w:qFormat/>
    <w:uiPriority w:val="99"/>
    <w:rPr>
      <w:b/>
      <w:bCs/>
      <w:kern w:val="2"/>
      <w:sz w:val="21"/>
      <w:szCs w:val="24"/>
      <w:lang w:val="zh-CN" w:eastAsia="zh-CN"/>
    </w:rPr>
  </w:style>
  <w:style w:type="character" w:customStyle="1" w:styleId="60">
    <w:name w:val="纯文本 字符1"/>
    <w:autoRedefine/>
    <w:qFormat/>
    <w:uiPriority w:val="0"/>
    <w:rPr>
      <w:rFonts w:ascii="宋体" w:hAnsi="Courier New"/>
    </w:rPr>
  </w:style>
  <w:style w:type="character" w:customStyle="1" w:styleId="61">
    <w:name w:val="纯文本 字符"/>
    <w:autoRedefine/>
    <w:qFormat/>
    <w:uiPriority w:val="0"/>
    <w:rPr>
      <w:rFonts w:ascii="宋体" w:hAnsi="Courier New" w:eastAsia="宋体" w:cs="Courier New"/>
      <w:szCs w:val="21"/>
    </w:rPr>
  </w:style>
  <w:style w:type="character" w:customStyle="1" w:styleId="62">
    <w:name w:val="正文文本 字符"/>
    <w:autoRedefine/>
    <w:qFormat/>
    <w:uiPriority w:val="0"/>
    <w:rPr>
      <w:rFonts w:ascii="Times New Roman" w:hAnsi="Times New Roman"/>
      <w:kern w:val="2"/>
      <w:sz w:val="21"/>
      <w:szCs w:val="24"/>
    </w:rPr>
  </w:style>
  <w:style w:type="character" w:customStyle="1" w:styleId="63">
    <w:name w:val="批注文字 字符"/>
    <w:autoRedefine/>
    <w:qFormat/>
    <w:uiPriority w:val="0"/>
    <w:rPr>
      <w:rFonts w:ascii="Times New Roman" w:hAnsi="Times New Roman"/>
      <w:kern w:val="2"/>
      <w:sz w:val="21"/>
      <w:szCs w:val="24"/>
    </w:rPr>
  </w:style>
  <w:style w:type="character" w:customStyle="1" w:styleId="64">
    <w:name w:val="标题 1 字符1"/>
    <w:autoRedefine/>
    <w:qFormat/>
    <w:uiPriority w:val="0"/>
    <w:rPr>
      <w:b/>
      <w:bCs/>
      <w:kern w:val="44"/>
      <w:sz w:val="44"/>
      <w:szCs w:val="44"/>
    </w:rPr>
  </w:style>
  <w:style w:type="character" w:customStyle="1" w:styleId="65">
    <w:name w:val="纯文本 字符2"/>
    <w:autoRedefine/>
    <w:qFormat/>
    <w:uiPriority w:val="0"/>
    <w:rPr>
      <w:rFonts w:ascii="宋体" w:hAnsi="Courier New" w:eastAsia="宋体" w:cs="Courier New"/>
      <w:szCs w:val="21"/>
    </w:rPr>
  </w:style>
  <w:style w:type="character" w:customStyle="1" w:styleId="66">
    <w:name w:val="textcontents"/>
    <w:autoRedefine/>
    <w:qFormat/>
    <w:uiPriority w:val="0"/>
  </w:style>
  <w:style w:type="character" w:customStyle="1" w:styleId="6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apple-style-span"/>
    <w:autoRedefine/>
    <w:qFormat/>
    <w:uiPriority w:val="0"/>
  </w:style>
  <w:style w:type="character" w:customStyle="1" w:styleId="69">
    <w:name w:val="批注文字 字符1"/>
    <w:autoRedefine/>
    <w:qFormat/>
    <w:uiPriority w:val="0"/>
    <w:rPr>
      <w:rFonts w:ascii="Times New Roman" w:hAnsi="Times New Roman"/>
      <w:kern w:val="2"/>
      <w:sz w:val="21"/>
      <w:szCs w:val="24"/>
    </w:rPr>
  </w:style>
  <w:style w:type="paragraph" w:customStyle="1" w:styleId="7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1">
    <w:name w:val="Table Paragraph"/>
    <w:basedOn w:val="1"/>
    <w:autoRedefine/>
    <w:qFormat/>
    <w:uiPriority w:val="1"/>
    <w:pPr>
      <w:jc w:val="left"/>
    </w:pPr>
    <w:rPr>
      <w:rFonts w:ascii="Calibri" w:hAnsi="Calibri"/>
      <w:kern w:val="0"/>
      <w:sz w:val="22"/>
      <w:szCs w:val="22"/>
      <w:lang w:eastAsia="en-US"/>
    </w:rPr>
  </w:style>
  <w:style w:type="paragraph" w:customStyle="1" w:styleId="72">
    <w:name w:val="默认段落字体 Para Char Char Char Char Char Char Char Char Char1 Char Char Char Char"/>
    <w:basedOn w:val="1"/>
    <w:autoRedefine/>
    <w:qFormat/>
    <w:uiPriority w:val="0"/>
    <w:rPr>
      <w:rFonts w:ascii="Tahoma" w:hAnsi="Tahoma"/>
      <w:sz w:val="24"/>
      <w:szCs w:val="20"/>
    </w:rPr>
  </w:style>
  <w:style w:type="paragraph" w:customStyle="1" w:styleId="73">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4">
    <w:name w:val="List Paragraph"/>
    <w:basedOn w:val="1"/>
    <w:autoRedefine/>
    <w:qFormat/>
    <w:uiPriority w:val="34"/>
    <w:pPr>
      <w:ind w:firstLine="420" w:firstLineChars="200"/>
    </w:pPr>
  </w:style>
  <w:style w:type="character" w:customStyle="1" w:styleId="75">
    <w:name w:val="NormalCharacter"/>
    <w:autoRedefine/>
    <w:semiHidden/>
    <w:qFormat/>
    <w:uiPriority w:val="99"/>
  </w:style>
  <w:style w:type="paragraph" w:customStyle="1" w:styleId="76">
    <w:name w:val="p0"/>
    <w:basedOn w:val="1"/>
    <w:autoRedefine/>
    <w:qFormat/>
    <w:uiPriority w:val="0"/>
    <w:pPr>
      <w:widowControl/>
      <w:spacing w:line="365" w:lineRule="atLeast"/>
      <w:ind w:left="1"/>
    </w:pPr>
    <w:rPr>
      <w:kern w:val="0"/>
      <w:sz w:val="20"/>
      <w:szCs w:val="20"/>
    </w:rPr>
  </w:style>
  <w:style w:type="paragraph" w:customStyle="1" w:styleId="77">
    <w:name w:val="PlainText"/>
    <w:basedOn w:val="1"/>
    <w:autoRedefine/>
    <w:qFormat/>
    <w:uiPriority w:val="0"/>
    <w:pPr>
      <w:widowControl/>
      <w:textAlignment w:val="baseline"/>
    </w:pPr>
    <w:rPr>
      <w:rFonts w:ascii="宋体" w:hAnsi="Courier New"/>
    </w:rPr>
  </w:style>
  <w:style w:type="paragraph" w:customStyle="1" w:styleId="78">
    <w:name w:val="表格文字"/>
    <w:basedOn w:val="17"/>
    <w:autoRedefine/>
    <w:qFormat/>
    <w:uiPriority w:val="0"/>
    <w:pPr>
      <w:spacing w:before="60" w:after="60" w:line="240" w:lineRule="auto"/>
      <w:ind w:firstLine="0" w:firstLineChars="0"/>
    </w:pPr>
    <w:rPr>
      <w:rFonts w:ascii="Times New Roman" w:hAnsi="Times New Roman"/>
      <w:spacing w:val="0"/>
      <w:sz w:val="24"/>
    </w:rPr>
  </w:style>
  <w:style w:type="character" w:customStyle="1" w:styleId="79">
    <w:name w:val="font11"/>
    <w:basedOn w:val="35"/>
    <w:qFormat/>
    <w:uiPriority w:val="0"/>
    <w:rPr>
      <w:rFonts w:hint="eastAsia" w:ascii="宋体" w:hAnsi="宋体" w:eastAsia="宋体" w:cs="宋体"/>
      <w:b/>
      <w:bCs/>
      <w:color w:val="000000"/>
      <w:sz w:val="21"/>
      <w:szCs w:val="21"/>
      <w:u w:val="none"/>
    </w:rPr>
  </w:style>
  <w:style w:type="character" w:customStyle="1" w:styleId="80">
    <w:name w:val="font31"/>
    <w:basedOn w:val="35"/>
    <w:qFormat/>
    <w:uiPriority w:val="0"/>
    <w:rPr>
      <w:rFonts w:hint="eastAsia" w:ascii="宋体" w:hAnsi="宋体" w:eastAsia="宋体" w:cs="宋体"/>
      <w:color w:val="000000"/>
      <w:sz w:val="18"/>
      <w:szCs w:val="18"/>
      <w:u w:val="none"/>
    </w:rPr>
  </w:style>
  <w:style w:type="character" w:customStyle="1" w:styleId="81">
    <w:name w:val="font21"/>
    <w:basedOn w:val="35"/>
    <w:qFormat/>
    <w:uiPriority w:val="0"/>
    <w:rPr>
      <w:rFonts w:hint="eastAsia" w:ascii="宋体" w:hAnsi="宋体" w:eastAsia="宋体" w:cs="宋体"/>
      <w:color w:val="000000"/>
      <w:sz w:val="18"/>
      <w:szCs w:val="18"/>
      <w:u w:val="none"/>
    </w:rPr>
  </w:style>
  <w:style w:type="paragraph" w:customStyle="1" w:styleId="82">
    <w:name w:val="正文-公1"/>
    <w:basedOn w:val="1"/>
    <w:qFormat/>
    <w:uiPriority w:val="99"/>
    <w:pPr>
      <w:ind w:firstLine="200"/>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12680</Words>
  <Characters>13474</Characters>
  <Lines>259</Lines>
  <Paragraphs>72</Paragraphs>
  <TotalTime>2</TotalTime>
  <ScaleCrop>false</ScaleCrop>
  <LinksUpToDate>false</LinksUpToDate>
  <CharactersWithSpaces>13623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2021-12-22T08:30:00Z</dcterms:created>
  <dc:creator>xb21cn</dc:creator>
  <cp:lastModifiedBy>阿榜</cp:lastModifiedBy>
  <cp:lastPrinted>2024-08-02T03:16:00Z</cp:lastPrinted>
  <dcterms:modified xsi:type="dcterms:W3CDTF">2025-09-29T08:33:35Z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44BAE25193EF465FBAF582FA10C1E9FA</vt:lpwstr>
  </property>
  <property fmtid="{D5CDD505-2E9C-101B-9397-08002B2CF9AE}" pid="4" name="commondata">
    <vt:lpwstr>eyJoZGlkIjoiYzA0ODI0NjgxMDIwZGEzODMwYjVlZDJlN2VjZDQxYTgifQ==</vt:lpwstr>
  </property>
  <property fmtid="{D5CDD505-2E9C-101B-9397-08002B2CF9AE}" pid="5" name="KSOTemplateDocerSaveRecord">
    <vt:lpwstr>eyJoZGlkIjoiZjQ5MTk4MzZmMzAxNjlhOTgyMmRhNDY1YWE4YjllOTEiLCJ1c2VySWQiOiIyNTAzMDY4ODIifQ==</vt:lpwstr>
  </property>
</Properties>
</file>