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2A7FD">
      <w:pPr>
        <w:spacing w:line="360" w:lineRule="auto"/>
        <w:jc w:val="center"/>
        <w:rPr>
          <w:rFonts w:hint="eastAsia" w:ascii="宋体" w:hAnsi="宋体" w:cs="宋体"/>
          <w:color w:val="auto"/>
          <w:highlight w:val="none"/>
        </w:rPr>
      </w:pPr>
      <w:r>
        <w:drawing>
          <wp:inline distT="0" distB="0" distL="114300" distR="114300">
            <wp:extent cx="5610225" cy="7886700"/>
            <wp:effectExtent l="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610225" cy="7886700"/>
                    </a:xfrm>
                    <a:prstGeom prst="rect">
                      <a:avLst/>
                    </a:prstGeom>
                    <a:noFill/>
                    <a:ln>
                      <a:noFill/>
                    </a:ln>
                  </pic:spPr>
                </pic:pic>
              </a:graphicData>
            </a:graphic>
          </wp:inline>
        </w:drawing>
      </w:r>
    </w:p>
    <w:p w14:paraId="3BD5CEA1">
      <w:pPr>
        <w:spacing w:line="360" w:lineRule="auto"/>
        <w:jc w:val="center"/>
        <w:rPr>
          <w:rFonts w:hint="eastAsia" w:ascii="宋体" w:hAnsi="宋体" w:cs="宋体"/>
          <w:b/>
          <w:color w:val="auto"/>
          <w:sz w:val="44"/>
          <w:szCs w:val="44"/>
          <w:highlight w:val="none"/>
        </w:rPr>
      </w:pPr>
    </w:p>
    <w:p w14:paraId="6B106641">
      <w:pPr>
        <w:spacing w:line="360" w:lineRule="auto"/>
        <w:jc w:val="center"/>
        <w:rPr>
          <w:rFonts w:hint="eastAsia" w:ascii="宋体" w:hAnsi="宋体" w:cs="宋体"/>
          <w:b/>
          <w:color w:val="auto"/>
          <w:sz w:val="44"/>
          <w:szCs w:val="44"/>
          <w:highlight w:val="none"/>
        </w:rPr>
      </w:pPr>
    </w:p>
    <w:p w14:paraId="53C9B43D">
      <w:pPr>
        <w:spacing w:line="360" w:lineRule="auto"/>
        <w:jc w:val="center"/>
        <w:rPr>
          <w:rFonts w:hint="eastAsia" w:ascii="宋体" w:hAnsi="宋体" w:cs="宋体"/>
          <w:b/>
          <w:color w:val="auto"/>
          <w:sz w:val="44"/>
          <w:szCs w:val="44"/>
          <w:highlight w:val="none"/>
        </w:rPr>
      </w:pPr>
      <w:permStart w:id="0" w:edGrp="everyone"/>
      <w:permEnd w:id="0"/>
      <w:r>
        <w:rPr>
          <w:rFonts w:hint="eastAsia" w:ascii="宋体" w:hAnsi="宋体" w:cs="宋体"/>
          <w:b/>
          <w:color w:val="auto"/>
          <w:sz w:val="44"/>
          <w:szCs w:val="44"/>
          <w:highlight w:val="none"/>
        </w:rPr>
        <w:t>目   录</w:t>
      </w:r>
    </w:p>
    <w:p w14:paraId="243625F8">
      <w:pPr>
        <w:spacing w:line="400" w:lineRule="exact"/>
        <w:jc w:val="center"/>
        <w:rPr>
          <w:rFonts w:hint="eastAsia" w:ascii="宋体" w:hAnsi="宋体" w:cs="宋体"/>
          <w:b/>
          <w:color w:val="auto"/>
          <w:sz w:val="44"/>
          <w:szCs w:val="44"/>
          <w:highlight w:val="none"/>
        </w:rPr>
      </w:pPr>
    </w:p>
    <w:p w14:paraId="54AD9CB4">
      <w:pPr>
        <w:pStyle w:val="28"/>
        <w:spacing w:line="360" w:lineRule="auto"/>
        <w:rPr>
          <w:rFonts w:hint="eastAsia" w:ascii="宋体" w:hAnsi="宋体" w:cs="宋体"/>
          <w:color w:val="auto"/>
          <w:szCs w:val="22"/>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r>
        <w:rPr>
          <w:rFonts w:hint="eastAsia" w:ascii="宋体" w:hAnsi="宋体" w:cs="宋体"/>
          <w:color w:val="auto"/>
          <w:highlight w:val="none"/>
        </w:rPr>
        <w:fldChar w:fldCharType="begin"/>
      </w:r>
      <w:r>
        <w:rPr>
          <w:rStyle w:val="39"/>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"_Toc44229877"</w:instrText>
      </w:r>
      <w:r>
        <w:rPr>
          <w:rStyle w:val="39"/>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39"/>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lang w:val="en-US" w:eastAsia="zh-CN"/>
        </w:rPr>
        <w:t>3</w:t>
      </w:r>
      <w:r>
        <w:rPr>
          <w:rFonts w:hint="eastAsia" w:ascii="宋体" w:hAnsi="宋体" w:cs="宋体"/>
          <w:color w:val="auto"/>
          <w:highlight w:val="none"/>
        </w:rPr>
        <w:fldChar w:fldCharType="end"/>
      </w:r>
      <w:bookmarkStart w:id="87" w:name="_GoBack"/>
      <w:bookmarkEnd w:id="87"/>
    </w:p>
    <w:p w14:paraId="37DBFCFE">
      <w:pPr>
        <w:pStyle w:val="28"/>
        <w:spacing w:line="360"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Style w:val="39"/>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"_Toc44229894"</w:instrText>
      </w:r>
      <w:r>
        <w:rPr>
          <w:rStyle w:val="39"/>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39"/>
          <w:rFonts w:hint="eastAsia" w:ascii="宋体" w:hAnsi="宋体" w:cs="宋体"/>
          <w:color w:val="auto"/>
          <w:highlight w:val="none"/>
        </w:rPr>
        <w:t>第二章 供应商须</w:t>
      </w:r>
      <w:bookmarkStart w:id="0" w:name="_Hlt45187173"/>
      <w:bookmarkStart w:id="1" w:name="_Hlt45187174"/>
      <w:r>
        <w:rPr>
          <w:rStyle w:val="39"/>
          <w:rFonts w:hint="eastAsia" w:ascii="宋体" w:hAnsi="宋体" w:cs="宋体"/>
          <w:color w:val="auto"/>
          <w:highlight w:val="none"/>
        </w:rPr>
        <w:t>知</w:t>
      </w:r>
      <w:bookmarkEnd w:id="0"/>
      <w:bookmarkEnd w:id="1"/>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p>
    <w:p w14:paraId="43EEB277">
      <w:pPr>
        <w:pStyle w:val="28"/>
        <w:spacing w:line="360"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Style w:val="39"/>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"_Toc44229895"</w:instrText>
      </w:r>
      <w:r>
        <w:rPr>
          <w:rStyle w:val="39"/>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39"/>
          <w:rFonts w:hint="eastAsia" w:ascii="宋体" w:hAnsi="宋体" w:cs="宋体"/>
          <w:color w:val="auto"/>
          <w:highlight w:val="none"/>
        </w:rPr>
        <w:t>第三章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_Toc44229895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F1578A">
      <w:pPr>
        <w:pStyle w:val="28"/>
        <w:spacing w:line="360" w:lineRule="auto"/>
        <w:rPr>
          <w:rFonts w:hint="eastAsia" w:ascii="宋体" w:hAnsi="宋体" w:eastAsia="宋体" w:cs="宋体"/>
          <w:color w:val="auto"/>
          <w:szCs w:val="22"/>
          <w:highlight w:val="none"/>
          <w:lang w:eastAsia="zh-CN"/>
        </w:rPr>
      </w:pPr>
      <w:r>
        <w:rPr>
          <w:rFonts w:hint="eastAsia" w:ascii="宋体" w:hAnsi="宋体" w:cs="宋体"/>
          <w:color w:val="auto"/>
          <w:highlight w:val="none"/>
        </w:rPr>
        <w:fldChar w:fldCharType="begin"/>
      </w:r>
      <w:r>
        <w:rPr>
          <w:rStyle w:val="39"/>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"_Toc44229896"</w:instrText>
      </w:r>
      <w:r>
        <w:rPr>
          <w:rStyle w:val="39"/>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39"/>
          <w:rFonts w:hint="eastAsia" w:ascii="宋体" w:hAnsi="宋体" w:cs="宋体"/>
          <w:color w:val="auto"/>
          <w:highlight w:val="none"/>
        </w:rPr>
        <w:t>第四章 评审程序、评审方法和</w:t>
      </w:r>
      <w:bookmarkStart w:id="2" w:name="_Hlt44924517"/>
      <w:bookmarkStart w:id="3" w:name="_Hlt44924516"/>
      <w:r>
        <w:rPr>
          <w:rStyle w:val="39"/>
          <w:rFonts w:hint="eastAsia" w:ascii="宋体" w:hAnsi="宋体" w:cs="宋体"/>
          <w:color w:val="auto"/>
          <w:highlight w:val="none"/>
        </w:rPr>
        <w:t>评</w:t>
      </w:r>
      <w:bookmarkEnd w:id="2"/>
      <w:bookmarkEnd w:id="3"/>
      <w:r>
        <w:rPr>
          <w:rStyle w:val="39"/>
          <w:rFonts w:hint="eastAsia" w:ascii="宋体" w:hAnsi="宋体" w:cs="宋体"/>
          <w:color w:val="auto"/>
          <w:highlight w:val="none"/>
        </w:rPr>
        <w:t>审标准</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lang w:val="en-US" w:eastAsia="zh-CN"/>
        </w:rPr>
        <w:t>2</w:t>
      </w:r>
    </w:p>
    <w:p w14:paraId="789B81A0">
      <w:pPr>
        <w:pStyle w:val="28"/>
        <w:spacing w:line="360" w:lineRule="auto"/>
        <w:rPr>
          <w:rFonts w:hint="default" w:ascii="宋体" w:hAnsi="宋体" w:eastAsia="宋体" w:cs="宋体"/>
          <w:color w:val="auto"/>
          <w:szCs w:val="22"/>
          <w:highlight w:val="none"/>
          <w:lang w:val="en-US" w:eastAsia="zh-CN"/>
        </w:rPr>
      </w:pPr>
      <w:r>
        <w:rPr>
          <w:rFonts w:hint="eastAsia" w:ascii="宋体" w:hAnsi="宋体" w:cs="宋体"/>
          <w:color w:val="auto"/>
          <w:highlight w:val="none"/>
        </w:rPr>
        <w:fldChar w:fldCharType="begin"/>
      </w:r>
      <w:r>
        <w:rPr>
          <w:rStyle w:val="39"/>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"_Toc44229897"</w:instrText>
      </w:r>
      <w:r>
        <w:rPr>
          <w:rStyle w:val="39"/>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39"/>
          <w:rFonts w:hint="eastAsia" w:ascii="宋体" w:hAnsi="宋体" w:cs="宋体"/>
          <w:color w:val="auto"/>
          <w:highlight w:val="none"/>
        </w:rPr>
        <w:t xml:space="preserve">第五章 </w:t>
      </w:r>
      <w:bookmarkStart w:id="4" w:name="_Hlk65837638"/>
      <w:r>
        <w:rPr>
          <w:rStyle w:val="39"/>
          <w:rFonts w:hint="eastAsia" w:ascii="宋体" w:hAnsi="宋体" w:cs="宋体"/>
          <w:color w:val="auto"/>
          <w:highlight w:val="none"/>
        </w:rPr>
        <w:t>响应文件格式</w:t>
      </w:r>
      <w:bookmarkEnd w:id="4"/>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62</w:t>
      </w:r>
    </w:p>
    <w:p w14:paraId="66E7BC24">
      <w:pPr>
        <w:pStyle w:val="28"/>
        <w:rPr>
          <w:rFonts w:hint="eastAsia" w:ascii="宋体" w:hAnsi="宋体" w:cs="宋体"/>
          <w:color w:val="auto"/>
          <w:sz w:val="28"/>
          <w:szCs w:val="28"/>
          <w:highlight w:val="none"/>
        </w:rPr>
      </w:pPr>
      <w:r>
        <w:rPr>
          <w:rFonts w:hint="eastAsia" w:ascii="宋体" w:hAnsi="宋体" w:cs="宋体"/>
          <w:b/>
          <w:color w:val="auto"/>
          <w:sz w:val="30"/>
          <w:szCs w:val="30"/>
          <w:highlight w:val="none"/>
        </w:rPr>
        <w:fldChar w:fldCharType="end"/>
      </w:r>
    </w:p>
    <w:p w14:paraId="0E1A4671">
      <w:pPr>
        <w:spacing w:line="400" w:lineRule="exact"/>
        <w:jc w:val="left"/>
        <w:rPr>
          <w:rFonts w:hint="eastAsia" w:ascii="宋体" w:hAnsi="宋体" w:cs="宋体"/>
          <w:b/>
          <w:color w:val="auto"/>
          <w:sz w:val="32"/>
          <w:szCs w:val="32"/>
          <w:highlight w:val="none"/>
        </w:rPr>
      </w:pPr>
    </w:p>
    <w:p w14:paraId="290B9816">
      <w:pPr>
        <w:spacing w:line="400" w:lineRule="exact"/>
        <w:jc w:val="center"/>
        <w:rPr>
          <w:rFonts w:hint="eastAsia" w:ascii="宋体" w:hAnsi="宋体" w:cs="宋体"/>
          <w:b/>
          <w:color w:val="auto"/>
          <w:sz w:val="32"/>
          <w:szCs w:val="32"/>
          <w:highlight w:val="none"/>
        </w:rPr>
      </w:pPr>
    </w:p>
    <w:p w14:paraId="20218FE3">
      <w:pPr>
        <w:spacing w:line="400" w:lineRule="exact"/>
        <w:jc w:val="center"/>
        <w:rPr>
          <w:rFonts w:hint="eastAsia" w:ascii="宋体" w:hAnsi="宋体" w:cs="宋体"/>
          <w:b/>
          <w:color w:val="auto"/>
          <w:sz w:val="32"/>
          <w:szCs w:val="32"/>
          <w:highlight w:val="none"/>
        </w:rPr>
      </w:pPr>
    </w:p>
    <w:p w14:paraId="536087B5">
      <w:pPr>
        <w:spacing w:line="400" w:lineRule="exact"/>
        <w:jc w:val="center"/>
        <w:rPr>
          <w:rFonts w:hint="eastAsia" w:ascii="宋体" w:hAnsi="宋体" w:cs="宋体"/>
          <w:b/>
          <w:color w:val="auto"/>
          <w:sz w:val="32"/>
          <w:szCs w:val="32"/>
          <w:highlight w:val="none"/>
        </w:rPr>
      </w:pPr>
    </w:p>
    <w:p w14:paraId="741BB33E">
      <w:pPr>
        <w:spacing w:line="400" w:lineRule="exact"/>
        <w:jc w:val="center"/>
        <w:rPr>
          <w:rFonts w:hint="eastAsia" w:ascii="宋体" w:hAnsi="宋体" w:cs="宋体"/>
          <w:b/>
          <w:color w:val="auto"/>
          <w:sz w:val="32"/>
          <w:szCs w:val="32"/>
          <w:highlight w:val="none"/>
        </w:rPr>
      </w:pPr>
    </w:p>
    <w:p w14:paraId="4A95A7D0">
      <w:pPr>
        <w:spacing w:line="400" w:lineRule="exact"/>
        <w:rPr>
          <w:rFonts w:hint="eastAsia" w:ascii="宋体" w:hAnsi="宋体" w:cs="宋体"/>
          <w:b/>
          <w:color w:val="auto"/>
          <w:sz w:val="32"/>
          <w:szCs w:val="32"/>
          <w:highlight w:val="none"/>
        </w:rPr>
        <w:sectPr>
          <w:footerReference r:id="rId5" w:type="first"/>
          <w:headerReference r:id="rId3" w:type="default"/>
          <w:footerReference r:id="rId4" w:type="default"/>
          <w:pgSz w:w="11906" w:h="16838"/>
          <w:pgMar w:top="1440" w:right="1440" w:bottom="1440" w:left="1587" w:header="851" w:footer="992" w:gutter="0"/>
          <w:pgNumType w:start="1"/>
          <w:cols w:space="720" w:num="1"/>
          <w:docGrid w:type="lines" w:linePitch="312" w:charSpace="0"/>
        </w:sectPr>
      </w:pPr>
    </w:p>
    <w:p w14:paraId="7A63FEC0">
      <w:pPr>
        <w:pStyle w:val="7"/>
        <w:jc w:val="center"/>
        <w:rPr>
          <w:rFonts w:hint="eastAsia" w:ascii="宋体" w:hAnsi="宋体" w:cs="宋体"/>
          <w:b w:val="0"/>
          <w:color w:val="auto"/>
          <w:szCs w:val="21"/>
          <w:highlight w:val="none"/>
        </w:rPr>
      </w:pPr>
      <w:bookmarkStart w:id="5" w:name="_Toc44229877"/>
      <w:r>
        <w:rPr>
          <w:rFonts w:hint="eastAsia" w:ascii="宋体" w:hAnsi="宋体" w:cs="宋体"/>
          <w:color w:val="auto"/>
          <w:highlight w:val="none"/>
        </w:rPr>
        <w:t>第一章 竞争性磋商公告</w:t>
      </w:r>
      <w:bookmarkEnd w:id="5"/>
    </w:p>
    <w:p w14:paraId="58623B99">
      <w:pPr>
        <w:spacing w:line="360" w:lineRule="auto"/>
        <w:rPr>
          <w:rFonts w:hint="eastAsia" w:ascii="宋体" w:hAnsi="宋体" w:cs="宋体"/>
          <w:color w:val="auto"/>
          <w:szCs w:val="21"/>
          <w:highlight w:val="none"/>
        </w:rPr>
      </w:pPr>
    </w:p>
    <w:p w14:paraId="3023D43D">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highlight w:val="none"/>
        </w:rPr>
      </w:pPr>
      <w:bookmarkStart w:id="6" w:name="_Hlk37430271"/>
      <w:r>
        <w:rPr>
          <w:rFonts w:hint="eastAsia" w:ascii="宋体" w:hAnsi="宋体" w:cs="宋体"/>
          <w:color w:val="auto"/>
          <w:szCs w:val="21"/>
          <w:highlight w:val="none"/>
        </w:rPr>
        <w:t>项目概况</w:t>
      </w:r>
    </w:p>
    <w:p w14:paraId="0B310C6D">
      <w:pPr>
        <w:pBdr>
          <w:top w:val="single" w:color="auto" w:sz="4" w:space="1"/>
          <w:left w:val="single" w:color="auto" w:sz="4" w:space="4"/>
          <w:bottom w:val="single" w:color="auto" w:sz="4" w:space="1"/>
          <w:right w:val="single" w:color="auto" w:sz="4" w:space="4"/>
        </w:pBd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2025年-2026年玉林市级电子政务外网购买服务项目</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政采云平台（https://www.zcygov.cn/）</w:t>
      </w:r>
      <w:r>
        <w:rPr>
          <w:rFonts w:hint="eastAsia" w:ascii="宋体" w:hAnsi="宋体" w:cs="宋体"/>
          <w:color w:val="auto"/>
          <w:szCs w:val="21"/>
          <w:highlight w:val="none"/>
        </w:rPr>
        <w:t>获取竞争性磋商文件，并于</w:t>
      </w:r>
      <w:r>
        <w:rPr>
          <w:rFonts w:hint="eastAsia" w:ascii="宋体" w:hAnsi="宋体" w:cs="宋体"/>
          <w:color w:val="auto"/>
          <w:szCs w:val="21"/>
          <w:highlight w:val="none"/>
          <w:u w:val="single"/>
          <w:lang w:eastAsia="zh-CN"/>
        </w:rPr>
        <w:t>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w:t>
      </w:r>
      <w:r>
        <w:rPr>
          <w:rFonts w:hint="eastAsia" w:ascii="宋体" w:hAnsi="宋体" w:cs="宋体"/>
          <w:bCs/>
          <w:color w:val="auto"/>
          <w:szCs w:val="21"/>
          <w:highlight w:val="none"/>
          <w:u w:val="single"/>
        </w:rPr>
        <w:t>9时</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3BF18EC2">
      <w:pPr>
        <w:spacing w:line="360" w:lineRule="auto"/>
        <w:rPr>
          <w:rFonts w:hint="eastAsia" w:ascii="宋体" w:hAnsi="宋体" w:cs="宋体"/>
          <w:color w:val="auto"/>
          <w:szCs w:val="21"/>
          <w:highlight w:val="none"/>
        </w:rPr>
      </w:pPr>
    </w:p>
    <w:p w14:paraId="098BEA97">
      <w:pPr>
        <w:pStyle w:val="7"/>
        <w:spacing w:before="0" w:after="0" w:line="360" w:lineRule="auto"/>
        <w:ind w:firstLine="482" w:firstLineChars="200"/>
        <w:rPr>
          <w:rFonts w:hint="eastAsia" w:ascii="宋体" w:hAnsi="宋体" w:cs="宋体"/>
          <w:bCs w:val="0"/>
          <w:color w:val="auto"/>
          <w:sz w:val="24"/>
          <w:szCs w:val="24"/>
          <w:highlight w:val="none"/>
        </w:rPr>
      </w:pPr>
      <w:bookmarkStart w:id="7" w:name="_Toc44229878"/>
      <w:bookmarkStart w:id="8" w:name="_Toc28359089"/>
      <w:bookmarkStart w:id="9" w:name="_Toc35393629"/>
      <w:bookmarkStart w:id="10" w:name="_Toc35393798"/>
      <w:bookmarkStart w:id="11" w:name="_Toc28359012"/>
      <w:r>
        <w:rPr>
          <w:rFonts w:hint="eastAsia" w:ascii="宋体" w:hAnsi="宋体" w:cs="宋体"/>
          <w:bCs w:val="0"/>
          <w:color w:val="auto"/>
          <w:sz w:val="24"/>
          <w:szCs w:val="24"/>
          <w:highlight w:val="none"/>
        </w:rPr>
        <w:t>一、项目基本情况</w:t>
      </w:r>
      <w:bookmarkEnd w:id="7"/>
      <w:bookmarkEnd w:id="8"/>
      <w:bookmarkEnd w:id="9"/>
      <w:bookmarkEnd w:id="10"/>
      <w:bookmarkEnd w:id="11"/>
    </w:p>
    <w:p w14:paraId="43AD7F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YLZC2025-C3-990368-HCZX</w:t>
      </w:r>
      <w:r>
        <w:rPr>
          <w:rFonts w:hint="eastAsia" w:ascii="宋体" w:hAnsi="宋体" w:cs="宋体"/>
          <w:color w:val="auto"/>
          <w:szCs w:val="21"/>
          <w:highlight w:val="none"/>
        </w:rPr>
        <w:t xml:space="preserve">   </w:t>
      </w:r>
    </w:p>
    <w:p w14:paraId="2D697048">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采购计划文号: </w:t>
      </w:r>
      <w:r>
        <w:rPr>
          <w:rFonts w:hint="eastAsia" w:ascii="宋体" w:hAnsi="宋体" w:cs="宋体"/>
          <w:color w:val="auto"/>
          <w:szCs w:val="21"/>
          <w:highlight w:val="none"/>
          <w:lang w:eastAsia="zh-CN"/>
        </w:rPr>
        <w:t>YLZC2025-C3-11343</w:t>
      </w:r>
    </w:p>
    <w:p w14:paraId="7938EE57">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2025年-2026年玉林市级电子政务外网购买服务项目</w:t>
      </w:r>
    </w:p>
    <w:p w14:paraId="45F7E1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3.采购方式：竞争性磋商</w:t>
      </w:r>
    </w:p>
    <w:p w14:paraId="0F568F1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2950800.00</w:t>
      </w:r>
    </w:p>
    <w:p w14:paraId="41376D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5.最高限价</w:t>
      </w:r>
      <w:bookmarkStart w:id="12" w:name="_Hlk66782034"/>
      <w:r>
        <w:rPr>
          <w:rFonts w:hint="eastAsia" w:ascii="宋体" w:hAnsi="宋体" w:cs="宋体"/>
          <w:color w:val="auto"/>
          <w:szCs w:val="21"/>
          <w:highlight w:val="none"/>
        </w:rPr>
        <w:t>（如有）</w:t>
      </w:r>
      <w:bookmarkEnd w:id="12"/>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527A7B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6.采购需求</w:t>
      </w:r>
      <w:r>
        <w:rPr>
          <w:rFonts w:hint="eastAsia" w:ascii="宋体" w:hAnsi="宋体" w:cs="宋体"/>
          <w:color w:val="auto"/>
          <w:szCs w:val="21"/>
          <w:highlight w:val="none"/>
          <w:lang w:eastAsia="zh-CN"/>
        </w:rPr>
        <w:t>：2025年-2026年玉林市级电子政务外网购买服务项目，具体内容详见竞争性磋商采购文件采购需求。</w:t>
      </w:r>
    </w:p>
    <w:p w14:paraId="2FF6A064">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7.合同履约期限：本项目服务期限为1年，自验收合格之日负责所有关于本次服务工作所有内容，主要包括：线路服务、机房服务、培训等工作。      </w:t>
      </w:r>
    </w:p>
    <w:p w14:paraId="66ADE8EF">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8.本标项（否）接受联合体投标 </w:t>
      </w:r>
    </w:p>
    <w:p w14:paraId="03BADDD3">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备注：/</w:t>
      </w:r>
    </w:p>
    <w:p w14:paraId="4B3BA59F">
      <w:pPr>
        <w:pStyle w:val="7"/>
        <w:spacing w:before="0" w:after="0" w:line="360" w:lineRule="auto"/>
        <w:ind w:firstLine="482" w:firstLineChars="200"/>
        <w:rPr>
          <w:rFonts w:hint="eastAsia" w:ascii="宋体" w:hAnsi="宋体" w:cs="宋体"/>
          <w:bCs w:val="0"/>
          <w:color w:val="auto"/>
          <w:sz w:val="24"/>
          <w:szCs w:val="24"/>
          <w:highlight w:val="none"/>
        </w:rPr>
      </w:pPr>
      <w:bookmarkStart w:id="13" w:name="_Toc35393799"/>
      <w:bookmarkStart w:id="14" w:name="_Toc28359090"/>
      <w:bookmarkStart w:id="15" w:name="_Toc35393630"/>
      <w:bookmarkStart w:id="16" w:name="_Toc44229879"/>
      <w:bookmarkStart w:id="17" w:name="_Toc28359013"/>
      <w:r>
        <w:rPr>
          <w:rFonts w:hint="eastAsia" w:ascii="宋体" w:hAnsi="宋体" w:cs="宋体"/>
          <w:bCs w:val="0"/>
          <w:color w:val="auto"/>
          <w:sz w:val="24"/>
          <w:szCs w:val="24"/>
          <w:highlight w:val="none"/>
        </w:rPr>
        <w:t>二、供应商的资格条件：</w:t>
      </w:r>
      <w:bookmarkEnd w:id="13"/>
      <w:bookmarkEnd w:id="14"/>
      <w:bookmarkEnd w:id="15"/>
      <w:bookmarkEnd w:id="16"/>
      <w:bookmarkEnd w:id="17"/>
    </w:p>
    <w:p w14:paraId="2C53D0CF">
      <w:pPr>
        <w:spacing w:line="360" w:lineRule="auto"/>
        <w:ind w:firstLine="420" w:firstLineChars="200"/>
        <w:rPr>
          <w:rFonts w:hint="eastAsia" w:ascii="宋体" w:hAnsi="宋体" w:cs="宋体"/>
          <w:color w:val="auto"/>
          <w:szCs w:val="21"/>
          <w:highlight w:val="none"/>
        </w:rPr>
      </w:pPr>
      <w:bookmarkStart w:id="18" w:name="_Toc28359091"/>
      <w:bookmarkStart w:id="19" w:name="_Toc35393631"/>
      <w:bookmarkStart w:id="20" w:name="_Toc28359014"/>
      <w:bookmarkStart w:id="21" w:name="_Toc44229880"/>
      <w:bookmarkStart w:id="22" w:name="_Toc35393800"/>
      <w:r>
        <w:rPr>
          <w:rFonts w:hint="eastAsia" w:ascii="宋体" w:hAnsi="宋体" w:cs="宋体"/>
          <w:color w:val="auto"/>
          <w:szCs w:val="21"/>
          <w:highlight w:val="none"/>
        </w:rPr>
        <w:t>1.满足《中华人民共和国政府采购法》第二十二条规定；</w:t>
      </w:r>
    </w:p>
    <w:p w14:paraId="0254FD8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无</w:t>
      </w:r>
    </w:p>
    <w:p w14:paraId="1E3E55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single"/>
        </w:rPr>
        <w:t>无</w:t>
      </w:r>
    </w:p>
    <w:p w14:paraId="619305F4">
      <w:pPr>
        <w:numPr>
          <w:ilvl w:val="0"/>
          <w:numId w:val="2"/>
        </w:num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D597D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6B1B046">
      <w:pPr>
        <w:pStyle w:val="7"/>
        <w:spacing w:before="0" w:after="0" w:line="360" w:lineRule="auto"/>
        <w:ind w:firstLine="482"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三、获取竞争性磋商文件</w:t>
      </w:r>
      <w:bookmarkEnd w:id="18"/>
      <w:bookmarkEnd w:id="19"/>
      <w:bookmarkEnd w:id="20"/>
      <w:bookmarkEnd w:id="21"/>
      <w:bookmarkEnd w:id="22"/>
    </w:p>
    <w:p w14:paraId="20B42A51">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eastAsia="zh-CN"/>
        </w:rPr>
        <w:t>公告发布之时起</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07</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8:00时</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12:00时</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15:00时</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18:00时</w:t>
      </w:r>
      <w:r>
        <w:rPr>
          <w:rFonts w:hint="eastAsia" w:ascii="宋体" w:hAnsi="宋体" w:cs="宋体"/>
          <w:bCs/>
          <w:color w:val="auto"/>
          <w:kern w:val="0"/>
          <w:szCs w:val="21"/>
          <w:highlight w:val="none"/>
        </w:rPr>
        <w:t>（北京时间，法定节假日除外）。</w:t>
      </w:r>
    </w:p>
    <w:p w14:paraId="77B730D9">
      <w:pPr>
        <w:spacing w:line="360" w:lineRule="auto"/>
        <w:ind w:firstLine="567"/>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2.地点： 政采云平台（https://www.zcygov.cn/） </w:t>
      </w:r>
    </w:p>
    <w:p w14:paraId="15D25754">
      <w:pPr>
        <w:spacing w:line="360" w:lineRule="auto"/>
        <w:ind w:firstLine="540"/>
        <w:contextualSpacing/>
        <w:rPr>
          <w:rFonts w:hint="eastAsia" w:ascii="宋体" w:hAnsi="宋体" w:cs="宋体"/>
          <w:bCs/>
          <w:color w:val="auto"/>
          <w:kern w:val="0"/>
          <w:szCs w:val="21"/>
          <w:highlight w:val="none"/>
        </w:rPr>
      </w:pPr>
      <w:r>
        <w:rPr>
          <w:rFonts w:hint="eastAsia" w:ascii="宋体" w:hAnsi="宋体" w:cs="宋体"/>
          <w:color w:val="auto"/>
          <w:sz w:val="22"/>
          <w:szCs w:val="22"/>
          <w:highlight w:val="none"/>
        </w:rPr>
        <w:t>3.获取</w:t>
      </w:r>
      <w:r>
        <w:rPr>
          <w:rFonts w:hint="eastAsia" w:ascii="宋体" w:hAnsi="宋体" w:cs="宋体"/>
          <w:bCs/>
          <w:color w:val="auto"/>
          <w:kern w:val="0"/>
          <w:szCs w:val="21"/>
          <w:highlight w:val="none"/>
        </w:rPr>
        <w:t>方式： 登录政采云平台（http://www.zcygov.cn/）自行在线办理并自行下载采购文件，未注册的供应商可在政采云平台完成注册后进行报名再下载。电子响应文件制作需要基于“政采云”平台获取的竞争性磋商文件编制，通过其他方式获取竞争性磋商文件的，将有可能导致供应商无法在“政采云”平台编制及上传响应文件。如在操作过程中遇到问题或需技术支持，请致电政采云客服热线：95763。</w:t>
      </w:r>
    </w:p>
    <w:p w14:paraId="692ABEC7">
      <w:pPr>
        <w:spacing w:line="360" w:lineRule="auto"/>
        <w:ind w:left="567" w:leftChars="27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售价：0元    </w:t>
      </w:r>
    </w:p>
    <w:p w14:paraId="16EA6B34">
      <w:pPr>
        <w:spacing w:line="360" w:lineRule="auto"/>
        <w:ind w:firstLine="540"/>
        <w:contextualSpacing/>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4.已获取竞争性磋商文件的供应商不等于符合本项目的供应商资格条件。</w:t>
      </w:r>
    </w:p>
    <w:p w14:paraId="76BF3627">
      <w:pPr>
        <w:pStyle w:val="7"/>
        <w:spacing w:before="0" w:after="0" w:line="360" w:lineRule="auto"/>
        <w:ind w:firstLine="482" w:firstLineChars="200"/>
        <w:rPr>
          <w:rFonts w:hint="eastAsia" w:ascii="宋体" w:hAnsi="宋体" w:cs="宋体"/>
          <w:bCs w:val="0"/>
          <w:color w:val="auto"/>
          <w:sz w:val="24"/>
          <w:szCs w:val="24"/>
          <w:highlight w:val="none"/>
        </w:rPr>
      </w:pPr>
      <w:bookmarkStart w:id="23" w:name="_Toc35393801"/>
      <w:bookmarkStart w:id="24" w:name="_Toc28359015"/>
      <w:bookmarkStart w:id="25" w:name="_Toc35393632"/>
      <w:bookmarkStart w:id="26" w:name="_Toc28359092"/>
      <w:bookmarkStart w:id="27" w:name="_Toc44229881"/>
      <w:r>
        <w:rPr>
          <w:rFonts w:hint="eastAsia" w:ascii="宋体" w:hAnsi="宋体" w:cs="宋体"/>
          <w:bCs w:val="0"/>
          <w:color w:val="auto"/>
          <w:sz w:val="24"/>
          <w:szCs w:val="24"/>
          <w:highlight w:val="none"/>
        </w:rPr>
        <w:t>四、响应文件提交</w:t>
      </w:r>
      <w:bookmarkEnd w:id="23"/>
      <w:bookmarkEnd w:id="24"/>
      <w:bookmarkEnd w:id="25"/>
      <w:bookmarkEnd w:id="26"/>
      <w:bookmarkEnd w:id="27"/>
    </w:p>
    <w:p w14:paraId="0F2FE6EE">
      <w:pPr>
        <w:spacing w:line="360" w:lineRule="auto"/>
        <w:ind w:firstLine="420" w:firstLineChars="200"/>
        <w:rPr>
          <w:rFonts w:hint="eastAsia" w:ascii="宋体" w:hAnsi="宋体" w:cs="宋体"/>
          <w:bCs/>
          <w:color w:val="auto"/>
          <w:szCs w:val="21"/>
          <w:highlight w:val="none"/>
        </w:rPr>
      </w:pPr>
      <w:bookmarkStart w:id="28" w:name="_Toc28359093"/>
      <w:bookmarkStart w:id="29" w:name="_Toc44229882"/>
      <w:bookmarkStart w:id="30" w:name="_Toc35393802"/>
      <w:bookmarkStart w:id="31" w:name="_Toc35393633"/>
      <w:bookmarkStart w:id="32" w:name="_Toc28359016"/>
      <w:r>
        <w:rPr>
          <w:rFonts w:hint="eastAsia" w:ascii="宋体" w:hAnsi="宋体" w:cs="宋体"/>
          <w:color w:val="auto"/>
          <w:szCs w:val="21"/>
          <w:highlight w:val="none"/>
        </w:rPr>
        <w:t>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w:t>
      </w:r>
      <w:r>
        <w:rPr>
          <w:rFonts w:hint="eastAsia" w:ascii="宋体" w:hAnsi="宋体" w:cs="宋体"/>
          <w:bCs/>
          <w:color w:val="auto"/>
          <w:szCs w:val="21"/>
          <w:highlight w:val="none"/>
        </w:rPr>
        <w:t>9时</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0分</w:t>
      </w:r>
    </w:p>
    <w:p w14:paraId="274F2A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r>
        <w:rPr>
          <w:rFonts w:hint="eastAsia" w:ascii="宋体" w:hAnsi="宋体" w:cs="宋体"/>
          <w:color w:val="auto"/>
          <w:kern w:val="1"/>
          <w:szCs w:val="21"/>
          <w:highlight w:val="none"/>
        </w:rPr>
        <w:t>“政采云”平台（https://www.zcygov.cn）</w:t>
      </w:r>
    </w:p>
    <w:p w14:paraId="7806E99E">
      <w:pPr>
        <w:pStyle w:val="7"/>
        <w:spacing w:before="0" w:after="0" w:line="360" w:lineRule="auto"/>
        <w:ind w:firstLine="482"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五、开启</w:t>
      </w:r>
      <w:bookmarkEnd w:id="28"/>
      <w:bookmarkEnd w:id="29"/>
      <w:bookmarkEnd w:id="30"/>
      <w:bookmarkEnd w:id="31"/>
      <w:bookmarkEnd w:id="32"/>
    </w:p>
    <w:p w14:paraId="0532F7D2">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w:t>
      </w:r>
      <w:r>
        <w:rPr>
          <w:rFonts w:hint="eastAsia" w:ascii="宋体" w:hAnsi="宋体" w:cs="宋体"/>
          <w:bCs/>
          <w:color w:val="auto"/>
          <w:szCs w:val="21"/>
          <w:highlight w:val="none"/>
        </w:rPr>
        <w:t>9时</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0分</w:t>
      </w:r>
    </w:p>
    <w:p w14:paraId="5960F676">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2.地点：“政采云”平台（https://www.zcygov.cn）</w:t>
      </w:r>
    </w:p>
    <w:p w14:paraId="194321CF">
      <w:pPr>
        <w:pStyle w:val="7"/>
        <w:spacing w:before="0" w:after="0" w:line="360" w:lineRule="auto"/>
        <w:ind w:firstLine="482" w:firstLineChars="200"/>
        <w:rPr>
          <w:rFonts w:hint="eastAsia" w:ascii="宋体" w:hAnsi="宋体" w:cs="宋体"/>
          <w:bCs w:val="0"/>
          <w:color w:val="auto"/>
          <w:sz w:val="24"/>
          <w:szCs w:val="24"/>
          <w:highlight w:val="none"/>
        </w:rPr>
      </w:pPr>
      <w:bookmarkStart w:id="33" w:name="_Toc28359094"/>
      <w:bookmarkStart w:id="34" w:name="_Toc28359017"/>
      <w:bookmarkStart w:id="35" w:name="_Toc44229883"/>
      <w:bookmarkStart w:id="36" w:name="_Toc35393803"/>
      <w:bookmarkStart w:id="37" w:name="_Toc35393634"/>
      <w:r>
        <w:rPr>
          <w:rFonts w:hint="eastAsia" w:ascii="宋体" w:hAnsi="宋体" w:cs="宋体"/>
          <w:bCs w:val="0"/>
          <w:color w:val="auto"/>
          <w:sz w:val="24"/>
          <w:szCs w:val="24"/>
          <w:highlight w:val="none"/>
        </w:rPr>
        <w:t>六、公告期限</w:t>
      </w:r>
      <w:bookmarkEnd w:id="33"/>
      <w:bookmarkEnd w:id="34"/>
      <w:bookmarkEnd w:id="35"/>
      <w:bookmarkEnd w:id="36"/>
      <w:bookmarkEnd w:id="37"/>
    </w:p>
    <w:p w14:paraId="20AC48A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168FB32F">
      <w:pPr>
        <w:pStyle w:val="7"/>
        <w:spacing w:before="0" w:after="0" w:line="360" w:lineRule="auto"/>
        <w:ind w:firstLine="482" w:firstLineChars="200"/>
        <w:rPr>
          <w:rFonts w:hint="eastAsia" w:ascii="宋体" w:hAnsi="宋体" w:cs="宋体"/>
          <w:bCs w:val="0"/>
          <w:color w:val="auto"/>
          <w:sz w:val="24"/>
          <w:szCs w:val="24"/>
          <w:highlight w:val="none"/>
        </w:rPr>
      </w:pPr>
      <w:bookmarkStart w:id="38" w:name="_Toc44229884"/>
      <w:bookmarkStart w:id="39" w:name="_Toc35393804"/>
      <w:bookmarkStart w:id="40" w:name="_Toc35393635"/>
      <w:r>
        <w:rPr>
          <w:rFonts w:hint="eastAsia" w:ascii="宋体" w:hAnsi="宋体" w:cs="宋体"/>
          <w:bCs w:val="0"/>
          <w:color w:val="auto"/>
          <w:sz w:val="24"/>
          <w:szCs w:val="24"/>
          <w:highlight w:val="none"/>
        </w:rPr>
        <w:t>七、其他补充事宜</w:t>
      </w:r>
      <w:bookmarkEnd w:id="38"/>
      <w:bookmarkEnd w:id="39"/>
      <w:bookmarkEnd w:id="40"/>
    </w:p>
    <w:p w14:paraId="0D517616">
      <w:pPr>
        <w:wordWrap w:val="0"/>
        <w:spacing w:line="360" w:lineRule="auto"/>
        <w:ind w:left="420" w:leftChars="200" w:firstLine="0" w:firstLineChars="0"/>
        <w:contextualSpacing/>
        <w:rPr>
          <w:rFonts w:hint="eastAsia" w:ascii="宋体" w:hAnsi="宋体" w:cs="宋体"/>
          <w:color w:val="auto"/>
          <w:kern w:val="0"/>
          <w:szCs w:val="21"/>
          <w:highlight w:val="none"/>
        </w:rPr>
      </w:pPr>
      <w:bookmarkStart w:id="41" w:name="_Toc44229885"/>
      <w:bookmarkStart w:id="42" w:name="_Toc28359018"/>
      <w:bookmarkStart w:id="43" w:name="_Toc35393636"/>
      <w:bookmarkStart w:id="44" w:name="_Toc28359095"/>
      <w:bookmarkStart w:id="45" w:name="_Toc35393805"/>
      <w:r>
        <w:rPr>
          <w:rFonts w:hint="eastAsia" w:ascii="宋体" w:hAnsi="宋体" w:cs="宋体"/>
          <w:color w:val="auto"/>
          <w:kern w:val="0"/>
          <w:szCs w:val="21"/>
          <w:highlight w:val="none"/>
        </w:rPr>
        <w:t>1.磋商保证金：本项目不收取磋商保证金。</w:t>
      </w:r>
    </w:p>
    <w:p w14:paraId="73FD1247">
      <w:pPr>
        <w:wordWrap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2.网上查询地址：中国政府采购网、广西壮族自治区政府采购网、广西玉林市人民政府门户网、全国公共资源交易平台（广西•玉林）网上发布。</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3. 本项目需要落实的政府采购政策</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（1）政府采购促进中小企业发展。</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（2）政府采购支持采用本国产品的政策。</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（3）强制采购节能产品：优先采购节能产品、环境标志产品。</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（4）政府采购促进残疾人就业政策。</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（5）政府采购支持监狱企业发展。</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4.若对项目采购电子交易系统操作有疑问，可登录广西政府采购云平台（https://www.gcy.zfcg.gxzf.gov.cn/） ，点击右侧咨询小采，获取采小蜜智能服务管家帮助，或拨打广西政府采购云平台服务热线95763获取热线服务帮助。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5.在线竞标响应（电子竞标）说明</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壮族自治区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6.依据中华人民共和国财政部令第74号《政府采购非招标采购方式管理办法》，本项目采用由采购人和评审专家分别书面推荐的方式邀请供应商参与竞标。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7.本项目为远程异地全流程电子评标。评标主会场地址：【玉林市公共资源交易中心】（玉林市秀水路</w:t>
      </w:r>
      <w:r>
        <w:rPr>
          <w:rFonts w:hint="eastAsia" w:ascii="宋体" w:hAnsi="宋体" w:cs="宋体"/>
          <w:color w:val="auto"/>
          <w:kern w:val="0"/>
          <w:szCs w:val="21"/>
          <w:highlight w:val="none"/>
          <w:lang w:val="en-US" w:eastAsia="zh-CN"/>
        </w:rPr>
        <w:t>2号6楼</w:t>
      </w:r>
      <w:r>
        <w:rPr>
          <w:rFonts w:hint="eastAsia" w:ascii="宋体" w:hAnsi="宋体" w:cs="宋体"/>
          <w:color w:val="auto"/>
          <w:kern w:val="0"/>
          <w:szCs w:val="21"/>
          <w:highlight w:val="none"/>
        </w:rPr>
        <w:t>）；评标副会场地址：【</w:t>
      </w:r>
      <w:r>
        <w:rPr>
          <w:rFonts w:hint="eastAsia" w:ascii="宋体" w:hAnsi="宋体" w:cs="宋体"/>
          <w:color w:val="auto"/>
          <w:kern w:val="0"/>
          <w:szCs w:val="21"/>
          <w:highlight w:val="none"/>
          <w:lang w:eastAsia="zh-CN"/>
        </w:rPr>
        <w:t>藤县</w:t>
      </w:r>
      <w:r>
        <w:rPr>
          <w:rFonts w:hint="eastAsia" w:ascii="宋体" w:hAnsi="宋体" w:cs="宋体"/>
          <w:color w:val="auto"/>
          <w:kern w:val="0"/>
          <w:szCs w:val="21"/>
          <w:highlight w:val="none"/>
          <w:lang w:val="en-US" w:eastAsia="zh-CN"/>
        </w:rPr>
        <w:t>公共资源交易中心</w:t>
      </w:r>
      <w:r>
        <w:rPr>
          <w:rFonts w:hint="eastAsia" w:ascii="宋体" w:hAnsi="宋体" w:cs="宋体"/>
          <w:color w:val="auto"/>
          <w:kern w:val="0"/>
          <w:szCs w:val="21"/>
          <w:highlight w:val="none"/>
        </w:rPr>
        <w:t>】。</w:t>
      </w:r>
    </w:p>
    <w:p w14:paraId="010A4D89">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八、凡对本次采购提出询问，请按以下方式联系。</w:t>
      </w:r>
      <w:bookmarkEnd w:id="41"/>
      <w:bookmarkEnd w:id="42"/>
      <w:bookmarkEnd w:id="43"/>
      <w:bookmarkEnd w:id="44"/>
      <w:bookmarkEnd w:id="45"/>
    </w:p>
    <w:p w14:paraId="255E7AF0">
      <w:pPr>
        <w:spacing w:line="360" w:lineRule="auto"/>
        <w:ind w:firstLine="420" w:firstLineChars="200"/>
        <w:rPr>
          <w:rFonts w:hint="eastAsia" w:ascii="宋体" w:hAnsi="宋体" w:cs="宋体"/>
          <w:color w:val="auto"/>
          <w:kern w:val="0"/>
          <w:szCs w:val="21"/>
          <w:highlight w:val="none"/>
        </w:rPr>
      </w:pPr>
      <w:bookmarkStart w:id="46" w:name="_Toc28359096"/>
      <w:bookmarkStart w:id="47" w:name="_Toc28359019"/>
      <w:bookmarkStart w:id="48" w:name="_Toc35393806"/>
      <w:bookmarkStart w:id="49" w:name="_Toc35393637"/>
      <w:r>
        <w:rPr>
          <w:rFonts w:hint="eastAsia" w:ascii="宋体" w:hAnsi="宋体" w:cs="宋体"/>
          <w:color w:val="auto"/>
          <w:kern w:val="0"/>
          <w:szCs w:val="21"/>
          <w:highlight w:val="none"/>
        </w:rPr>
        <w:t>1.采购人信息</w:t>
      </w:r>
      <w:bookmarkEnd w:id="46"/>
      <w:bookmarkEnd w:id="47"/>
      <w:bookmarkEnd w:id="48"/>
      <w:bookmarkEnd w:id="49"/>
    </w:p>
    <w:p w14:paraId="48F7572B">
      <w:pPr>
        <w:spacing w:line="360" w:lineRule="auto"/>
        <w:ind w:firstLine="420" w:firstLineChars="200"/>
        <w:rPr>
          <w:rFonts w:hint="eastAsia" w:ascii="宋体" w:hAnsi="宋体" w:cs="宋体"/>
          <w:color w:val="auto"/>
          <w:kern w:val="0"/>
          <w:szCs w:val="21"/>
          <w:highlight w:val="none"/>
        </w:rPr>
      </w:pPr>
      <w:bookmarkStart w:id="50" w:name="_Toc35393638"/>
      <w:bookmarkStart w:id="51" w:name="_Toc28359020"/>
      <w:bookmarkStart w:id="52" w:name="_Toc28359097"/>
      <w:bookmarkStart w:id="53" w:name="_Toc35393807"/>
      <w:r>
        <w:rPr>
          <w:rFonts w:hint="eastAsia" w:ascii="宋体" w:hAnsi="宋体" w:cs="宋体"/>
          <w:color w:val="auto"/>
          <w:kern w:val="0"/>
          <w:szCs w:val="21"/>
          <w:highlight w:val="none"/>
        </w:rPr>
        <w:t xml:space="preserve">名    称：玉林市大数据发展和政务服务局         </w:t>
      </w:r>
    </w:p>
    <w:p w14:paraId="786F813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地    址：玉林市玉东新区秀水北路2号玉林市政务服务中心             </w:t>
      </w:r>
    </w:p>
    <w:p w14:paraId="65BCFEE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联系人：</w:t>
      </w:r>
      <w:r>
        <w:rPr>
          <w:rFonts w:hint="eastAsia" w:ascii="宋体" w:hAnsi="宋体" w:cs="宋体"/>
          <w:color w:val="auto"/>
          <w:kern w:val="0"/>
          <w:szCs w:val="21"/>
          <w:highlight w:val="none"/>
          <w:lang w:val="en-US" w:eastAsia="zh-CN"/>
        </w:rPr>
        <w:t>李兆东</w:t>
      </w:r>
    </w:p>
    <w:p w14:paraId="7C87241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联系方式：0775-2825128   </w:t>
      </w:r>
    </w:p>
    <w:p w14:paraId="7495433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0"/>
      <w:bookmarkEnd w:id="51"/>
      <w:bookmarkEnd w:id="52"/>
      <w:bookmarkEnd w:id="53"/>
    </w:p>
    <w:p w14:paraId="23EAD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　</w:t>
      </w:r>
      <w:r>
        <w:rPr>
          <w:rFonts w:hint="eastAsia" w:ascii="宋体" w:hAnsi="宋体" w:cs="宋体"/>
          <w:color w:val="auto"/>
          <w:szCs w:val="21"/>
          <w:highlight w:val="none"/>
          <w:lang w:eastAsia="zh-CN"/>
        </w:rPr>
        <w:t>广西汉昌工程咨询有限公司</w:t>
      </w:r>
      <w:r>
        <w:rPr>
          <w:rFonts w:hint="eastAsia" w:ascii="宋体" w:hAnsi="宋体" w:cs="宋体"/>
          <w:color w:val="auto"/>
          <w:szCs w:val="21"/>
          <w:highlight w:val="none"/>
        </w:rPr>
        <w:t>　　</w:t>
      </w:r>
    </w:p>
    <w:p w14:paraId="44D6E2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广西壮族自治区玉林市玉州区胜利垌 （双旺路玉林美东纸业有限公司1-6商铺）</w:t>
      </w:r>
      <w:r>
        <w:rPr>
          <w:rFonts w:hint="eastAsia" w:ascii="宋体" w:hAnsi="宋体" w:cs="宋体"/>
          <w:color w:val="auto"/>
          <w:szCs w:val="21"/>
          <w:highlight w:val="none"/>
        </w:rPr>
        <w:t>　　　 　　</w:t>
      </w:r>
    </w:p>
    <w:p w14:paraId="7E9606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0775-2086868</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p>
    <w:p w14:paraId="76BBF725">
      <w:pPr>
        <w:spacing w:line="360" w:lineRule="auto"/>
        <w:ind w:firstLine="420" w:firstLineChars="200"/>
        <w:rPr>
          <w:rFonts w:hint="eastAsia" w:ascii="宋体" w:hAnsi="宋体" w:cs="宋体"/>
          <w:color w:val="auto"/>
          <w:kern w:val="0"/>
          <w:szCs w:val="21"/>
          <w:highlight w:val="none"/>
        </w:rPr>
      </w:pPr>
      <w:bookmarkStart w:id="54" w:name="_Toc35393639"/>
      <w:bookmarkStart w:id="55" w:name="_Toc28359098"/>
      <w:bookmarkStart w:id="56" w:name="_Toc28359021"/>
      <w:bookmarkStart w:id="57" w:name="_Toc35393808"/>
      <w:r>
        <w:rPr>
          <w:rFonts w:hint="eastAsia" w:ascii="宋体" w:hAnsi="宋体" w:cs="宋体"/>
          <w:color w:val="auto"/>
          <w:kern w:val="0"/>
          <w:szCs w:val="21"/>
          <w:highlight w:val="none"/>
        </w:rPr>
        <w:t>3.项目联系方式</w:t>
      </w:r>
      <w:bookmarkEnd w:id="54"/>
      <w:bookmarkEnd w:id="55"/>
      <w:bookmarkEnd w:id="56"/>
      <w:bookmarkEnd w:id="57"/>
    </w:p>
    <w:p w14:paraId="7EAA9C3F">
      <w:pPr>
        <w:pStyle w:val="20"/>
        <w:spacing w:line="360" w:lineRule="auto"/>
        <w:ind w:firstLine="420" w:firstLineChars="200"/>
        <w:rPr>
          <w:rFonts w:hint="eastAsia" w:hAnsi="宋体" w:cs="宋体"/>
          <w:color w:val="auto"/>
          <w:sz w:val="21"/>
          <w:highlight w:val="none"/>
        </w:rPr>
      </w:pPr>
      <w:r>
        <w:rPr>
          <w:rFonts w:hint="eastAsia" w:hAnsi="宋体" w:cs="宋体"/>
          <w:color w:val="auto"/>
          <w:sz w:val="21"/>
          <w:szCs w:val="21"/>
          <w:highlight w:val="none"/>
        </w:rPr>
        <w:t>项目联系人：</w:t>
      </w:r>
      <w:r>
        <w:rPr>
          <w:rFonts w:hint="eastAsia" w:hAnsi="宋体" w:cs="宋体"/>
          <w:color w:val="auto"/>
          <w:sz w:val="21"/>
          <w:szCs w:val="21"/>
          <w:highlight w:val="none"/>
          <w:lang w:eastAsia="zh-CN"/>
        </w:rPr>
        <w:t>杨启副</w:t>
      </w:r>
      <w:r>
        <w:rPr>
          <w:rFonts w:hint="eastAsia" w:hAnsi="宋体" w:cs="宋体"/>
          <w:color w:val="auto"/>
          <w:sz w:val="21"/>
          <w:szCs w:val="21"/>
          <w:highlight w:val="none"/>
        </w:rPr>
        <w:t xml:space="preserve">     </w:t>
      </w:r>
      <w:r>
        <w:rPr>
          <w:rFonts w:hint="eastAsia" w:hAnsi="宋体" w:cs="宋体"/>
          <w:color w:val="auto"/>
          <w:sz w:val="21"/>
          <w:highlight w:val="none"/>
        </w:rPr>
        <w:t xml:space="preserve">               </w:t>
      </w:r>
    </w:p>
    <w:p w14:paraId="7A5CC4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电　　话： </w:t>
      </w:r>
      <w:r>
        <w:rPr>
          <w:rFonts w:hint="eastAsia" w:ascii="宋体" w:hAnsi="宋体" w:cs="宋体"/>
          <w:color w:val="auto"/>
          <w:szCs w:val="21"/>
          <w:highlight w:val="none"/>
          <w:lang w:eastAsia="zh-CN"/>
        </w:rPr>
        <w:t>0775-2086868</w:t>
      </w:r>
      <w:r>
        <w:rPr>
          <w:rFonts w:hint="eastAsia" w:ascii="宋体" w:hAnsi="宋体" w:cs="宋体"/>
          <w:color w:val="auto"/>
          <w:szCs w:val="21"/>
          <w:highlight w:val="none"/>
        </w:rPr>
        <w:t xml:space="preserve">　　　　    </w:t>
      </w:r>
    </w:p>
    <w:p w14:paraId="61877B17">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监督部门：玉林市财政局</w:t>
      </w:r>
    </w:p>
    <w:p w14:paraId="58D09687">
      <w:pP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联系方式：0775-2697961</w:t>
      </w:r>
    </w:p>
    <w:p w14:paraId="09F8832D">
      <w:pPr>
        <w:numPr>
          <w:ilvl w:val="0"/>
          <w:numId w:val="0"/>
        </w:numPr>
        <w:tabs>
          <w:tab w:val="left" w:pos="6672"/>
        </w:tabs>
        <w:spacing w:line="360" w:lineRule="auto"/>
        <w:ind w:left="420" w:leftChars="0"/>
        <w:rPr>
          <w:rFonts w:hint="eastAsia" w:ascii="宋体" w:hAnsi="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ab/>
      </w:r>
    </w:p>
    <w:p w14:paraId="3DB4B682">
      <w:pPr>
        <w:numPr>
          <w:ilvl w:val="0"/>
          <w:numId w:val="0"/>
        </w:numPr>
        <w:tabs>
          <w:tab w:val="left" w:pos="6672"/>
        </w:tabs>
        <w:spacing w:line="360" w:lineRule="auto"/>
        <w:ind w:left="420" w:leftChars="0"/>
        <w:rPr>
          <w:rFonts w:hint="eastAsia" w:ascii="宋体" w:hAnsi="宋体" w:cs="宋体"/>
          <w:color w:val="auto"/>
          <w:szCs w:val="21"/>
          <w:highlight w:val="none"/>
          <w:lang w:eastAsia="zh-CN"/>
        </w:rPr>
      </w:pPr>
    </w:p>
    <w:p w14:paraId="7A40C67D">
      <w:pPr>
        <w:numPr>
          <w:ilvl w:val="0"/>
          <w:numId w:val="0"/>
        </w:numPr>
        <w:tabs>
          <w:tab w:val="left" w:pos="6672"/>
        </w:tabs>
        <w:spacing w:line="360" w:lineRule="auto"/>
        <w:ind w:left="420" w:leftChars="0"/>
        <w:rPr>
          <w:rFonts w:hint="eastAsia" w:ascii="宋体" w:hAnsi="宋体" w:cs="宋体"/>
          <w:color w:val="auto"/>
          <w:szCs w:val="21"/>
          <w:highlight w:val="none"/>
          <w:lang w:eastAsia="zh-CN"/>
        </w:rPr>
      </w:pPr>
    </w:p>
    <w:p w14:paraId="43EF6BFF">
      <w:pPr>
        <w:spacing w:line="360" w:lineRule="auto"/>
        <w:ind w:firstLine="5460" w:firstLineChars="26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广西汉昌工程咨询有限公司</w:t>
      </w:r>
    </w:p>
    <w:p w14:paraId="6B553DF2">
      <w:pPr>
        <w:spacing w:line="360" w:lineRule="auto"/>
        <w:jc w:val="left"/>
        <w:rPr>
          <w:rFonts w:hint="eastAsia" w:ascii="宋体" w:hAnsi="宋体" w:cs="宋体"/>
          <w:b/>
          <w:color w:val="auto"/>
          <w:sz w:val="32"/>
          <w:szCs w:val="32"/>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日</w:t>
      </w:r>
      <w:bookmarkEnd w:id="6"/>
    </w:p>
    <w:p w14:paraId="2A61FAA7">
      <w:pPr>
        <w:pStyle w:val="7"/>
        <w:spacing w:line="360" w:lineRule="auto"/>
        <w:jc w:val="center"/>
        <w:rPr>
          <w:rFonts w:hint="eastAsia" w:ascii="宋体" w:hAnsi="宋体" w:cs="宋体"/>
          <w:color w:val="auto"/>
          <w:highlight w:val="none"/>
        </w:rPr>
      </w:pPr>
      <w:bookmarkStart w:id="58" w:name="_Toc44229894"/>
      <w:r>
        <w:rPr>
          <w:rFonts w:hint="eastAsia" w:ascii="宋体" w:hAnsi="宋体" w:cs="宋体"/>
          <w:color w:val="auto"/>
          <w:highlight w:val="none"/>
        </w:rPr>
        <w:br w:type="page"/>
      </w:r>
      <w:r>
        <w:rPr>
          <w:rFonts w:hint="eastAsia" w:ascii="宋体" w:hAnsi="宋体" w:cs="宋体"/>
          <w:color w:val="auto"/>
          <w:highlight w:val="none"/>
        </w:rPr>
        <w:t>第二章 供应商须知</w:t>
      </w:r>
      <w:bookmarkEnd w:id="58"/>
    </w:p>
    <w:p w14:paraId="72971EEF">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64AB78B3">
      <w:pPr>
        <w:spacing w:line="400" w:lineRule="exact"/>
        <w:jc w:val="center"/>
        <w:rPr>
          <w:rFonts w:hint="eastAsia" w:ascii="宋体" w:hAnsi="宋体" w:cs="宋体"/>
          <w:b/>
          <w:color w:val="auto"/>
          <w:sz w:val="32"/>
          <w:szCs w:val="32"/>
          <w:highlight w:val="none"/>
        </w:rPr>
      </w:pPr>
    </w:p>
    <w:tbl>
      <w:tblPr>
        <w:tblStyle w:val="33"/>
        <w:tblW w:w="9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9043"/>
      </w:tblGrid>
      <w:tr w14:paraId="5248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top"/>
          </w:tcPr>
          <w:p w14:paraId="520A288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9043" w:type="dxa"/>
            <w:noWrap w:val="0"/>
            <w:vAlign w:val="top"/>
          </w:tcPr>
          <w:p w14:paraId="42351B9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5088D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23FE4A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043" w:type="dxa"/>
            <w:noWrap w:val="0"/>
            <w:vAlign w:val="center"/>
          </w:tcPr>
          <w:p w14:paraId="3FF74731">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2ED4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55203ED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9043" w:type="dxa"/>
            <w:noWrap w:val="0"/>
            <w:vAlign w:val="center"/>
          </w:tcPr>
          <w:p w14:paraId="0EFCFF5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否</w:t>
            </w:r>
          </w:p>
        </w:tc>
      </w:tr>
      <w:tr w14:paraId="76643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55F9EB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9043" w:type="dxa"/>
            <w:noWrap w:val="0"/>
            <w:vAlign w:val="center"/>
          </w:tcPr>
          <w:p w14:paraId="17B3CA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如接受联合体竞标，联合体竞标要求如下：本项目不接受联合体竞标</w:t>
            </w:r>
          </w:p>
        </w:tc>
      </w:tr>
      <w:tr w14:paraId="5DB8D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64DC0C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9043" w:type="dxa"/>
            <w:noWrap w:val="0"/>
            <w:vAlign w:val="center"/>
          </w:tcPr>
          <w:p w14:paraId="45AD2D72">
            <w:pPr>
              <w:pStyle w:val="11"/>
              <w:spacing w:line="360" w:lineRule="auto"/>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不允许分包</w:t>
            </w:r>
          </w:p>
          <w:p w14:paraId="21A1CFBC">
            <w:pPr>
              <w:pStyle w:val="11"/>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w:t>
            </w:r>
          </w:p>
          <w:p w14:paraId="466E4EF9">
            <w:pPr>
              <w:pStyle w:val="11"/>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3C6A2536">
            <w:pPr>
              <w:pStyle w:val="11"/>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6C0E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12" w:type="dxa"/>
            <w:noWrap w:val="0"/>
            <w:vAlign w:val="center"/>
          </w:tcPr>
          <w:p w14:paraId="5674A61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9043" w:type="dxa"/>
            <w:noWrap w:val="0"/>
            <w:vAlign w:val="center"/>
          </w:tcPr>
          <w:p w14:paraId="47AB32F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FD34CE6">
            <w:pPr>
              <w:pStyle w:val="11"/>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498A2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lang w:val="en-US" w:eastAsia="zh-CN"/>
              </w:rPr>
              <w:t>2025年1月至响应文件截止递交时间止</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BA7E7A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lang w:val="en-US" w:eastAsia="zh-CN"/>
              </w:rPr>
              <w:t>2025年1月至响应文件截止递交时间止</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3D3C8A3">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财务状况报告复印件（可以是财务报表或银行出具的资信证明或第三方审计报告等证明材料；对于从取得营业执照时间起到提交响应文件截止时间为止不足要求年数的，只需提交取得营业执照时间起至磋商截止前一个月的证明材料）；</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7612172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02A29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ACB56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p>
          <w:p w14:paraId="271066F5">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注：1.以上标明“必须提供”材料复印件的，必须加盖供应商公章或电子签章，否则响应文件作无效处理。</w:t>
            </w:r>
          </w:p>
        </w:tc>
      </w:tr>
      <w:tr w14:paraId="1A8E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5F254E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9043" w:type="dxa"/>
            <w:noWrap w:val="0"/>
            <w:vAlign w:val="center"/>
          </w:tcPr>
          <w:p w14:paraId="1A34697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报价商务技术文件</w:t>
            </w:r>
          </w:p>
          <w:p w14:paraId="3778D6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2B75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38CAA1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D4AEB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D5370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7056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6.项目技术方案（包含但不限于项目实施方案、售后服务）（格式自拟），（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5B356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7.拟投入本项目的人员配置情况表（格式后附）（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B6BD7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19C5CDEF">
            <w:pPr>
              <w:spacing w:line="360" w:lineRule="auto"/>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注： 1.授权委托书必须由法定代表人及委托代理人签字，并加盖供应商公章或电子签章，否则响应文件作无效处理。</w:t>
            </w:r>
          </w:p>
          <w:p w14:paraId="4B8DCEF4">
            <w:pPr>
              <w:spacing w:line="360" w:lineRule="auto"/>
              <w:ind w:firstLine="413" w:firstLineChars="196"/>
              <w:contextualSpacing/>
              <w:rPr>
                <w:rFonts w:hint="eastAsia" w:ascii="宋体" w:hAnsi="宋体" w:cs="宋体"/>
                <w:b/>
                <w:color w:val="auto"/>
                <w:szCs w:val="21"/>
                <w:highlight w:val="none"/>
              </w:rPr>
            </w:pPr>
            <w:r>
              <w:rPr>
                <w:rFonts w:hint="eastAsia" w:ascii="宋体" w:hAnsi="宋体" w:cs="宋体"/>
                <w:b/>
                <w:color w:val="auto"/>
                <w:szCs w:val="21"/>
                <w:highlight w:val="none"/>
              </w:rPr>
              <w:t>2. 以上标明“必须提供”材料复印件的，必须加盖供应商公章或电子签章，否则响应文件作无效处理。</w:t>
            </w:r>
          </w:p>
          <w:p w14:paraId="6C8941CD">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3.以上材料未附格式的，由供应商自行拟定。</w:t>
            </w:r>
          </w:p>
          <w:p w14:paraId="16C47DC0">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cs="宋体"/>
                <w:b/>
                <w:color w:val="auto"/>
                <w:szCs w:val="21"/>
                <w:highlight w:val="none"/>
                <w:lang w:val="en-US" w:eastAsia="zh-CN"/>
              </w:rPr>
              <w:t xml:space="preserve">    4.本项目允许分公司参与投标，但须提供总（上级）公司授权书（加盖公章）。依据：《中华人民共和国民法典》第七十四条法人可以依法设立分支机构。法律、行政法规规定分支机构应当登记的，依照其规定。分支机构以自己的名义从事民事活动，产生的民事责任由法人承担；也可以先以该分支机构管理的财产承担，不足以承担的，由法人承担”。注：以上标明“必须提供”的材料未特别说明的，均属于原件扫描件，必须加盖供应商电子公章，否则响应文件按无效响应处理。</w:t>
            </w:r>
          </w:p>
        </w:tc>
      </w:tr>
      <w:tr w14:paraId="44F7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6DD19A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9043" w:type="dxa"/>
            <w:noWrap w:val="0"/>
            <w:vAlign w:val="center"/>
          </w:tcPr>
          <w:p w14:paraId="4E8FC88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响应文件电子版：按电子投标文件要求上传</w:t>
            </w:r>
          </w:p>
        </w:tc>
      </w:tr>
      <w:tr w14:paraId="79074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13B34F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9043" w:type="dxa"/>
            <w:noWrap w:val="0"/>
            <w:vAlign w:val="center"/>
          </w:tcPr>
          <w:p w14:paraId="32AC4FB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A59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6E15EC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9043" w:type="dxa"/>
            <w:noWrap w:val="0"/>
            <w:vAlign w:val="center"/>
          </w:tcPr>
          <w:p w14:paraId="53D919FB">
            <w:pPr>
              <w:pStyle w:val="17"/>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14:paraId="75B0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0202F2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9043" w:type="dxa"/>
            <w:noWrap w:val="0"/>
            <w:vAlign w:val="center"/>
          </w:tcPr>
          <w:p w14:paraId="7B00A80C">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本项目不收取磋商保证金。</w:t>
            </w:r>
          </w:p>
          <w:p w14:paraId="025C7D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□本项目收取磋商保证金，具体规定如下：</w:t>
            </w:r>
          </w:p>
          <w:p w14:paraId="459F6B7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磋商保证金的交纳方式：详见竞争性磋商公告或者邀请函。</w:t>
            </w:r>
          </w:p>
          <w:p w14:paraId="461B752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磋商保证金的金额：详见竞争性磋商公告或者邀请函。</w:t>
            </w:r>
          </w:p>
          <w:p w14:paraId="6D69702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6AE381A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DE68E5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Cs w:val="21"/>
                <w:highlight w:val="none"/>
              </w:rPr>
              <w:t>否则竞标无效</w:t>
            </w:r>
            <w:r>
              <w:rPr>
                <w:rFonts w:hint="eastAsia" w:ascii="宋体" w:hAnsi="宋体" w:cs="宋体"/>
                <w:color w:val="auto"/>
                <w:szCs w:val="21"/>
                <w:highlight w:val="none"/>
              </w:rPr>
              <w:t>。供应商必须于递交竞标文件时将支票、汇票、本票或者金融、担保机构出具的保函原件提交给采购人或者采购代理机构，由采购人或者采购代理机构向供应商出具回执，并妥善保管。</w:t>
            </w:r>
          </w:p>
          <w:p w14:paraId="6FB4042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3.磋商保证金指定帐户：详见竞争性磋商公告或者邀请函。</w:t>
            </w:r>
          </w:p>
          <w:p w14:paraId="6765BC4C">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4.供应商为联合体的，可以由联合体中的一方或者多方共同交纳磋商保证金，其交纳的保证金对联合体各方均具有约束力。</w:t>
            </w:r>
          </w:p>
          <w:p w14:paraId="1DD6FAA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03A474F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1.磋商保证金在首次响应文件提交截止时间后提交的，或者不按规定交纳方式交纳的，或者未足额交纳的（包含保函额度不足的），视为无效磋商保证金。</w:t>
            </w:r>
          </w:p>
          <w:p w14:paraId="14DC156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4AEB3962">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205DA38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39446EC2">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14:paraId="17D78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09BD63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18.2</w:t>
            </w:r>
          </w:p>
        </w:tc>
        <w:tc>
          <w:tcPr>
            <w:tcW w:w="9043" w:type="dxa"/>
            <w:noWrap w:val="0"/>
            <w:vAlign w:val="center"/>
          </w:tcPr>
          <w:p w14:paraId="1C555C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响应文件按“政采云”平台的要求编制、加密、上传。</w:t>
            </w:r>
          </w:p>
        </w:tc>
      </w:tr>
      <w:tr w14:paraId="3637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2BD0EA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9043" w:type="dxa"/>
            <w:noWrap w:val="0"/>
            <w:vAlign w:val="center"/>
          </w:tcPr>
          <w:p w14:paraId="1B314558">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首次响应文件提交截止时间：详见竞争性磋商公告或者邀请函。</w:t>
            </w:r>
          </w:p>
          <w:p w14:paraId="67CE408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首次响应文件提交地点：详见竞争性磋商公告或者邀请函。</w:t>
            </w:r>
          </w:p>
          <w:p w14:paraId="407498E3">
            <w:pPr>
              <w:pStyle w:val="24"/>
              <w:wordWrap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注：供应商需在截止时间前将电子响应文件上传到政采云平台。应按照本项目磋商文件和政采云平台的要求编制、加密传输响应文件。供应商在使用系统进行竞标的过程中遇到涉及平台使用的任何问题，可致电政采云平台技术支持热线咨询，联系方式：95763。 </w:t>
            </w:r>
          </w:p>
          <w:p w14:paraId="3BBF5F07">
            <w:pPr>
              <w:pStyle w:val="24"/>
              <w:wordWrap w:val="0"/>
              <w:spacing w:line="360" w:lineRule="auto"/>
              <w:ind w:firstLine="420" w:firstLineChars="200"/>
              <w:rPr>
                <w:rFonts w:hint="eastAsia" w:ascii="宋体" w:hAnsi="宋体" w:cs="宋体"/>
                <w:color w:val="auto"/>
                <w:highlight w:val="none"/>
              </w:rPr>
            </w:pPr>
            <w:r>
              <w:rPr>
                <w:rFonts w:hint="eastAsia" w:ascii="宋体" w:hAnsi="宋体" w:cs="宋体"/>
                <w:color w:val="auto"/>
                <w:kern w:val="2"/>
                <w:sz w:val="21"/>
                <w:szCs w:val="21"/>
                <w:highlight w:val="none"/>
              </w:rPr>
              <w:t>响应文件解密时间：</w:t>
            </w:r>
          </w:p>
          <w:p w14:paraId="588D4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供应商的法定代表人或其委托代理人须携带加密时所用的CA锁按平台提示和采购文件的规定登录到“政采云”平台电子开标大厅签到并在发起解密指令之时起30分钟内完成对电子响应文件在线解密。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p>
        </w:tc>
      </w:tr>
      <w:tr w14:paraId="6F63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320274D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9043" w:type="dxa"/>
            <w:noWrap w:val="0"/>
            <w:vAlign w:val="center"/>
          </w:tcPr>
          <w:p w14:paraId="5603DE7E">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人，其中采购人代表1人，专家2人。</w:t>
            </w:r>
          </w:p>
        </w:tc>
      </w:tr>
      <w:tr w14:paraId="5680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12" w:type="dxa"/>
            <w:vMerge w:val="restart"/>
            <w:noWrap w:val="0"/>
            <w:vAlign w:val="center"/>
          </w:tcPr>
          <w:p w14:paraId="1299FC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9043" w:type="dxa"/>
            <w:noWrap w:val="0"/>
            <w:vAlign w:val="center"/>
          </w:tcPr>
          <w:p w14:paraId="6B94E7F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A21FBF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33E3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vMerge w:val="continue"/>
            <w:noWrap w:val="0"/>
            <w:vAlign w:val="center"/>
          </w:tcPr>
          <w:p w14:paraId="6784BB0D">
            <w:pPr>
              <w:spacing w:line="360" w:lineRule="auto"/>
              <w:jc w:val="center"/>
              <w:rPr>
                <w:rFonts w:hint="eastAsia" w:ascii="宋体" w:hAnsi="宋体" w:cs="宋体"/>
                <w:color w:val="auto"/>
                <w:szCs w:val="21"/>
                <w:highlight w:val="none"/>
              </w:rPr>
            </w:pPr>
          </w:p>
        </w:tc>
        <w:tc>
          <w:tcPr>
            <w:tcW w:w="9043" w:type="dxa"/>
            <w:noWrap w:val="0"/>
            <w:vAlign w:val="center"/>
          </w:tcPr>
          <w:p w14:paraId="4524425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127A1CE5">
            <w:pPr>
              <w:pStyle w:val="11"/>
              <w:spacing w:line="360" w:lineRule="auto"/>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69886B29">
            <w:pPr>
              <w:snapToGrid w:val="0"/>
              <w:spacing w:line="360" w:lineRule="auto"/>
              <w:rPr>
                <w:rFonts w:hint="eastAsia"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随机排序。</w:t>
            </w:r>
          </w:p>
        </w:tc>
      </w:tr>
      <w:tr w14:paraId="75F0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4131F3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9043" w:type="dxa"/>
            <w:noWrap w:val="0"/>
            <w:vAlign w:val="center"/>
          </w:tcPr>
          <w:p w14:paraId="200818D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%（注：履约保证金不超过成交金额的2%）。</w:t>
            </w:r>
          </w:p>
          <w:p w14:paraId="65EF44B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履约保证金提交方式：银行转账、支票、汇票、本票或者金融、担保机构出具的保函等非现金方式（参照磋商保证金）。</w:t>
            </w:r>
          </w:p>
          <w:p w14:paraId="1FE7FA97">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p>
          <w:p w14:paraId="75C17AB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45D139D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0DFE3E6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                 </w:t>
            </w:r>
          </w:p>
          <w:p w14:paraId="14424B43">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                  </w:t>
            </w:r>
          </w:p>
          <w:p w14:paraId="7132BCB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                  </w:t>
            </w:r>
          </w:p>
          <w:p w14:paraId="787A4B6C">
            <w:pPr>
              <w:pStyle w:val="11"/>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7A92A4D6">
            <w:pPr>
              <w:pStyle w:val="11"/>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1. </w:t>
            </w:r>
            <w:bookmarkStart w:id="59" w:name="_Hlk54170335"/>
            <w:r>
              <w:rPr>
                <w:rFonts w:hint="eastAsia" w:ascii="宋体" w:hAnsi="宋体" w:cs="宋体"/>
                <w:b/>
                <w:color w:val="auto"/>
                <w:szCs w:val="21"/>
                <w:highlight w:val="none"/>
              </w:rPr>
              <w:t>根据《广西壮族自治区财政厅关于贯彻落实政府采购优化营商环境百日攻坚行动方案的通知》（桂财采〔2020〕30号）规定，鼓励采购人在与中小微企业签订政府采购合同时，减少或免于收取履约保证金，有必要收取履约保证金的，收取的履约保证金不得超过政府采购合同金额的2%。</w:t>
            </w:r>
            <w:bookmarkEnd w:id="59"/>
          </w:p>
          <w:p w14:paraId="4B3FAE32">
            <w:pPr>
              <w:pStyle w:val="11"/>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2B50D445">
            <w:pPr>
              <w:pStyle w:val="11"/>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3.采用金融、担保机构出具保函的，必须为无条件保函，否则视为未按规定提交履约保证金。</w:t>
            </w:r>
          </w:p>
          <w:p w14:paraId="435AFE14">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4.供应商为联合体的，可由联合体任意一方或者联合体各方共同提交的履约保证金，视为有效履约保证金。</w:t>
            </w:r>
          </w:p>
        </w:tc>
      </w:tr>
      <w:tr w14:paraId="68FE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2E2C78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9043" w:type="dxa"/>
            <w:noWrap w:val="0"/>
            <w:vAlign w:val="center"/>
          </w:tcPr>
          <w:p w14:paraId="2BC379B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6E17FDC4">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777636A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2E5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7B259A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9043" w:type="dxa"/>
            <w:noWrap w:val="0"/>
            <w:vAlign w:val="center"/>
          </w:tcPr>
          <w:p w14:paraId="11D4318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FF405C8">
            <w:pPr>
              <w:pStyle w:val="20"/>
              <w:snapToGrid w:val="0"/>
              <w:spacing w:line="360" w:lineRule="auto"/>
              <w:rPr>
                <w:rFonts w:hint="eastAsia" w:hAnsi="宋体" w:eastAsia="宋体" w:cs="宋体"/>
                <w:color w:val="auto"/>
                <w:kern w:val="2"/>
                <w:sz w:val="21"/>
                <w:highlight w:val="none"/>
                <w:lang w:eastAsia="zh-CN"/>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lang w:eastAsia="zh-CN"/>
              </w:rPr>
              <w:t>广西汉昌工程咨询有限公司</w:t>
            </w:r>
            <w:r>
              <w:rPr>
                <w:rFonts w:hint="eastAsia" w:hAnsi="宋体" w:cs="宋体"/>
                <w:color w:val="auto"/>
                <w:kern w:val="2"/>
                <w:sz w:val="21"/>
                <w:highlight w:val="none"/>
              </w:rPr>
              <w:t xml:space="preserve">，联系电话： </w:t>
            </w:r>
            <w:r>
              <w:rPr>
                <w:rFonts w:hint="eastAsia" w:hAnsi="宋体" w:cs="宋体"/>
                <w:color w:val="auto"/>
                <w:kern w:val="2"/>
                <w:sz w:val="21"/>
                <w:highlight w:val="none"/>
                <w:lang w:eastAsia="zh-CN"/>
              </w:rPr>
              <w:t>0775-2086868</w:t>
            </w:r>
            <w:r>
              <w:rPr>
                <w:rFonts w:hint="eastAsia" w:hAnsi="宋体" w:cs="宋体"/>
                <w:color w:val="auto"/>
                <w:kern w:val="2"/>
                <w:sz w:val="21"/>
                <w:highlight w:val="none"/>
              </w:rPr>
              <w:t>，通讯地址：</w:t>
            </w:r>
            <w:r>
              <w:rPr>
                <w:rFonts w:hint="eastAsia" w:hAnsi="宋体" w:cs="宋体"/>
                <w:color w:val="auto"/>
                <w:kern w:val="2"/>
                <w:sz w:val="21"/>
                <w:highlight w:val="none"/>
                <w:lang w:eastAsia="zh-CN"/>
              </w:rPr>
              <w:t>广西壮族自治区玉林市玉州区胜利垌 （双旺路玉林美东纸业有限公司1-6商铺）</w:t>
            </w:r>
          </w:p>
          <w:p w14:paraId="5EF87BDC">
            <w:pPr>
              <w:pStyle w:val="20"/>
              <w:snapToGrid w:val="0"/>
              <w:spacing w:line="360" w:lineRule="auto"/>
              <w:rPr>
                <w:rFonts w:hint="eastAsia" w:hAnsi="宋体" w:cs="宋体"/>
                <w:color w:val="auto"/>
                <w:highlight w:val="none"/>
              </w:rPr>
            </w:pPr>
            <w:r>
              <w:rPr>
                <w:rFonts w:hint="eastAsia" w:hAnsi="宋体" w:cs="宋体"/>
                <w:color w:val="auto"/>
                <w:kern w:val="2"/>
                <w:sz w:val="21"/>
                <w:highlight w:val="none"/>
              </w:rPr>
              <w:t>业务时间：上午8时00分到12时00分，下午3时00分到6时00分，业务时间以外、双休日和法定节假日不办理业务。</w:t>
            </w:r>
          </w:p>
        </w:tc>
      </w:tr>
      <w:tr w14:paraId="1CD8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712" w:type="dxa"/>
            <w:noWrap w:val="0"/>
            <w:vAlign w:val="center"/>
          </w:tcPr>
          <w:p w14:paraId="0ECEC9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9043" w:type="dxa"/>
            <w:noWrap w:val="0"/>
            <w:vAlign w:val="center"/>
          </w:tcPr>
          <w:p w14:paraId="18B5F739">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15EC1B32">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sym w:font="Wingdings 2" w:char="0052"/>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348F9921">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690201E8">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753E684D">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w:t>
            </w:r>
            <w:r>
              <w:rPr>
                <w:rFonts w:hint="eastAsia" w:hAnsi="宋体" w:cs="宋体"/>
                <w:color w:val="auto"/>
                <w:sz w:val="21"/>
                <w:highlight w:val="none"/>
              </w:rPr>
              <w:sym w:font="Wingdings 2" w:char="0052"/>
            </w:r>
            <w:r>
              <w:rPr>
                <w:rFonts w:hint="eastAsia" w:hAnsi="宋体" w:cs="宋体"/>
                <w:color w:val="auto"/>
                <w:sz w:val="21"/>
                <w:highlight w:val="none"/>
              </w:rPr>
              <w:t>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）为计费额，按本须知正文第32.2条规定的收费计算标准（</w:t>
            </w:r>
            <w:r>
              <w:rPr>
                <w:rFonts w:hint="eastAsia" w:hAnsi="宋体" w:cs="宋体"/>
                <w:color w:val="auto"/>
                <w:sz w:val="21"/>
                <w:highlight w:val="none"/>
              </w:rPr>
              <w:sym w:font="Wingdings 2" w:char="00A3"/>
            </w:r>
            <w:r>
              <w:rPr>
                <w:rFonts w:hint="eastAsia" w:hAnsi="宋体" w:cs="宋体"/>
                <w:color w:val="auto"/>
                <w:sz w:val="21"/>
                <w:highlight w:val="none"/>
              </w:rPr>
              <w:t>货物类/</w:t>
            </w:r>
            <w:r>
              <w:rPr>
                <w:rFonts w:hint="eastAsia" w:hAnsi="宋体" w:cs="宋体"/>
                <w:color w:val="auto"/>
                <w:sz w:val="21"/>
                <w:highlight w:val="none"/>
              </w:rPr>
              <w:sym w:font="Wingdings 2" w:char="0052"/>
            </w:r>
            <w:r>
              <w:rPr>
                <w:rFonts w:hint="eastAsia" w:hAnsi="宋体" w:cs="宋体"/>
                <w:color w:val="auto"/>
                <w:sz w:val="21"/>
                <w:highlight w:val="none"/>
              </w:rPr>
              <w:t>服务类/□工程类）采用差额定率累进法计算出收费基准价格，采购代理收费以（</w:t>
            </w:r>
            <w:r>
              <w:rPr>
                <w:rFonts w:hint="eastAsia" w:hAnsi="宋体" w:cs="宋体"/>
                <w:color w:val="auto"/>
                <w:sz w:val="21"/>
                <w:highlight w:val="none"/>
              </w:rPr>
              <w:sym w:font="Wingdings 2" w:char="0052"/>
            </w:r>
            <w:r>
              <w:rPr>
                <w:rFonts w:hint="eastAsia" w:hAnsi="宋体" w:cs="宋体"/>
                <w:color w:val="auto"/>
                <w:sz w:val="21"/>
                <w:highlight w:val="none"/>
              </w:rPr>
              <w:t>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7A117035">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5F695D71">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账户名称：</w:t>
            </w:r>
            <w:r>
              <w:rPr>
                <w:rFonts w:hint="eastAsia" w:hAnsi="宋体" w:cs="宋体"/>
                <w:color w:val="auto"/>
                <w:sz w:val="21"/>
                <w:highlight w:val="none"/>
                <w:lang w:eastAsia="zh-CN"/>
              </w:rPr>
              <w:t>广西汉昌工程咨询有限公司玉林分公司</w:t>
            </w:r>
          </w:p>
          <w:p w14:paraId="562B03CE">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开户银行：桂林银行股份有限公司玉林福绵支行</w:t>
            </w:r>
          </w:p>
          <w:p w14:paraId="6F54365F">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 xml:space="preserve">银行账号：6600  0001  2511  1000  14 </w:t>
            </w:r>
          </w:p>
        </w:tc>
      </w:tr>
      <w:tr w14:paraId="628BC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58298F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9043" w:type="dxa"/>
            <w:noWrap w:val="0"/>
            <w:vAlign w:val="center"/>
          </w:tcPr>
          <w:p w14:paraId="65D808F3">
            <w:pPr>
              <w:pStyle w:val="20"/>
              <w:snapToGrid w:val="0"/>
              <w:spacing w:line="360" w:lineRule="auto"/>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226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2" w:type="dxa"/>
            <w:noWrap w:val="0"/>
            <w:vAlign w:val="center"/>
          </w:tcPr>
          <w:p w14:paraId="047BA3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9043" w:type="dxa"/>
            <w:noWrap w:val="0"/>
            <w:vAlign w:val="center"/>
          </w:tcPr>
          <w:p w14:paraId="1A5281BC">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71D36575">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3862139D">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3.本磋商文件中描述供应商的“签字”是指供应商的法定代表人或者委托代理人在文件规定签署处签名（含电子签名）的行为，私章、印鉴等其他形式均不能代替签字。</w:t>
            </w:r>
          </w:p>
          <w:p w14:paraId="3EE8BFAF">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40C5FCE1">
            <w:pPr>
              <w:pStyle w:val="20"/>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p w14:paraId="7115B6E2">
            <w:pPr>
              <w:pStyle w:val="9"/>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根据财政部工业和信息化部关于印发《政府采购促进中小企业发展管理办法》的通知（财库〔2020〕46号）第十二条规定：</w:t>
            </w:r>
          </w:p>
          <w:p w14:paraId="5B59C6B7">
            <w:pPr>
              <w:pStyle w:val="9"/>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（1）项目名称：2025年-2026年玉林市级电子政务外网购买服务项目</w:t>
            </w:r>
          </w:p>
          <w:p w14:paraId="3DD879B4">
            <w:pPr>
              <w:pStyle w:val="9"/>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pacing w:val="8"/>
                <w:sz w:val="21"/>
                <w:szCs w:val="21"/>
                <w:highlight w:val="none"/>
                <w:u w:val="none"/>
                <w:lang w:val="en-US" w:eastAsia="zh-CN"/>
              </w:rPr>
              <w:t>本项目</w:t>
            </w:r>
            <w:r>
              <w:rPr>
                <w:rFonts w:hint="eastAsia" w:ascii="宋体" w:hAnsi="宋体" w:eastAsia="宋体" w:cs="宋体"/>
                <w:color w:val="auto"/>
                <w:spacing w:val="8"/>
                <w:sz w:val="21"/>
                <w:szCs w:val="21"/>
                <w:highlight w:val="none"/>
                <w:u w:val="none"/>
                <w:lang w:val="en-US" w:eastAsia="zh-CN"/>
              </w:rPr>
              <w:t>非专门面向中小企业采购；</w:t>
            </w:r>
          </w:p>
          <w:p w14:paraId="3CB8D8B0">
            <w:pPr>
              <w:pStyle w:val="9"/>
              <w:shd w:val="clear" w:color="auto" w:fill="auto"/>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（3）采购标的所属行业：软件和信息技术服务业。</w:t>
            </w:r>
          </w:p>
        </w:tc>
      </w:tr>
    </w:tbl>
    <w:p w14:paraId="60C4E8B7">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50C883BF">
      <w:pPr>
        <w:spacing w:line="400" w:lineRule="exact"/>
        <w:jc w:val="center"/>
        <w:rPr>
          <w:rFonts w:hint="eastAsia" w:ascii="宋体" w:hAnsi="宋体" w:cs="宋体"/>
          <w:b/>
          <w:color w:val="auto"/>
          <w:sz w:val="32"/>
          <w:szCs w:val="32"/>
          <w:highlight w:val="none"/>
        </w:rPr>
      </w:pPr>
    </w:p>
    <w:p w14:paraId="717A5503">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14BEAC7D">
      <w:pPr>
        <w:spacing w:line="400" w:lineRule="exact"/>
        <w:rPr>
          <w:rFonts w:hint="eastAsia" w:ascii="宋体" w:hAnsi="宋体" w:cs="宋体"/>
          <w:color w:val="auto"/>
          <w:szCs w:val="21"/>
          <w:highlight w:val="none"/>
        </w:rPr>
      </w:pPr>
    </w:p>
    <w:p w14:paraId="506E725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235FFC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2EA6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EB090A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6D0384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437777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18718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5E205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65F5DB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24168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09277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B934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2D2F5C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7EDF4F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47AB6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0879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E1237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5594B2B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49889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EB42B9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3A8444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565E08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7F62DA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6A3BF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57EA7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0" w:name="_Hlk66782192"/>
      <w:r>
        <w:rPr>
          <w:rFonts w:hint="eastAsia" w:ascii="宋体" w:hAnsi="宋体" w:cs="宋体"/>
          <w:color w:val="auto"/>
          <w:szCs w:val="21"/>
          <w:highlight w:val="none"/>
        </w:rPr>
        <w:t>根据《政府采购促进中小企业发展管理办法》（财库〔2020〕46号）第九条第二款及（桂财采〔2022〕30号文）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0"/>
    </w:p>
    <w:p w14:paraId="7DA668A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9C02F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0F0768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4302DC76">
      <w:pPr>
        <w:spacing w:line="360" w:lineRule="auto"/>
        <w:ind w:firstLine="482" w:firstLineChars="200"/>
        <w:rPr>
          <w:rFonts w:hint="eastAsia" w:ascii="宋体" w:hAnsi="宋体" w:cs="宋体"/>
          <w:b/>
          <w:bCs/>
          <w:color w:val="auto"/>
          <w:sz w:val="24"/>
          <w:highlight w:val="none"/>
        </w:rPr>
      </w:pPr>
      <w:bookmarkStart w:id="61" w:name="_Toc254970673"/>
      <w:bookmarkStart w:id="62" w:name="_Toc254970532"/>
      <w:r>
        <w:rPr>
          <w:rFonts w:hint="eastAsia" w:ascii="宋体" w:hAnsi="宋体" w:cs="宋体"/>
          <w:b/>
          <w:bCs/>
          <w:color w:val="auto"/>
          <w:sz w:val="24"/>
          <w:highlight w:val="none"/>
        </w:rPr>
        <w:t>7.特别说明</w:t>
      </w:r>
      <w:bookmarkEnd w:id="61"/>
      <w:bookmarkEnd w:id="62"/>
    </w:p>
    <w:p w14:paraId="600423D5">
      <w:pPr>
        <w:spacing w:line="360" w:lineRule="auto"/>
        <w:ind w:firstLine="420" w:firstLineChars="200"/>
        <w:rPr>
          <w:rFonts w:hint="eastAsia" w:ascii="宋体" w:hAnsi="宋体" w:eastAsia="宋体" w:cs="宋体"/>
          <w:color w:val="auto"/>
          <w:szCs w:val="21"/>
          <w:highlight w:val="none"/>
          <w:lang w:eastAsia="zh-CN"/>
        </w:rPr>
      </w:pPr>
      <w:bookmarkStart w:id="63" w:name="_8.1提供相同品牌产品且通过资格审查、符合性审查的不同投标人参加同一合"/>
      <w:bookmarkEnd w:id="63"/>
      <w:r>
        <w:rPr>
          <w:rFonts w:hint="eastAsia" w:ascii="宋体" w:hAnsi="宋体" w:cs="宋体"/>
          <w:color w:val="auto"/>
          <w:szCs w:val="21"/>
          <w:highlight w:val="none"/>
        </w:rPr>
        <w:t>7.1</w:t>
      </w:r>
      <w:bookmarkStart w:id="64"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lang w:eastAsia="zh-CN"/>
        </w:rPr>
        <w:t>。如分公司参与投标的需提供具有法人资格总公司出具的授权书，已由总公司授权的，总公司取得的资质、信誉、业绩与企业认证等材料等均对分公司有效。</w:t>
      </w:r>
    </w:p>
    <w:bookmarkEnd w:id="64"/>
    <w:p w14:paraId="1A25C9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0D30DF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6D3AB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D0822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9E420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3DD48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6FBAF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A292B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C07D8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59031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F6454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A6376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7BB2F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274D5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87B6D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8CCAAA0">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9C470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7D7CC8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4404B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443B3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02768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9B439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71A72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3CCBC86">
      <w:pPr>
        <w:spacing w:line="360" w:lineRule="auto"/>
        <w:ind w:firstLine="420" w:firstLineChars="200"/>
        <w:rPr>
          <w:rFonts w:hint="eastAsia" w:ascii="宋体" w:hAnsi="宋体" w:cs="宋体"/>
          <w:b/>
          <w:bCs/>
          <w:color w:val="auto"/>
          <w:sz w:val="32"/>
          <w:szCs w:val="32"/>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bookmarkStart w:id="65" w:name="_Toc254970675"/>
      <w:bookmarkStart w:id="66" w:name="_Toc254970534"/>
    </w:p>
    <w:p w14:paraId="4D4737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65"/>
      <w:bookmarkEnd w:id="66"/>
    </w:p>
    <w:p w14:paraId="68CEA142">
      <w:pPr>
        <w:spacing w:line="360" w:lineRule="auto"/>
        <w:rPr>
          <w:rFonts w:hint="eastAsia" w:ascii="宋体" w:hAnsi="宋体" w:cs="宋体"/>
          <w:color w:val="auto"/>
          <w:szCs w:val="21"/>
          <w:highlight w:val="none"/>
        </w:rPr>
      </w:pPr>
    </w:p>
    <w:p w14:paraId="34479F2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78E8C11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（1）竞争性磋商公告或者邀请函；</w:t>
      </w:r>
    </w:p>
    <w:p w14:paraId="5CC4BA9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0545D21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52275FA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0AD6E6A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3353557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1015C63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25B80D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A84CA4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7C2BC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033D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10.2采购人和采购代理机构可以视采购具体情况，变更首次响应文件提交截止时间和开启时间，并在原公告发布媒体上发布更正公告。</w:t>
      </w:r>
    </w:p>
    <w:p w14:paraId="14DA160E">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10.3磋商文件澄清、答复、修改、补充的内容为磋商文件的组成部分。</w:t>
      </w:r>
      <w:r>
        <w:rPr>
          <w:rFonts w:hint="eastAsia" w:ascii="宋体" w:hAnsi="宋体" w:cs="宋体"/>
          <w:b/>
          <w:bCs/>
          <w:color w:val="auto"/>
          <w:szCs w:val="21"/>
          <w:highlight w:val="none"/>
        </w:rPr>
        <w:t>当磋商文件与磋商文件的澄清、答复、修改、补充通知就同一内容的表述不一致时，以最后发出的文件为准。</w:t>
      </w:r>
    </w:p>
    <w:p w14:paraId="3BF9654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10.4响应文件未按磋商文件的澄清、修改后的内容编制的，其响应文件作无效响应处理。</w:t>
      </w:r>
    </w:p>
    <w:p w14:paraId="4F48F2F6">
      <w:pPr>
        <w:spacing w:line="360" w:lineRule="auto"/>
        <w:rPr>
          <w:rFonts w:hint="eastAsia" w:ascii="宋体" w:hAnsi="宋体" w:cs="宋体"/>
          <w:color w:val="auto"/>
          <w:szCs w:val="21"/>
          <w:highlight w:val="none"/>
        </w:rPr>
      </w:pPr>
    </w:p>
    <w:p w14:paraId="29FEA05A">
      <w:pPr>
        <w:spacing w:line="360" w:lineRule="auto"/>
        <w:jc w:val="center"/>
        <w:rPr>
          <w:rFonts w:hint="eastAsia"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4A0BB634">
      <w:pPr>
        <w:spacing w:line="360" w:lineRule="auto"/>
        <w:rPr>
          <w:rFonts w:hint="eastAsia" w:ascii="宋体" w:hAnsi="宋体" w:cs="宋体"/>
          <w:color w:val="auto"/>
          <w:szCs w:val="21"/>
          <w:highlight w:val="none"/>
        </w:rPr>
      </w:pPr>
    </w:p>
    <w:p w14:paraId="1E4AF0E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35BA5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ECA36B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01B2FC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0008465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6C2D5809">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13229F4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2CBE2D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22C06A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4A567F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4832BB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41D150E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0CADB311">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1A78BC7F">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537369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242862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63BE20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43F5DF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A7A1E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5E3601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67"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67"/>
    <w:p w14:paraId="558E95F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084266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F72F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CBC7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11E9B8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0A0A540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E4EE77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7BBB4FA">
      <w:pPr>
        <w:spacing w:line="360" w:lineRule="auto"/>
        <w:ind w:firstLine="420" w:firstLineChars="200"/>
        <w:rPr>
          <w:rFonts w:hint="eastAsia" w:ascii="宋体" w:hAnsi="宋体" w:cs="宋体"/>
          <w:color w:val="auto"/>
          <w:szCs w:val="21"/>
          <w:highlight w:val="none"/>
        </w:rPr>
      </w:pPr>
      <w:bookmarkStart w:id="68"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8"/>
      <w:r>
        <w:rPr>
          <w:rFonts w:hint="eastAsia" w:ascii="宋体" w:hAnsi="宋体" w:cs="宋体"/>
          <w:color w:val="auto"/>
          <w:szCs w:val="21"/>
          <w:highlight w:val="none"/>
        </w:rPr>
        <w:t xml:space="preserve"> </w:t>
      </w:r>
    </w:p>
    <w:p w14:paraId="513351C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41C9C14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3B34C40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F85E4F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2537DD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768B75C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74B3CE6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（5）磋商文件规定的其他情形。</w:t>
      </w:r>
    </w:p>
    <w:p w14:paraId="09CAD91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003A2E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4C4B4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18.2为确保网上操作合法、有效和安全，供应商应当在提交响应文件截止时间前完成在“政采云”平台的身份认证，确保在电子竞标过程中能够对相关数据电文进行加密和使用电子签章。</w:t>
      </w:r>
    </w:p>
    <w:p w14:paraId="0B45F0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063F5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D6A06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E9210F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5CD0A8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19.1电子响应文件编制完成后，供应商应按“政采云”平台的要求进行加密，并在规定时间内解密，否则，由此产生的后果由供应商自行负责。</w:t>
      </w:r>
    </w:p>
    <w:p w14:paraId="63CC74B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45004543">
      <w:pPr>
        <w:spacing w:line="360" w:lineRule="auto"/>
        <w:ind w:firstLine="420" w:firstLineChars="20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“政采云”平台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172582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20.2未在规定时间内提交或者未按照磋商文件要求加密的电子响应文件，“政采云”平台将拒收。</w:t>
      </w:r>
    </w:p>
    <w:p w14:paraId="6C21058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48909BB">
      <w:pPr>
        <w:snapToGrid w:val="0"/>
        <w:spacing w:line="360" w:lineRule="auto"/>
        <w:ind w:firstLine="420"/>
        <w:jc w:val="left"/>
        <w:rPr>
          <w:rFonts w:hint="eastAsia" w:ascii="宋体" w:hAnsi="宋体" w:cs="宋体"/>
          <w:color w:val="auto"/>
          <w:szCs w:val="21"/>
          <w:highlight w:val="none"/>
        </w:rPr>
      </w:pPr>
      <w:bookmarkStart w:id="69" w:name="_Toc254970543"/>
      <w:bookmarkStart w:id="70" w:name="_Toc254970684"/>
      <w:bookmarkStart w:id="71" w:name="_Hlk45702405"/>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r>
        <w:rPr>
          <w:rFonts w:hint="eastAsia" w:ascii="宋体" w:hAnsi="宋体" w:cs="宋体"/>
          <w:color w:val="auto"/>
          <w:szCs w:val="21"/>
          <w:highlight w:val="none"/>
        </w:rPr>
        <w:t>（补充、修改或者撤回方式可登陆</w:t>
      </w:r>
      <w:r>
        <w:rPr>
          <w:rFonts w:hint="eastAsia" w:ascii="宋体" w:hAnsi="宋体" w:cs="宋体"/>
          <w:color w:val="auto"/>
          <w:kern w:val="0"/>
          <w:szCs w:val="21"/>
          <w:highlight w:val="none"/>
        </w:rPr>
        <w:t>“政采云”平台，</w:t>
      </w:r>
      <w:r>
        <w:rPr>
          <w:rFonts w:hint="eastAsia" w:ascii="宋体" w:hAnsi="宋体" w:cs="宋体"/>
          <w:color w:val="auto"/>
          <w:szCs w:val="21"/>
          <w:highlight w:val="none"/>
        </w:rPr>
        <w:t>进入“服务中心”中查看 “电子投标文件制作与投送教程”）</w:t>
      </w:r>
    </w:p>
    <w:bookmarkEnd w:id="69"/>
    <w:bookmarkEnd w:id="70"/>
    <w:p w14:paraId="10DD7C89">
      <w:pPr>
        <w:pStyle w:val="78"/>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56158A4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 首次响应文件的退回</w:t>
      </w:r>
    </w:p>
    <w:p w14:paraId="45D4D0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55880C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076724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71"/>
    <w:p w14:paraId="24641FDD">
      <w:pPr>
        <w:spacing w:line="360" w:lineRule="auto"/>
        <w:rPr>
          <w:rFonts w:hint="eastAsia" w:ascii="宋体" w:hAnsi="宋体" w:cs="宋体"/>
          <w:color w:val="auto"/>
          <w:szCs w:val="21"/>
          <w:highlight w:val="none"/>
        </w:rPr>
      </w:pPr>
    </w:p>
    <w:p w14:paraId="035CE8D2">
      <w:pPr>
        <w:spacing w:line="360" w:lineRule="auto"/>
        <w:ind w:left="420" w:firstLine="42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392767C5">
      <w:pPr>
        <w:spacing w:line="360" w:lineRule="auto"/>
        <w:ind w:left="420" w:firstLine="420"/>
        <w:rPr>
          <w:rFonts w:hint="eastAsia" w:ascii="宋体" w:hAnsi="宋体" w:cs="宋体"/>
          <w:color w:val="auto"/>
          <w:szCs w:val="21"/>
          <w:highlight w:val="none"/>
        </w:rPr>
      </w:pPr>
    </w:p>
    <w:p w14:paraId="51302F8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6F2146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846F3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403354B">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基于“政采云”平台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550816C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823F986">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政采云”平台电子开标大厅签到，采购代理机构依托“政采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41BE725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16E719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1EE31E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4D75AA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1DD443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32101C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1D6931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5B62BB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94DDB9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0430E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6E0D63E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070CC4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3EE072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2E9B6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CAF1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2"/>
    </w:p>
    <w:p w14:paraId="2A0AC6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D647F37">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2BA03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5962F19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2187B70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69017F4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28.3在履约保证金退还日期前，若成交供应商的开户名称、开户银行、帐号有变动的，请以书面形式通知履约保证金收取单位，否则由此产生的后果由成交供应商自行承担。</w:t>
      </w:r>
    </w:p>
    <w:p w14:paraId="3207F7F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3424C16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253EF7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67D87AB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签订合同时间：按成交通知书规定的时间与采购人签订政府采购合同。</w:t>
      </w:r>
    </w:p>
    <w:p w14:paraId="236D692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DE42BB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7B4C72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6D1DFE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223D08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06FF1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93021C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2329910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645FC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D0681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962226A">
      <w:pPr>
        <w:spacing w:line="360" w:lineRule="auto"/>
        <w:ind w:firstLine="420" w:firstLineChars="200"/>
        <w:rPr>
          <w:rFonts w:hint="eastAsia" w:ascii="宋体" w:hAnsi="宋体" w:cs="宋体"/>
          <w:color w:val="auto"/>
          <w:sz w:val="22"/>
          <w:szCs w:val="22"/>
          <w:highlight w:val="none"/>
        </w:rPr>
      </w:pPr>
      <w:r>
        <w:rPr>
          <w:rFonts w:hint="eastAsia" w:ascii="宋体" w:hAnsi="宋体" w:cs="宋体"/>
          <w:color w:val="auto"/>
          <w:highlight w:val="none"/>
        </w:rPr>
        <w:t xml:space="preserve">31.4 </w:t>
      </w:r>
      <w:r>
        <w:rPr>
          <w:rFonts w:hint="eastAsia" w:ascii="宋体" w:hAnsi="宋体" w:cs="宋体"/>
          <w:color w:val="auto"/>
          <w:sz w:val="22"/>
          <w:szCs w:val="22"/>
          <w:highlight w:val="none"/>
        </w:rPr>
        <w:t>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09260C8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1144D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58CF3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3FDE5D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36BA6EC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5E6778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5254F4B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43D03E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E868B0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6F19F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837C5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782A82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5C80B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245C6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7D4B5A80">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7EEFC0D3">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3"/>
        <w:tblW w:w="927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1995"/>
        <w:gridCol w:w="2205"/>
        <w:gridCol w:w="1982"/>
      </w:tblGrid>
      <w:tr w14:paraId="5BF3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l2br w:val="single" w:color="auto" w:sz="4" w:space="0"/>
            </w:tcBorders>
            <w:noWrap w:val="0"/>
            <w:vAlign w:val="top"/>
          </w:tcPr>
          <w:p w14:paraId="24354C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5F7AF2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995" w:type="dxa"/>
            <w:noWrap w:val="0"/>
            <w:vAlign w:val="center"/>
          </w:tcPr>
          <w:p w14:paraId="4BB6C8FF">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2205" w:type="dxa"/>
            <w:noWrap w:val="0"/>
            <w:vAlign w:val="center"/>
          </w:tcPr>
          <w:p w14:paraId="3008B6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982" w:type="dxa"/>
            <w:noWrap w:val="0"/>
            <w:vAlign w:val="center"/>
          </w:tcPr>
          <w:p w14:paraId="5FAF7D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20A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4E145E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995" w:type="dxa"/>
            <w:noWrap w:val="0"/>
            <w:vAlign w:val="top"/>
          </w:tcPr>
          <w:p w14:paraId="1BA11F0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2205" w:type="dxa"/>
            <w:noWrap w:val="0"/>
            <w:vAlign w:val="top"/>
          </w:tcPr>
          <w:p w14:paraId="13BE927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982" w:type="dxa"/>
            <w:noWrap w:val="0"/>
            <w:vAlign w:val="top"/>
          </w:tcPr>
          <w:p w14:paraId="0E12259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D50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6A3DF0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995" w:type="dxa"/>
            <w:noWrap w:val="0"/>
            <w:vAlign w:val="top"/>
          </w:tcPr>
          <w:p w14:paraId="4F10CCC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2205" w:type="dxa"/>
            <w:noWrap w:val="0"/>
            <w:vAlign w:val="top"/>
          </w:tcPr>
          <w:p w14:paraId="72CFF4F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982" w:type="dxa"/>
            <w:noWrap w:val="0"/>
            <w:vAlign w:val="top"/>
          </w:tcPr>
          <w:p w14:paraId="2A3B20E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1B9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1174AD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995" w:type="dxa"/>
            <w:noWrap w:val="0"/>
            <w:vAlign w:val="top"/>
          </w:tcPr>
          <w:p w14:paraId="721DD772">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2205" w:type="dxa"/>
            <w:noWrap w:val="0"/>
            <w:vAlign w:val="top"/>
          </w:tcPr>
          <w:p w14:paraId="2B13773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982" w:type="dxa"/>
            <w:noWrap w:val="0"/>
            <w:vAlign w:val="top"/>
          </w:tcPr>
          <w:p w14:paraId="63B59BF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1A1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294590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995" w:type="dxa"/>
            <w:noWrap w:val="0"/>
            <w:vAlign w:val="top"/>
          </w:tcPr>
          <w:p w14:paraId="6D099B4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2205" w:type="dxa"/>
            <w:noWrap w:val="0"/>
            <w:vAlign w:val="top"/>
          </w:tcPr>
          <w:p w14:paraId="49DDE9C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982" w:type="dxa"/>
            <w:noWrap w:val="0"/>
            <w:vAlign w:val="top"/>
          </w:tcPr>
          <w:p w14:paraId="14F79A3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816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5227C6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995" w:type="dxa"/>
            <w:noWrap w:val="0"/>
            <w:vAlign w:val="top"/>
          </w:tcPr>
          <w:p w14:paraId="18C852A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2205" w:type="dxa"/>
            <w:noWrap w:val="0"/>
            <w:vAlign w:val="top"/>
          </w:tcPr>
          <w:p w14:paraId="6DFD257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982" w:type="dxa"/>
            <w:noWrap w:val="0"/>
            <w:vAlign w:val="top"/>
          </w:tcPr>
          <w:p w14:paraId="28B56C9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262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52E6FB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995" w:type="dxa"/>
            <w:noWrap w:val="0"/>
            <w:vAlign w:val="top"/>
          </w:tcPr>
          <w:p w14:paraId="4812D68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2205" w:type="dxa"/>
            <w:noWrap w:val="0"/>
            <w:vAlign w:val="top"/>
          </w:tcPr>
          <w:p w14:paraId="552A97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982" w:type="dxa"/>
            <w:noWrap w:val="0"/>
            <w:vAlign w:val="top"/>
          </w:tcPr>
          <w:p w14:paraId="3095A8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6DB6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11A829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995" w:type="dxa"/>
            <w:noWrap w:val="0"/>
            <w:vAlign w:val="top"/>
          </w:tcPr>
          <w:p w14:paraId="0931C3F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2205" w:type="dxa"/>
            <w:noWrap w:val="0"/>
            <w:vAlign w:val="top"/>
          </w:tcPr>
          <w:p w14:paraId="2E577A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982" w:type="dxa"/>
            <w:noWrap w:val="0"/>
            <w:vAlign w:val="top"/>
          </w:tcPr>
          <w:p w14:paraId="27D99F60">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91A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318125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995" w:type="dxa"/>
            <w:noWrap w:val="0"/>
            <w:vAlign w:val="top"/>
          </w:tcPr>
          <w:p w14:paraId="028C729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2205" w:type="dxa"/>
            <w:noWrap w:val="0"/>
            <w:vAlign w:val="top"/>
          </w:tcPr>
          <w:p w14:paraId="6A47C77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982" w:type="dxa"/>
            <w:noWrap w:val="0"/>
            <w:vAlign w:val="top"/>
          </w:tcPr>
          <w:p w14:paraId="300E68B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389C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44FE92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995" w:type="dxa"/>
            <w:noWrap w:val="0"/>
            <w:vAlign w:val="top"/>
          </w:tcPr>
          <w:p w14:paraId="7B1263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2205" w:type="dxa"/>
            <w:noWrap w:val="0"/>
            <w:vAlign w:val="top"/>
          </w:tcPr>
          <w:p w14:paraId="476A65C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982" w:type="dxa"/>
            <w:noWrap w:val="0"/>
            <w:vAlign w:val="top"/>
          </w:tcPr>
          <w:p w14:paraId="38EAC4C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551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14:paraId="10FC4F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995" w:type="dxa"/>
            <w:noWrap w:val="0"/>
            <w:vAlign w:val="top"/>
          </w:tcPr>
          <w:p w14:paraId="154C85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2205" w:type="dxa"/>
            <w:noWrap w:val="0"/>
            <w:vAlign w:val="top"/>
          </w:tcPr>
          <w:p w14:paraId="10EC236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982" w:type="dxa"/>
            <w:noWrap w:val="0"/>
            <w:vAlign w:val="top"/>
          </w:tcPr>
          <w:p w14:paraId="03CD59CD">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8D42D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w:t>
      </w:r>
    </w:p>
    <w:p w14:paraId="33295F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52BA0FD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（2）采购代理收费按差额定率累进法计算。</w:t>
      </w:r>
    </w:p>
    <w:p w14:paraId="7B995B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2E8D1D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100 万元 ×l.5 %＝ 1.5 万元</w:t>
      </w:r>
    </w:p>
    <w:p w14:paraId="762291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150 － 100 ）万元 ×0.8%＝ 0.4万元</w:t>
      </w:r>
    </w:p>
    <w:p w14:paraId="63DB7C7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合计收费＝ 1.5 ＋ 0.4＝ 1.9 万元</w:t>
      </w:r>
    </w:p>
    <w:p w14:paraId="13A5FC76">
      <w:pPr>
        <w:spacing w:line="360" w:lineRule="auto"/>
        <w:ind w:firstLine="482" w:firstLineChars="200"/>
        <w:rPr>
          <w:rFonts w:hint="eastAsia" w:ascii="宋体" w:hAnsi="宋体" w:cs="宋体"/>
          <w:b/>
          <w:bCs/>
          <w:color w:val="auto"/>
          <w:sz w:val="24"/>
          <w:highlight w:val="none"/>
        </w:rPr>
      </w:pPr>
    </w:p>
    <w:p w14:paraId="20C8BD9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1BB44CD9">
      <w:pPr>
        <w:pStyle w:val="20"/>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2B932DFB">
      <w:pPr>
        <w:pStyle w:val="20"/>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68575966">
      <w:pPr>
        <w:pStyle w:val="20"/>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20879674">
      <w:pPr>
        <w:pStyle w:val="20"/>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73661A24">
      <w:pPr>
        <w:pStyle w:val="20"/>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C65F1A5">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br w:type="page"/>
      </w:r>
      <w:r>
        <w:rPr>
          <w:rFonts w:hint="eastAsia" w:ascii="宋体" w:hAnsi="宋体" w:cs="宋体"/>
          <w:bCs/>
          <w:color w:val="auto"/>
          <w:sz w:val="32"/>
          <w:szCs w:val="32"/>
          <w:highlight w:val="none"/>
        </w:rPr>
        <w:t>附件1：</w:t>
      </w:r>
    </w:p>
    <w:p w14:paraId="3897CC98">
      <w:pPr>
        <w:widowControl/>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5BF46E66">
      <w:pPr>
        <w:widowControl/>
        <w:shd w:val="clear" w:color="auto" w:fill="FFFFFF"/>
        <w:spacing w:line="480" w:lineRule="atLeast"/>
        <w:jc w:val="center"/>
        <w:rPr>
          <w:rFonts w:hint="eastAsia" w:ascii="宋体" w:hAnsi="宋体" w:cs="宋体"/>
          <w:color w:val="auto"/>
          <w:kern w:val="0"/>
          <w:sz w:val="32"/>
          <w:szCs w:val="32"/>
          <w:highlight w:val="none"/>
        </w:rPr>
      </w:pPr>
    </w:p>
    <w:p w14:paraId="34F5BD45">
      <w:pPr>
        <w:widowControl/>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3C4549F">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13AE507A">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533ED052">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 xml:space="preserve">自行验收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委托验收</w:t>
            </w:r>
          </w:p>
        </w:tc>
      </w:tr>
      <w:tr w14:paraId="457E6EA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CE208BA">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229DEE4F">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0307E3EB">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1BA881D1">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10D8F828">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30B4EF4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341FC9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5A90D5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86D964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5FD3295">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695B99C">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39CCC1D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E69955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1D8A9F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B47F0A5">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0F44438">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1C38346">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1E03A40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F977DC6">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29649A7">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B49734E">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58E3CA6">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8FCD469">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C2BCC3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3699F816">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C3CEE0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7C13CEE">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7CA7D7A7">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10AA6829">
            <w:pPr>
              <w:widowControl/>
              <w:snapToGrid w:val="0"/>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5FB19E1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F121AC1">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3CDB287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BAB413F">
            <w:pPr>
              <w:widowControl/>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4A065E8C">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2A2EF96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1EDE41">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30E109">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1C22A08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F0F584">
            <w:pPr>
              <w:widowControl/>
              <w:spacing w:before="100" w:beforeAutospacing="1" w:after="100" w:afterAutospacing="1" w:line="32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548D9392">
            <w:pPr>
              <w:widowControl/>
              <w:spacing w:before="100" w:beforeAutospacing="1" w:after="100" w:afterAutospacing="1" w:line="320" w:lineRule="atLeast"/>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2092A6B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7837840B">
            <w:pPr>
              <w:widowControl/>
              <w:jc w:val="left"/>
              <w:rPr>
                <w:rFonts w:hint="eastAsia"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39283BE">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D98D5DB">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1D77232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E66EB7">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5D57C1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418123">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62D7085E">
            <w:pPr>
              <w:widowControl/>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2C4CDBC7">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2292D3C">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2FD9C760">
            <w:pPr>
              <w:widowControl/>
              <w:spacing w:before="100" w:beforeAutospacing="1" w:after="100" w:afterAutospacing="1" w:line="320" w:lineRule="atLeast"/>
              <w:jc w:val="left"/>
              <w:rPr>
                <w:rFonts w:hint="eastAsia" w:ascii="宋体" w:hAnsi="宋体" w:cs="宋体"/>
                <w:color w:val="auto"/>
                <w:kern w:val="0"/>
                <w:szCs w:val="21"/>
                <w:highlight w:val="none"/>
              </w:rPr>
            </w:pPr>
          </w:p>
          <w:p w14:paraId="6C5AEFA5">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noWrap w:val="0"/>
            <w:vAlign w:val="center"/>
          </w:tcPr>
          <w:p w14:paraId="2A4B8592">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402D40A7">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p>
          <w:p w14:paraId="58657CE2">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0A282133">
      <w:pPr>
        <w:pStyle w:val="7"/>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rPr>
      </w:pPr>
      <w:r>
        <w:rPr>
          <w:rFonts w:hint="eastAsia" w:ascii="宋体" w:hAnsi="宋体" w:cs="宋体"/>
          <w:color w:val="auto"/>
          <w:highlight w:val="none"/>
        </w:rPr>
        <w:br w:type="page"/>
      </w:r>
      <w:bookmarkStart w:id="73" w:name="_Toc44229895"/>
      <w:r>
        <w:rPr>
          <w:rFonts w:hint="eastAsia" w:ascii="宋体" w:hAnsi="宋体" w:cs="宋体"/>
          <w:color w:val="auto"/>
          <w:sz w:val="36"/>
          <w:szCs w:val="36"/>
          <w:highlight w:val="none"/>
        </w:rPr>
        <w:t>采购需求</w:t>
      </w:r>
      <w:bookmarkEnd w:id="73"/>
    </w:p>
    <w:p w14:paraId="4B4E73A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337D0BCF">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9DF0E0A">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为落实政府采购政策需满足的要求</w:t>
      </w:r>
    </w:p>
    <w:p w14:paraId="09A501C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31C801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rPr>
        <w:t>（2）服务项目中伴随货物的，根据《财政部 发展改革委生态环境部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008865D7">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m. 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35E021D0">
      <w:pPr>
        <w:keepNext w:val="0"/>
        <w:keepLines w:val="0"/>
        <w:pageBreakBefore w:val="0"/>
        <w:widowControl w:val="0"/>
        <w:kinsoku/>
        <w:wordWrap/>
        <w:overflowPunct/>
        <w:topLinePunct w:val="0"/>
        <w:autoSpaceDE/>
        <w:autoSpaceDN/>
        <w:bidi w:val="0"/>
        <w:adjustRightInd/>
        <w:snapToGrid/>
        <w:spacing w:line="48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2.采购需求中出现的品牌、型号或者生产供应商仅起参考作用，不属于指定品牌、型号或者生产供应商的情形。供应商可参照或者选用其他相当的品牌、型号或者生产供应商替代。</w:t>
      </w:r>
    </w:p>
    <w:p w14:paraId="626A30D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highlight w:val="none"/>
        </w:rPr>
        <w:t>供应商必须自行为其竞标产品侵犯他人的知识产权或者专利成果的行为承担相应法律责任。</w:t>
      </w:r>
    </w:p>
    <w:p w14:paraId="4F09B5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4.本项目中小企业划分标准所属行业：软件和信息技术服务业。</w:t>
      </w:r>
    </w:p>
    <w:p w14:paraId="19E450C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bCs/>
          <w:color w:val="auto"/>
          <w:kern w:val="0"/>
          <w:szCs w:val="21"/>
          <w:highlight w:val="none"/>
        </w:rPr>
      </w:pPr>
      <w:r>
        <w:rPr>
          <w:rFonts w:hint="eastAsia" w:ascii="宋体" w:hAnsi="宋体" w:cs="宋体"/>
          <w:color w:val="auto"/>
          <w:highlight w:val="none"/>
          <w:lang w:val="en-US" w:eastAsia="zh-CN"/>
        </w:rPr>
        <w:t>5.预算金额及最高限价：详见竞争性磋商公告。</w:t>
      </w:r>
    </w:p>
    <w:p w14:paraId="480EA87A">
      <w:pPr>
        <w:rPr>
          <w:rFonts w:hint="eastAsia" w:ascii="宋体" w:hAnsi="宋体" w:cs="宋体"/>
          <w:b/>
          <w:bCs/>
          <w:color w:val="auto"/>
          <w:kern w:val="0"/>
          <w:szCs w:val="21"/>
          <w:highlight w:val="none"/>
        </w:rPr>
      </w:pPr>
    </w:p>
    <w:p w14:paraId="1AC90FF8">
      <w:pPr>
        <w:pStyle w:val="2"/>
        <w:rPr>
          <w:rFonts w:hint="eastAsia" w:ascii="宋体" w:hAnsi="宋体" w:cs="宋体"/>
          <w:b/>
          <w:bCs/>
          <w:color w:val="auto"/>
          <w:kern w:val="0"/>
          <w:sz w:val="24"/>
          <w:szCs w:val="24"/>
          <w:highlight w:val="none"/>
          <w:lang w:eastAsia="zh-CN"/>
        </w:rPr>
      </w:pPr>
    </w:p>
    <w:p w14:paraId="5E4ED8C0">
      <w:pPr>
        <w:ind w:firstLine="281" w:firstLineChars="100"/>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2025年-2026年玉林市级电子政务外网购买服务项目采购需求表</w:t>
      </w:r>
    </w:p>
    <w:tbl>
      <w:tblPr>
        <w:tblStyle w:val="33"/>
        <w:tblpPr w:leftFromText="180" w:rightFromText="180" w:vertAnchor="text" w:horzAnchor="page" w:tblpX="977" w:tblpY="406"/>
        <w:tblOverlap w:val="never"/>
        <w:tblW w:w="10013" w:type="dxa"/>
        <w:tblInd w:w="0" w:type="dxa"/>
        <w:tblLayout w:type="fixed"/>
        <w:tblCellMar>
          <w:top w:w="0" w:type="dxa"/>
          <w:left w:w="108" w:type="dxa"/>
          <w:bottom w:w="0" w:type="dxa"/>
          <w:right w:w="108" w:type="dxa"/>
        </w:tblCellMar>
      </w:tblPr>
      <w:tblGrid>
        <w:gridCol w:w="775"/>
        <w:gridCol w:w="1188"/>
        <w:gridCol w:w="5487"/>
        <w:gridCol w:w="988"/>
        <w:gridCol w:w="975"/>
        <w:gridCol w:w="600"/>
      </w:tblGrid>
      <w:tr w14:paraId="198DEEC4">
        <w:tblPrEx>
          <w:tblCellMar>
            <w:top w:w="0" w:type="dxa"/>
            <w:left w:w="108" w:type="dxa"/>
            <w:bottom w:w="0" w:type="dxa"/>
            <w:right w:w="108" w:type="dxa"/>
          </w:tblCellMar>
        </w:tblPrEx>
        <w:trPr>
          <w:trHeight w:val="48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D4E0ABC">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188" w:type="dxa"/>
            <w:tcBorders>
              <w:top w:val="single" w:color="auto" w:sz="4" w:space="0"/>
              <w:left w:val="nil"/>
              <w:bottom w:val="single" w:color="auto" w:sz="4" w:space="0"/>
              <w:right w:val="single" w:color="auto" w:sz="4" w:space="0"/>
            </w:tcBorders>
            <w:noWrap w:val="0"/>
            <w:vAlign w:val="center"/>
          </w:tcPr>
          <w:p w14:paraId="1298B51C">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服务名称</w:t>
            </w:r>
          </w:p>
        </w:tc>
        <w:tc>
          <w:tcPr>
            <w:tcW w:w="5487" w:type="dxa"/>
            <w:tcBorders>
              <w:top w:val="single" w:color="auto" w:sz="4" w:space="0"/>
              <w:left w:val="nil"/>
              <w:bottom w:val="single" w:color="auto" w:sz="4" w:space="0"/>
              <w:right w:val="single" w:color="auto" w:sz="4" w:space="0"/>
            </w:tcBorders>
            <w:noWrap w:val="0"/>
            <w:vAlign w:val="center"/>
          </w:tcPr>
          <w:p w14:paraId="09B5ED8D">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技术参数</w:t>
            </w:r>
          </w:p>
        </w:tc>
        <w:tc>
          <w:tcPr>
            <w:tcW w:w="988" w:type="dxa"/>
            <w:tcBorders>
              <w:top w:val="single" w:color="auto" w:sz="4" w:space="0"/>
              <w:left w:val="nil"/>
              <w:bottom w:val="single" w:color="auto" w:sz="4" w:space="0"/>
              <w:right w:val="single" w:color="auto" w:sz="4" w:space="0"/>
            </w:tcBorders>
            <w:noWrap w:val="0"/>
            <w:vAlign w:val="center"/>
          </w:tcPr>
          <w:p w14:paraId="29EC7E60">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单位</w:t>
            </w:r>
          </w:p>
        </w:tc>
        <w:tc>
          <w:tcPr>
            <w:tcW w:w="975" w:type="dxa"/>
            <w:tcBorders>
              <w:top w:val="single" w:color="auto" w:sz="4" w:space="0"/>
              <w:left w:val="nil"/>
              <w:bottom w:val="single" w:color="auto" w:sz="4" w:space="0"/>
              <w:right w:val="single" w:color="auto" w:sz="4" w:space="0"/>
            </w:tcBorders>
            <w:noWrap w:val="0"/>
            <w:vAlign w:val="center"/>
          </w:tcPr>
          <w:p w14:paraId="1B2F7F42">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数量</w:t>
            </w:r>
          </w:p>
        </w:tc>
        <w:tc>
          <w:tcPr>
            <w:tcW w:w="600" w:type="dxa"/>
            <w:tcBorders>
              <w:top w:val="single" w:color="auto" w:sz="4" w:space="0"/>
              <w:left w:val="nil"/>
              <w:bottom w:val="single" w:color="auto" w:sz="4" w:space="0"/>
              <w:right w:val="single" w:color="auto" w:sz="4" w:space="0"/>
            </w:tcBorders>
            <w:noWrap w:val="0"/>
            <w:vAlign w:val="center"/>
          </w:tcPr>
          <w:p w14:paraId="31F22FBF">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2F6E6DED">
        <w:tblPrEx>
          <w:tblCellMar>
            <w:top w:w="0" w:type="dxa"/>
            <w:left w:w="108" w:type="dxa"/>
            <w:bottom w:w="0" w:type="dxa"/>
            <w:right w:w="108" w:type="dxa"/>
          </w:tblCellMar>
        </w:tblPrEx>
        <w:trPr>
          <w:trHeight w:val="240" w:hRule="atLeast"/>
        </w:trPr>
        <w:tc>
          <w:tcPr>
            <w:tcW w:w="7450" w:type="dxa"/>
            <w:gridSpan w:val="3"/>
            <w:tcBorders>
              <w:top w:val="single" w:color="auto" w:sz="4" w:space="0"/>
              <w:left w:val="single" w:color="auto" w:sz="4" w:space="0"/>
              <w:bottom w:val="single" w:color="auto" w:sz="4" w:space="0"/>
              <w:right w:val="single" w:color="auto" w:sz="4" w:space="0"/>
            </w:tcBorders>
            <w:noWrap w:val="0"/>
            <w:vAlign w:val="center"/>
          </w:tcPr>
          <w:p w14:paraId="1A22761B">
            <w:pPr>
              <w:widowControl/>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一、光纤电路租用服务</w:t>
            </w:r>
          </w:p>
        </w:tc>
        <w:tc>
          <w:tcPr>
            <w:tcW w:w="988" w:type="dxa"/>
            <w:tcBorders>
              <w:top w:val="nil"/>
              <w:left w:val="nil"/>
              <w:bottom w:val="single" w:color="auto" w:sz="4" w:space="0"/>
              <w:right w:val="single" w:color="auto" w:sz="4" w:space="0"/>
            </w:tcBorders>
            <w:noWrap w:val="0"/>
            <w:vAlign w:val="center"/>
          </w:tcPr>
          <w:p w14:paraId="6BDA6990">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6B3D931A">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0ECDB13E">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c>
          <w:tcPr>
            <w:tcW w:w="600" w:type="dxa"/>
            <w:tcBorders>
              <w:top w:val="nil"/>
              <w:left w:val="nil"/>
              <w:bottom w:val="single" w:color="auto" w:sz="4" w:space="0"/>
              <w:right w:val="single" w:color="auto" w:sz="4" w:space="0"/>
            </w:tcBorders>
            <w:noWrap w:val="0"/>
            <w:vAlign w:val="center"/>
          </w:tcPr>
          <w:p w14:paraId="76DFF01D">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6F177100">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14:paraId="3A08AE2E">
        <w:tblPrEx>
          <w:tblCellMar>
            <w:top w:w="0" w:type="dxa"/>
            <w:left w:w="108" w:type="dxa"/>
            <w:bottom w:w="0" w:type="dxa"/>
            <w:right w:w="108" w:type="dxa"/>
          </w:tblCellMar>
        </w:tblPrEx>
        <w:trPr>
          <w:trHeight w:val="240" w:hRule="atLeast"/>
        </w:trPr>
        <w:tc>
          <w:tcPr>
            <w:tcW w:w="775" w:type="dxa"/>
            <w:tcBorders>
              <w:top w:val="nil"/>
              <w:left w:val="single" w:color="auto" w:sz="4" w:space="0"/>
              <w:bottom w:val="single" w:color="auto" w:sz="4" w:space="0"/>
              <w:right w:val="single" w:color="auto" w:sz="4" w:space="0"/>
            </w:tcBorders>
            <w:noWrap/>
            <w:vAlign w:val="center"/>
          </w:tcPr>
          <w:p w14:paraId="4777709E">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88" w:type="dxa"/>
            <w:tcBorders>
              <w:top w:val="nil"/>
              <w:left w:val="nil"/>
              <w:bottom w:val="single" w:color="auto" w:sz="4" w:space="0"/>
              <w:right w:val="single" w:color="auto" w:sz="4" w:space="0"/>
            </w:tcBorders>
            <w:noWrap w:val="0"/>
            <w:vAlign w:val="center"/>
          </w:tcPr>
          <w:p w14:paraId="32CD9719">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接入单位电路服务1</w:t>
            </w:r>
          </w:p>
        </w:tc>
        <w:tc>
          <w:tcPr>
            <w:tcW w:w="5487" w:type="dxa"/>
            <w:tcBorders>
              <w:top w:val="nil"/>
              <w:left w:val="nil"/>
              <w:bottom w:val="single" w:color="auto" w:sz="4" w:space="0"/>
              <w:right w:val="single" w:color="auto" w:sz="4" w:space="0"/>
            </w:tcBorders>
            <w:noWrap w:val="0"/>
            <w:vAlign w:val="center"/>
          </w:tcPr>
          <w:p w14:paraId="02D889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提供市级统筹所有政务和事业单位共14</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条电路接入服务，服务期1年，接入带宽需满足100M传输，具体服务要求如下：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1.电路需满足100M传输带宽；</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2.线路连接方式：光纤专线接入；</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3.电路提供主流物理接口，提供1个J45接口或光纤LC/FC接口。</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4.电路采用裸光纤或MSTP、SDH 、OTN等基于硬管道技术的传输电路，其它基于网络层的电路、任何形式的VPN 电路和虚拟通道电路都不符合政务外网的安全要求不能使用。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5.电路供应商需有本地维护能力，要求可及时处理故障和开展网络维护工作，故障30分钟内响应处理，12小时内完成故障修复。</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6.为满足以上光纤线路租用服务的需要，供应商必须免费提供包括光纤接入设备和光纤通信线路的、安装调测开通、布跳线、标签规范的粘贴业务等系列服务，产权归供应商所有。</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7.要求网络的接入层至汇聚层、汇聚层至骨干层均具有双路由全自动保护传输功能，具备不超过50ms保护倒换能力，保证数据专线电路不会因光缆的意外阻断或部分设备故障而中断。</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8.要求全网的传输设备均具备网管能力，全程提供端到端的网管监控功能，实行7*24小时不间断监控，可有效地检测并定位网络故障。</w:t>
            </w:r>
          </w:p>
        </w:tc>
        <w:tc>
          <w:tcPr>
            <w:tcW w:w="988" w:type="dxa"/>
            <w:tcBorders>
              <w:top w:val="nil"/>
              <w:left w:val="nil"/>
              <w:bottom w:val="single" w:color="auto" w:sz="4" w:space="0"/>
              <w:right w:val="single" w:color="auto" w:sz="4" w:space="0"/>
            </w:tcBorders>
            <w:noWrap/>
            <w:vAlign w:val="center"/>
          </w:tcPr>
          <w:p w14:paraId="7B091A7F">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条/1年</w:t>
            </w:r>
          </w:p>
        </w:tc>
        <w:tc>
          <w:tcPr>
            <w:tcW w:w="975" w:type="dxa"/>
            <w:tcBorders>
              <w:top w:val="nil"/>
              <w:left w:val="nil"/>
              <w:bottom w:val="single" w:color="auto" w:sz="4" w:space="0"/>
              <w:right w:val="single" w:color="auto" w:sz="4" w:space="0"/>
            </w:tcBorders>
            <w:noWrap/>
            <w:vAlign w:val="center"/>
          </w:tcPr>
          <w:p w14:paraId="235C6A52">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147</w:t>
            </w:r>
          </w:p>
          <w:p w14:paraId="353D81C4">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c>
          <w:tcPr>
            <w:tcW w:w="600" w:type="dxa"/>
            <w:tcBorders>
              <w:top w:val="nil"/>
              <w:left w:val="nil"/>
              <w:bottom w:val="single" w:color="auto" w:sz="4" w:space="0"/>
              <w:right w:val="single" w:color="auto" w:sz="4" w:space="0"/>
            </w:tcBorders>
            <w:noWrap/>
            <w:vAlign w:val="center"/>
          </w:tcPr>
          <w:p w14:paraId="6C93D2DA">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554B20C">
        <w:tblPrEx>
          <w:tblCellMar>
            <w:top w:w="0" w:type="dxa"/>
            <w:left w:w="108" w:type="dxa"/>
            <w:bottom w:w="0" w:type="dxa"/>
            <w:right w:w="108" w:type="dxa"/>
          </w:tblCellMar>
        </w:tblPrEx>
        <w:trPr>
          <w:trHeight w:val="240" w:hRule="atLeast"/>
        </w:trPr>
        <w:tc>
          <w:tcPr>
            <w:tcW w:w="775" w:type="dxa"/>
            <w:tcBorders>
              <w:top w:val="nil"/>
              <w:left w:val="single" w:color="auto" w:sz="4" w:space="0"/>
              <w:bottom w:val="single" w:color="auto" w:sz="4" w:space="0"/>
              <w:right w:val="single" w:color="auto" w:sz="4" w:space="0"/>
            </w:tcBorders>
            <w:noWrap/>
            <w:vAlign w:val="center"/>
          </w:tcPr>
          <w:p w14:paraId="6444A755">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88" w:type="dxa"/>
            <w:tcBorders>
              <w:top w:val="nil"/>
              <w:left w:val="nil"/>
              <w:bottom w:val="single" w:color="auto" w:sz="4" w:space="0"/>
              <w:right w:val="single" w:color="auto" w:sz="4" w:space="0"/>
            </w:tcBorders>
            <w:noWrap w:val="0"/>
            <w:vAlign w:val="center"/>
          </w:tcPr>
          <w:p w14:paraId="74C158D9">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接入单位电路服务2</w:t>
            </w:r>
          </w:p>
        </w:tc>
        <w:tc>
          <w:tcPr>
            <w:tcW w:w="5487" w:type="dxa"/>
            <w:tcBorders>
              <w:top w:val="nil"/>
              <w:left w:val="nil"/>
              <w:bottom w:val="single" w:color="auto" w:sz="4" w:space="0"/>
              <w:right w:val="single" w:color="auto" w:sz="4" w:space="0"/>
            </w:tcBorders>
            <w:noWrap w:val="0"/>
            <w:vAlign w:val="center"/>
          </w:tcPr>
          <w:p w14:paraId="75CB91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提供玉林市人工智能展示中心的1条电路接入服务，服务期1年，接入带宽需满足1G传输，具体服务要求如下：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1.电路需满足1G传输带宽；</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2.线路连接方式：光纤专线接入；</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3.电路提供主流物理接口，提供1个J45接口或光纤LC/FC接口。</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4.电路采用裸光纤或MSTP、SDH 、OTN等基于硬管道技术的传输电路，其它基于网络层的电路、任何形式的VPN 电路和虚拟通道电路都不符合政务外网的安全要求不能使用。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5.电路供应商需有本地维护能力，要求可及时处理故障和开展网络维护工作，故障30分钟内响应处理，12小时内完成故障修复。</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6.为满足以上光纤线路租用服务的需要，供应商必须免费提供包括光纤接入设备和光纤通信线路的、安装调测开通、布跳线、标签规范的粘贴业务等系列服务，产权归供应商所有。</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7.要求网络的接入层至汇聚层、汇聚层至骨干层均具有双路由全自动保护传输功能，具备不超过50ms保护倒换能力，保证数据专线电路不会因光缆的意外阻断或部分设备故障而中断。</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8.要求全网的传输设备均具备网管能力，全程提供端到端的网管监控功能，实行7*24小时不间断监控，可有效地检测并定位网络故障。</w:t>
            </w:r>
          </w:p>
        </w:tc>
        <w:tc>
          <w:tcPr>
            <w:tcW w:w="988" w:type="dxa"/>
            <w:tcBorders>
              <w:top w:val="nil"/>
              <w:left w:val="nil"/>
              <w:bottom w:val="single" w:color="auto" w:sz="4" w:space="0"/>
              <w:right w:val="single" w:color="auto" w:sz="4" w:space="0"/>
            </w:tcBorders>
            <w:noWrap/>
            <w:vAlign w:val="center"/>
          </w:tcPr>
          <w:p w14:paraId="095006D3">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条/1年</w:t>
            </w:r>
          </w:p>
        </w:tc>
        <w:tc>
          <w:tcPr>
            <w:tcW w:w="975" w:type="dxa"/>
            <w:tcBorders>
              <w:top w:val="nil"/>
              <w:left w:val="nil"/>
              <w:bottom w:val="single" w:color="auto" w:sz="4" w:space="0"/>
              <w:right w:val="single" w:color="auto" w:sz="4" w:space="0"/>
            </w:tcBorders>
            <w:noWrap/>
            <w:vAlign w:val="center"/>
          </w:tcPr>
          <w:p w14:paraId="7AE44E5F">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00" w:type="dxa"/>
            <w:tcBorders>
              <w:top w:val="nil"/>
              <w:left w:val="nil"/>
              <w:bottom w:val="single" w:color="auto" w:sz="4" w:space="0"/>
              <w:right w:val="single" w:color="auto" w:sz="4" w:space="0"/>
            </w:tcBorders>
            <w:noWrap/>
            <w:vAlign w:val="center"/>
          </w:tcPr>
          <w:p w14:paraId="10B2F19D">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62BA63D">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AE98AC5">
        <w:tblPrEx>
          <w:tblCellMar>
            <w:top w:w="0" w:type="dxa"/>
            <w:left w:w="108" w:type="dxa"/>
            <w:bottom w:w="0" w:type="dxa"/>
            <w:right w:w="108" w:type="dxa"/>
          </w:tblCellMar>
        </w:tblPrEx>
        <w:trPr>
          <w:trHeight w:val="240" w:hRule="atLeast"/>
        </w:trPr>
        <w:tc>
          <w:tcPr>
            <w:tcW w:w="775" w:type="dxa"/>
            <w:tcBorders>
              <w:top w:val="nil"/>
              <w:left w:val="single" w:color="auto" w:sz="4" w:space="0"/>
              <w:bottom w:val="single" w:color="auto" w:sz="4" w:space="0"/>
              <w:right w:val="single" w:color="auto" w:sz="4" w:space="0"/>
            </w:tcBorders>
            <w:noWrap/>
            <w:vAlign w:val="center"/>
          </w:tcPr>
          <w:p w14:paraId="4E82D19D">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188" w:type="dxa"/>
            <w:tcBorders>
              <w:top w:val="nil"/>
              <w:left w:val="nil"/>
              <w:bottom w:val="single" w:color="auto" w:sz="4" w:space="0"/>
              <w:right w:val="single" w:color="auto" w:sz="4" w:space="0"/>
            </w:tcBorders>
            <w:noWrap w:val="0"/>
            <w:vAlign w:val="center"/>
          </w:tcPr>
          <w:p w14:paraId="419FA6AC">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集中单位汇聚电路服务</w:t>
            </w:r>
          </w:p>
        </w:tc>
        <w:tc>
          <w:tcPr>
            <w:tcW w:w="5487" w:type="dxa"/>
            <w:tcBorders>
              <w:top w:val="nil"/>
              <w:left w:val="nil"/>
              <w:bottom w:val="single" w:color="auto" w:sz="4" w:space="0"/>
              <w:right w:val="single" w:color="auto" w:sz="4" w:space="0"/>
            </w:tcBorders>
            <w:noWrap w:val="0"/>
            <w:vAlign w:val="center"/>
          </w:tcPr>
          <w:p w14:paraId="0A61B033">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提供城东办公大楼、</w:t>
            </w:r>
            <w:r>
              <w:rPr>
                <w:rFonts w:hint="eastAsia" w:ascii="宋体" w:hAnsi="宋体" w:eastAsia="宋体" w:cs="宋体"/>
                <w:color w:val="auto"/>
                <w:sz w:val="21"/>
                <w:szCs w:val="21"/>
                <w:highlight w:val="none"/>
              </w:rPr>
              <w:t>玉林高新技术产业开发区管理委员会</w:t>
            </w:r>
            <w:r>
              <w:rPr>
                <w:rFonts w:hint="eastAsia" w:ascii="宋体" w:hAnsi="宋体" w:eastAsia="宋体" w:cs="宋体"/>
                <w:color w:val="auto"/>
                <w:kern w:val="0"/>
                <w:sz w:val="21"/>
                <w:szCs w:val="21"/>
                <w:highlight w:val="none"/>
                <w:lang w:val="en-US" w:eastAsia="zh-CN"/>
              </w:rPr>
              <w:t>办公区</w:t>
            </w:r>
            <w:r>
              <w:rPr>
                <w:rFonts w:hint="eastAsia" w:ascii="宋体" w:hAnsi="宋体" w:eastAsia="宋体" w:cs="宋体"/>
                <w:color w:val="auto"/>
                <w:kern w:val="0"/>
                <w:sz w:val="21"/>
                <w:szCs w:val="21"/>
                <w:highlight w:val="none"/>
              </w:rPr>
              <w:t>、玉林人防大厦、玉林政务中心大楼、办公二区、办公三区共6处集中汇聚点核心主干网络带宽10Gbps宽带接入玉林市政务外网节点，服务期1年，并且采用的成环保护，具体服务要求如下：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1.电路需满足10Gbps传输带宽；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2.线路连接方式：光纤专线接入；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3.电路提供主流物理接口，提供1个J45接口或光纤LC/FC接口。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4.电路采用裸光纤或MSTP、SDH 、OTN等基于硬管道技术的传输电路，其它基于网络层的电路、任何形式的VPN 电路和虚拟通道电路都不符合政务外网的安全要求不能使用。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5.电路供应商需有本地维护能力，要求可及时处理故障和开展网络维护工作，故障30分钟内响应处理，12小时内完成故障修复。</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6.为满足以上光纤线路租用服务的需要，供应商必须免费提供包括光纤接入设备和光纤通信线路的、安装调测开通、布跳线、标签规范的粘贴业务等系列服务，产权归供应商所有。</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7.要求网络的接入层至汇聚层、汇聚层至骨干层均具有双路由全自动保护传输功能，具备不超过50ms保护倒换能力，保证数据专线电路不会因光缆的意外阻断或部分设备故障而中断。</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8.要求全网的传输设备均具备网管能力，全程提供端到端的网管监控功能，实行7*24小时不间断监控，可有效地检测并定位网络故障。</w:t>
            </w:r>
          </w:p>
        </w:tc>
        <w:tc>
          <w:tcPr>
            <w:tcW w:w="988" w:type="dxa"/>
            <w:tcBorders>
              <w:top w:val="nil"/>
              <w:left w:val="nil"/>
              <w:bottom w:val="single" w:color="auto" w:sz="4" w:space="0"/>
              <w:right w:val="single" w:color="auto" w:sz="4" w:space="0"/>
            </w:tcBorders>
            <w:noWrap/>
            <w:vAlign w:val="center"/>
          </w:tcPr>
          <w:p w14:paraId="07F9B8FE">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条/1年</w:t>
            </w:r>
          </w:p>
        </w:tc>
        <w:tc>
          <w:tcPr>
            <w:tcW w:w="975" w:type="dxa"/>
            <w:tcBorders>
              <w:top w:val="nil"/>
              <w:left w:val="nil"/>
              <w:bottom w:val="single" w:color="auto" w:sz="4" w:space="0"/>
              <w:right w:val="single" w:color="auto" w:sz="4" w:space="0"/>
            </w:tcBorders>
            <w:noWrap/>
            <w:vAlign w:val="center"/>
          </w:tcPr>
          <w:p w14:paraId="298A0FB9">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00" w:type="dxa"/>
            <w:tcBorders>
              <w:top w:val="nil"/>
              <w:left w:val="nil"/>
              <w:bottom w:val="single" w:color="auto" w:sz="4" w:space="0"/>
              <w:right w:val="single" w:color="auto" w:sz="4" w:space="0"/>
            </w:tcBorders>
            <w:noWrap/>
            <w:vAlign w:val="center"/>
          </w:tcPr>
          <w:p w14:paraId="141A77F5">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86A8AC6">
        <w:tblPrEx>
          <w:tblCellMar>
            <w:top w:w="0" w:type="dxa"/>
            <w:left w:w="108" w:type="dxa"/>
            <w:bottom w:w="0" w:type="dxa"/>
            <w:right w:w="108" w:type="dxa"/>
          </w:tblCellMar>
        </w:tblPrEx>
        <w:trPr>
          <w:trHeight w:val="240" w:hRule="atLeast"/>
        </w:trPr>
        <w:tc>
          <w:tcPr>
            <w:tcW w:w="7450" w:type="dxa"/>
            <w:gridSpan w:val="3"/>
            <w:tcBorders>
              <w:top w:val="single" w:color="auto" w:sz="4" w:space="0"/>
              <w:left w:val="single" w:color="auto" w:sz="4" w:space="0"/>
              <w:bottom w:val="single" w:color="auto" w:sz="4" w:space="0"/>
              <w:right w:val="single" w:color="auto" w:sz="4" w:space="0"/>
            </w:tcBorders>
            <w:noWrap w:val="0"/>
            <w:vAlign w:val="center"/>
          </w:tcPr>
          <w:p w14:paraId="47148D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二、互联网出口宽带租用服务</w:t>
            </w:r>
          </w:p>
        </w:tc>
        <w:tc>
          <w:tcPr>
            <w:tcW w:w="988" w:type="dxa"/>
            <w:tcBorders>
              <w:top w:val="nil"/>
              <w:left w:val="nil"/>
              <w:bottom w:val="single" w:color="auto" w:sz="4" w:space="0"/>
              <w:right w:val="single" w:color="auto" w:sz="4" w:space="0"/>
            </w:tcBorders>
            <w:noWrap w:val="0"/>
            <w:vAlign w:val="center"/>
          </w:tcPr>
          <w:p w14:paraId="24646251">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026DDF1A">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6E222D1A">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c>
          <w:tcPr>
            <w:tcW w:w="600" w:type="dxa"/>
            <w:tcBorders>
              <w:top w:val="nil"/>
              <w:left w:val="nil"/>
              <w:bottom w:val="single" w:color="auto" w:sz="4" w:space="0"/>
              <w:right w:val="single" w:color="auto" w:sz="4" w:space="0"/>
            </w:tcBorders>
            <w:noWrap/>
            <w:vAlign w:val="center"/>
          </w:tcPr>
          <w:p w14:paraId="0DA30995">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EA6CA83">
        <w:tblPrEx>
          <w:tblCellMar>
            <w:top w:w="0" w:type="dxa"/>
            <w:left w:w="108" w:type="dxa"/>
            <w:bottom w:w="0" w:type="dxa"/>
            <w:right w:w="108" w:type="dxa"/>
          </w:tblCellMar>
        </w:tblPrEx>
        <w:trPr>
          <w:trHeight w:val="240" w:hRule="atLeast"/>
        </w:trPr>
        <w:tc>
          <w:tcPr>
            <w:tcW w:w="775" w:type="dxa"/>
            <w:tcBorders>
              <w:top w:val="nil"/>
              <w:left w:val="single" w:color="auto" w:sz="4" w:space="0"/>
              <w:bottom w:val="single" w:color="auto" w:sz="4" w:space="0"/>
              <w:right w:val="single" w:color="auto" w:sz="4" w:space="0"/>
            </w:tcBorders>
            <w:noWrap/>
            <w:vAlign w:val="center"/>
          </w:tcPr>
          <w:p w14:paraId="662E2114">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88" w:type="dxa"/>
            <w:tcBorders>
              <w:top w:val="nil"/>
              <w:left w:val="nil"/>
              <w:bottom w:val="single" w:color="auto" w:sz="4" w:space="0"/>
              <w:right w:val="single" w:color="auto" w:sz="4" w:space="0"/>
            </w:tcBorders>
            <w:noWrap w:val="0"/>
            <w:vAlign w:val="center"/>
          </w:tcPr>
          <w:p w14:paraId="60126F6B">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主用互联网宽带服务</w:t>
            </w:r>
          </w:p>
        </w:tc>
        <w:tc>
          <w:tcPr>
            <w:tcW w:w="5487" w:type="dxa"/>
            <w:tcBorders>
              <w:top w:val="nil"/>
              <w:left w:val="nil"/>
              <w:bottom w:val="single" w:color="auto" w:sz="4" w:space="0"/>
              <w:right w:val="single" w:color="auto" w:sz="4" w:space="0"/>
            </w:tcBorders>
            <w:noWrap w:val="0"/>
            <w:vAlign w:val="center"/>
          </w:tcPr>
          <w:p w14:paraId="3D4756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提供主用互联网出4G宽带1年租用服务，并提供50个互联网IP地址，具体服务要求如下：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连接到互联网带宽为4000Mbps。接入方式为光纤接入，并提供J45接口或光纤接口和提供50个互联网固定IP地址；</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可用带宽：稳定独享4000Mbps；上下行带宽一致；</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线路可用率：≥99%。</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4.QOS:保证关键应用的带宽支持,在带宽用满的情况下,可优先保证HTTP,FTP等基于端口协议数据包的快速传输；</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5.到达各大门户包括新浪、网易、人民网等，但不限于以上站点实测PING值：平均时延≤15ms，丢包率1/1000。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6.电路供应商需有本地维护能力，要求可及时处理故障和开展网络维护工作，故障30分钟内响应处理，12小时内完成故障修复。</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7.为满足以上光纤线路租用服务的需要，供应商必须免费提供包括光纤接入设备和光纤通信线路的、安装调测开通、布跳线、标签规范的粘贴业务等系列服务，产权归供应商所有。</w:t>
            </w:r>
          </w:p>
        </w:tc>
        <w:tc>
          <w:tcPr>
            <w:tcW w:w="988" w:type="dxa"/>
            <w:tcBorders>
              <w:top w:val="nil"/>
              <w:left w:val="nil"/>
              <w:bottom w:val="single" w:color="auto" w:sz="4" w:space="0"/>
              <w:right w:val="single" w:color="auto" w:sz="4" w:space="0"/>
            </w:tcBorders>
            <w:noWrap/>
            <w:vAlign w:val="center"/>
          </w:tcPr>
          <w:p w14:paraId="33E47332">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条/1年</w:t>
            </w:r>
          </w:p>
        </w:tc>
        <w:tc>
          <w:tcPr>
            <w:tcW w:w="975" w:type="dxa"/>
            <w:tcBorders>
              <w:top w:val="nil"/>
              <w:left w:val="nil"/>
              <w:bottom w:val="single" w:color="auto" w:sz="4" w:space="0"/>
              <w:right w:val="single" w:color="auto" w:sz="4" w:space="0"/>
            </w:tcBorders>
            <w:noWrap w:val="0"/>
            <w:vAlign w:val="center"/>
          </w:tcPr>
          <w:p w14:paraId="3D7D382C">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00" w:type="dxa"/>
            <w:tcBorders>
              <w:top w:val="nil"/>
              <w:left w:val="nil"/>
              <w:bottom w:val="single" w:color="auto" w:sz="4" w:space="0"/>
              <w:right w:val="single" w:color="auto" w:sz="4" w:space="0"/>
            </w:tcBorders>
            <w:noWrap/>
            <w:vAlign w:val="center"/>
          </w:tcPr>
          <w:p w14:paraId="2424FA1D">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C27BEDD">
        <w:tblPrEx>
          <w:tblCellMar>
            <w:top w:w="0" w:type="dxa"/>
            <w:left w:w="108" w:type="dxa"/>
            <w:bottom w:w="0" w:type="dxa"/>
            <w:right w:w="108" w:type="dxa"/>
          </w:tblCellMar>
        </w:tblPrEx>
        <w:trPr>
          <w:trHeight w:val="240" w:hRule="atLeast"/>
        </w:trPr>
        <w:tc>
          <w:tcPr>
            <w:tcW w:w="775" w:type="dxa"/>
            <w:tcBorders>
              <w:top w:val="nil"/>
              <w:left w:val="single" w:color="auto" w:sz="4" w:space="0"/>
              <w:bottom w:val="single" w:color="auto" w:sz="4" w:space="0"/>
              <w:right w:val="single" w:color="auto" w:sz="4" w:space="0"/>
            </w:tcBorders>
            <w:noWrap/>
            <w:vAlign w:val="center"/>
          </w:tcPr>
          <w:p w14:paraId="250DE5F1">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88" w:type="dxa"/>
            <w:tcBorders>
              <w:top w:val="nil"/>
              <w:left w:val="nil"/>
              <w:bottom w:val="single" w:color="auto" w:sz="4" w:space="0"/>
              <w:right w:val="single" w:color="auto" w:sz="4" w:space="0"/>
            </w:tcBorders>
            <w:noWrap w:val="0"/>
            <w:vAlign w:val="center"/>
          </w:tcPr>
          <w:p w14:paraId="29DED054">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备用互联网出口宽带服务</w:t>
            </w:r>
          </w:p>
        </w:tc>
        <w:tc>
          <w:tcPr>
            <w:tcW w:w="5487" w:type="dxa"/>
            <w:tcBorders>
              <w:top w:val="nil"/>
              <w:left w:val="nil"/>
              <w:bottom w:val="single" w:color="auto" w:sz="4" w:space="0"/>
              <w:right w:val="single" w:color="auto" w:sz="4" w:space="0"/>
            </w:tcBorders>
            <w:noWrap w:val="0"/>
            <w:vAlign w:val="center"/>
          </w:tcPr>
          <w:p w14:paraId="774A26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提供备用互联网出2G宽带1年租用服务，并提供30个互联网IP地址，具体服务要求如下：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连接到互联网带宽为2000Mbps。接入方式为光纤接入，并提供J45接口或光纤接口和提供30个互联网固定IP地址；</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可用带宽：稳定独享2000Mbps；上下行带宽一致；</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线路可用率：≥99%。</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4.QOS:保证关键应用的带宽支持,在带宽用满的情况下,可优先保证HTTP,FTP等基于端口协议数据包的快速传输；</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5.到达各大门户包括新浪、网易、人民网等，但不限于以上站点实测PING值：平均时延≤15ms，丢包率1/1000。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6.电路供应商需有本地维护能力，要求可及时处理故障和开展网络维护工作，故障30分钟内响应处理，12小时内完成故障修复。</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7.为满足以上光纤线路租用服务的需要，供应商必须免费提供包括光纤接入设备和光纤通信线路的、安装调测开通、布跳线、标签规范的粘贴业务等系列服务，产权归供应商所有。</w:t>
            </w:r>
          </w:p>
        </w:tc>
        <w:tc>
          <w:tcPr>
            <w:tcW w:w="988" w:type="dxa"/>
            <w:tcBorders>
              <w:top w:val="nil"/>
              <w:left w:val="nil"/>
              <w:bottom w:val="single" w:color="auto" w:sz="4" w:space="0"/>
              <w:right w:val="single" w:color="auto" w:sz="4" w:space="0"/>
            </w:tcBorders>
            <w:noWrap/>
            <w:vAlign w:val="center"/>
          </w:tcPr>
          <w:p w14:paraId="4D388892">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条/1年</w:t>
            </w:r>
          </w:p>
        </w:tc>
        <w:tc>
          <w:tcPr>
            <w:tcW w:w="975" w:type="dxa"/>
            <w:tcBorders>
              <w:top w:val="nil"/>
              <w:left w:val="nil"/>
              <w:bottom w:val="single" w:color="auto" w:sz="4" w:space="0"/>
              <w:right w:val="single" w:color="auto" w:sz="4" w:space="0"/>
            </w:tcBorders>
            <w:noWrap w:val="0"/>
            <w:vAlign w:val="center"/>
          </w:tcPr>
          <w:p w14:paraId="00B0C0E0">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00" w:type="dxa"/>
            <w:tcBorders>
              <w:top w:val="nil"/>
              <w:left w:val="nil"/>
              <w:bottom w:val="single" w:color="auto" w:sz="4" w:space="0"/>
              <w:right w:val="single" w:color="auto" w:sz="4" w:space="0"/>
            </w:tcBorders>
            <w:noWrap/>
            <w:vAlign w:val="center"/>
          </w:tcPr>
          <w:p w14:paraId="1FF2A5C9">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7733058">
        <w:tblPrEx>
          <w:tblCellMar>
            <w:top w:w="0" w:type="dxa"/>
            <w:left w:w="108" w:type="dxa"/>
            <w:bottom w:w="0" w:type="dxa"/>
            <w:right w:w="108" w:type="dxa"/>
          </w:tblCellMar>
        </w:tblPrEx>
        <w:trPr>
          <w:trHeight w:val="240" w:hRule="atLeast"/>
        </w:trPr>
        <w:tc>
          <w:tcPr>
            <w:tcW w:w="10013" w:type="dxa"/>
            <w:gridSpan w:val="6"/>
            <w:tcBorders>
              <w:top w:val="single" w:color="auto" w:sz="4" w:space="0"/>
              <w:left w:val="single" w:color="auto" w:sz="4" w:space="0"/>
              <w:bottom w:val="single" w:color="auto" w:sz="4" w:space="0"/>
              <w:right w:val="single" w:color="auto" w:sz="4" w:space="0"/>
            </w:tcBorders>
            <w:noWrap w:val="0"/>
            <w:vAlign w:val="center"/>
          </w:tcPr>
          <w:p w14:paraId="16CECF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商务条款：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一、合同签订时间：自中标通知书发出之日起25个日内。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二、交付使用期：自签订合同之日起30日历日内完成所线路、机房等安装调试服务工作，并正式进入使用期。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三、交货地点：玉林市内采购人指定地点。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四、付款条件：本项目为政府按1年购买服务，具体支付方式由中标人跟采购人签订合时约定。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五、服务期限：本项目服务期限为1年，自验收合格之日负责所有关于本次服务工作所有内容，主要包括：线路服务、机房服务、培训等工作。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六、驻场服务要求：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服务期内提供至少1人驻场运维服务和驻场时间为5×8小时，驻场需具备通信领域上岗资格证。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服务期内对设备故障排除、系统运行提供全年配合服务。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七、售后服务要求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服务期内免费提供上门维护、定期巡检服务，售后服务期为1年。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服务内容至少包括以下内容：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 xml:space="preserve"> 服务期内中标人对项目出现的各类问题进行免费修复、完善和升级。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服务内免费上门提供维修、维护服务等内容。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在服务期内设备非因人为及不可抗拒因素的原因而引起损坏或质量问题，中标人应免费予以技术服务、维修或设备更换，并承担相应费用和零部件的费用。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服务期内采购人如有重要活动如会议等，中标供应商必须根据采购人要求提供现场工程师，保障系统正常运行，保障费用自理。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服务期内本次项目中标方须提供电子政务外网运维管理、安全管理等方面的培训，其中，本地和异地培训均不少于1次，每次培训人数不少于4人。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故障响应时间：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服务期内若发生故障申报，中标人应在30分钟内电话服务应答，12个小时内现场维护响应和解决。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中标人能提供7*24小时通过远程、上门服务、电话、E-mail等方式为用户提供完善的售前和售后技术咨询服务；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提供项目巡检服务，巡检要求如下：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巡检范围：系统机房、主要设备、所有光纤电路。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巡检人员：中标人技术专家和厂家技术工程师。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定期巡检，提供定期巡检，每季度进行一次巡检并提交巡检报告。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八、其他要求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本项目需提供电子政务外网网络运维一体可视化管理服务,同时需按自治区《广西壮族自治区大数据发展局关于加快推进电子政务外网运维管理系统建设》文件要求完成本级电子政务外网运维管理系统与自治区运维管理系统的对接工作。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本项目需提供符合国家外网管理中心或自治区信息中心关于电子政务外网主要核心设备支持IPv6的配套服务。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本项目需根据最新颁布的《商用密码管理条例》</w:t>
            </w:r>
            <w:r>
              <w:rPr>
                <w:rFonts w:hint="eastAsia" w:ascii="宋体" w:hAnsi="宋体" w:eastAsia="宋体" w:cs="宋体"/>
                <w:color w:val="auto"/>
                <w:kern w:val="0"/>
                <w:szCs w:val="21"/>
                <w:highlight w:val="none"/>
                <w:lang w:eastAsia="zh-CN"/>
              </w:rPr>
              <w:t>于</w:t>
            </w:r>
            <w:r>
              <w:rPr>
                <w:rFonts w:hint="eastAsia" w:ascii="宋体" w:hAnsi="宋体" w:eastAsia="宋体" w:cs="宋体"/>
                <w:color w:val="auto"/>
                <w:kern w:val="0"/>
                <w:szCs w:val="21"/>
                <w:highlight w:val="none"/>
                <w:lang w:val="en-US" w:eastAsia="zh-CN"/>
              </w:rPr>
              <w:t>2025年12月31日前</w:t>
            </w:r>
            <w:r>
              <w:rPr>
                <w:rFonts w:hint="eastAsia" w:ascii="宋体" w:hAnsi="宋体" w:eastAsia="宋体" w:cs="宋体"/>
                <w:color w:val="auto"/>
                <w:kern w:val="0"/>
                <w:szCs w:val="21"/>
                <w:highlight w:val="none"/>
              </w:rPr>
              <w:t xml:space="preserve">完成国产商用密码测评工作并最终通过。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本项目所提供的配套安全服务应符合国家外网管理中心或自治区信息中心关于电子政务外网最新的安全防护能力要求。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本项目所购光纤线路必须100%覆盖市本级40</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个电子政务外网单位的接入，若办公场所发生变动，则中标方应服务期内无条件提供接入线路及接入层路由能力服务。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本项目接入单位光纤线路在实际使用过程中不超出所购买光纤接入线路总带宽的情况下，可以根据各单位的使用需求动态调整各单位的接入带宽，调整工作在2个自然日内完成。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本项目服务期内，互联网出口线路总带宽应可满足外网接入单位阶段性重点工作任务临时进行10个工作日扩容至10G的需求，扩容工作在2个工作日内完成。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本项目网络安全系统需达到信息安全等级保护三级要求，并在服务期内通过年度信息系统安全等级保护第三级测评。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如本次项目中标方与当前服务提供商单位不一致，须免费提供相应数量的机柜托管自治区外网管理中心部署在玉林市节点的设备，保证市级政务外网城域网建设不低于目前规模。同时，重新接通原政务部门电子政务外网更换传输/交换设备产生的费用与业主方和原服务提供商无关，由中标方承担。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投标报价要求：投标报价为采购人提供的所有服务报价，投标报价必须包括以下：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1年服务的价格；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项目必要的保险费用和各项税金；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运输、装卸、调试、培训、技术支持、售后服务、验收及采购文件所要求的相关服务以及合同的所有责任、义务和一般风险等费用；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项目验收产生的费用等其他费用的总和。</w:t>
            </w:r>
          </w:p>
        </w:tc>
      </w:tr>
    </w:tbl>
    <w:p w14:paraId="790CB260">
      <w:pPr>
        <w:rPr>
          <w:rFonts w:hint="eastAsia" w:ascii="宋体" w:hAnsi="宋体" w:cs="宋体"/>
          <w:b/>
          <w:bCs/>
          <w:color w:val="auto"/>
          <w:kern w:val="0"/>
          <w:sz w:val="24"/>
          <w:szCs w:val="24"/>
          <w:highlight w:val="none"/>
          <w:lang w:val="en-US" w:eastAsia="zh-CN"/>
        </w:rPr>
      </w:pPr>
    </w:p>
    <w:p w14:paraId="6B16EF63">
      <w:pPr>
        <w:rPr>
          <w:rFonts w:hint="eastAsia" w:ascii="宋体" w:hAnsi="宋体" w:eastAsia="宋体" w:cs="宋体"/>
          <w:b/>
          <w:bCs/>
          <w:color w:val="auto"/>
          <w:kern w:val="0"/>
          <w:szCs w:val="21"/>
          <w:highlight w:val="none"/>
          <w:lang w:eastAsia="zh-CN"/>
        </w:rPr>
      </w:pPr>
    </w:p>
    <w:p w14:paraId="6ADDC021">
      <w:pPr>
        <w:rPr>
          <w:rFonts w:hint="eastAsia" w:ascii="宋体" w:hAnsi="宋体" w:eastAsia="宋体" w:cs="宋体"/>
          <w:b/>
          <w:bCs/>
          <w:color w:val="auto"/>
          <w:kern w:val="0"/>
          <w:szCs w:val="21"/>
          <w:highlight w:val="none"/>
          <w:lang w:eastAsia="zh-CN"/>
        </w:rPr>
      </w:pPr>
    </w:p>
    <w:p w14:paraId="12FEF8D8">
      <w:pPr>
        <w:rPr>
          <w:rFonts w:hint="eastAsia" w:ascii="宋体" w:hAnsi="宋体" w:eastAsia="宋体" w:cs="宋体"/>
          <w:b/>
          <w:bCs/>
          <w:color w:val="auto"/>
          <w:kern w:val="0"/>
          <w:szCs w:val="21"/>
          <w:highlight w:val="none"/>
          <w:lang w:eastAsia="zh-CN"/>
        </w:rPr>
      </w:pPr>
    </w:p>
    <w:p w14:paraId="62C326CE">
      <w:pPr>
        <w:rPr>
          <w:rFonts w:hint="eastAsia" w:ascii="宋体" w:hAnsi="宋体" w:eastAsia="宋体" w:cs="宋体"/>
          <w:b/>
          <w:bCs/>
          <w:color w:val="auto"/>
          <w:kern w:val="0"/>
          <w:szCs w:val="21"/>
          <w:highlight w:val="none"/>
          <w:lang w:eastAsia="zh-CN"/>
        </w:rPr>
      </w:pPr>
    </w:p>
    <w:p w14:paraId="2223CC40">
      <w:pPr>
        <w:rPr>
          <w:rFonts w:hint="eastAsia" w:ascii="宋体" w:hAnsi="宋体" w:eastAsia="宋体" w:cs="宋体"/>
          <w:b/>
          <w:bCs/>
          <w:color w:val="auto"/>
          <w:kern w:val="0"/>
          <w:szCs w:val="21"/>
          <w:highlight w:val="none"/>
          <w:lang w:eastAsia="zh-CN"/>
        </w:rPr>
      </w:pPr>
    </w:p>
    <w:p w14:paraId="7BD34547">
      <w:pPr>
        <w:rPr>
          <w:rFonts w:hint="eastAsia" w:ascii="宋体" w:hAnsi="宋体" w:eastAsia="宋体" w:cs="宋体"/>
          <w:b/>
          <w:bCs/>
          <w:color w:val="auto"/>
          <w:kern w:val="0"/>
          <w:szCs w:val="21"/>
          <w:highlight w:val="none"/>
          <w:lang w:eastAsia="zh-CN"/>
        </w:rPr>
      </w:pPr>
    </w:p>
    <w:p w14:paraId="0B4B8F47">
      <w:pPr>
        <w:rPr>
          <w:rFonts w:hint="eastAsia" w:ascii="宋体" w:hAnsi="宋体" w:eastAsia="宋体" w:cs="宋体"/>
          <w:b/>
          <w:bCs/>
          <w:color w:val="auto"/>
          <w:kern w:val="0"/>
          <w:szCs w:val="21"/>
          <w:highlight w:val="none"/>
          <w:lang w:eastAsia="zh-CN"/>
        </w:rPr>
      </w:pPr>
    </w:p>
    <w:p w14:paraId="44C1C7CA">
      <w:pPr>
        <w:rPr>
          <w:rFonts w:hint="eastAsia" w:ascii="宋体" w:hAnsi="宋体" w:eastAsia="宋体" w:cs="宋体"/>
          <w:b/>
          <w:bCs/>
          <w:color w:val="auto"/>
          <w:kern w:val="0"/>
          <w:szCs w:val="21"/>
          <w:highlight w:val="none"/>
          <w:lang w:eastAsia="zh-CN"/>
        </w:rPr>
      </w:pPr>
    </w:p>
    <w:p w14:paraId="77901B8C">
      <w:pPr>
        <w:rPr>
          <w:rFonts w:hint="eastAsia" w:ascii="宋体" w:hAnsi="宋体" w:eastAsia="宋体" w:cs="宋体"/>
          <w:b/>
          <w:bCs/>
          <w:color w:val="auto"/>
          <w:kern w:val="0"/>
          <w:szCs w:val="21"/>
          <w:highlight w:val="none"/>
          <w:lang w:eastAsia="zh-CN"/>
        </w:rPr>
      </w:pPr>
    </w:p>
    <w:p w14:paraId="4BD67B14">
      <w:pPr>
        <w:rPr>
          <w:rFonts w:hint="eastAsia" w:ascii="宋体" w:hAnsi="宋体" w:eastAsia="宋体" w:cs="宋体"/>
          <w:b/>
          <w:bCs/>
          <w:color w:val="auto"/>
          <w:kern w:val="0"/>
          <w:szCs w:val="21"/>
          <w:highlight w:val="none"/>
          <w:lang w:eastAsia="zh-CN"/>
        </w:rPr>
      </w:pPr>
    </w:p>
    <w:p w14:paraId="799F372C">
      <w:pPr>
        <w:rPr>
          <w:rFonts w:hint="eastAsia" w:ascii="宋体" w:hAnsi="宋体" w:eastAsia="宋体" w:cs="宋体"/>
          <w:b/>
          <w:bCs/>
          <w:color w:val="auto"/>
          <w:kern w:val="0"/>
          <w:szCs w:val="21"/>
          <w:highlight w:val="none"/>
          <w:lang w:eastAsia="zh-CN"/>
        </w:rPr>
      </w:pPr>
    </w:p>
    <w:p w14:paraId="787C9979">
      <w:pPr>
        <w:rPr>
          <w:rFonts w:hint="eastAsia" w:ascii="宋体" w:hAnsi="宋体" w:eastAsia="宋体" w:cs="宋体"/>
          <w:b/>
          <w:bCs/>
          <w:color w:val="auto"/>
          <w:kern w:val="0"/>
          <w:szCs w:val="21"/>
          <w:highlight w:val="none"/>
          <w:lang w:eastAsia="zh-CN"/>
        </w:rPr>
      </w:pPr>
    </w:p>
    <w:p w14:paraId="43BB7A88">
      <w:pPr>
        <w:rPr>
          <w:rFonts w:hint="eastAsia" w:ascii="宋体" w:hAnsi="宋体" w:eastAsia="宋体" w:cs="宋体"/>
          <w:b/>
          <w:bCs/>
          <w:color w:val="auto"/>
          <w:kern w:val="0"/>
          <w:szCs w:val="21"/>
          <w:highlight w:val="none"/>
          <w:lang w:eastAsia="zh-CN"/>
        </w:rPr>
      </w:pPr>
    </w:p>
    <w:p w14:paraId="5A5DE058">
      <w:pPr>
        <w:rPr>
          <w:rFonts w:hint="eastAsia" w:ascii="宋体" w:hAnsi="宋体" w:eastAsia="宋体" w:cs="宋体"/>
          <w:b/>
          <w:bCs/>
          <w:color w:val="auto"/>
          <w:kern w:val="0"/>
          <w:szCs w:val="21"/>
          <w:highlight w:val="none"/>
          <w:lang w:eastAsia="zh-CN"/>
        </w:rPr>
      </w:pPr>
    </w:p>
    <w:p w14:paraId="5A4C007E">
      <w:pPr>
        <w:rPr>
          <w:rFonts w:hint="eastAsia" w:ascii="宋体" w:hAnsi="宋体" w:eastAsia="宋体" w:cs="宋体"/>
          <w:b/>
          <w:bCs/>
          <w:color w:val="auto"/>
          <w:kern w:val="0"/>
          <w:szCs w:val="21"/>
          <w:highlight w:val="none"/>
          <w:lang w:eastAsia="zh-CN"/>
        </w:rPr>
      </w:pPr>
    </w:p>
    <w:p w14:paraId="4F7453C9">
      <w:pPr>
        <w:rPr>
          <w:rFonts w:hint="eastAsia" w:ascii="宋体" w:hAnsi="宋体" w:eastAsia="宋体" w:cs="宋体"/>
          <w:b/>
          <w:bCs/>
          <w:color w:val="auto"/>
          <w:kern w:val="0"/>
          <w:szCs w:val="21"/>
          <w:highlight w:val="none"/>
          <w:lang w:eastAsia="zh-CN"/>
        </w:rPr>
      </w:pPr>
    </w:p>
    <w:p w14:paraId="165D37A6">
      <w:pPr>
        <w:rPr>
          <w:rFonts w:hint="eastAsia" w:ascii="宋体" w:hAnsi="宋体" w:eastAsia="宋体" w:cs="宋体"/>
          <w:b/>
          <w:bCs/>
          <w:color w:val="auto"/>
          <w:kern w:val="0"/>
          <w:szCs w:val="21"/>
          <w:highlight w:val="none"/>
          <w:lang w:eastAsia="zh-CN"/>
        </w:rPr>
      </w:pPr>
    </w:p>
    <w:p w14:paraId="74CC1C93">
      <w:pPr>
        <w:rPr>
          <w:rFonts w:hint="eastAsia" w:ascii="宋体" w:hAnsi="宋体" w:eastAsia="宋体" w:cs="宋体"/>
          <w:b/>
          <w:bCs/>
          <w:color w:val="auto"/>
          <w:kern w:val="0"/>
          <w:szCs w:val="21"/>
          <w:highlight w:val="none"/>
          <w:lang w:eastAsia="zh-CN"/>
        </w:rPr>
      </w:pPr>
    </w:p>
    <w:p w14:paraId="7992740F">
      <w:pPr>
        <w:rPr>
          <w:rFonts w:hint="eastAsia" w:ascii="宋体" w:hAnsi="宋体" w:eastAsia="宋体" w:cs="宋体"/>
          <w:b/>
          <w:bCs/>
          <w:color w:val="auto"/>
          <w:kern w:val="0"/>
          <w:szCs w:val="21"/>
          <w:highlight w:val="none"/>
          <w:lang w:eastAsia="zh-CN"/>
        </w:rPr>
      </w:pPr>
    </w:p>
    <w:p w14:paraId="31F1EB36">
      <w:pPr>
        <w:rPr>
          <w:rFonts w:hint="eastAsia" w:ascii="宋体" w:hAnsi="宋体" w:eastAsia="宋体" w:cs="宋体"/>
          <w:b/>
          <w:bCs/>
          <w:color w:val="auto"/>
          <w:kern w:val="0"/>
          <w:szCs w:val="21"/>
          <w:highlight w:val="none"/>
          <w:lang w:eastAsia="zh-CN"/>
        </w:rPr>
      </w:pPr>
    </w:p>
    <w:p w14:paraId="1BB3AFA3">
      <w:pPr>
        <w:rPr>
          <w:rFonts w:hint="eastAsia" w:ascii="宋体" w:hAnsi="宋体" w:eastAsia="宋体" w:cs="宋体"/>
          <w:b/>
          <w:bCs/>
          <w:color w:val="auto"/>
          <w:kern w:val="0"/>
          <w:szCs w:val="21"/>
          <w:highlight w:val="none"/>
          <w:lang w:eastAsia="zh-CN"/>
        </w:rPr>
      </w:pPr>
    </w:p>
    <w:p w14:paraId="76D761A1">
      <w:pPr>
        <w:rPr>
          <w:rFonts w:hint="eastAsia" w:ascii="宋体" w:hAnsi="宋体" w:eastAsia="宋体" w:cs="宋体"/>
          <w:b/>
          <w:bCs/>
          <w:color w:val="auto"/>
          <w:kern w:val="0"/>
          <w:szCs w:val="21"/>
          <w:highlight w:val="none"/>
          <w:lang w:eastAsia="zh-CN"/>
        </w:rPr>
      </w:pPr>
    </w:p>
    <w:p w14:paraId="161ADA8A">
      <w:pPr>
        <w:rPr>
          <w:rFonts w:hint="eastAsia" w:ascii="宋体" w:hAnsi="宋体" w:eastAsia="宋体" w:cs="宋体"/>
          <w:b/>
          <w:bCs/>
          <w:color w:val="auto"/>
          <w:kern w:val="0"/>
          <w:szCs w:val="21"/>
          <w:highlight w:val="none"/>
          <w:lang w:eastAsia="zh-CN"/>
        </w:rPr>
      </w:pPr>
    </w:p>
    <w:p w14:paraId="77EEF802">
      <w:pPr>
        <w:rPr>
          <w:rFonts w:hint="eastAsia" w:ascii="宋体" w:hAnsi="宋体" w:eastAsia="宋体" w:cs="宋体"/>
          <w:b/>
          <w:bCs/>
          <w:color w:val="auto"/>
          <w:kern w:val="0"/>
          <w:szCs w:val="21"/>
          <w:highlight w:val="none"/>
          <w:lang w:eastAsia="zh-CN"/>
        </w:rPr>
      </w:pPr>
    </w:p>
    <w:p w14:paraId="72419193">
      <w:pPr>
        <w:rPr>
          <w:rFonts w:hint="eastAsia" w:ascii="宋体" w:hAnsi="宋体" w:eastAsia="宋体" w:cs="宋体"/>
          <w:b/>
          <w:bCs/>
          <w:color w:val="auto"/>
          <w:kern w:val="0"/>
          <w:szCs w:val="21"/>
          <w:highlight w:val="none"/>
          <w:lang w:eastAsia="zh-CN"/>
        </w:rPr>
      </w:pPr>
    </w:p>
    <w:p w14:paraId="13B71672">
      <w:pPr>
        <w:rPr>
          <w:rFonts w:hint="eastAsia" w:ascii="宋体" w:hAnsi="宋体" w:eastAsia="宋体" w:cs="宋体"/>
          <w:b/>
          <w:bCs/>
          <w:color w:val="auto"/>
          <w:kern w:val="0"/>
          <w:szCs w:val="21"/>
          <w:highlight w:val="none"/>
          <w:lang w:eastAsia="zh-CN"/>
        </w:rPr>
      </w:pPr>
    </w:p>
    <w:p w14:paraId="54416927">
      <w:pPr>
        <w:rPr>
          <w:rFonts w:hint="eastAsia" w:ascii="宋体" w:hAnsi="宋体" w:eastAsia="宋体" w:cs="宋体"/>
          <w:b/>
          <w:bCs/>
          <w:color w:val="auto"/>
          <w:kern w:val="0"/>
          <w:szCs w:val="21"/>
          <w:highlight w:val="none"/>
          <w:lang w:eastAsia="zh-CN"/>
        </w:rPr>
      </w:pPr>
    </w:p>
    <w:p w14:paraId="4000CF04">
      <w:pPr>
        <w:rPr>
          <w:rFonts w:hint="eastAsia" w:ascii="宋体" w:hAnsi="宋体" w:eastAsia="宋体" w:cs="宋体"/>
          <w:b/>
          <w:bCs/>
          <w:color w:val="auto"/>
          <w:kern w:val="0"/>
          <w:szCs w:val="21"/>
          <w:highlight w:val="none"/>
          <w:lang w:eastAsia="zh-CN"/>
        </w:rPr>
      </w:pPr>
    </w:p>
    <w:p w14:paraId="7A2E1A6F">
      <w:pPr>
        <w:rPr>
          <w:rFonts w:hint="eastAsia" w:ascii="宋体" w:hAnsi="宋体" w:eastAsia="宋体" w:cs="宋体"/>
          <w:b/>
          <w:bCs/>
          <w:color w:val="auto"/>
          <w:kern w:val="0"/>
          <w:szCs w:val="21"/>
          <w:highlight w:val="none"/>
          <w:lang w:eastAsia="zh-CN"/>
        </w:rPr>
      </w:pPr>
    </w:p>
    <w:p w14:paraId="1B587AF5">
      <w:pPr>
        <w:rPr>
          <w:rFonts w:hint="eastAsia" w:ascii="宋体" w:hAnsi="宋体" w:eastAsia="宋体" w:cs="宋体"/>
          <w:b/>
          <w:bCs/>
          <w:color w:val="auto"/>
          <w:kern w:val="0"/>
          <w:szCs w:val="21"/>
          <w:highlight w:val="none"/>
          <w:lang w:eastAsia="zh-CN"/>
        </w:rPr>
      </w:pPr>
    </w:p>
    <w:p w14:paraId="1D5CCA60">
      <w:pPr>
        <w:rPr>
          <w:rFonts w:hint="eastAsia" w:ascii="宋体" w:hAnsi="宋体" w:eastAsia="宋体" w:cs="宋体"/>
          <w:b/>
          <w:bCs/>
          <w:color w:val="auto"/>
          <w:kern w:val="0"/>
          <w:szCs w:val="21"/>
          <w:highlight w:val="none"/>
          <w:lang w:eastAsia="zh-CN"/>
        </w:rPr>
      </w:pPr>
    </w:p>
    <w:p w14:paraId="4D5DB021">
      <w:pPr>
        <w:rPr>
          <w:rFonts w:hint="eastAsia" w:ascii="宋体" w:hAnsi="宋体" w:eastAsia="宋体" w:cs="宋体"/>
          <w:b/>
          <w:bCs/>
          <w:color w:val="auto"/>
          <w:kern w:val="0"/>
          <w:szCs w:val="21"/>
          <w:highlight w:val="none"/>
          <w:lang w:eastAsia="zh-CN"/>
        </w:rPr>
      </w:pPr>
    </w:p>
    <w:p w14:paraId="5D316912">
      <w:pPr>
        <w:rPr>
          <w:rFonts w:hint="eastAsia" w:ascii="宋体" w:hAnsi="宋体" w:eastAsia="宋体" w:cs="宋体"/>
          <w:b/>
          <w:bCs/>
          <w:color w:val="auto"/>
          <w:kern w:val="0"/>
          <w:szCs w:val="21"/>
          <w:highlight w:val="none"/>
          <w:lang w:eastAsia="zh-CN"/>
        </w:rPr>
      </w:pPr>
    </w:p>
    <w:p w14:paraId="23A6604F">
      <w:pPr>
        <w:rPr>
          <w:rFonts w:hint="eastAsia" w:ascii="宋体" w:hAnsi="宋体" w:eastAsia="宋体" w:cs="宋体"/>
          <w:b/>
          <w:bCs/>
          <w:color w:val="auto"/>
          <w:kern w:val="0"/>
          <w:szCs w:val="21"/>
          <w:highlight w:val="none"/>
          <w:lang w:eastAsia="zh-CN"/>
        </w:rPr>
      </w:pPr>
    </w:p>
    <w:p w14:paraId="6BDBDFCD">
      <w:pPr>
        <w:rPr>
          <w:rFonts w:hint="eastAsia" w:ascii="宋体" w:hAnsi="宋体" w:eastAsia="宋体" w:cs="宋体"/>
          <w:b/>
          <w:bCs/>
          <w:color w:val="auto"/>
          <w:kern w:val="0"/>
          <w:szCs w:val="21"/>
          <w:highlight w:val="none"/>
          <w:lang w:eastAsia="zh-CN"/>
        </w:rPr>
      </w:pPr>
    </w:p>
    <w:p w14:paraId="2CB2C807">
      <w:pPr>
        <w:rPr>
          <w:rFonts w:hint="eastAsia" w:ascii="宋体" w:hAnsi="宋体" w:eastAsia="宋体" w:cs="宋体"/>
          <w:b/>
          <w:bCs/>
          <w:color w:val="auto"/>
          <w:kern w:val="0"/>
          <w:szCs w:val="21"/>
          <w:highlight w:val="none"/>
          <w:lang w:eastAsia="zh-CN"/>
        </w:rPr>
      </w:pPr>
    </w:p>
    <w:p w14:paraId="7C9C3197">
      <w:pPr>
        <w:rPr>
          <w:rFonts w:hint="eastAsia" w:ascii="宋体" w:hAnsi="宋体" w:eastAsia="宋体" w:cs="宋体"/>
          <w:b/>
          <w:bCs/>
          <w:color w:val="auto"/>
          <w:kern w:val="0"/>
          <w:szCs w:val="21"/>
          <w:highlight w:val="none"/>
          <w:lang w:eastAsia="zh-CN"/>
        </w:rPr>
      </w:pPr>
    </w:p>
    <w:p w14:paraId="48BCE09D">
      <w:pPr>
        <w:pStyle w:val="7"/>
        <w:jc w:val="center"/>
        <w:rPr>
          <w:rFonts w:hint="eastAsia" w:ascii="宋体" w:hAnsi="宋体" w:cs="宋体"/>
          <w:color w:val="auto"/>
          <w:highlight w:val="none"/>
        </w:rPr>
      </w:pPr>
      <w:r>
        <w:rPr>
          <w:rFonts w:hint="eastAsia" w:ascii="宋体" w:hAnsi="宋体" w:cs="宋体"/>
          <w:color w:val="auto"/>
          <w:highlight w:val="none"/>
        </w:rPr>
        <w:t>第四章  评审程序、评审方法和评审标准</w:t>
      </w:r>
    </w:p>
    <w:p w14:paraId="1B67C59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F672AD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79B8857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67E06D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0AF1A9B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764EF7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BEA92A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480893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41EF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7947FF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3700B64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B7ABE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511F91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E9698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7DA2CFF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6E62CDF3">
      <w:pPr>
        <w:spacing w:line="360" w:lineRule="auto"/>
        <w:ind w:firstLine="420" w:firstLineChars="200"/>
        <w:rPr>
          <w:rFonts w:hint="eastAsia" w:ascii="宋体" w:hAnsi="宋体" w:cs="宋体"/>
          <w:color w:val="auto"/>
          <w:szCs w:val="21"/>
          <w:highlight w:val="none"/>
        </w:rPr>
      </w:pPr>
      <w:bookmarkStart w:id="74"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74"/>
    <w:p w14:paraId="41E6F4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8F8A65">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143B3B07">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571F0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8856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57D84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EB438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B4E06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F1E5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010C3D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1875B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44BCEE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450C89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603E1C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18F1A7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61973D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024878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6）商务条款中标“▲”的条款发生负偏离的或者允许负偏离的条款数超过“供应商须知前附表”规定项数的或者标明实质性的要求发生负偏离；</w:t>
      </w:r>
    </w:p>
    <w:p w14:paraId="7D6FF2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7）未对竞标有效期作出响应或者响应文件承诺的竞标有效期不满足磋商文件要求；</w:t>
      </w:r>
    </w:p>
    <w:p w14:paraId="5E729C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8）响应文件的实质性内容未使用中文表述、使用计量单位不符合磋商文件要求；</w:t>
      </w:r>
    </w:p>
    <w:p w14:paraId="68376D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9）响应文件中的文件资料因填写不齐全或者内容虚假或者出现其他情形而导致被磋商小组认定无效；</w:t>
      </w:r>
    </w:p>
    <w:p w14:paraId="270DAA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10）响应文件含有采购人不能接受的附加条件；</w:t>
      </w:r>
    </w:p>
    <w:p w14:paraId="1E91C9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11）属于“供应商须知正文”第7.5条情形；</w:t>
      </w:r>
    </w:p>
    <w:p w14:paraId="09D45D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12）技术需求允许负偏离的条款数超过“供应商须知前附表”规定项数；</w:t>
      </w:r>
    </w:p>
    <w:p w14:paraId="01D32F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13）虚假竞标，或者出现其他情形而导致被磋商小组认定无效；</w:t>
      </w:r>
    </w:p>
    <w:p w14:paraId="5ACC2F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14）竞标技术方案不明确，磋商文件未允许但响应文件中存在一个或者一个以上备选（替代）竞标方案；</w:t>
      </w:r>
    </w:p>
    <w:p w14:paraId="5A3B77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15）响应文件标注的项目名称或者项目编号与竞争性磋商文件标注的项目名称或者项目编号不一致的；</w:t>
      </w:r>
    </w:p>
    <w:p w14:paraId="5A0B6E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44EBDB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4623E1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71992D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报价商务技术文件中规定的“竞标报价表”；</w:t>
      </w:r>
    </w:p>
    <w:p w14:paraId="07981B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BE9BA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F3D0C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5" w:name="_Hlk42596405"/>
      <w:r>
        <w:rPr>
          <w:rFonts w:hint="eastAsia" w:ascii="宋体" w:hAnsi="宋体" w:cs="宋体"/>
          <w:color w:val="auto"/>
          <w:szCs w:val="21"/>
          <w:highlight w:val="none"/>
        </w:rPr>
        <w:t>竞标报价（包含首次报价、最后报价）</w:t>
      </w:r>
      <w:bookmarkEnd w:id="75"/>
      <w:bookmarkStart w:id="76" w:name="_Hlk42596276"/>
      <w:r>
        <w:rPr>
          <w:rFonts w:hint="eastAsia" w:ascii="宋体" w:hAnsi="宋体" w:cs="宋体"/>
          <w:color w:val="auto"/>
          <w:szCs w:val="21"/>
          <w:highlight w:val="none"/>
        </w:rPr>
        <w:t>超过磋商文件分项采购预算金额或者最高限价的</w:t>
      </w:r>
      <w:bookmarkEnd w:id="76"/>
      <w:r>
        <w:rPr>
          <w:rFonts w:hint="eastAsia" w:ascii="宋体" w:hAnsi="宋体" w:cs="宋体"/>
          <w:color w:val="auto"/>
          <w:szCs w:val="21"/>
          <w:highlight w:val="none"/>
        </w:rPr>
        <w:t>（如本项目公布了最高限价）；</w:t>
      </w:r>
    </w:p>
    <w:p w14:paraId="6AAC1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6BE19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209E1E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4CE69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4FDBB70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3F32B98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EB8CF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A3CD5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3.3对磋商文件作出的实质性变动是磋商文件的有效组成部分，由磋商小组及时以电子磋商记录形式同时通知所有参加磋商的供应商。</w:t>
      </w:r>
    </w:p>
    <w:p w14:paraId="27A01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1A0D5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3A59BC09">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5250462B">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47465433">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0F56789C">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507B8B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07A88D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p>
    <w:p w14:paraId="638B73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C16E8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EE6BB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5D0E63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7B3444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1A0F7A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2D8395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4A50B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64690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1724C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2E7580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4CC213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02F33D3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459997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25E1D2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32E4CD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546F05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1E071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9E89C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5FA5DFC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8CDA16F">
      <w:pPr>
        <w:spacing w:line="360" w:lineRule="auto"/>
        <w:ind w:firstLine="420" w:firstLineChars="200"/>
        <w:rPr>
          <w:rFonts w:hint="eastAsia" w:ascii="宋体" w:hAnsi="宋体" w:cs="宋体"/>
          <w:b/>
          <w:color w:val="auto"/>
          <w:sz w:val="32"/>
          <w:szCs w:val="32"/>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45D92">
      <w:pPr>
        <w:rPr>
          <w:color w:val="auto"/>
          <w:highlight w:val="none"/>
        </w:rPr>
      </w:pPr>
    </w:p>
    <w:p w14:paraId="4B20ED1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49444F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p w14:paraId="5E187825">
      <w:pPr>
        <w:spacing w:line="360" w:lineRule="auto"/>
        <w:ind w:firstLine="420" w:firstLineChars="200"/>
        <w:rPr>
          <w:rFonts w:hint="eastAsia" w:ascii="宋体" w:hAnsi="宋体" w:cs="宋体"/>
          <w:bCs/>
          <w:color w:val="auto"/>
          <w:szCs w:val="21"/>
          <w:highlight w:val="none"/>
        </w:rPr>
      </w:pPr>
    </w:p>
    <w:p w14:paraId="304EE04A">
      <w:pPr>
        <w:pStyle w:val="7"/>
        <w:rPr>
          <w:rFonts w:hint="eastAsia" w:ascii="宋体" w:hAnsi="宋体" w:cs="宋体"/>
          <w:bCs w:val="0"/>
          <w:color w:val="auto"/>
          <w:szCs w:val="21"/>
          <w:highlight w:val="none"/>
        </w:rPr>
      </w:pPr>
    </w:p>
    <w:p w14:paraId="0E3A0559">
      <w:pPr>
        <w:rPr>
          <w:rFonts w:hint="eastAsia" w:ascii="宋体" w:hAnsi="宋体" w:cs="宋体"/>
          <w:bCs w:val="0"/>
          <w:color w:val="auto"/>
          <w:szCs w:val="21"/>
          <w:highlight w:val="none"/>
        </w:rPr>
      </w:pPr>
    </w:p>
    <w:p w14:paraId="52A260DC">
      <w:pPr>
        <w:pStyle w:val="2"/>
        <w:rPr>
          <w:rFonts w:hint="eastAsia" w:ascii="宋体" w:hAnsi="宋体" w:cs="宋体"/>
          <w:bCs w:val="0"/>
          <w:color w:val="auto"/>
          <w:szCs w:val="21"/>
          <w:highlight w:val="none"/>
        </w:rPr>
      </w:pPr>
    </w:p>
    <w:p w14:paraId="732F9166">
      <w:pPr>
        <w:pStyle w:val="5"/>
        <w:rPr>
          <w:rFonts w:hint="eastAsia" w:ascii="宋体" w:hAnsi="宋体" w:cs="宋体"/>
          <w:bCs w:val="0"/>
          <w:color w:val="auto"/>
          <w:szCs w:val="21"/>
          <w:highlight w:val="none"/>
        </w:rPr>
      </w:pPr>
    </w:p>
    <w:p w14:paraId="37A38835">
      <w:pPr>
        <w:spacing w:line="360" w:lineRule="auto"/>
        <w:rPr>
          <w:rFonts w:hint="eastAsia" w:ascii="宋体" w:hAnsi="宋体" w:cs="宋体"/>
          <w:b/>
          <w:bCs w:val="0"/>
          <w:color w:val="auto"/>
          <w:sz w:val="24"/>
          <w:szCs w:val="24"/>
          <w:highlight w:val="none"/>
          <w:lang w:eastAsia="zh-CN"/>
        </w:rPr>
      </w:pPr>
    </w:p>
    <w:p w14:paraId="6E4C6E72">
      <w:pPr>
        <w:spacing w:line="360" w:lineRule="auto"/>
        <w:ind w:firstLine="3614" w:firstLineChars="1500"/>
        <w:rPr>
          <w:rFonts w:hint="eastAsia" w:ascii="宋体" w:hAnsi="宋体" w:cs="宋体"/>
          <w:b/>
          <w:bCs w:val="0"/>
          <w:color w:val="auto"/>
          <w:sz w:val="24"/>
          <w:szCs w:val="24"/>
          <w:highlight w:val="none"/>
          <w:lang w:eastAsia="zh-CN"/>
        </w:rPr>
      </w:pPr>
    </w:p>
    <w:tbl>
      <w:tblPr>
        <w:tblStyle w:val="33"/>
        <w:tblW w:w="9977" w:type="dxa"/>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707"/>
        <w:gridCol w:w="6801"/>
        <w:gridCol w:w="749"/>
      </w:tblGrid>
      <w:tr w14:paraId="5F00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0847B286">
            <w:pPr>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707" w:type="dxa"/>
            <w:noWrap w:val="0"/>
            <w:vAlign w:val="top"/>
          </w:tcPr>
          <w:p w14:paraId="3F0186C0">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评分类型</w:t>
            </w:r>
          </w:p>
        </w:tc>
        <w:tc>
          <w:tcPr>
            <w:tcW w:w="6801" w:type="dxa"/>
            <w:noWrap w:val="0"/>
            <w:vAlign w:val="top"/>
          </w:tcPr>
          <w:p w14:paraId="557A6FB3">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评分标准</w:t>
            </w:r>
          </w:p>
        </w:tc>
        <w:tc>
          <w:tcPr>
            <w:tcW w:w="749" w:type="dxa"/>
            <w:noWrap w:val="0"/>
            <w:vAlign w:val="top"/>
          </w:tcPr>
          <w:p w14:paraId="16A83B22">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分值</w:t>
            </w:r>
          </w:p>
        </w:tc>
      </w:tr>
      <w:tr w14:paraId="7529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EEE1DD9">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707" w:type="dxa"/>
            <w:noWrap w:val="0"/>
            <w:vAlign w:val="center"/>
          </w:tcPr>
          <w:p w14:paraId="12A15C1E">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价格分</w:t>
            </w:r>
          </w:p>
        </w:tc>
        <w:tc>
          <w:tcPr>
            <w:tcW w:w="6801" w:type="dxa"/>
            <w:noWrap w:val="0"/>
            <w:vAlign w:val="top"/>
          </w:tcPr>
          <w:p w14:paraId="125CE8FD">
            <w:pPr>
              <w:pStyle w:val="20"/>
              <w:spacing w:line="360" w:lineRule="auto"/>
              <w:rPr>
                <w:rFonts w:hAnsi="宋体" w:cs="宋体"/>
                <w:color w:val="auto"/>
                <w:kern w:val="2"/>
                <w:sz w:val="21"/>
                <w:highlight w:val="none"/>
              </w:rPr>
            </w:pPr>
            <w:r>
              <w:rPr>
                <w:rFonts w:hint="eastAsia" w:hAnsi="宋体" w:cs="宋体"/>
                <w:color w:val="auto"/>
                <w:kern w:val="2"/>
                <w:sz w:val="21"/>
                <w:highlight w:val="none"/>
              </w:rPr>
              <w:t>一、价格分计算方法</w:t>
            </w:r>
          </w:p>
          <w:p w14:paraId="67B686EC">
            <w:pPr>
              <w:pStyle w:val="20"/>
              <w:spacing w:line="360" w:lineRule="auto"/>
              <w:rPr>
                <w:rFonts w:hAnsi="宋体" w:cs="宋体"/>
                <w:color w:val="auto"/>
                <w:kern w:val="2"/>
                <w:sz w:val="21"/>
                <w:highlight w:val="none"/>
              </w:rPr>
            </w:pPr>
            <w:r>
              <w:rPr>
                <w:rFonts w:hint="eastAsia" w:hAnsi="宋体" w:cs="宋体"/>
                <w:color w:val="auto"/>
                <w:kern w:val="2"/>
                <w:sz w:val="21"/>
                <w:highlight w:val="none"/>
              </w:rPr>
              <w:t>1.政府采购政策扣除</w:t>
            </w:r>
          </w:p>
          <w:p w14:paraId="02F3ACAE">
            <w:pPr>
              <w:pStyle w:val="20"/>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供应商被评定为监狱企业或者残疾人福利性单位或者小型和微型企业且其所竞标全部产品为小型和微型企业产品的，该供应商的最后报价给予20%的扣除，扣除后的价格为评审价，即评审价=最后报价×（1-20%）；大中型企业和其他自然人、法人或者其他组织与小型、微型企业组成联合体竞标，且联合体协议中约定小型、微型企业的协议合同金额占到联合体协议合同总金额30%以上的，联合体最后报价给予4 %的扣除，扣除后的价格为评审价，即评审价=最后报价×（1- 4 %）；除上述情况外，评审价=最后报价；</w:t>
            </w:r>
          </w:p>
          <w:p w14:paraId="2CDFD210">
            <w:pPr>
              <w:pStyle w:val="20"/>
              <w:spacing w:line="360" w:lineRule="auto"/>
              <w:rPr>
                <w:rFonts w:hAnsi="宋体" w:cs="宋体"/>
                <w:color w:val="auto"/>
                <w:kern w:val="2"/>
                <w:sz w:val="21"/>
                <w:highlight w:val="none"/>
              </w:rPr>
            </w:pPr>
            <w:r>
              <w:rPr>
                <w:rFonts w:hint="eastAsia" w:hAnsi="宋体" w:cs="宋体"/>
                <w:color w:val="auto"/>
                <w:kern w:val="2"/>
                <w:sz w:val="21"/>
                <w:highlight w:val="none"/>
              </w:rPr>
              <w:t>2.磋商响应报价分采用低价优先法计算，满足磋商采购文件要求且评标价最低的有效供应商的评标价为评标基准价，其磋商响应报价分为满分。</w:t>
            </w:r>
          </w:p>
          <w:p w14:paraId="79424FE9">
            <w:pPr>
              <w:pStyle w:val="20"/>
              <w:spacing w:line="360" w:lineRule="auto"/>
              <w:rPr>
                <w:rFonts w:hAnsi="宋体" w:cs="宋体"/>
                <w:color w:val="auto"/>
                <w:kern w:val="2"/>
                <w:sz w:val="21"/>
                <w:highlight w:val="none"/>
              </w:rPr>
            </w:pPr>
            <w:r>
              <w:rPr>
                <w:rFonts w:hint="eastAsia" w:hAnsi="宋体" w:cs="宋体"/>
                <w:color w:val="auto"/>
                <w:kern w:val="2"/>
                <w:sz w:val="21"/>
                <w:highlight w:val="none"/>
              </w:rPr>
              <w:t>3.其他有效磋商供应商的价格分统一按照下列公式计算：</w:t>
            </w:r>
          </w:p>
          <w:p w14:paraId="0B865751">
            <w:pPr>
              <w:pStyle w:val="20"/>
              <w:spacing w:line="360" w:lineRule="auto"/>
              <w:rPr>
                <w:rFonts w:hAnsi="宋体" w:cs="宋体"/>
                <w:color w:val="auto"/>
                <w:kern w:val="2"/>
                <w:sz w:val="21"/>
                <w:highlight w:val="none"/>
              </w:rPr>
            </w:pPr>
            <w:r>
              <w:rPr>
                <w:rFonts w:hint="eastAsia" w:hAnsi="宋体" w:cs="宋体"/>
                <w:color w:val="auto"/>
                <w:kern w:val="2"/>
                <w:sz w:val="21"/>
                <w:highlight w:val="none"/>
              </w:rPr>
              <w:t>评审报价＝最后报价。</w:t>
            </w:r>
          </w:p>
          <w:p w14:paraId="0FAB77EB">
            <w:pPr>
              <w:pStyle w:val="20"/>
              <w:spacing w:line="360" w:lineRule="auto"/>
              <w:rPr>
                <w:rFonts w:hAnsi="宋体" w:cs="宋体"/>
                <w:color w:val="auto"/>
                <w:kern w:val="2"/>
                <w:sz w:val="21"/>
                <w:highlight w:val="none"/>
              </w:rPr>
            </w:pPr>
            <w:r>
              <w:rPr>
                <w:rFonts w:hint="eastAsia" w:hAnsi="宋体" w:cs="宋体"/>
                <w:color w:val="auto"/>
                <w:kern w:val="2"/>
                <w:sz w:val="21"/>
                <w:highlight w:val="none"/>
              </w:rPr>
              <w:t>以进入比较与评价环节的最低的评审报价为基准价，基准价得分为10分。</w:t>
            </w:r>
          </w:p>
          <w:p w14:paraId="59F978B6">
            <w:pPr>
              <w:pStyle w:val="20"/>
              <w:spacing w:line="360" w:lineRule="auto"/>
              <w:rPr>
                <w:rFonts w:hAnsi="宋体" w:cs="宋体"/>
                <w:color w:val="auto"/>
                <w:kern w:val="2"/>
                <w:sz w:val="21"/>
                <w:highlight w:val="none"/>
              </w:rPr>
            </w:pPr>
            <w:r>
              <w:rPr>
                <w:rFonts w:hint="eastAsia" w:hAnsi="宋体" w:cs="宋体"/>
                <w:color w:val="auto"/>
                <w:kern w:val="2"/>
                <w:sz w:val="21"/>
                <w:highlight w:val="none"/>
              </w:rPr>
              <w:t>价格分计算公式：</w:t>
            </w:r>
          </w:p>
          <w:p w14:paraId="183C4BF3">
            <w:pPr>
              <w:pStyle w:val="24"/>
              <w:rPr>
                <w:rFonts w:hint="eastAsia" w:ascii="宋体" w:hAnsi="宋体" w:cs="宋体"/>
                <w:bCs/>
                <w:color w:val="auto"/>
                <w:szCs w:val="21"/>
                <w:highlight w:val="none"/>
              </w:rPr>
            </w:pPr>
            <w:r>
              <w:rPr>
                <w:rFonts w:hint="eastAsia" w:ascii="宋体" w:hAnsi="宋体" w:cs="宋体"/>
                <w:color w:val="auto"/>
                <w:sz w:val="21"/>
                <w:szCs w:val="21"/>
                <w:highlight w:val="none"/>
              </w:rPr>
              <w:t xml:space="preserve">报价得分=（基准价/最后报价）×10分 </w:t>
            </w:r>
          </w:p>
        </w:tc>
        <w:tc>
          <w:tcPr>
            <w:tcW w:w="749" w:type="dxa"/>
            <w:noWrap w:val="0"/>
            <w:vAlign w:val="center"/>
          </w:tcPr>
          <w:p w14:paraId="65DBA5F6">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10分</w:t>
            </w:r>
          </w:p>
        </w:tc>
      </w:tr>
      <w:tr w14:paraId="3444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39312077">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707" w:type="dxa"/>
            <w:noWrap w:val="0"/>
            <w:vAlign w:val="top"/>
          </w:tcPr>
          <w:p w14:paraId="3820B2B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技术分</w:t>
            </w:r>
          </w:p>
        </w:tc>
        <w:tc>
          <w:tcPr>
            <w:tcW w:w="6801" w:type="dxa"/>
            <w:noWrap w:val="0"/>
            <w:vAlign w:val="center"/>
          </w:tcPr>
          <w:p w14:paraId="4A959E0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749" w:type="dxa"/>
            <w:noWrap w:val="0"/>
            <w:vAlign w:val="top"/>
          </w:tcPr>
          <w:p w14:paraId="456221F6">
            <w:pPr>
              <w:spacing w:line="360" w:lineRule="auto"/>
              <w:rPr>
                <w:rFonts w:hint="eastAsia" w:ascii="宋体" w:hAnsi="宋体" w:cs="宋体"/>
                <w:b/>
                <w:color w:val="auto"/>
                <w:szCs w:val="21"/>
                <w:highlight w:val="none"/>
              </w:rPr>
            </w:pPr>
            <w:r>
              <w:rPr>
                <w:rFonts w:ascii="宋体" w:hAnsi="宋体" w:cs="宋体"/>
                <w:b/>
                <w:color w:val="auto"/>
                <w:szCs w:val="21"/>
                <w:highlight w:val="none"/>
              </w:rPr>
              <w:t>73</w:t>
            </w:r>
            <w:r>
              <w:rPr>
                <w:rFonts w:hint="eastAsia" w:ascii="宋体" w:hAnsi="宋体" w:cs="宋体"/>
                <w:b/>
                <w:color w:val="auto"/>
                <w:szCs w:val="21"/>
                <w:highlight w:val="none"/>
              </w:rPr>
              <w:t>分</w:t>
            </w:r>
          </w:p>
        </w:tc>
      </w:tr>
      <w:tr w14:paraId="33A8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501A31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2.1</w:t>
            </w:r>
          </w:p>
        </w:tc>
        <w:tc>
          <w:tcPr>
            <w:tcW w:w="1707" w:type="dxa"/>
            <w:noWrap w:val="0"/>
            <w:vAlign w:val="center"/>
          </w:tcPr>
          <w:p w14:paraId="19B2D9D6">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技术方案分</w:t>
            </w:r>
          </w:p>
        </w:tc>
        <w:tc>
          <w:tcPr>
            <w:tcW w:w="6801" w:type="dxa"/>
            <w:noWrap w:val="0"/>
            <w:vAlign w:val="top"/>
          </w:tcPr>
          <w:p w14:paraId="42CEB7CF">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一档（5分）：方案一般，技术方案基本满足采购文件，没有明显技术错误，基本达到要求的和提供有简单的技术方案；</w:t>
            </w:r>
          </w:p>
          <w:p w14:paraId="0C3B14E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二档（12分）：方案较好，满足采购文件技术要求的和提供有简单的技术方案，有平台、网络至少两个子系统系统技术方案和功能及实现方式；</w:t>
            </w:r>
          </w:p>
          <w:p w14:paraId="14F1309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三档（18分）：方案良好，技术方案论述基本准确、内容较齐全、整体性较好，方案基本描述了平台、网络等各个子系统技术方案和功能及实现方式；</w:t>
            </w:r>
          </w:p>
          <w:p w14:paraId="462C586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档（25分）：方案优秀，技术方案论述准确，技术架构新，技术方案内容齐全，投标人能够提供市级电子政务外网的现状情况分析，并提供符合《广西电子政务外网技术规范（2022年修订版）》的技术标准的网络平台建设方案、市级城域网与广域网业务对接、路由设计方案、IP地址规划设计、域名系统设计、LRA数据中心系统设计等方案，方案整体符合采购人的实际状况、针对性强。</w:t>
            </w:r>
          </w:p>
          <w:p w14:paraId="5070FB2D">
            <w:pPr>
              <w:spacing w:line="360" w:lineRule="auto"/>
              <w:rPr>
                <w:rFonts w:hint="eastAsia" w:ascii="宋体" w:hAnsi="宋体" w:cs="宋体"/>
                <w:bCs/>
                <w:color w:val="auto"/>
                <w:szCs w:val="21"/>
                <w:highlight w:val="none"/>
              </w:rPr>
            </w:pPr>
            <w:r>
              <w:rPr>
                <w:rFonts w:hint="eastAsia" w:ascii="宋体" w:hAnsi="宋体" w:cs="宋体"/>
                <w:b/>
                <w:color w:val="auto"/>
                <w:szCs w:val="21"/>
                <w:highlight w:val="none"/>
              </w:rPr>
              <w:t>注：未提供方案的得 0 分。</w:t>
            </w:r>
          </w:p>
        </w:tc>
        <w:tc>
          <w:tcPr>
            <w:tcW w:w="749" w:type="dxa"/>
            <w:noWrap w:val="0"/>
            <w:vAlign w:val="center"/>
          </w:tcPr>
          <w:p w14:paraId="54ECF6F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25分</w:t>
            </w:r>
          </w:p>
        </w:tc>
      </w:tr>
      <w:tr w14:paraId="30EB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89CEF8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2.2</w:t>
            </w:r>
          </w:p>
        </w:tc>
        <w:tc>
          <w:tcPr>
            <w:tcW w:w="1707" w:type="dxa"/>
            <w:noWrap w:val="0"/>
            <w:vAlign w:val="center"/>
          </w:tcPr>
          <w:p w14:paraId="54DF8F8F">
            <w:pPr>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项目实施方案分</w:t>
            </w:r>
          </w:p>
        </w:tc>
        <w:tc>
          <w:tcPr>
            <w:tcW w:w="6801" w:type="dxa"/>
            <w:noWrap w:val="0"/>
            <w:vAlign w:val="top"/>
          </w:tcPr>
          <w:p w14:paraId="5B8020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一档（3分）：实施方案基本满足采购文件，没有明显技术错误，基本达到要求的和提供有简单的组织实施方案。</w:t>
            </w:r>
          </w:p>
          <w:p w14:paraId="76186C9D">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二档（6分）：满足采购文件技术要求的和提供有简单的组织实施方案，有基本的施工进度计划和工期保证措施，有基本的安全控制措施及实施质量控制保证方案，施工安装方案中含有各系统的基本描述的。</w:t>
            </w:r>
          </w:p>
          <w:p w14:paraId="71071E0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ascii="宋体" w:hAnsi="宋体" w:cs="宋体"/>
                <w:bCs/>
                <w:color w:val="auto"/>
                <w:szCs w:val="21"/>
                <w:highlight w:val="none"/>
              </w:rPr>
              <w:t>12</w:t>
            </w:r>
            <w:r>
              <w:rPr>
                <w:rFonts w:hint="eastAsia" w:ascii="宋体" w:hAnsi="宋体" w:cs="宋体"/>
                <w:bCs/>
                <w:color w:val="auto"/>
                <w:szCs w:val="21"/>
                <w:highlight w:val="none"/>
              </w:rPr>
              <w:t>分）：有较好的施工进度计划和工期保证措施；有较好的安全控制措施、实施质量控制方案及实施质量保证措施及质量管理程序，有各系统实施方案详细描述的。</w:t>
            </w:r>
          </w:p>
          <w:p w14:paraId="1CAE5DB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四档（1</w:t>
            </w:r>
            <w:r>
              <w:rPr>
                <w:rFonts w:ascii="宋体" w:hAnsi="宋体" w:cs="宋体"/>
                <w:bCs/>
                <w:color w:val="auto"/>
                <w:szCs w:val="21"/>
                <w:highlight w:val="none"/>
              </w:rPr>
              <w:t>8</w:t>
            </w:r>
            <w:r>
              <w:rPr>
                <w:rFonts w:hint="eastAsia" w:ascii="宋体" w:hAnsi="宋体" w:cs="宋体"/>
                <w:bCs/>
                <w:color w:val="auto"/>
                <w:szCs w:val="21"/>
                <w:highlight w:val="none"/>
              </w:rPr>
              <w:t>分）：有完善的施工进度计划和工期保证措施； 有完善的安全控制措施及实施质量控制方案，具有工程项目安全管理，实施质量保证措施及质量管理程序，提供相关施工安装方案，能提前完工及具有赶工计划，内容齐全、详细、可行，贴合采购人实际需求的，且为了确保项目实施质量及网络稳定性，供应商或供应商上级主管公司须提供网络测试仪、信号分析仪对通信网络加以测试。</w:t>
            </w:r>
          </w:p>
          <w:p w14:paraId="706306AF">
            <w:pPr>
              <w:spacing w:line="360" w:lineRule="auto"/>
              <w:rPr>
                <w:rFonts w:hint="eastAsia" w:ascii="宋体" w:hAnsi="宋体" w:cs="宋体"/>
                <w:bCs/>
                <w:color w:val="auto"/>
                <w:szCs w:val="21"/>
                <w:highlight w:val="none"/>
              </w:rPr>
            </w:pPr>
            <w:r>
              <w:rPr>
                <w:rFonts w:hint="eastAsia" w:ascii="宋体" w:hAnsi="宋体" w:cs="宋体"/>
                <w:b/>
                <w:color w:val="auto"/>
                <w:szCs w:val="21"/>
                <w:highlight w:val="none"/>
              </w:rPr>
              <w:t>注：未提供方案的得 0 分。</w:t>
            </w:r>
          </w:p>
        </w:tc>
        <w:tc>
          <w:tcPr>
            <w:tcW w:w="749" w:type="dxa"/>
            <w:noWrap w:val="0"/>
            <w:vAlign w:val="center"/>
          </w:tcPr>
          <w:p w14:paraId="74B286C1">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8</w:t>
            </w:r>
            <w:r>
              <w:rPr>
                <w:rFonts w:hint="eastAsia" w:ascii="宋体" w:hAnsi="宋体" w:cs="宋体"/>
                <w:bCs/>
                <w:color w:val="auto"/>
                <w:szCs w:val="21"/>
                <w:highlight w:val="none"/>
              </w:rPr>
              <w:t>分</w:t>
            </w:r>
          </w:p>
        </w:tc>
      </w:tr>
      <w:tr w14:paraId="648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F717D3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2.3</w:t>
            </w:r>
          </w:p>
        </w:tc>
        <w:tc>
          <w:tcPr>
            <w:tcW w:w="1707" w:type="dxa"/>
            <w:noWrap w:val="0"/>
            <w:vAlign w:val="center"/>
          </w:tcPr>
          <w:p w14:paraId="035BC686">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售后服务分</w:t>
            </w:r>
          </w:p>
        </w:tc>
        <w:tc>
          <w:tcPr>
            <w:tcW w:w="6801" w:type="dxa"/>
            <w:noWrap w:val="0"/>
            <w:vAlign w:val="top"/>
          </w:tcPr>
          <w:p w14:paraId="7C7DEFE1">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一档（6 分）：方案基本满足采购文件的和提供有简单的运维服务方案。</w:t>
            </w:r>
          </w:p>
          <w:p w14:paraId="3F66BCC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二档（12 分）：满足采购文件运维服务要求的和提供有简单的运维服务方案，有项目售后维护和应急保障方案。</w:t>
            </w:r>
          </w:p>
          <w:p w14:paraId="4DA6EFD5">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三档（20 分）：运维服务方案提供故障处理流程、维护保障流程及组织架构，提供免费服务电话和售后服务承诺且描述了项目运维服务和应急保障方案的方法以及实现方式，方案可行较详细及具备同类型项目应急保障服务能力，应急保障方案包含有线和无线备用解决方案。</w:t>
            </w:r>
          </w:p>
          <w:p w14:paraId="26D514A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档（30分）：售后服务方案详细、具体、有效，服务措施详实、针对性和实用性强，满足采购文件运维服务要求，运维服务方案对售后响应时间、故障修复时间和提供备用线路有描述，提供详细的运维服务故障处理流程、维护保障流程及组织架构，提供免费服务电话等售后服务内容，运维服务方案详细、完整及具备同类型项目应急保障服务能力，应急保障方案包含有线和无线备用解决方案，且供应商或供应商上级所属公司或供应商总公司具备良好的系统运维管理能力，有自主开发的运维系统，完全满足招标项目的需求的。</w:t>
            </w:r>
          </w:p>
          <w:p w14:paraId="4758BA74">
            <w:pPr>
              <w:spacing w:line="360" w:lineRule="auto"/>
              <w:rPr>
                <w:rFonts w:hint="eastAsia" w:ascii="宋体" w:hAnsi="宋体" w:cs="宋体"/>
                <w:bCs/>
                <w:color w:val="auto"/>
                <w:szCs w:val="21"/>
                <w:highlight w:val="none"/>
              </w:rPr>
            </w:pPr>
            <w:r>
              <w:rPr>
                <w:rFonts w:hint="eastAsia" w:ascii="宋体" w:hAnsi="宋体" w:cs="宋体"/>
                <w:b/>
                <w:color w:val="auto"/>
                <w:szCs w:val="21"/>
                <w:highlight w:val="none"/>
              </w:rPr>
              <w:t>注：未提供方案的得 0 分。</w:t>
            </w:r>
          </w:p>
        </w:tc>
        <w:tc>
          <w:tcPr>
            <w:tcW w:w="749" w:type="dxa"/>
            <w:noWrap w:val="0"/>
            <w:vAlign w:val="center"/>
          </w:tcPr>
          <w:p w14:paraId="1F56CC1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30分</w:t>
            </w:r>
          </w:p>
        </w:tc>
      </w:tr>
      <w:tr w14:paraId="61FF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2D3DDF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07" w:type="dxa"/>
            <w:noWrap w:val="0"/>
            <w:vAlign w:val="center"/>
          </w:tcPr>
          <w:p w14:paraId="33D3237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商务分</w:t>
            </w:r>
          </w:p>
        </w:tc>
        <w:tc>
          <w:tcPr>
            <w:tcW w:w="6801" w:type="dxa"/>
            <w:noWrap w:val="0"/>
            <w:vAlign w:val="center"/>
          </w:tcPr>
          <w:p w14:paraId="6A0804D1">
            <w:pPr>
              <w:spacing w:line="360" w:lineRule="auto"/>
              <w:ind w:firstLine="2108" w:firstLineChars="1000"/>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749" w:type="dxa"/>
            <w:noWrap w:val="0"/>
            <w:vAlign w:val="center"/>
          </w:tcPr>
          <w:p w14:paraId="695422ED">
            <w:pPr>
              <w:spacing w:line="360" w:lineRule="auto"/>
              <w:jc w:val="center"/>
              <w:rPr>
                <w:rFonts w:ascii="宋体" w:hAnsi="宋体" w:cs="宋体"/>
                <w:b/>
                <w:color w:val="auto"/>
                <w:szCs w:val="21"/>
                <w:highlight w:val="none"/>
              </w:rPr>
            </w:pPr>
            <w:r>
              <w:rPr>
                <w:rFonts w:ascii="宋体" w:hAnsi="宋体" w:cs="宋体"/>
                <w:b/>
                <w:color w:val="auto"/>
                <w:szCs w:val="21"/>
                <w:highlight w:val="none"/>
              </w:rPr>
              <w:t>17</w:t>
            </w:r>
            <w:r>
              <w:rPr>
                <w:rFonts w:hint="eastAsia" w:ascii="宋体" w:hAnsi="宋体" w:cs="宋体"/>
                <w:b/>
                <w:color w:val="auto"/>
                <w:szCs w:val="21"/>
                <w:highlight w:val="none"/>
              </w:rPr>
              <w:t>分</w:t>
            </w:r>
          </w:p>
        </w:tc>
      </w:tr>
      <w:tr w14:paraId="5A55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863B7C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3.1</w:t>
            </w:r>
          </w:p>
        </w:tc>
        <w:tc>
          <w:tcPr>
            <w:tcW w:w="1707" w:type="dxa"/>
            <w:noWrap w:val="0"/>
            <w:vAlign w:val="center"/>
          </w:tcPr>
          <w:p w14:paraId="52AD239D">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执行能力分</w:t>
            </w:r>
          </w:p>
        </w:tc>
        <w:tc>
          <w:tcPr>
            <w:tcW w:w="6801" w:type="dxa"/>
            <w:noWrap w:val="0"/>
            <w:vAlign w:val="top"/>
          </w:tcPr>
          <w:p w14:paraId="68C8827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(1）拟投入技术负责人具有信息系统项目管理师证书或数据库系统工程师证书或注册信息安全专业人员证书，每一个得1分，满分3分。</w:t>
            </w:r>
          </w:p>
          <w:p w14:paraId="230259D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(2）拟投入的实施负责人具有信息系统项目管理师证书或数据库系统工程师证书或软件设计师证书的，每一个得1分，满分3分。</w:t>
            </w:r>
          </w:p>
          <w:p w14:paraId="7399219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）实施团队其他人员[以上（1）-（</w:t>
            </w:r>
            <w:r>
              <w:rPr>
                <w:rFonts w:ascii="宋体" w:hAnsi="宋体" w:cs="宋体"/>
                <w:bCs/>
                <w:color w:val="auto"/>
                <w:szCs w:val="21"/>
                <w:highlight w:val="none"/>
              </w:rPr>
              <w:t>2</w:t>
            </w:r>
            <w:r>
              <w:rPr>
                <w:rFonts w:hint="eastAsia" w:ascii="宋体" w:hAnsi="宋体" w:cs="宋体"/>
                <w:bCs/>
                <w:color w:val="auto"/>
                <w:szCs w:val="21"/>
                <w:highlight w:val="none"/>
              </w:rPr>
              <w:t>）除外]（满分3分）</w:t>
            </w:r>
          </w:p>
          <w:p w14:paraId="41A302B5">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1）拟投入的实施团队人员持有信息系统项目管理高级工程师证书，每一个得1分，满分2分。</w:t>
            </w:r>
          </w:p>
          <w:p w14:paraId="584F75A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2）拟投入的实施团队人员持有系统集成管理师证书，每一个得0.5分，满分1分；</w:t>
            </w:r>
          </w:p>
          <w:p w14:paraId="4C68C418">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注：以上拟投入的人员须提供证书复印件及</w:t>
            </w:r>
            <w:r>
              <w:rPr>
                <w:rFonts w:hint="eastAsia" w:ascii="宋体" w:hAnsi="宋体" w:cs="宋体"/>
                <w:bCs/>
                <w:color w:val="auto"/>
                <w:szCs w:val="21"/>
                <w:highlight w:val="none"/>
              </w:rPr>
              <w:t>供应商</w:t>
            </w:r>
            <w:r>
              <w:rPr>
                <w:rFonts w:hint="eastAsia" w:ascii="宋体" w:hAnsi="宋体" w:cs="宋体"/>
                <w:color w:val="auto"/>
                <w:szCs w:val="21"/>
                <w:highlight w:val="none"/>
              </w:rPr>
              <w:t>或</w:t>
            </w:r>
            <w:r>
              <w:rPr>
                <w:rFonts w:hint="eastAsia" w:ascii="宋体" w:hAnsi="宋体" w:cs="宋体"/>
                <w:bCs/>
                <w:color w:val="auto"/>
                <w:szCs w:val="21"/>
                <w:highlight w:val="none"/>
              </w:rPr>
              <w:t>供应商</w:t>
            </w:r>
            <w:r>
              <w:rPr>
                <w:rFonts w:hint="eastAsia" w:ascii="宋体" w:hAnsi="宋体" w:cs="宋体"/>
                <w:color w:val="auto"/>
                <w:szCs w:val="21"/>
                <w:highlight w:val="none"/>
              </w:rPr>
              <w:t>上级所属公司或</w:t>
            </w:r>
            <w:r>
              <w:rPr>
                <w:rFonts w:hint="eastAsia" w:ascii="宋体" w:hAnsi="宋体" w:cs="宋体"/>
                <w:bCs/>
                <w:color w:val="auto"/>
                <w:szCs w:val="21"/>
                <w:highlight w:val="none"/>
              </w:rPr>
              <w:t>供应商</w:t>
            </w:r>
            <w:r>
              <w:rPr>
                <w:rFonts w:hint="eastAsia" w:ascii="宋体" w:hAnsi="宋体" w:cs="宋体"/>
                <w:color w:val="auto"/>
                <w:szCs w:val="21"/>
                <w:highlight w:val="none"/>
              </w:rPr>
              <w:t>总公司在最近半年为投入人员缴纳的任意连续三个月的社保缴纳证明材料复印件并加盖投标人单位电子公章。</w:t>
            </w:r>
          </w:p>
        </w:tc>
        <w:tc>
          <w:tcPr>
            <w:tcW w:w="749" w:type="dxa"/>
            <w:noWrap w:val="0"/>
            <w:vAlign w:val="center"/>
          </w:tcPr>
          <w:p w14:paraId="217A8031">
            <w:pPr>
              <w:spacing w:line="360" w:lineRule="auto"/>
              <w:jc w:val="center"/>
              <w:rPr>
                <w:rFonts w:ascii="宋体" w:hAnsi="宋体" w:cs="宋体"/>
                <w:bCs/>
                <w:color w:val="auto"/>
                <w:szCs w:val="21"/>
                <w:highlight w:val="none"/>
              </w:rPr>
            </w:pPr>
            <w:r>
              <w:rPr>
                <w:rFonts w:ascii="宋体" w:hAnsi="宋体" w:cs="宋体"/>
                <w:bCs/>
                <w:color w:val="auto"/>
                <w:szCs w:val="21"/>
                <w:highlight w:val="none"/>
              </w:rPr>
              <w:t>9</w:t>
            </w:r>
            <w:r>
              <w:rPr>
                <w:rFonts w:hint="eastAsia" w:ascii="宋体" w:hAnsi="宋体" w:cs="宋体"/>
                <w:bCs/>
                <w:color w:val="auto"/>
                <w:szCs w:val="21"/>
                <w:highlight w:val="none"/>
              </w:rPr>
              <w:t>分</w:t>
            </w:r>
          </w:p>
        </w:tc>
      </w:tr>
      <w:tr w14:paraId="5E37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D0D03F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3.2</w:t>
            </w:r>
          </w:p>
        </w:tc>
        <w:tc>
          <w:tcPr>
            <w:tcW w:w="1707" w:type="dxa"/>
            <w:noWrap w:val="0"/>
            <w:vAlign w:val="center"/>
          </w:tcPr>
          <w:p w14:paraId="5A5ECF9D">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信誉业绩分</w:t>
            </w:r>
          </w:p>
        </w:tc>
        <w:tc>
          <w:tcPr>
            <w:tcW w:w="6801" w:type="dxa"/>
            <w:noWrap w:val="0"/>
            <w:vAlign w:val="top"/>
          </w:tcPr>
          <w:p w14:paraId="62ABB3A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（1）供应商或供应商上级所属公司符合GB/T36733标准的服务质量评价认证证书，三星级得1分，四星得2分，五星得3分，满分</w:t>
            </w:r>
            <w:r>
              <w:rPr>
                <w:rFonts w:ascii="宋体" w:hAnsi="宋体" w:cs="宋体"/>
                <w:bCs/>
                <w:color w:val="auto"/>
                <w:szCs w:val="21"/>
                <w:highlight w:val="none"/>
              </w:rPr>
              <w:t>3</w:t>
            </w:r>
            <w:r>
              <w:rPr>
                <w:rFonts w:hint="eastAsia" w:ascii="宋体" w:hAnsi="宋体" w:cs="宋体"/>
                <w:bCs/>
                <w:color w:val="auto"/>
                <w:szCs w:val="21"/>
                <w:highlight w:val="none"/>
              </w:rPr>
              <w:t>分。（满分</w:t>
            </w:r>
            <w:r>
              <w:rPr>
                <w:rFonts w:ascii="宋体" w:hAnsi="宋体" w:cs="宋体"/>
                <w:bCs/>
                <w:color w:val="auto"/>
                <w:szCs w:val="21"/>
                <w:highlight w:val="none"/>
              </w:rPr>
              <w:t>3</w:t>
            </w:r>
            <w:r>
              <w:rPr>
                <w:rFonts w:hint="eastAsia" w:ascii="宋体" w:hAnsi="宋体" w:cs="宋体"/>
                <w:bCs/>
                <w:color w:val="auto"/>
                <w:szCs w:val="21"/>
                <w:highlight w:val="none"/>
              </w:rPr>
              <w:t>分）</w:t>
            </w:r>
          </w:p>
          <w:p w14:paraId="3805805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（2）供应商或供应商上级所属公司具备ISO22301业务连续性管理体系认证证书（认证范围包含网络与信息安全或网络托管业务或云平台的搭建及运营维护），得2分。</w:t>
            </w:r>
          </w:p>
          <w:p w14:paraId="0ACE148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（3）供应商在 2020年至今完成过类似的电子政务网络项目的（提供中标/成交通知书或合同复印件并加盖供应商公章），每提供一个得 1 分。（满分</w:t>
            </w:r>
            <w:r>
              <w:rPr>
                <w:rFonts w:ascii="宋体" w:hAnsi="宋体" w:cs="宋体"/>
                <w:bCs/>
                <w:color w:val="auto"/>
                <w:szCs w:val="21"/>
                <w:highlight w:val="none"/>
              </w:rPr>
              <w:t>3</w:t>
            </w:r>
            <w:r>
              <w:rPr>
                <w:rFonts w:hint="eastAsia" w:ascii="宋体" w:hAnsi="宋体" w:cs="宋体"/>
                <w:bCs/>
                <w:color w:val="auto"/>
                <w:szCs w:val="21"/>
                <w:highlight w:val="none"/>
              </w:rPr>
              <w:t>分）</w:t>
            </w:r>
          </w:p>
          <w:p w14:paraId="156C7DB1">
            <w:pPr>
              <w:pStyle w:val="5"/>
              <w:rPr>
                <w:rFonts w:hint="eastAsia"/>
                <w:color w:val="auto"/>
                <w:highlight w:val="none"/>
              </w:rPr>
            </w:pPr>
            <w:r>
              <w:rPr>
                <w:rFonts w:hint="eastAsia"/>
                <w:color w:val="auto"/>
                <w:highlight w:val="none"/>
                <w:lang w:eastAsia="zh-CN"/>
              </w:rPr>
              <w:t>注：分公司参加投标的，应当取得总公司授权，已取得授权的分公司，总公司取得的资质对分公司有效。</w:t>
            </w:r>
          </w:p>
        </w:tc>
        <w:tc>
          <w:tcPr>
            <w:tcW w:w="749" w:type="dxa"/>
            <w:noWrap w:val="0"/>
            <w:vAlign w:val="center"/>
          </w:tcPr>
          <w:p w14:paraId="74ECC4F5">
            <w:pPr>
              <w:spacing w:line="360" w:lineRule="auto"/>
              <w:jc w:val="center"/>
              <w:rPr>
                <w:rFonts w:ascii="宋体" w:hAnsi="宋体" w:cs="宋体"/>
                <w:bCs/>
                <w:color w:val="auto"/>
                <w:szCs w:val="21"/>
                <w:highlight w:val="none"/>
              </w:rPr>
            </w:pPr>
            <w:r>
              <w:rPr>
                <w:rFonts w:ascii="宋体" w:hAnsi="宋体" w:cs="宋体"/>
                <w:bCs/>
                <w:color w:val="auto"/>
                <w:szCs w:val="21"/>
                <w:highlight w:val="none"/>
              </w:rPr>
              <w:t>8</w:t>
            </w:r>
            <w:r>
              <w:rPr>
                <w:rFonts w:hint="eastAsia" w:ascii="宋体" w:hAnsi="宋体" w:cs="宋体"/>
                <w:bCs/>
                <w:color w:val="auto"/>
                <w:szCs w:val="21"/>
                <w:highlight w:val="none"/>
              </w:rPr>
              <w:t>分</w:t>
            </w:r>
          </w:p>
        </w:tc>
      </w:tr>
      <w:tr w14:paraId="31FD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7" w:type="dxa"/>
            <w:gridSpan w:val="4"/>
            <w:noWrap w:val="0"/>
            <w:vAlign w:val="top"/>
          </w:tcPr>
          <w:p w14:paraId="56563474">
            <w:pPr>
              <w:spacing w:line="360" w:lineRule="auto"/>
              <w:rPr>
                <w:rFonts w:ascii="宋体" w:hAnsi="宋体" w:cs="宋体"/>
                <w:bCs/>
                <w:color w:val="auto"/>
                <w:szCs w:val="21"/>
                <w:highlight w:val="none"/>
              </w:rPr>
            </w:pPr>
            <w:r>
              <w:rPr>
                <w:rFonts w:hint="eastAsia" w:ascii="宋体" w:hAnsi="宋体" w:cs="宋体"/>
                <w:b/>
                <w:color w:val="auto"/>
                <w:szCs w:val="21"/>
                <w:highlight w:val="none"/>
              </w:rPr>
              <w:t>总得分=1+2+3</w:t>
            </w:r>
          </w:p>
        </w:tc>
      </w:tr>
    </w:tbl>
    <w:p w14:paraId="0BF8F93D">
      <w:pPr>
        <w:spacing w:line="360" w:lineRule="auto"/>
        <w:ind w:firstLine="3795" w:firstLineChars="1800"/>
        <w:rPr>
          <w:rFonts w:hint="eastAsia" w:ascii="宋体" w:hAnsi="宋体" w:eastAsia="宋体" w:cs="宋体"/>
          <w:b/>
          <w:bCs w:val="0"/>
          <w:color w:val="auto"/>
          <w:szCs w:val="21"/>
          <w:highlight w:val="none"/>
          <w:lang w:eastAsia="zh-CN"/>
        </w:rPr>
      </w:pPr>
    </w:p>
    <w:p w14:paraId="2F0FE02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highlight w:val="none"/>
        </w:rPr>
      </w:pPr>
      <w:r>
        <w:rPr>
          <w:rFonts w:hint="eastAsia" w:ascii="宋体" w:hAnsi="宋体" w:cs="宋体"/>
          <w:color w:val="auto"/>
          <w:sz w:val="21"/>
          <w:szCs w:val="21"/>
          <w:highlight w:val="none"/>
        </w:rPr>
        <w:t>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信誉得分、服务需求偏离分均相同的，由磋商小组随机抽取推荐</w:t>
      </w:r>
      <w:r>
        <w:rPr>
          <w:rFonts w:hint="eastAsia" w:ascii="宋体" w:hAnsi="宋体" w:cs="宋体"/>
          <w:b/>
          <w:bCs/>
          <w:color w:val="auto"/>
          <w:sz w:val="21"/>
          <w:szCs w:val="21"/>
          <w:highlight w:val="none"/>
        </w:rPr>
        <w:t>。</w:t>
      </w:r>
      <w:r>
        <w:rPr>
          <w:rFonts w:hint="eastAsia" w:ascii="宋体" w:hAnsi="宋体" w:cs="宋体"/>
          <w:color w:val="auto"/>
          <w:highlight w:val="none"/>
        </w:rPr>
        <w:br w:type="page"/>
      </w:r>
      <w:bookmarkStart w:id="77" w:name="_Toc44229897"/>
      <w:r>
        <w:rPr>
          <w:rFonts w:hint="eastAsia" w:ascii="宋体" w:hAnsi="宋体" w:cs="宋体"/>
          <w:color w:val="auto"/>
          <w:highlight w:val="none"/>
          <w:lang w:val="en-US" w:eastAsia="zh-CN"/>
        </w:rPr>
        <w:t xml:space="preserve">                            </w:t>
      </w:r>
    </w:p>
    <w:p w14:paraId="37F60D88">
      <w:pPr>
        <w:pStyle w:val="7"/>
        <w:numPr>
          <w:ilvl w:val="0"/>
          <w:numId w:val="0"/>
        </w:numPr>
        <w:jc w:val="center"/>
        <w:rPr>
          <w:rFonts w:hint="eastAsia" w:ascii="宋体" w:hAnsi="宋体" w:cs="宋体"/>
          <w:color w:val="auto"/>
          <w:highlight w:val="none"/>
        </w:rPr>
      </w:pPr>
      <w:r>
        <w:rPr>
          <w:rFonts w:hint="eastAsia" w:ascii="宋体" w:hAnsi="宋体" w:cs="宋体"/>
          <w:color w:val="auto"/>
          <w:highlight w:val="none"/>
        </w:rPr>
        <w:t>第五章 响应文件格式</w:t>
      </w:r>
      <w:bookmarkEnd w:id="77"/>
    </w:p>
    <w:p w14:paraId="7BE5EFDB">
      <w:pPr>
        <w:spacing w:line="240" w:lineRule="atLeast"/>
        <w:rPr>
          <w:rFonts w:hint="eastAsia" w:ascii="宋体" w:hAnsi="宋体" w:cs="宋体"/>
          <w:bCs/>
          <w:color w:val="auto"/>
          <w:sz w:val="24"/>
          <w:highlight w:val="none"/>
        </w:rPr>
      </w:pPr>
    </w:p>
    <w:p w14:paraId="235D96D6">
      <w:pPr>
        <w:snapToGrid w:val="0"/>
        <w:spacing w:before="120" w:beforeLines="50" w:after="50"/>
        <w:jc w:val="center"/>
        <w:rPr>
          <w:rFonts w:hint="eastAsia" w:ascii="宋体" w:hAnsi="宋体" w:cs="宋体"/>
          <w:bCs/>
          <w:color w:val="auto"/>
          <w:sz w:val="32"/>
          <w:szCs w:val="32"/>
          <w:highlight w:val="none"/>
        </w:rPr>
      </w:pPr>
    </w:p>
    <w:p w14:paraId="661FE4FB">
      <w:pPr>
        <w:snapToGrid w:val="0"/>
        <w:spacing w:before="120" w:beforeLines="50" w:after="50" w:line="360" w:lineRule="auto"/>
        <w:outlineLvl w:val="1"/>
        <w:rPr>
          <w:rFonts w:hint="eastAsia" w:ascii="宋体" w:hAnsi="宋体" w:cs="宋体"/>
          <w:b/>
          <w:bCs/>
          <w:color w:val="auto"/>
          <w:sz w:val="32"/>
          <w:szCs w:val="32"/>
          <w:highlight w:val="none"/>
        </w:rPr>
      </w:pPr>
      <w:bookmarkStart w:id="78" w:name="_Toc35611516"/>
      <w:bookmarkStart w:id="79" w:name="_Toc31728084"/>
      <w:bookmarkStart w:id="80" w:name="_Toc31723070"/>
      <w:bookmarkStart w:id="81" w:name="_Toc44229899"/>
      <w:bookmarkStart w:id="82" w:name="_Toc35611438"/>
      <w:r>
        <w:rPr>
          <w:rFonts w:hint="eastAsia" w:ascii="宋体" w:hAnsi="宋体" w:cs="宋体"/>
          <w:b/>
          <w:bCs/>
          <w:color w:val="auto"/>
          <w:sz w:val="32"/>
          <w:szCs w:val="32"/>
          <w:highlight w:val="none"/>
        </w:rPr>
        <w:t>一、资格证明文件格式</w:t>
      </w:r>
      <w:bookmarkEnd w:id="78"/>
      <w:bookmarkEnd w:id="79"/>
      <w:bookmarkEnd w:id="80"/>
      <w:bookmarkEnd w:id="81"/>
      <w:bookmarkEnd w:id="82"/>
    </w:p>
    <w:p w14:paraId="5A477FFF">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1ED97315">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02AA19E">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75BE8037">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B71CAFA">
      <w:pPr>
        <w:snapToGrid w:val="0"/>
        <w:spacing w:before="120" w:beforeLines="50" w:after="50"/>
        <w:rPr>
          <w:rFonts w:hint="eastAsia" w:ascii="宋体" w:hAnsi="宋体" w:cs="宋体"/>
          <w:bCs/>
          <w:color w:val="auto"/>
          <w:sz w:val="24"/>
          <w:szCs w:val="20"/>
          <w:highlight w:val="none"/>
        </w:rPr>
      </w:pPr>
    </w:p>
    <w:p w14:paraId="58EA21EA">
      <w:pPr>
        <w:snapToGrid w:val="0"/>
        <w:spacing w:before="120" w:beforeLines="50" w:after="50"/>
        <w:rPr>
          <w:rFonts w:hint="eastAsia" w:ascii="宋体" w:hAnsi="宋体" w:cs="宋体"/>
          <w:bCs/>
          <w:color w:val="auto"/>
          <w:sz w:val="24"/>
          <w:szCs w:val="20"/>
          <w:highlight w:val="none"/>
        </w:rPr>
      </w:pPr>
    </w:p>
    <w:p w14:paraId="464D2AC3">
      <w:pPr>
        <w:snapToGrid w:val="0"/>
        <w:spacing w:before="120" w:beforeLines="50" w:after="50"/>
        <w:rPr>
          <w:rFonts w:hint="eastAsia" w:ascii="宋体" w:hAnsi="宋体" w:cs="宋体"/>
          <w:bCs/>
          <w:color w:val="auto"/>
          <w:sz w:val="24"/>
          <w:szCs w:val="20"/>
          <w:highlight w:val="none"/>
        </w:rPr>
      </w:pPr>
    </w:p>
    <w:p w14:paraId="3233E59A">
      <w:pPr>
        <w:snapToGrid w:val="0"/>
        <w:spacing w:before="120" w:beforeLines="50" w:after="50"/>
        <w:rPr>
          <w:rFonts w:hint="eastAsia" w:ascii="宋体" w:hAnsi="宋体" w:cs="宋体"/>
          <w:bCs/>
          <w:color w:val="auto"/>
          <w:sz w:val="24"/>
          <w:szCs w:val="20"/>
          <w:highlight w:val="none"/>
        </w:rPr>
      </w:pPr>
    </w:p>
    <w:p w14:paraId="5AA26719">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CA8E2E9">
      <w:pPr>
        <w:snapToGrid w:val="0"/>
        <w:spacing w:before="120" w:beforeLines="50" w:after="50"/>
        <w:ind w:firstLine="720" w:firstLineChars="225"/>
        <w:rPr>
          <w:rFonts w:hint="eastAsia" w:ascii="宋体" w:hAnsi="宋体" w:cs="宋体"/>
          <w:bCs/>
          <w:color w:val="auto"/>
          <w:sz w:val="32"/>
          <w:szCs w:val="32"/>
          <w:highlight w:val="none"/>
        </w:rPr>
      </w:pPr>
    </w:p>
    <w:p w14:paraId="7EE6B10C">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2FF0392">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3904697">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F8D2170">
      <w:pPr>
        <w:snapToGrid w:val="0"/>
        <w:spacing w:before="120" w:beforeLines="50" w:after="50"/>
        <w:ind w:firstLine="720" w:firstLineChars="225"/>
        <w:rPr>
          <w:rFonts w:hint="eastAsia" w:ascii="宋体" w:hAnsi="宋体" w:cs="宋体"/>
          <w:bCs/>
          <w:color w:val="auto"/>
          <w:sz w:val="32"/>
          <w:szCs w:val="32"/>
          <w:highlight w:val="none"/>
        </w:rPr>
      </w:pPr>
    </w:p>
    <w:p w14:paraId="3C6A69BD">
      <w:pPr>
        <w:pStyle w:val="9"/>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324C3DA">
      <w:pPr>
        <w:pStyle w:val="9"/>
        <w:snapToGrid w:val="0"/>
        <w:spacing w:before="50" w:after="50"/>
        <w:ind w:firstLine="720" w:firstLineChars="225"/>
        <w:rPr>
          <w:rFonts w:hint="eastAsia" w:ascii="宋体" w:hAnsi="宋体" w:cs="宋体"/>
          <w:bCs/>
          <w:color w:val="auto"/>
          <w:sz w:val="32"/>
          <w:szCs w:val="32"/>
          <w:highlight w:val="none"/>
        </w:rPr>
      </w:pPr>
    </w:p>
    <w:p w14:paraId="1AC5C0CF">
      <w:pPr>
        <w:pStyle w:val="9"/>
        <w:snapToGrid w:val="0"/>
        <w:spacing w:before="50" w:after="50"/>
        <w:ind w:firstLine="720" w:firstLineChars="225"/>
        <w:rPr>
          <w:rFonts w:hint="eastAsia" w:ascii="宋体" w:hAnsi="宋体" w:cs="宋体"/>
          <w:bCs/>
          <w:color w:val="auto"/>
          <w:sz w:val="32"/>
          <w:szCs w:val="32"/>
          <w:highlight w:val="none"/>
        </w:rPr>
      </w:pPr>
    </w:p>
    <w:p w14:paraId="522F34C9">
      <w:pPr>
        <w:pStyle w:val="9"/>
        <w:snapToGrid w:val="0"/>
        <w:spacing w:before="50" w:after="50"/>
        <w:ind w:firstLine="720" w:firstLineChars="225"/>
        <w:rPr>
          <w:rFonts w:hint="eastAsia" w:ascii="宋体" w:hAnsi="宋体" w:cs="宋体"/>
          <w:bCs/>
          <w:color w:val="auto"/>
          <w:sz w:val="32"/>
          <w:szCs w:val="32"/>
          <w:highlight w:val="none"/>
        </w:rPr>
      </w:pPr>
    </w:p>
    <w:p w14:paraId="5271CC01">
      <w:pPr>
        <w:pStyle w:val="9"/>
        <w:snapToGrid w:val="0"/>
        <w:spacing w:before="50" w:after="50"/>
        <w:ind w:firstLine="1280" w:firstLineChars="400"/>
        <w:rPr>
          <w:rFonts w:hint="eastAsia" w:ascii="宋体" w:hAnsi="宋体" w:cs="宋体"/>
          <w:bCs/>
          <w:color w:val="auto"/>
          <w:sz w:val="32"/>
          <w:szCs w:val="32"/>
          <w:highlight w:val="none"/>
        </w:rPr>
      </w:pPr>
    </w:p>
    <w:p w14:paraId="45B9287A">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0AC06F9D">
      <w:pPr>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22C1FA39">
      <w:pPr>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00BFA7C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80B65F7">
      <w:pPr>
        <w:spacing w:line="300" w:lineRule="auto"/>
        <w:rPr>
          <w:rFonts w:hint="eastAsia" w:ascii="宋体" w:hAnsi="宋体" w:cs="宋体"/>
          <w:color w:val="auto"/>
          <w:szCs w:val="21"/>
          <w:highlight w:val="none"/>
        </w:rPr>
      </w:pPr>
    </w:p>
    <w:p w14:paraId="6275CD5A">
      <w:pPr>
        <w:spacing w:line="300" w:lineRule="auto"/>
        <w:rPr>
          <w:rFonts w:hint="eastAsia" w:ascii="宋体" w:hAnsi="宋体" w:cs="宋体"/>
          <w:color w:val="auto"/>
          <w:szCs w:val="21"/>
          <w:highlight w:val="none"/>
        </w:rPr>
      </w:pPr>
    </w:p>
    <w:p w14:paraId="2BF7FAAA">
      <w:pPr>
        <w:spacing w:line="300" w:lineRule="auto"/>
        <w:rPr>
          <w:rFonts w:hint="eastAsia" w:ascii="宋体" w:hAnsi="宋体" w:cs="宋体"/>
          <w:color w:val="auto"/>
          <w:szCs w:val="21"/>
          <w:highlight w:val="none"/>
        </w:rPr>
      </w:pPr>
    </w:p>
    <w:p w14:paraId="7602FB22">
      <w:pPr>
        <w:spacing w:line="300" w:lineRule="auto"/>
        <w:rPr>
          <w:rFonts w:hint="eastAsia" w:ascii="宋体" w:hAnsi="宋体" w:cs="宋体"/>
          <w:color w:val="auto"/>
          <w:szCs w:val="21"/>
          <w:highlight w:val="none"/>
        </w:rPr>
      </w:pPr>
    </w:p>
    <w:p w14:paraId="5D29C7B2">
      <w:pPr>
        <w:spacing w:line="300" w:lineRule="auto"/>
        <w:rPr>
          <w:rFonts w:hint="eastAsia" w:ascii="宋体" w:hAnsi="宋体" w:cs="宋体"/>
          <w:color w:val="auto"/>
          <w:szCs w:val="21"/>
          <w:highlight w:val="none"/>
        </w:rPr>
      </w:pPr>
    </w:p>
    <w:p w14:paraId="5429ADF5">
      <w:pPr>
        <w:spacing w:line="300" w:lineRule="auto"/>
        <w:rPr>
          <w:rFonts w:hint="eastAsia" w:ascii="宋体" w:hAnsi="宋体" w:cs="宋体"/>
          <w:color w:val="auto"/>
          <w:szCs w:val="21"/>
          <w:highlight w:val="none"/>
        </w:rPr>
      </w:pPr>
    </w:p>
    <w:p w14:paraId="48909330">
      <w:pPr>
        <w:spacing w:line="300" w:lineRule="auto"/>
        <w:rPr>
          <w:rFonts w:hint="eastAsia" w:ascii="宋体" w:hAnsi="宋体" w:cs="宋体"/>
          <w:color w:val="auto"/>
          <w:szCs w:val="21"/>
          <w:highlight w:val="none"/>
        </w:rPr>
      </w:pPr>
    </w:p>
    <w:p w14:paraId="6C1919C0">
      <w:pPr>
        <w:spacing w:line="300" w:lineRule="auto"/>
        <w:rPr>
          <w:rFonts w:hint="eastAsia" w:ascii="宋体" w:hAnsi="宋体" w:cs="宋体"/>
          <w:color w:val="auto"/>
          <w:szCs w:val="21"/>
          <w:highlight w:val="none"/>
        </w:rPr>
      </w:pPr>
    </w:p>
    <w:p w14:paraId="32E5ADDF">
      <w:pPr>
        <w:spacing w:line="300" w:lineRule="auto"/>
        <w:rPr>
          <w:rFonts w:hint="eastAsia" w:ascii="宋体" w:hAnsi="宋体" w:cs="宋体"/>
          <w:color w:val="auto"/>
          <w:szCs w:val="21"/>
          <w:highlight w:val="none"/>
        </w:rPr>
      </w:pPr>
    </w:p>
    <w:p w14:paraId="63197E1C">
      <w:pPr>
        <w:spacing w:line="300" w:lineRule="auto"/>
        <w:rPr>
          <w:rFonts w:hint="eastAsia" w:ascii="宋体" w:hAnsi="宋体" w:cs="宋体"/>
          <w:color w:val="auto"/>
          <w:szCs w:val="21"/>
          <w:highlight w:val="none"/>
        </w:rPr>
      </w:pPr>
    </w:p>
    <w:p w14:paraId="2230676A">
      <w:pPr>
        <w:spacing w:line="300" w:lineRule="auto"/>
        <w:rPr>
          <w:rFonts w:hint="eastAsia" w:ascii="宋体" w:hAnsi="宋体" w:cs="宋体"/>
          <w:color w:val="auto"/>
          <w:szCs w:val="21"/>
          <w:highlight w:val="none"/>
        </w:rPr>
      </w:pPr>
    </w:p>
    <w:p w14:paraId="2A4FE559">
      <w:pPr>
        <w:spacing w:line="300" w:lineRule="auto"/>
        <w:rPr>
          <w:rFonts w:hint="eastAsia" w:ascii="宋体" w:hAnsi="宋体" w:cs="宋体"/>
          <w:color w:val="auto"/>
          <w:szCs w:val="21"/>
          <w:highlight w:val="none"/>
        </w:rPr>
      </w:pPr>
    </w:p>
    <w:p w14:paraId="15435937">
      <w:pPr>
        <w:spacing w:line="300" w:lineRule="auto"/>
        <w:rPr>
          <w:rFonts w:hint="eastAsia" w:ascii="宋体" w:hAnsi="宋体" w:cs="宋体"/>
          <w:color w:val="auto"/>
          <w:szCs w:val="21"/>
          <w:highlight w:val="none"/>
        </w:rPr>
      </w:pPr>
    </w:p>
    <w:p w14:paraId="58C135B0">
      <w:pPr>
        <w:spacing w:line="300" w:lineRule="auto"/>
        <w:rPr>
          <w:rFonts w:hint="eastAsia" w:ascii="宋体" w:hAnsi="宋体" w:cs="宋体"/>
          <w:color w:val="auto"/>
          <w:szCs w:val="21"/>
          <w:highlight w:val="none"/>
        </w:rPr>
      </w:pPr>
    </w:p>
    <w:p w14:paraId="45C35F32">
      <w:pPr>
        <w:spacing w:line="300" w:lineRule="auto"/>
        <w:rPr>
          <w:rFonts w:hint="eastAsia" w:ascii="宋体" w:hAnsi="宋体" w:cs="宋体"/>
          <w:color w:val="auto"/>
          <w:szCs w:val="21"/>
          <w:highlight w:val="none"/>
        </w:rPr>
      </w:pPr>
    </w:p>
    <w:p w14:paraId="4E882E3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3526FD7A">
      <w:pPr>
        <w:wordWrap w:val="0"/>
        <w:spacing w:before="120" w:beforeLines="50" w:after="50" w:line="320" w:lineRule="exact"/>
        <w:ind w:right="482" w:firstLine="210" w:firstLineChars="100"/>
        <w:contextualSpacing/>
        <w:jc w:val="center"/>
        <w:rPr>
          <w:rFonts w:hint="eastAsia" w:ascii="宋体" w:hAnsi="宋体" w:cs="宋体"/>
          <w:color w:val="auto"/>
          <w:szCs w:val="21"/>
          <w:highlight w:val="none"/>
        </w:rPr>
      </w:pPr>
    </w:p>
    <w:p w14:paraId="6523D079">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60872BAF">
      <w:pPr>
        <w:snapToGrid w:val="0"/>
        <w:spacing w:before="120" w:beforeLines="50" w:after="50" w:line="360" w:lineRule="auto"/>
        <w:jc w:val="center"/>
        <w:rPr>
          <w:rFonts w:hint="eastAsia" w:ascii="宋体" w:hAnsi="宋体" w:cs="宋体"/>
          <w:b/>
          <w:color w:val="auto"/>
          <w:sz w:val="24"/>
          <w:highlight w:val="none"/>
        </w:rPr>
      </w:pPr>
    </w:p>
    <w:p w14:paraId="155B1C4C">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684E1AC5">
      <w:pPr>
        <w:spacing w:line="360" w:lineRule="auto"/>
        <w:contextualSpacing/>
        <w:jc w:val="center"/>
        <w:rPr>
          <w:rFonts w:hint="eastAsia" w:ascii="宋体" w:hAnsi="宋体" w:cs="宋体"/>
          <w:b/>
          <w:color w:val="auto"/>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9F6B7F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E37D5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D819D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1F0E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0A78B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54DD7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2FCB12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A2B77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4B6C3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38699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D6DD7A">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05E398">
            <w:pPr>
              <w:widowControl/>
              <w:spacing w:line="360" w:lineRule="auto"/>
              <w:contextualSpacing/>
              <w:jc w:val="center"/>
              <w:rPr>
                <w:rFonts w:hint="eastAsia" w:ascii="宋体" w:hAnsi="宋体" w:cs="宋体"/>
                <w:color w:val="auto"/>
                <w:kern w:val="0"/>
                <w:sz w:val="24"/>
                <w:highlight w:val="none"/>
              </w:rPr>
            </w:pPr>
          </w:p>
        </w:tc>
      </w:tr>
      <w:tr w14:paraId="0A02A4B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F2094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6A194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6154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6CC9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A52C09">
            <w:pPr>
              <w:widowControl/>
              <w:spacing w:line="360" w:lineRule="auto"/>
              <w:contextualSpacing/>
              <w:jc w:val="center"/>
              <w:rPr>
                <w:rFonts w:hint="eastAsia" w:ascii="宋体" w:hAnsi="宋体" w:cs="宋体"/>
                <w:color w:val="auto"/>
                <w:kern w:val="0"/>
                <w:sz w:val="24"/>
                <w:highlight w:val="none"/>
              </w:rPr>
            </w:pPr>
          </w:p>
        </w:tc>
      </w:tr>
      <w:tr w14:paraId="40238A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5B46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01315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DB405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37526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DE0220">
            <w:pPr>
              <w:widowControl/>
              <w:spacing w:line="360" w:lineRule="auto"/>
              <w:contextualSpacing/>
              <w:jc w:val="center"/>
              <w:rPr>
                <w:rFonts w:hint="eastAsia" w:ascii="宋体" w:hAnsi="宋体" w:cs="宋体"/>
                <w:color w:val="auto"/>
                <w:kern w:val="0"/>
                <w:sz w:val="24"/>
                <w:highlight w:val="none"/>
              </w:rPr>
            </w:pPr>
          </w:p>
        </w:tc>
      </w:tr>
      <w:tr w14:paraId="14526AF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0F593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69D64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B7B33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30CC3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590CCC">
            <w:pPr>
              <w:widowControl/>
              <w:spacing w:line="360" w:lineRule="auto"/>
              <w:contextualSpacing/>
              <w:jc w:val="center"/>
              <w:rPr>
                <w:rFonts w:hint="eastAsia" w:ascii="宋体" w:hAnsi="宋体" w:cs="宋体"/>
                <w:color w:val="auto"/>
                <w:kern w:val="0"/>
                <w:sz w:val="24"/>
                <w:highlight w:val="none"/>
              </w:rPr>
            </w:pPr>
          </w:p>
        </w:tc>
      </w:tr>
    </w:tbl>
    <w:p w14:paraId="6AA901F2">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8A2FE9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6A4881">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BB995B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05A6B06B">
      <w:pPr>
        <w:snapToGrid w:val="0"/>
        <w:spacing w:line="360" w:lineRule="auto"/>
        <w:jc w:val="left"/>
        <w:rPr>
          <w:rFonts w:hint="eastAsia" w:ascii="宋体" w:hAnsi="宋体" w:cs="宋体"/>
          <w:color w:val="auto"/>
          <w:sz w:val="24"/>
          <w:highlight w:val="none"/>
        </w:rPr>
      </w:pPr>
    </w:p>
    <w:p w14:paraId="789FE1A3">
      <w:pPr>
        <w:snapToGrid w:val="0"/>
        <w:spacing w:line="360" w:lineRule="auto"/>
        <w:jc w:val="left"/>
        <w:rPr>
          <w:rFonts w:hint="eastAsia" w:ascii="宋体" w:hAnsi="宋体" w:cs="宋体"/>
          <w:color w:val="auto"/>
          <w:sz w:val="24"/>
          <w:highlight w:val="none"/>
        </w:rPr>
      </w:pPr>
    </w:p>
    <w:p w14:paraId="6DEA74B8">
      <w:pPr>
        <w:snapToGrid w:val="0"/>
        <w:spacing w:line="360" w:lineRule="auto"/>
        <w:jc w:val="left"/>
        <w:rPr>
          <w:rFonts w:hint="eastAsia" w:ascii="宋体" w:hAnsi="宋体" w:cs="宋体"/>
          <w:color w:val="auto"/>
          <w:sz w:val="24"/>
          <w:highlight w:val="none"/>
        </w:rPr>
      </w:pPr>
    </w:p>
    <w:p w14:paraId="62323C80">
      <w:pPr>
        <w:snapToGrid w:val="0"/>
        <w:spacing w:before="120" w:beforeLines="50" w:line="360" w:lineRule="auto"/>
        <w:ind w:right="480"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56EB7AC">
      <w:pPr>
        <w:snapToGrid w:val="0"/>
        <w:spacing w:before="120" w:beforeLines="50" w:after="50" w:line="360" w:lineRule="auto"/>
        <w:ind w:right="480" w:firstLine="3000" w:firstLineChars="1250"/>
        <w:rPr>
          <w:rFonts w:hint="eastAsia" w:ascii="宋体" w:hAnsi="宋体" w:cs="宋体"/>
          <w:color w:val="auto"/>
          <w:sz w:val="24"/>
          <w:highlight w:val="none"/>
          <w:u w:val="single"/>
        </w:rPr>
      </w:pPr>
      <w:r>
        <w:rPr>
          <w:rFonts w:hint="eastAsia" w:ascii="宋体" w:hAnsi="宋体" w:cs="宋体"/>
          <w:color w:val="auto"/>
          <w:sz w:val="24"/>
          <w:highlight w:val="none"/>
        </w:rPr>
        <w:t>供应商（公章或电子签章 ）：</w:t>
      </w:r>
      <w:r>
        <w:rPr>
          <w:rFonts w:hint="eastAsia" w:ascii="宋体" w:hAnsi="宋体" w:cs="宋体"/>
          <w:color w:val="auto"/>
          <w:sz w:val="24"/>
          <w:highlight w:val="none"/>
          <w:u w:val="single"/>
        </w:rPr>
        <w:t xml:space="preserve">                              </w:t>
      </w:r>
    </w:p>
    <w:p w14:paraId="37D7F47A">
      <w:pPr>
        <w:snapToGrid w:val="0"/>
        <w:spacing w:before="120"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960B2FD">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EF818AA">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2A14B5EB">
      <w:pPr>
        <w:snapToGrid w:val="0"/>
        <w:spacing w:line="360" w:lineRule="auto"/>
        <w:jc w:val="center"/>
        <w:rPr>
          <w:rFonts w:hint="eastAsia" w:ascii="宋体" w:hAnsi="宋体" w:cs="宋体"/>
          <w:b/>
          <w:color w:val="auto"/>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953E2F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49428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50D55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D3CC8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507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184BF3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5D5B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D863AE">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EF8B5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0DDE51">
            <w:pPr>
              <w:widowControl/>
              <w:spacing w:line="360" w:lineRule="auto"/>
              <w:contextualSpacing/>
              <w:jc w:val="center"/>
              <w:rPr>
                <w:rFonts w:hint="eastAsia" w:ascii="宋体" w:hAnsi="宋体" w:cs="宋体"/>
                <w:color w:val="auto"/>
                <w:kern w:val="0"/>
                <w:sz w:val="24"/>
                <w:highlight w:val="none"/>
              </w:rPr>
            </w:pPr>
          </w:p>
        </w:tc>
      </w:tr>
      <w:tr w14:paraId="3BC70E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086B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B724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12900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6CB95">
            <w:pPr>
              <w:widowControl/>
              <w:spacing w:line="360" w:lineRule="auto"/>
              <w:contextualSpacing/>
              <w:jc w:val="center"/>
              <w:rPr>
                <w:rFonts w:hint="eastAsia" w:ascii="宋体" w:hAnsi="宋体" w:cs="宋体"/>
                <w:color w:val="auto"/>
                <w:kern w:val="0"/>
                <w:sz w:val="24"/>
                <w:highlight w:val="none"/>
              </w:rPr>
            </w:pPr>
          </w:p>
        </w:tc>
      </w:tr>
      <w:tr w14:paraId="28D05B4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7D16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2C16ED">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352A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7A078A">
            <w:pPr>
              <w:widowControl/>
              <w:spacing w:line="360" w:lineRule="auto"/>
              <w:contextualSpacing/>
              <w:jc w:val="center"/>
              <w:rPr>
                <w:rFonts w:hint="eastAsia" w:ascii="宋体" w:hAnsi="宋体" w:cs="宋体"/>
                <w:color w:val="auto"/>
                <w:kern w:val="0"/>
                <w:sz w:val="24"/>
                <w:highlight w:val="none"/>
              </w:rPr>
            </w:pPr>
          </w:p>
        </w:tc>
      </w:tr>
      <w:tr w14:paraId="13A9470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495A7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03403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ABC8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B57E8B">
            <w:pPr>
              <w:widowControl/>
              <w:spacing w:line="360" w:lineRule="auto"/>
              <w:contextualSpacing/>
              <w:jc w:val="center"/>
              <w:rPr>
                <w:rFonts w:hint="eastAsia" w:ascii="宋体" w:hAnsi="宋体" w:cs="宋体"/>
                <w:color w:val="auto"/>
                <w:kern w:val="0"/>
                <w:sz w:val="24"/>
                <w:highlight w:val="none"/>
              </w:rPr>
            </w:pPr>
          </w:p>
        </w:tc>
      </w:tr>
    </w:tbl>
    <w:p w14:paraId="3B5DD12B">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A2BF70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0A98A05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E9A10E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093375E4">
      <w:pPr>
        <w:spacing w:line="360" w:lineRule="auto"/>
        <w:contextualSpacing/>
        <w:jc w:val="left"/>
        <w:rPr>
          <w:rFonts w:hint="eastAsia" w:ascii="宋体" w:hAnsi="宋体" w:cs="宋体"/>
          <w:color w:val="auto"/>
          <w:sz w:val="24"/>
          <w:highlight w:val="none"/>
        </w:rPr>
      </w:pPr>
    </w:p>
    <w:p w14:paraId="4D82D6E4">
      <w:pPr>
        <w:spacing w:line="360" w:lineRule="auto"/>
        <w:contextualSpacing/>
        <w:jc w:val="left"/>
        <w:rPr>
          <w:rFonts w:hint="eastAsia" w:ascii="宋体" w:hAnsi="宋体" w:cs="宋体"/>
          <w:color w:val="auto"/>
          <w:sz w:val="24"/>
          <w:highlight w:val="none"/>
        </w:rPr>
      </w:pPr>
    </w:p>
    <w:p w14:paraId="1286E06B">
      <w:pPr>
        <w:spacing w:line="360" w:lineRule="auto"/>
        <w:contextualSpacing/>
        <w:jc w:val="left"/>
        <w:rPr>
          <w:rFonts w:hint="eastAsia" w:ascii="宋体" w:hAnsi="宋体" w:cs="宋体"/>
          <w:color w:val="auto"/>
          <w:sz w:val="24"/>
          <w:highlight w:val="none"/>
        </w:rPr>
      </w:pPr>
    </w:p>
    <w:p w14:paraId="1F699BDE">
      <w:pPr>
        <w:spacing w:line="360" w:lineRule="auto"/>
        <w:contextualSpacing/>
        <w:jc w:val="left"/>
        <w:rPr>
          <w:rFonts w:hint="eastAsia" w:ascii="宋体" w:hAnsi="宋体" w:cs="宋体"/>
          <w:color w:val="auto"/>
          <w:sz w:val="24"/>
          <w:highlight w:val="none"/>
        </w:rPr>
      </w:pPr>
    </w:p>
    <w:p w14:paraId="52C2D92F">
      <w:pPr>
        <w:spacing w:line="360" w:lineRule="auto"/>
        <w:contextualSpacing/>
        <w:jc w:val="left"/>
        <w:rPr>
          <w:rFonts w:hint="eastAsia" w:ascii="宋体" w:hAnsi="宋体" w:cs="宋体"/>
          <w:color w:val="auto"/>
          <w:sz w:val="24"/>
          <w:highlight w:val="none"/>
        </w:rPr>
      </w:pPr>
    </w:p>
    <w:p w14:paraId="7444AD11">
      <w:pPr>
        <w:spacing w:line="360" w:lineRule="auto"/>
        <w:contextualSpacing/>
        <w:jc w:val="left"/>
        <w:rPr>
          <w:rFonts w:hint="eastAsia" w:ascii="宋体" w:hAnsi="宋体" w:cs="宋体"/>
          <w:color w:val="auto"/>
          <w:sz w:val="24"/>
          <w:highlight w:val="none"/>
        </w:rPr>
      </w:pPr>
    </w:p>
    <w:p w14:paraId="4D7EA7BC">
      <w:pPr>
        <w:spacing w:line="360" w:lineRule="auto"/>
        <w:ind w:right="480" w:firstLine="2160" w:firstLineChars="900"/>
        <w:contextualSpacing/>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52F0643F">
      <w:pPr>
        <w:spacing w:line="360" w:lineRule="auto"/>
        <w:ind w:right="480" w:firstLine="3360" w:firstLineChars="1400"/>
        <w:contextualSpacing/>
        <w:rPr>
          <w:rFonts w:hint="eastAsia" w:ascii="宋体" w:hAnsi="宋体" w:cs="宋体"/>
          <w:color w:val="auto"/>
          <w:sz w:val="24"/>
          <w:highlight w:val="none"/>
        </w:rPr>
      </w:pPr>
      <w:r>
        <w:rPr>
          <w:rFonts w:hint="eastAsia" w:ascii="宋体" w:hAnsi="宋体" w:cs="宋体"/>
          <w:color w:val="auto"/>
          <w:sz w:val="24"/>
          <w:highlight w:val="none"/>
        </w:rPr>
        <w:t>供应商（公章或电子签章）：</w:t>
      </w:r>
      <w:r>
        <w:rPr>
          <w:rFonts w:hint="eastAsia" w:ascii="宋体" w:hAnsi="宋体" w:cs="宋体"/>
          <w:color w:val="auto"/>
          <w:sz w:val="24"/>
          <w:highlight w:val="none"/>
          <w:u w:val="single"/>
        </w:rPr>
        <w:t xml:space="preserve">                </w:t>
      </w:r>
    </w:p>
    <w:p w14:paraId="3D35759A">
      <w:pPr>
        <w:spacing w:line="360" w:lineRule="auto"/>
        <w:ind w:right="480"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0FF9BD9F">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3BFEADCD">
      <w:pPr>
        <w:spacing w:line="320" w:lineRule="exact"/>
        <w:jc w:val="center"/>
        <w:rPr>
          <w:rFonts w:hint="eastAsia" w:ascii="宋体" w:hAnsi="宋体" w:cs="宋体"/>
          <w:color w:val="auto"/>
          <w:sz w:val="24"/>
          <w:szCs w:val="20"/>
          <w:highlight w:val="none"/>
        </w:rPr>
      </w:pPr>
    </w:p>
    <w:p w14:paraId="4F23490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5AC94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9C97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0159C1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20CA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3B5A2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4308565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7CA259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E39C56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D9C767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771641F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784938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870F1F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E34CC9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AFE0A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CB0DC4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999FD3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7FB4E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DDA80B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FB7004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80258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FA42EC3">
      <w:pPr>
        <w:pStyle w:val="20"/>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E931C63">
      <w:pPr>
        <w:pStyle w:val="20"/>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5B6F70E">
      <w:pPr>
        <w:pStyle w:val="19"/>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7A199749">
      <w:pPr>
        <w:pStyle w:val="19"/>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4D21635">
      <w:pPr>
        <w:pStyle w:val="19"/>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6C6666B">
      <w:pPr>
        <w:spacing w:line="360" w:lineRule="auto"/>
        <w:contextualSpacing/>
        <w:jc w:val="left"/>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注：如为联合体竞标，盖章处须加盖联合体各方公章或电子签章并由联合体各方法定代表人分别签署，否则响应文件作无效处理。</w:t>
      </w:r>
    </w:p>
    <w:p w14:paraId="577B526D">
      <w:pPr>
        <w:pStyle w:val="19"/>
        <w:tabs>
          <w:tab w:val="left" w:pos="939"/>
        </w:tabs>
        <w:spacing w:line="360" w:lineRule="auto"/>
        <w:ind w:left="0" w:leftChars="0" w:firstLine="480" w:firstLineChars="200"/>
        <w:rPr>
          <w:rFonts w:hint="eastAsia" w:ascii="宋体" w:hAnsi="宋体" w:cs="宋体"/>
          <w:color w:val="auto"/>
          <w:sz w:val="24"/>
          <w:highlight w:val="none"/>
        </w:rPr>
      </w:pPr>
    </w:p>
    <w:p w14:paraId="331B6660">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33F28A3">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供应商（公章或电子签章）：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1B3555">
      <w:pPr>
        <w:spacing w:line="360" w:lineRule="auto"/>
        <w:ind w:right="480"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72ADA3C2">
      <w:pPr>
        <w:pStyle w:val="9"/>
        <w:overflowPunct w:val="0"/>
        <w:spacing w:line="520" w:lineRule="exact"/>
        <w:ind w:firstLine="0"/>
        <w:rPr>
          <w:rFonts w:hint="eastAsia" w:ascii="宋体" w:hAnsi="宋体" w:cs="宋体"/>
          <w:b/>
          <w:bCs/>
          <w:color w:val="auto"/>
          <w:sz w:val="32"/>
          <w:szCs w:val="32"/>
          <w:highlight w:val="none"/>
        </w:rPr>
      </w:pPr>
    </w:p>
    <w:p w14:paraId="221CEFB8">
      <w:pPr>
        <w:pStyle w:val="9"/>
        <w:overflowPunct w:val="0"/>
        <w:spacing w:line="520" w:lineRule="exact"/>
        <w:ind w:firstLine="0"/>
        <w:rPr>
          <w:rFonts w:hint="eastAsia" w:ascii="宋体" w:hAnsi="宋体" w:cs="宋体"/>
          <w:b/>
          <w:bCs/>
          <w:color w:val="auto"/>
          <w:sz w:val="32"/>
          <w:szCs w:val="32"/>
          <w:highlight w:val="none"/>
        </w:rPr>
      </w:pPr>
    </w:p>
    <w:p w14:paraId="2DB6BDCD">
      <w:pPr>
        <w:pStyle w:val="9"/>
        <w:overflowPunct w:val="0"/>
        <w:spacing w:line="520" w:lineRule="exact"/>
        <w:ind w:firstLine="0"/>
        <w:rPr>
          <w:rFonts w:hint="eastAsia" w:ascii="宋体" w:hAnsi="宋体" w:cs="宋体"/>
          <w:b/>
          <w:bCs/>
          <w:color w:val="auto"/>
          <w:sz w:val="32"/>
          <w:szCs w:val="32"/>
          <w:highlight w:val="none"/>
        </w:rPr>
      </w:pPr>
    </w:p>
    <w:p w14:paraId="44880239">
      <w:pPr>
        <w:pStyle w:val="9"/>
        <w:overflowPunct w:val="0"/>
        <w:spacing w:line="520" w:lineRule="exact"/>
        <w:ind w:firstLine="0"/>
        <w:rPr>
          <w:rFonts w:hint="eastAsia" w:ascii="宋体" w:hAnsi="宋体" w:cs="宋体"/>
          <w:b/>
          <w:bCs/>
          <w:color w:val="auto"/>
          <w:sz w:val="32"/>
          <w:szCs w:val="32"/>
          <w:highlight w:val="none"/>
        </w:rPr>
      </w:pPr>
    </w:p>
    <w:p w14:paraId="1DE2F6EC">
      <w:pPr>
        <w:pStyle w:val="9"/>
        <w:overflowPunct w:val="0"/>
        <w:spacing w:line="520" w:lineRule="exact"/>
        <w:ind w:firstLine="0"/>
        <w:rPr>
          <w:rFonts w:hint="eastAsia" w:ascii="宋体" w:hAnsi="宋体" w:cs="宋体"/>
          <w:b/>
          <w:bCs/>
          <w:color w:val="auto"/>
          <w:sz w:val="32"/>
          <w:szCs w:val="32"/>
          <w:highlight w:val="none"/>
        </w:rPr>
      </w:pPr>
    </w:p>
    <w:p w14:paraId="4ADC7A56">
      <w:pPr>
        <w:pStyle w:val="9"/>
        <w:overflowPunct w:val="0"/>
        <w:spacing w:line="520" w:lineRule="exact"/>
        <w:ind w:firstLine="0"/>
        <w:rPr>
          <w:rFonts w:hint="eastAsia" w:ascii="宋体" w:hAnsi="宋体" w:cs="宋体"/>
          <w:b/>
          <w:bCs/>
          <w:color w:val="auto"/>
          <w:sz w:val="32"/>
          <w:szCs w:val="32"/>
          <w:highlight w:val="none"/>
        </w:rPr>
      </w:pPr>
    </w:p>
    <w:p w14:paraId="3448FD62">
      <w:pPr>
        <w:pStyle w:val="9"/>
        <w:overflowPunct w:val="0"/>
        <w:spacing w:line="520" w:lineRule="exact"/>
        <w:ind w:firstLine="0"/>
        <w:rPr>
          <w:rFonts w:hint="eastAsia" w:ascii="宋体" w:hAnsi="宋体" w:cs="宋体"/>
          <w:b/>
          <w:bCs/>
          <w:color w:val="auto"/>
          <w:sz w:val="32"/>
          <w:szCs w:val="32"/>
          <w:highlight w:val="none"/>
        </w:rPr>
      </w:pPr>
    </w:p>
    <w:p w14:paraId="6A0B5D4D">
      <w:pPr>
        <w:pStyle w:val="9"/>
        <w:overflowPunct w:val="0"/>
        <w:spacing w:line="520" w:lineRule="exact"/>
        <w:ind w:firstLine="0"/>
        <w:rPr>
          <w:rFonts w:hint="eastAsia" w:ascii="宋体" w:hAnsi="宋体" w:cs="宋体"/>
          <w:b/>
          <w:bCs/>
          <w:color w:val="auto"/>
          <w:sz w:val="32"/>
          <w:szCs w:val="32"/>
          <w:highlight w:val="none"/>
        </w:rPr>
      </w:pPr>
    </w:p>
    <w:p w14:paraId="35A48890">
      <w:pPr>
        <w:pStyle w:val="9"/>
        <w:overflowPunct w:val="0"/>
        <w:spacing w:line="520" w:lineRule="exact"/>
        <w:ind w:firstLine="0"/>
        <w:rPr>
          <w:rFonts w:hint="eastAsia" w:ascii="宋体" w:hAnsi="宋体" w:cs="宋体"/>
          <w:b/>
          <w:bCs/>
          <w:color w:val="auto"/>
          <w:sz w:val="32"/>
          <w:szCs w:val="32"/>
          <w:highlight w:val="none"/>
        </w:rPr>
      </w:pPr>
    </w:p>
    <w:p w14:paraId="021F1DCE">
      <w:pPr>
        <w:pStyle w:val="9"/>
        <w:overflowPunct w:val="0"/>
        <w:spacing w:line="520" w:lineRule="exact"/>
        <w:ind w:firstLine="0"/>
        <w:rPr>
          <w:rFonts w:hint="eastAsia" w:ascii="宋体" w:hAnsi="宋体" w:cs="宋体"/>
          <w:b/>
          <w:bCs/>
          <w:color w:val="auto"/>
          <w:sz w:val="32"/>
          <w:szCs w:val="32"/>
          <w:highlight w:val="none"/>
        </w:rPr>
      </w:pPr>
    </w:p>
    <w:p w14:paraId="12F910F9">
      <w:pPr>
        <w:pStyle w:val="9"/>
        <w:overflowPunct w:val="0"/>
        <w:spacing w:line="520" w:lineRule="exact"/>
        <w:ind w:firstLine="0"/>
        <w:rPr>
          <w:rFonts w:hint="eastAsia" w:ascii="宋体" w:hAnsi="宋体" w:cs="宋体"/>
          <w:b/>
          <w:bCs/>
          <w:color w:val="auto"/>
          <w:sz w:val="32"/>
          <w:szCs w:val="32"/>
          <w:highlight w:val="none"/>
        </w:rPr>
      </w:pPr>
    </w:p>
    <w:p w14:paraId="31E65E8D">
      <w:pPr>
        <w:pStyle w:val="9"/>
        <w:overflowPunct w:val="0"/>
        <w:spacing w:line="520" w:lineRule="exact"/>
        <w:ind w:firstLine="0"/>
        <w:rPr>
          <w:rFonts w:hint="eastAsia" w:ascii="宋体" w:hAnsi="宋体" w:cs="宋体"/>
          <w:b/>
          <w:bCs/>
          <w:color w:val="auto"/>
          <w:sz w:val="32"/>
          <w:szCs w:val="32"/>
          <w:highlight w:val="none"/>
        </w:rPr>
      </w:pPr>
    </w:p>
    <w:p w14:paraId="5F2E3EE2">
      <w:pPr>
        <w:pStyle w:val="9"/>
        <w:overflowPunct w:val="0"/>
        <w:spacing w:line="520" w:lineRule="exact"/>
        <w:ind w:firstLine="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联合体竞标协议书</w:t>
      </w:r>
    </w:p>
    <w:p w14:paraId="19F54B09">
      <w:pPr>
        <w:pStyle w:val="9"/>
        <w:overflowPunct w:val="0"/>
        <w:spacing w:line="520" w:lineRule="exact"/>
        <w:ind w:firstLine="0"/>
        <w:rPr>
          <w:rFonts w:hint="eastAsia" w:ascii="宋体" w:hAnsi="宋体" w:cs="宋体"/>
          <w:color w:val="auto"/>
          <w:sz w:val="24"/>
          <w:highlight w:val="none"/>
        </w:rPr>
      </w:pPr>
    </w:p>
    <w:p w14:paraId="66869688">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（项目名称）采购项目竞标。现就联合体竞标事宜订立如下协议：</w:t>
      </w:r>
    </w:p>
    <w:p w14:paraId="7B3726F6">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001CA8A4">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7BF3C983">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0D089DC6">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33B02F7">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509A9C4B">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69C19F5E">
      <w:pPr>
        <w:pStyle w:val="9"/>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注：本协议书由法定代表人签字的，应附法定代表人身份证明书；由委托代理人签字的，应附联合体协议签订授权委托书（格式自拟）。</w:t>
      </w:r>
    </w:p>
    <w:p w14:paraId="21549D00">
      <w:pPr>
        <w:pStyle w:val="9"/>
        <w:overflowPunct w:val="0"/>
        <w:spacing w:line="360" w:lineRule="auto"/>
        <w:ind w:firstLineChars="175"/>
        <w:rPr>
          <w:rFonts w:hint="eastAsia" w:ascii="宋体" w:hAnsi="宋体" w:cs="宋体"/>
          <w:color w:val="auto"/>
          <w:sz w:val="24"/>
          <w:szCs w:val="24"/>
          <w:highlight w:val="none"/>
        </w:rPr>
      </w:pPr>
    </w:p>
    <w:p w14:paraId="426BF11C">
      <w:pPr>
        <w:pStyle w:val="9"/>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联合体牵头人名称（盖公章）：</w:t>
      </w:r>
    </w:p>
    <w:p w14:paraId="722CE328">
      <w:pPr>
        <w:pStyle w:val="9"/>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w:t>
      </w:r>
    </w:p>
    <w:p w14:paraId="103EE805">
      <w:pPr>
        <w:pStyle w:val="9"/>
        <w:overflowPunct w:val="0"/>
        <w:spacing w:line="360" w:lineRule="auto"/>
        <w:ind w:firstLine="480" w:firstLineChars="200"/>
        <w:rPr>
          <w:rFonts w:hint="eastAsia" w:ascii="宋体" w:hAnsi="宋体" w:cs="宋体"/>
          <w:color w:val="auto"/>
          <w:sz w:val="24"/>
          <w:szCs w:val="24"/>
          <w:highlight w:val="none"/>
        </w:rPr>
      </w:pPr>
    </w:p>
    <w:p w14:paraId="0C8FA151">
      <w:pPr>
        <w:pStyle w:val="9"/>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164F7D5B">
      <w:pPr>
        <w:pStyle w:val="9"/>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w:t>
      </w:r>
    </w:p>
    <w:p w14:paraId="12068A4B">
      <w:pPr>
        <w:pStyle w:val="9"/>
        <w:overflowPunct w:val="0"/>
        <w:spacing w:line="360" w:lineRule="auto"/>
        <w:ind w:firstLine="480" w:firstLineChars="200"/>
        <w:rPr>
          <w:rFonts w:hint="eastAsia" w:ascii="宋体" w:hAnsi="宋体" w:cs="宋体"/>
          <w:color w:val="auto"/>
          <w:sz w:val="24"/>
          <w:szCs w:val="24"/>
          <w:highlight w:val="none"/>
        </w:rPr>
      </w:pPr>
    </w:p>
    <w:p w14:paraId="5DAA8441">
      <w:pPr>
        <w:pStyle w:val="9"/>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5BB5B453">
      <w:pPr>
        <w:pStyle w:val="9"/>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w:t>
      </w:r>
    </w:p>
    <w:p w14:paraId="5710D4C2">
      <w:pPr>
        <w:pStyle w:val="9"/>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0DE16E8E">
      <w:pPr>
        <w:pStyle w:val="9"/>
        <w:overflowPunct w:val="0"/>
        <w:spacing w:line="360" w:lineRule="auto"/>
        <w:ind w:firstLine="0"/>
        <w:jc w:val="center"/>
        <w:rPr>
          <w:rFonts w:hint="eastAsia" w:ascii="宋体" w:hAnsi="宋体" w:cs="宋体"/>
          <w:color w:val="auto"/>
          <w:sz w:val="24"/>
          <w:szCs w:val="24"/>
          <w:highlight w:val="none"/>
          <w:u w:val="single"/>
        </w:rPr>
      </w:pPr>
      <w:r>
        <w:rPr>
          <w:rFonts w:hint="eastAsia" w:ascii="宋体" w:hAnsi="宋体" w:cs="宋体"/>
          <w:color w:val="auto"/>
          <w:kern w:val="0"/>
          <w:sz w:val="24"/>
          <w:highlight w:val="none"/>
        </w:rPr>
        <w:t xml:space="preserve">             供应商名称（电子签章）：</w:t>
      </w:r>
      <w:r>
        <w:rPr>
          <w:rFonts w:hint="eastAsia" w:ascii="宋体" w:hAnsi="宋体" w:cs="宋体"/>
          <w:color w:val="auto"/>
          <w:kern w:val="0"/>
          <w:sz w:val="24"/>
          <w:highlight w:val="none"/>
          <w:u w:val="single"/>
        </w:rPr>
        <w:t xml:space="preserve">                    </w:t>
      </w:r>
    </w:p>
    <w:p w14:paraId="0038DB10">
      <w:pPr>
        <w:pStyle w:val="9"/>
        <w:overflowPunct w:val="0"/>
        <w:spacing w:line="360" w:lineRule="auto"/>
        <w:ind w:firstLineChars="175"/>
        <w:jc w:val="right"/>
        <w:rPr>
          <w:rFonts w:hint="eastAsia" w:ascii="宋体" w:hAnsi="宋体" w:cs="宋体"/>
          <w:color w:val="auto"/>
          <w:sz w:val="24"/>
          <w:highlight w:val="none"/>
        </w:rPr>
      </w:pP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rPr>
        <w:tab/>
      </w:r>
      <w:r>
        <w:rPr>
          <w:rFonts w:hint="eastAsia" w:ascii="宋体" w:hAnsi="宋体" w:cs="宋体"/>
          <w:color w:val="auto"/>
          <w:sz w:val="24"/>
          <w:szCs w:val="24"/>
          <w:highlight w:val="none"/>
        </w:rPr>
        <w:t>日</w:t>
      </w:r>
    </w:p>
    <w:p w14:paraId="6DE43791">
      <w:pPr>
        <w:snapToGrid w:val="0"/>
        <w:spacing w:before="120" w:beforeLines="50" w:after="50" w:line="360" w:lineRule="auto"/>
        <w:ind w:right="480" w:firstLine="321" w:firstLineChars="100"/>
        <w:jc w:val="center"/>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4C486932">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19AFFF09">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E087702">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6667622B">
      <w:pPr>
        <w:snapToGrid w:val="0"/>
        <w:spacing w:before="120" w:beforeLines="50" w:after="50"/>
        <w:rPr>
          <w:rFonts w:hint="eastAsia" w:ascii="宋体" w:hAnsi="宋体" w:cs="宋体"/>
          <w:color w:val="auto"/>
          <w:sz w:val="24"/>
          <w:szCs w:val="20"/>
          <w:highlight w:val="none"/>
        </w:rPr>
      </w:pPr>
    </w:p>
    <w:p w14:paraId="0D0A9136">
      <w:pPr>
        <w:snapToGrid w:val="0"/>
        <w:spacing w:before="120" w:beforeLines="50" w:after="50"/>
        <w:rPr>
          <w:rFonts w:hint="eastAsia" w:ascii="宋体" w:hAnsi="宋体" w:cs="宋体"/>
          <w:color w:val="auto"/>
          <w:sz w:val="24"/>
          <w:szCs w:val="20"/>
          <w:highlight w:val="none"/>
        </w:rPr>
      </w:pPr>
    </w:p>
    <w:p w14:paraId="75D5E2E1">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商  务  技  术  文  件</w:t>
      </w:r>
    </w:p>
    <w:p w14:paraId="6485CF32">
      <w:pPr>
        <w:snapToGrid w:val="0"/>
        <w:spacing w:before="120" w:beforeLines="50" w:after="50"/>
        <w:rPr>
          <w:rFonts w:hint="eastAsia" w:ascii="宋体" w:hAnsi="宋体" w:cs="宋体"/>
          <w:bCs/>
          <w:color w:val="auto"/>
          <w:sz w:val="24"/>
          <w:szCs w:val="20"/>
          <w:highlight w:val="none"/>
        </w:rPr>
      </w:pPr>
    </w:p>
    <w:p w14:paraId="07DEB8A7">
      <w:pPr>
        <w:snapToGrid w:val="0"/>
        <w:spacing w:before="120" w:beforeLines="50" w:after="50"/>
        <w:rPr>
          <w:rFonts w:hint="eastAsia" w:ascii="宋体" w:hAnsi="宋体" w:cs="宋体"/>
          <w:bCs/>
          <w:color w:val="auto"/>
          <w:sz w:val="24"/>
          <w:szCs w:val="20"/>
          <w:highlight w:val="none"/>
        </w:rPr>
      </w:pPr>
    </w:p>
    <w:p w14:paraId="5B59ADF7">
      <w:pPr>
        <w:snapToGrid w:val="0"/>
        <w:spacing w:before="120" w:beforeLines="50" w:after="50"/>
        <w:rPr>
          <w:rFonts w:hint="eastAsia" w:ascii="宋体" w:hAnsi="宋体" w:cs="宋体"/>
          <w:bCs/>
          <w:color w:val="auto"/>
          <w:sz w:val="24"/>
          <w:szCs w:val="20"/>
          <w:highlight w:val="none"/>
        </w:rPr>
      </w:pPr>
    </w:p>
    <w:p w14:paraId="18A13340">
      <w:pPr>
        <w:snapToGrid w:val="0"/>
        <w:spacing w:before="120" w:beforeLines="50" w:after="50"/>
        <w:rPr>
          <w:rFonts w:hint="eastAsia" w:ascii="宋体" w:hAnsi="宋体" w:cs="宋体"/>
          <w:bCs/>
          <w:color w:val="auto"/>
          <w:sz w:val="24"/>
          <w:szCs w:val="20"/>
          <w:highlight w:val="none"/>
        </w:rPr>
      </w:pPr>
    </w:p>
    <w:p w14:paraId="497E66CD">
      <w:pPr>
        <w:snapToGrid w:val="0"/>
        <w:spacing w:before="120" w:beforeLines="50" w:after="50"/>
        <w:rPr>
          <w:rFonts w:hint="eastAsia" w:ascii="宋体" w:hAnsi="宋体" w:cs="宋体"/>
          <w:bCs/>
          <w:color w:val="auto"/>
          <w:sz w:val="24"/>
          <w:szCs w:val="20"/>
          <w:highlight w:val="none"/>
        </w:rPr>
      </w:pPr>
    </w:p>
    <w:p w14:paraId="5F0A57A5">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6756F23">
      <w:pPr>
        <w:snapToGrid w:val="0"/>
        <w:spacing w:before="120" w:beforeLines="50" w:after="50"/>
        <w:ind w:firstLine="720" w:firstLineChars="225"/>
        <w:rPr>
          <w:rFonts w:hint="eastAsia" w:ascii="宋体" w:hAnsi="宋体" w:cs="宋体"/>
          <w:bCs/>
          <w:color w:val="auto"/>
          <w:sz w:val="32"/>
          <w:szCs w:val="32"/>
          <w:highlight w:val="none"/>
        </w:rPr>
      </w:pPr>
    </w:p>
    <w:p w14:paraId="2CF96966">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C71B3AD">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2E83B5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48C1A17">
      <w:pPr>
        <w:snapToGrid w:val="0"/>
        <w:spacing w:before="120" w:beforeLines="50" w:after="50"/>
        <w:ind w:firstLine="720" w:firstLineChars="225"/>
        <w:rPr>
          <w:rFonts w:hint="eastAsia" w:ascii="宋体" w:hAnsi="宋体" w:cs="宋体"/>
          <w:bCs/>
          <w:color w:val="auto"/>
          <w:sz w:val="32"/>
          <w:szCs w:val="32"/>
          <w:highlight w:val="none"/>
        </w:rPr>
      </w:pPr>
    </w:p>
    <w:p w14:paraId="4F6BD32F">
      <w:pPr>
        <w:pStyle w:val="9"/>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60FA915">
      <w:pPr>
        <w:pStyle w:val="9"/>
        <w:snapToGrid w:val="0"/>
        <w:spacing w:before="50" w:after="50"/>
        <w:ind w:firstLine="720" w:firstLineChars="225"/>
        <w:rPr>
          <w:rFonts w:hint="eastAsia" w:ascii="宋体" w:hAnsi="宋体" w:cs="宋体"/>
          <w:bCs/>
          <w:color w:val="auto"/>
          <w:sz w:val="32"/>
          <w:szCs w:val="32"/>
          <w:highlight w:val="none"/>
        </w:rPr>
      </w:pPr>
    </w:p>
    <w:p w14:paraId="6AA49B32">
      <w:pPr>
        <w:pStyle w:val="9"/>
        <w:snapToGrid w:val="0"/>
        <w:spacing w:before="50" w:after="50"/>
        <w:ind w:firstLine="720" w:firstLineChars="225"/>
        <w:rPr>
          <w:rFonts w:hint="eastAsia" w:ascii="宋体" w:hAnsi="宋体" w:cs="宋体"/>
          <w:bCs/>
          <w:color w:val="auto"/>
          <w:sz w:val="32"/>
          <w:szCs w:val="32"/>
          <w:highlight w:val="none"/>
        </w:rPr>
      </w:pPr>
    </w:p>
    <w:p w14:paraId="62695BB0">
      <w:pPr>
        <w:pStyle w:val="9"/>
        <w:snapToGrid w:val="0"/>
        <w:spacing w:before="50" w:after="50"/>
        <w:ind w:firstLine="1280" w:firstLineChars="400"/>
        <w:rPr>
          <w:rFonts w:hint="eastAsia" w:ascii="宋体" w:hAnsi="宋体" w:cs="宋体"/>
          <w:bCs/>
          <w:color w:val="auto"/>
          <w:sz w:val="32"/>
          <w:szCs w:val="32"/>
          <w:highlight w:val="none"/>
        </w:rPr>
      </w:pPr>
    </w:p>
    <w:p w14:paraId="7EA1C3A1">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2FD6DB53">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61EBCEBD">
      <w:pPr>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170BAF40">
      <w:pPr>
        <w:spacing w:line="400" w:lineRule="exact"/>
        <w:rPr>
          <w:rFonts w:hint="eastAsia" w:ascii="宋体" w:hAnsi="宋体" w:cs="宋体"/>
          <w:color w:val="auto"/>
          <w:sz w:val="32"/>
          <w:szCs w:val="32"/>
          <w:highlight w:val="none"/>
        </w:rPr>
      </w:pPr>
    </w:p>
    <w:p w14:paraId="28693656">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6A80A028">
      <w:pPr>
        <w:spacing w:line="360" w:lineRule="auto"/>
        <w:ind w:firstLine="640" w:firstLineChars="200"/>
        <w:contextualSpacing/>
        <w:rPr>
          <w:rFonts w:hint="eastAsia" w:ascii="宋体" w:hAnsi="宋体" w:cs="宋体"/>
          <w:color w:val="auto"/>
          <w:sz w:val="32"/>
          <w:szCs w:val="32"/>
          <w:highlight w:val="none"/>
        </w:rPr>
      </w:pPr>
    </w:p>
    <w:p w14:paraId="036FC275">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1AE00B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338B41A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89F42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65897BF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841F9A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0BF2EA2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31EC772">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39AE3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CDC25C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40AD3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EF9D7E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6F5F03E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FBE056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552F2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545C7F9">
      <w:pPr>
        <w:spacing w:line="360" w:lineRule="auto"/>
        <w:ind w:firstLine="480" w:firstLineChars="200"/>
        <w:contextualSpacing/>
        <w:rPr>
          <w:rFonts w:hint="eastAsia" w:ascii="宋体" w:hAnsi="宋体" w:cs="宋体"/>
          <w:color w:val="auto"/>
          <w:sz w:val="24"/>
          <w:highlight w:val="none"/>
        </w:rPr>
      </w:pPr>
    </w:p>
    <w:p w14:paraId="4265FAC0">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003C8B36">
      <w:pPr>
        <w:spacing w:line="360" w:lineRule="auto"/>
        <w:contextualSpacing/>
        <w:rPr>
          <w:rFonts w:hint="eastAsia" w:ascii="宋体" w:hAnsi="宋体" w:cs="宋体"/>
          <w:color w:val="auto"/>
          <w:sz w:val="24"/>
          <w:highlight w:val="none"/>
        </w:rPr>
      </w:pPr>
    </w:p>
    <w:p w14:paraId="5BEC6FA5">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供应商（公章或电子签章）：</w:t>
      </w:r>
    </w:p>
    <w:p w14:paraId="458DA4C7">
      <w:pPr>
        <w:spacing w:line="360" w:lineRule="auto"/>
        <w:ind w:firstLine="480" w:firstLineChars="200"/>
        <w:contextualSpacing/>
        <w:jc w:val="center"/>
        <w:rPr>
          <w:rFonts w:hint="eastAsia" w:ascii="宋体" w:hAnsi="宋体" w:cs="宋体"/>
          <w:color w:val="auto"/>
          <w:sz w:val="32"/>
          <w:szCs w:val="32"/>
          <w:highlight w:val="none"/>
        </w:rPr>
      </w:pPr>
      <w:r>
        <w:rPr>
          <w:rFonts w:hint="eastAsia" w:ascii="宋体" w:hAnsi="宋体" w:cs="宋体"/>
          <w:color w:val="auto"/>
          <w:sz w:val="24"/>
          <w:highlight w:val="none"/>
        </w:rPr>
        <w:t xml:space="preserve">                               年   月   日</w:t>
      </w:r>
    </w:p>
    <w:p w14:paraId="11611B5A">
      <w:pPr>
        <w:spacing w:line="520" w:lineRule="exact"/>
        <w:jc w:val="center"/>
        <w:rPr>
          <w:rFonts w:hint="eastAsia"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竞  标  报  价  表</w:t>
      </w:r>
    </w:p>
    <w:p w14:paraId="46DFC963">
      <w:pPr>
        <w:spacing w:line="440" w:lineRule="exact"/>
        <w:jc w:val="center"/>
        <w:rPr>
          <w:rFonts w:hint="eastAsia" w:ascii="宋体" w:hAnsi="宋体" w:cs="宋体"/>
          <w:bCs/>
          <w:color w:val="auto"/>
          <w:sz w:val="32"/>
          <w:szCs w:val="32"/>
          <w:highlight w:val="none"/>
        </w:rPr>
      </w:pPr>
    </w:p>
    <w:p w14:paraId="4514EA84">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342D44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DC45BDE">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6C9B58C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BCF7A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单位：元</w:t>
      </w:r>
    </w:p>
    <w:tbl>
      <w:tblPr>
        <w:tblStyle w:val="3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92"/>
        <w:gridCol w:w="617"/>
        <w:gridCol w:w="617"/>
        <w:gridCol w:w="2194"/>
        <w:gridCol w:w="1184"/>
        <w:gridCol w:w="1184"/>
      </w:tblGrid>
      <w:tr w14:paraId="1585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right"/>
        </w:trPr>
        <w:tc>
          <w:tcPr>
            <w:tcW w:w="707" w:type="dxa"/>
            <w:tcBorders>
              <w:top w:val="single" w:color="auto" w:sz="4" w:space="0"/>
              <w:left w:val="single" w:color="auto" w:sz="4" w:space="0"/>
              <w:bottom w:val="single" w:color="auto" w:sz="4" w:space="0"/>
              <w:right w:val="single" w:color="auto" w:sz="4" w:space="0"/>
            </w:tcBorders>
            <w:noWrap w:val="0"/>
            <w:vAlign w:val="center"/>
          </w:tcPr>
          <w:p w14:paraId="3AAAB820">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6541C91F">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7EA6A83F">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E610CD">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9B00569">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83BABCC">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720FFBA">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1CCD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right"/>
        </w:trPr>
        <w:tc>
          <w:tcPr>
            <w:tcW w:w="707" w:type="dxa"/>
            <w:tcBorders>
              <w:top w:val="single" w:color="auto" w:sz="4" w:space="0"/>
              <w:left w:val="single" w:color="auto" w:sz="4" w:space="0"/>
              <w:bottom w:val="single" w:color="auto" w:sz="4" w:space="0"/>
              <w:right w:val="single" w:color="auto" w:sz="4" w:space="0"/>
            </w:tcBorders>
            <w:noWrap w:val="0"/>
            <w:vAlign w:val="center"/>
          </w:tcPr>
          <w:p w14:paraId="32EED66D">
            <w:pPr>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52CE8252">
            <w:pPr>
              <w:spacing w:line="360" w:lineRule="auto"/>
              <w:contextualSpacing/>
              <w:jc w:val="center"/>
              <w:rPr>
                <w:rFonts w:hint="eastAsia" w:ascii="宋体" w:hAnsi="宋体" w:cs="宋体"/>
                <w:color w:val="auto"/>
                <w:sz w:val="24"/>
                <w:szCs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6BB47533">
            <w:pPr>
              <w:spacing w:line="360" w:lineRule="auto"/>
              <w:contextualSpacing/>
              <w:jc w:val="center"/>
              <w:rPr>
                <w:rFonts w:hint="eastAsia" w:ascii="宋体" w:hAnsi="宋体" w:cs="宋体"/>
                <w:color w:val="auto"/>
                <w:sz w:val="24"/>
                <w:szCs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4912B7FF">
            <w:pPr>
              <w:spacing w:line="360" w:lineRule="auto"/>
              <w:contextualSpacing/>
              <w:rPr>
                <w:rFonts w:hint="eastAsia" w:ascii="宋体" w:hAnsi="宋体" w:cs="宋体"/>
                <w:color w:val="auto"/>
                <w:sz w:val="24"/>
                <w:szCs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5611DBFB">
            <w:pPr>
              <w:spacing w:line="360" w:lineRule="auto"/>
              <w:contextualSpacing/>
              <w:rPr>
                <w:rFonts w:hint="eastAsia" w:ascii="宋体" w:hAnsi="宋体" w:cs="宋体"/>
                <w:color w:val="auto"/>
                <w:sz w:val="24"/>
                <w:szCs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4A1606C5">
            <w:pPr>
              <w:spacing w:line="360" w:lineRule="auto"/>
              <w:contextualSpacing/>
              <w:rPr>
                <w:rFonts w:hint="eastAsia" w:ascii="宋体" w:hAnsi="宋体" w:cs="宋体"/>
                <w:color w:val="auto"/>
                <w:sz w:val="24"/>
                <w:szCs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44780FC">
            <w:pPr>
              <w:spacing w:line="360" w:lineRule="auto"/>
              <w:contextualSpacing/>
              <w:rPr>
                <w:rFonts w:hint="eastAsia" w:ascii="宋体" w:hAnsi="宋体" w:cs="宋体"/>
                <w:color w:val="auto"/>
                <w:sz w:val="24"/>
                <w:szCs w:val="24"/>
                <w:highlight w:val="none"/>
              </w:rPr>
            </w:pPr>
          </w:p>
        </w:tc>
      </w:tr>
      <w:tr w14:paraId="5189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66CE4CD8">
            <w:pPr>
              <w:spacing w:line="360" w:lineRule="auto"/>
              <w:contextualSpacing/>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服务期限：</w:t>
            </w:r>
          </w:p>
        </w:tc>
      </w:tr>
      <w:tr w14:paraId="3B3B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075ADF04">
            <w:pPr>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合计金额大写：人民币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tc>
      </w:tr>
      <w:tr w14:paraId="7789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79C7E77D">
            <w:pPr>
              <w:spacing w:line="400" w:lineRule="exact"/>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备注：各供应商必须就“采购需求”中所有内容作完整唯一报价，否则，其响应文件无效。此表的总报价包含完成采购人需求及要求所有内容的全部价格。</w:t>
            </w:r>
          </w:p>
        </w:tc>
      </w:tr>
    </w:tbl>
    <w:p w14:paraId="70D1E904">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6DFCC9A9">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2C302886">
      <w:pPr>
        <w:spacing w:line="440" w:lineRule="exact"/>
        <w:ind w:firstLine="420" w:firstLineChars="200"/>
        <w:contextualSpacing/>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0D3BA130">
      <w:pPr>
        <w:spacing w:line="440" w:lineRule="exact"/>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3.如为联合体竞标，“供应商名称”处必须列明联合体各方名称，标注联合体牵头人名称，</w:t>
      </w:r>
      <w:r>
        <w:rPr>
          <w:rFonts w:hint="eastAsia" w:ascii="宋体" w:hAnsi="宋体" w:cs="宋体"/>
          <w:b/>
          <w:color w:val="auto"/>
          <w:szCs w:val="21"/>
          <w:highlight w:val="none"/>
        </w:rPr>
        <w:t>否则其响应文件按无效响应处理。</w:t>
      </w:r>
    </w:p>
    <w:p w14:paraId="0FAB6C51">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 如为联合体竞标，</w:t>
      </w:r>
      <w:r>
        <w:rPr>
          <w:rFonts w:hint="eastAsia" w:ascii="宋体" w:hAnsi="宋体" w:cs="宋体"/>
          <w:color w:val="auto"/>
          <w:spacing w:val="-6"/>
          <w:szCs w:val="21"/>
          <w:highlight w:val="none"/>
        </w:rPr>
        <w:t xml:space="preserve"> 盖章处须加盖联合体牵头人电子签章</w:t>
      </w:r>
      <w:r>
        <w:rPr>
          <w:rFonts w:hint="eastAsia" w:ascii="宋体" w:hAnsi="宋体" w:cs="宋体"/>
          <w:color w:val="auto"/>
          <w:szCs w:val="21"/>
          <w:highlight w:val="none"/>
        </w:rPr>
        <w:t>，</w:t>
      </w:r>
      <w:r>
        <w:rPr>
          <w:rFonts w:hint="eastAsia" w:ascii="宋体" w:hAnsi="宋体" w:cs="宋体"/>
          <w:b/>
          <w:color w:val="auto"/>
          <w:szCs w:val="21"/>
          <w:highlight w:val="none"/>
        </w:rPr>
        <w:t>否则其响应文件按无效处理。</w:t>
      </w:r>
    </w:p>
    <w:p w14:paraId="7409588F">
      <w:pPr>
        <w:spacing w:line="440" w:lineRule="exact"/>
        <w:ind w:right="-817" w:rightChars="-389" w:firstLine="420" w:firstLineChars="200"/>
        <w:contextualSpacing/>
        <w:rPr>
          <w:rFonts w:hint="eastAsia" w:ascii="宋体" w:hAnsi="宋体" w:cs="宋体"/>
          <w:b/>
          <w:color w:val="auto"/>
          <w:spacing w:val="-6"/>
          <w:szCs w:val="21"/>
          <w:highlight w:val="none"/>
        </w:rPr>
      </w:pPr>
      <w:r>
        <w:rPr>
          <w:rFonts w:hint="eastAsia" w:ascii="宋体" w:hAnsi="宋体" w:cs="宋体"/>
          <w:color w:val="auto"/>
          <w:szCs w:val="21"/>
          <w:highlight w:val="none"/>
        </w:rPr>
        <w:t>5.</w:t>
      </w:r>
      <w:r>
        <w:rPr>
          <w:rFonts w:hint="eastAsia" w:ascii="宋体" w:hAnsi="宋体" w:cs="宋体"/>
          <w:color w:val="auto"/>
          <w:spacing w:val="-6"/>
          <w:szCs w:val="21"/>
          <w:highlight w:val="none"/>
        </w:rPr>
        <w:t>如有多分标，分别列明各分标的报价表，</w:t>
      </w:r>
      <w:r>
        <w:rPr>
          <w:rFonts w:hint="eastAsia" w:ascii="宋体" w:hAnsi="宋体" w:cs="宋体"/>
          <w:b/>
          <w:color w:val="auto"/>
          <w:spacing w:val="-6"/>
          <w:szCs w:val="21"/>
          <w:highlight w:val="none"/>
        </w:rPr>
        <w:t>否则其响应文件按无效响应处理。</w:t>
      </w:r>
    </w:p>
    <w:p w14:paraId="69F6F52D">
      <w:pPr>
        <w:spacing w:line="360" w:lineRule="auto"/>
        <w:ind w:right="-817" w:rightChars="-389"/>
        <w:contextualSpacing/>
        <w:rPr>
          <w:rFonts w:hint="eastAsia" w:ascii="宋体" w:hAnsi="宋体" w:cs="宋体"/>
          <w:color w:val="auto"/>
          <w:sz w:val="24"/>
          <w:highlight w:val="none"/>
        </w:rPr>
      </w:pPr>
    </w:p>
    <w:p w14:paraId="52C3854B">
      <w:pPr>
        <w:spacing w:line="360" w:lineRule="auto"/>
        <w:ind w:right="-817" w:rightChars="-389" w:firstLine="960" w:firstLineChars="400"/>
        <w:contextualSpacing/>
        <w:rPr>
          <w:rFonts w:hint="eastAsia" w:ascii="宋体" w:hAnsi="宋体" w:cs="宋体"/>
          <w:color w:val="auto"/>
          <w:sz w:val="24"/>
          <w:highlight w:val="none"/>
        </w:rPr>
      </w:pPr>
    </w:p>
    <w:p w14:paraId="2802A2DA">
      <w:pPr>
        <w:spacing w:line="360" w:lineRule="auto"/>
        <w:ind w:right="-817" w:rightChars="-389"/>
        <w:contextualSpacing/>
        <w:rPr>
          <w:rFonts w:hint="eastAsia" w:ascii="宋体" w:hAnsi="宋体" w:cs="宋体"/>
          <w:color w:val="auto"/>
          <w:sz w:val="24"/>
          <w:highlight w:val="none"/>
        </w:rPr>
      </w:pPr>
    </w:p>
    <w:p w14:paraId="29F2BD34">
      <w:pPr>
        <w:spacing w:line="360" w:lineRule="auto"/>
        <w:ind w:right="-817" w:rightChars="-389" w:firstLine="960" w:firstLineChars="400"/>
        <w:contextualSpacing/>
        <w:rPr>
          <w:rFonts w:hint="eastAsia" w:ascii="宋体" w:hAnsi="宋体" w:cs="宋体"/>
          <w:color w:val="auto"/>
          <w:sz w:val="24"/>
          <w:highlight w:val="none"/>
        </w:rPr>
      </w:pPr>
    </w:p>
    <w:p w14:paraId="48ED1DA0">
      <w:pPr>
        <w:spacing w:line="360" w:lineRule="auto"/>
        <w:ind w:right="-817" w:rightChars="-389" w:firstLine="960" w:firstLineChars="4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4D62CB68">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供应商（公章或电子签章）：      </w:t>
      </w:r>
    </w:p>
    <w:p w14:paraId="1E15E8FA">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6C4BECF0">
      <w:pPr>
        <w:spacing w:before="240" w:beforeLines="100" w:after="120" w:afterLines="50" w:line="520" w:lineRule="exact"/>
        <w:ind w:left="540"/>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0AF96632">
      <w:pPr>
        <w:spacing w:line="360" w:lineRule="auto"/>
        <w:ind w:left="540"/>
        <w:contextualSpacing/>
        <w:rPr>
          <w:rFonts w:hint="eastAsia" w:ascii="宋体" w:hAnsi="宋体" w:cs="宋体"/>
          <w:color w:val="auto"/>
          <w:sz w:val="32"/>
          <w:szCs w:val="32"/>
          <w:highlight w:val="none"/>
        </w:rPr>
      </w:pPr>
    </w:p>
    <w:p w14:paraId="576DCF11">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4747D969">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8829303">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4D72487">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C78A191">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8F4ED7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4014F50">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22068E02">
      <w:pPr>
        <w:spacing w:line="360" w:lineRule="auto"/>
        <w:ind w:left="540"/>
        <w:contextualSpacing/>
        <w:rPr>
          <w:rFonts w:hint="eastAsia" w:ascii="宋体" w:hAnsi="宋体" w:cs="宋体"/>
          <w:color w:val="auto"/>
          <w:sz w:val="24"/>
          <w:highlight w:val="none"/>
        </w:rPr>
      </w:pPr>
    </w:p>
    <w:p w14:paraId="0491154E">
      <w:pPr>
        <w:spacing w:line="360" w:lineRule="auto"/>
        <w:ind w:left="540"/>
        <w:contextualSpacing/>
        <w:rPr>
          <w:rFonts w:hint="eastAsia" w:ascii="宋体" w:hAnsi="宋体" w:cs="宋体"/>
          <w:color w:val="auto"/>
          <w:sz w:val="24"/>
          <w:highlight w:val="none"/>
        </w:rPr>
      </w:pPr>
    </w:p>
    <w:p w14:paraId="221DB9E4">
      <w:pPr>
        <w:spacing w:line="360" w:lineRule="auto"/>
        <w:ind w:left="540"/>
        <w:contextualSpacing/>
        <w:rPr>
          <w:rFonts w:hint="eastAsia" w:ascii="宋体" w:hAnsi="宋体" w:cs="宋体"/>
          <w:color w:val="auto"/>
          <w:sz w:val="24"/>
          <w:highlight w:val="none"/>
        </w:rPr>
      </w:pPr>
    </w:p>
    <w:p w14:paraId="4286673A">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12998EF">
      <w:pPr>
        <w:spacing w:line="360" w:lineRule="auto"/>
        <w:ind w:left="540"/>
        <w:contextualSpacing/>
        <w:rPr>
          <w:rFonts w:hint="eastAsia" w:ascii="宋体" w:hAnsi="宋体" w:cs="宋体"/>
          <w:color w:val="auto"/>
          <w:sz w:val="24"/>
          <w:highlight w:val="none"/>
        </w:rPr>
      </w:pPr>
    </w:p>
    <w:p w14:paraId="0340CECC">
      <w:pPr>
        <w:spacing w:line="360" w:lineRule="auto"/>
        <w:ind w:left="540"/>
        <w:contextualSpacing/>
        <w:jc w:val="center"/>
        <w:rPr>
          <w:rFonts w:hint="eastAsia" w:ascii="宋体" w:hAnsi="宋体" w:cs="宋体"/>
          <w:color w:val="auto"/>
          <w:sz w:val="24"/>
          <w:highlight w:val="none"/>
        </w:rPr>
      </w:pPr>
    </w:p>
    <w:p w14:paraId="77CCAB7C">
      <w:pPr>
        <w:spacing w:line="360" w:lineRule="auto"/>
        <w:ind w:left="540"/>
        <w:contextualSpacing/>
        <w:jc w:val="center"/>
        <w:rPr>
          <w:rFonts w:hint="eastAsia" w:ascii="宋体" w:hAnsi="宋体" w:cs="宋体"/>
          <w:color w:val="auto"/>
          <w:sz w:val="24"/>
          <w:highlight w:val="none"/>
        </w:rPr>
      </w:pPr>
    </w:p>
    <w:p w14:paraId="17BB9DCD">
      <w:pPr>
        <w:spacing w:line="360" w:lineRule="auto"/>
        <w:ind w:left="540"/>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供应商（公章或电子签章）：</w:t>
      </w:r>
      <w:r>
        <w:rPr>
          <w:rFonts w:hint="eastAsia" w:ascii="宋体" w:hAnsi="宋体" w:cs="宋体"/>
          <w:color w:val="auto"/>
          <w:sz w:val="24"/>
          <w:highlight w:val="none"/>
          <w:u w:val="single"/>
        </w:rPr>
        <w:t xml:space="preserve">               </w:t>
      </w:r>
    </w:p>
    <w:p w14:paraId="0C5300A7">
      <w:pPr>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ABB4ADA">
      <w:pPr>
        <w:spacing w:line="360" w:lineRule="auto"/>
        <w:contextualSpacing/>
        <w:jc w:val="center"/>
        <w:rPr>
          <w:rFonts w:hint="eastAsia" w:ascii="宋体" w:hAnsi="宋体" w:cs="宋体"/>
          <w:b/>
          <w:color w:val="auto"/>
          <w:sz w:val="24"/>
          <w:highlight w:val="none"/>
        </w:rPr>
      </w:pPr>
    </w:p>
    <w:p w14:paraId="2ACA2D83">
      <w:pPr>
        <w:spacing w:line="360" w:lineRule="auto"/>
        <w:contextualSpacing/>
        <w:jc w:val="left"/>
        <w:rPr>
          <w:rFonts w:hint="eastAsia" w:ascii="宋体" w:hAnsi="宋体" w:cs="宋体"/>
          <w:color w:val="auto"/>
          <w:sz w:val="24"/>
          <w:highlight w:val="none"/>
        </w:rPr>
      </w:pPr>
    </w:p>
    <w:p w14:paraId="2CD0F67C">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6F497CB4">
      <w:pPr>
        <w:spacing w:line="360" w:lineRule="auto"/>
        <w:ind w:firstLine="480" w:firstLineChars="20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3AA1B5">
      <w:pPr>
        <w:adjustRightInd w:val="0"/>
        <w:snapToGrid w:val="0"/>
        <w:spacing w:line="300" w:lineRule="auto"/>
        <w:jc w:val="left"/>
        <w:rPr>
          <w:rFonts w:hint="eastAsia" w:ascii="宋体" w:hAnsi="宋体" w:cs="宋体"/>
          <w:b/>
          <w:color w:val="auto"/>
          <w:szCs w:val="21"/>
          <w:highlight w:val="none"/>
        </w:rPr>
      </w:pPr>
    </w:p>
    <w:p w14:paraId="5F171EB6">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3914FA62">
      <w:pPr>
        <w:spacing w:line="520" w:lineRule="exact"/>
        <w:jc w:val="center"/>
        <w:rPr>
          <w:rFonts w:hint="eastAsia" w:ascii="宋体" w:hAnsi="宋体" w:cs="宋体"/>
          <w:color w:val="auto"/>
          <w:sz w:val="44"/>
          <w:szCs w:val="44"/>
          <w:highlight w:val="none"/>
        </w:rPr>
      </w:pPr>
      <w:bookmarkStart w:id="83" w:name="_Hlk65853643"/>
      <w:r>
        <w:rPr>
          <w:rFonts w:hint="eastAsia" w:ascii="宋体" w:hAnsi="宋体" w:cs="宋体"/>
          <w:color w:val="auto"/>
          <w:sz w:val="44"/>
          <w:szCs w:val="44"/>
          <w:highlight w:val="none"/>
        </w:rPr>
        <w:t>授权委托书（非联合体竞标格式）</w:t>
      </w:r>
    </w:p>
    <w:p w14:paraId="17FBB8FD">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5898AC17">
      <w:pPr>
        <w:spacing w:line="520" w:lineRule="exact"/>
        <w:rPr>
          <w:rFonts w:hint="eastAsia" w:ascii="宋体" w:hAnsi="宋体" w:cs="宋体"/>
          <w:color w:val="auto"/>
          <w:sz w:val="32"/>
          <w:szCs w:val="32"/>
          <w:highlight w:val="none"/>
        </w:rPr>
      </w:pPr>
    </w:p>
    <w:p w14:paraId="2CA15C9D">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89C8B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0AD1B2F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3FEAE61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37720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4902BF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0F524D2D">
      <w:pPr>
        <w:spacing w:line="360" w:lineRule="auto"/>
        <w:rPr>
          <w:rFonts w:hint="eastAsia" w:ascii="宋体" w:hAnsi="宋体" w:cs="宋体"/>
          <w:color w:val="auto"/>
          <w:sz w:val="24"/>
          <w:highlight w:val="none"/>
        </w:rPr>
      </w:pPr>
    </w:p>
    <w:p w14:paraId="22FCFA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                    </w:t>
      </w:r>
    </w:p>
    <w:p w14:paraId="7A97EE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085215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B466FB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供应商（公章或电子签章）：                      </w:t>
      </w:r>
    </w:p>
    <w:p w14:paraId="305097F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CCE9E19">
      <w:pPr>
        <w:spacing w:line="360" w:lineRule="auto"/>
        <w:rPr>
          <w:rFonts w:hint="eastAsia" w:ascii="宋体" w:hAnsi="宋体" w:cs="宋体"/>
          <w:color w:val="auto"/>
          <w:sz w:val="24"/>
          <w:highlight w:val="none"/>
        </w:rPr>
      </w:pPr>
    </w:p>
    <w:p w14:paraId="736D9C0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法定代表人必须在授权委托书上亲笔签字或盖章，委托代理人必须在授权委托书上签字或者电子签名，</w:t>
      </w:r>
      <w:r>
        <w:rPr>
          <w:rFonts w:hint="eastAsia" w:ascii="宋体" w:hAnsi="宋体" w:cs="宋体"/>
          <w:b/>
          <w:color w:val="auto"/>
          <w:sz w:val="24"/>
          <w:highlight w:val="none"/>
        </w:rPr>
        <w:t>否则其响应文件按无效响应处理。</w:t>
      </w:r>
    </w:p>
    <w:p w14:paraId="3DFEC8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429F5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 </w:t>
      </w:r>
      <w:bookmarkStart w:id="84" w:name="_Hlk65853109"/>
      <w:bookmarkStart w:id="85" w:name="_Hlk65853542"/>
      <w:r>
        <w:rPr>
          <w:rFonts w:hint="eastAsia" w:ascii="宋体" w:hAnsi="宋体" w:cs="宋体"/>
          <w:color w:val="auto"/>
          <w:sz w:val="24"/>
          <w:highlight w:val="none"/>
        </w:rPr>
        <w:t>法人、其他组织竞标时“我方”是指“我单位”，自然人竞标时“我方”是指“本人”。</w:t>
      </w:r>
      <w:bookmarkEnd w:id="84"/>
    </w:p>
    <w:bookmarkEnd w:id="85"/>
    <w:p w14:paraId="487C4409">
      <w:pPr>
        <w:spacing w:line="360" w:lineRule="auto"/>
        <w:ind w:firstLine="420" w:firstLineChars="200"/>
        <w:jc w:val="left"/>
        <w:rPr>
          <w:rFonts w:hint="eastAsia" w:ascii="宋体" w:hAnsi="宋体" w:cs="宋体"/>
          <w:color w:val="auto"/>
          <w:szCs w:val="21"/>
          <w:highlight w:val="none"/>
        </w:rPr>
      </w:pPr>
    </w:p>
    <w:p w14:paraId="16286CAC">
      <w:pPr>
        <w:spacing w:line="500" w:lineRule="exact"/>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6D7A8B7A">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7A21AC56">
      <w:pPr>
        <w:spacing w:line="500" w:lineRule="exact"/>
        <w:jc w:val="center"/>
        <w:rPr>
          <w:rFonts w:hint="eastAsia" w:ascii="宋体" w:hAnsi="宋体" w:cs="宋体"/>
          <w:color w:val="auto"/>
          <w:sz w:val="44"/>
          <w:szCs w:val="44"/>
          <w:highlight w:val="none"/>
        </w:rPr>
      </w:pPr>
    </w:p>
    <w:p w14:paraId="7C684C76">
      <w:pPr>
        <w:spacing w:line="500" w:lineRule="exact"/>
        <w:jc w:val="center"/>
        <w:rPr>
          <w:rFonts w:hint="eastAsia" w:ascii="宋体" w:hAnsi="宋体" w:cs="宋体"/>
          <w:color w:val="auto"/>
          <w:sz w:val="32"/>
          <w:szCs w:val="32"/>
          <w:highlight w:val="none"/>
        </w:rPr>
      </w:pPr>
    </w:p>
    <w:p w14:paraId="4F4E623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327D5E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EB3CB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AF367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64CC7F1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11FD6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牵头人法定代表人（签字或者电子签名）：</w:t>
      </w:r>
    </w:p>
    <w:p w14:paraId="5DB39DBE">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牵头人（公章或电子签章）：</w:t>
      </w:r>
    </w:p>
    <w:p w14:paraId="74986B00">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0E561E6">
      <w:pPr>
        <w:spacing w:line="360" w:lineRule="auto"/>
        <w:rPr>
          <w:rFonts w:hint="eastAsia" w:ascii="宋体" w:hAnsi="宋体" w:cs="宋体"/>
          <w:color w:val="auto"/>
          <w:sz w:val="24"/>
          <w:highlight w:val="none"/>
        </w:rPr>
      </w:pPr>
    </w:p>
    <w:p w14:paraId="2D3011C4">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被授权人（签字或者电子签名）：</w:t>
      </w:r>
    </w:p>
    <w:p w14:paraId="4FA0935F">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F942006">
      <w:pPr>
        <w:spacing w:line="360" w:lineRule="auto"/>
        <w:rPr>
          <w:rFonts w:hint="eastAsia" w:ascii="宋体" w:hAnsi="宋体" w:cs="宋体"/>
          <w:color w:val="auto"/>
          <w:sz w:val="24"/>
          <w:highlight w:val="none"/>
        </w:rPr>
      </w:pPr>
    </w:p>
    <w:p w14:paraId="23CE03C7">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注：1. 法定代表人必须在授权委托书上亲笔签字或者电子签名，委托代理人必须在授权委托书上签字或者电子签名，</w:t>
      </w:r>
      <w:r>
        <w:rPr>
          <w:rFonts w:hint="eastAsia" w:ascii="宋体" w:hAnsi="宋体" w:cs="宋体"/>
          <w:b/>
          <w:color w:val="auto"/>
          <w:sz w:val="22"/>
          <w:szCs w:val="22"/>
          <w:highlight w:val="none"/>
        </w:rPr>
        <w:t>否则其响应文件按无效响应处理。</w:t>
      </w:r>
    </w:p>
    <w:p w14:paraId="10C106C8">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2.本授权委托书应由联合体牵头人的法定代表人按上述规定签署。</w:t>
      </w:r>
    </w:p>
    <w:p w14:paraId="0182BFC7">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2D3193">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4.法人、其他组织竞标时“我方”是指“我单位”，自然人竞标时“我方”是指“本人”。</w:t>
      </w:r>
    </w:p>
    <w:bookmarkEnd w:id="83"/>
    <w:p w14:paraId="5F59EED7">
      <w:pPr>
        <w:spacing w:line="500" w:lineRule="exact"/>
        <w:jc w:val="center"/>
        <w:rPr>
          <w:rFonts w:hint="eastAsia"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商务条款偏离表格式</w:t>
      </w:r>
    </w:p>
    <w:p w14:paraId="34B5DFC8">
      <w:pPr>
        <w:spacing w:line="50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009BD6FD">
      <w:pPr>
        <w:spacing w:line="360" w:lineRule="auto"/>
        <w:contextualSpacing/>
        <w:jc w:val="left"/>
        <w:rPr>
          <w:rFonts w:hint="eastAsia" w:ascii="宋体" w:hAnsi="宋体" w:cs="宋体"/>
          <w:color w:val="auto"/>
          <w:sz w:val="24"/>
          <w:highlight w:val="none"/>
        </w:rPr>
      </w:pPr>
    </w:p>
    <w:p w14:paraId="1E25F47F">
      <w:pPr>
        <w:pStyle w:val="20"/>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p w14:paraId="5339D0E8">
      <w:pPr>
        <w:spacing w:line="360" w:lineRule="auto"/>
        <w:contextualSpacing/>
        <w:jc w:val="left"/>
        <w:rPr>
          <w:rFonts w:hint="eastAsia" w:ascii="宋体" w:hAnsi="宋体" w:cs="宋体"/>
          <w:color w:val="auto"/>
          <w:sz w:val="24"/>
          <w:highlight w:val="none"/>
          <w:u w:val="single"/>
        </w:rPr>
      </w:pPr>
    </w:p>
    <w:tbl>
      <w:tblPr>
        <w:tblStyle w:val="3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F63F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A58708A">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DEFC76B">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DB25FDB">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6F1690A">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57F2F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39F451F">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1C65900">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90845ED">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8CA5B73">
            <w:pPr>
              <w:spacing w:line="360" w:lineRule="auto"/>
              <w:contextualSpacing/>
              <w:jc w:val="center"/>
              <w:rPr>
                <w:rFonts w:hint="eastAsia" w:ascii="宋体" w:hAnsi="宋体" w:cs="宋体"/>
                <w:color w:val="auto"/>
                <w:sz w:val="24"/>
                <w:highlight w:val="none"/>
              </w:rPr>
            </w:pPr>
          </w:p>
        </w:tc>
      </w:tr>
      <w:tr w14:paraId="1B4F3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EA45982">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交付使用期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247AB7C">
            <w:pPr>
              <w:spacing w:line="360" w:lineRule="auto"/>
              <w:contextualSpacing/>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00744F2">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12A3060">
            <w:pPr>
              <w:spacing w:line="360" w:lineRule="auto"/>
              <w:contextualSpacing/>
              <w:jc w:val="center"/>
              <w:rPr>
                <w:rFonts w:hint="eastAsia" w:ascii="宋体" w:hAnsi="宋体" w:cs="宋体"/>
                <w:color w:val="auto"/>
                <w:sz w:val="24"/>
                <w:highlight w:val="none"/>
              </w:rPr>
            </w:pPr>
          </w:p>
        </w:tc>
      </w:tr>
      <w:tr w14:paraId="684C3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C07FE38">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服务实施地点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230026B">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656A1A7">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24DBD0C">
            <w:pPr>
              <w:spacing w:line="360" w:lineRule="auto"/>
              <w:contextualSpacing/>
              <w:jc w:val="center"/>
              <w:rPr>
                <w:rFonts w:hint="eastAsia" w:ascii="宋体" w:hAnsi="宋体" w:cs="宋体"/>
                <w:color w:val="auto"/>
                <w:sz w:val="24"/>
                <w:highlight w:val="none"/>
              </w:rPr>
            </w:pPr>
          </w:p>
        </w:tc>
      </w:tr>
      <w:tr w14:paraId="0AB4E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1093EA2">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BA4C3E0">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B0595DB">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C0A7C89">
            <w:pPr>
              <w:spacing w:line="360" w:lineRule="auto"/>
              <w:contextualSpacing/>
              <w:jc w:val="center"/>
              <w:rPr>
                <w:rFonts w:hint="eastAsia" w:ascii="宋体" w:hAnsi="宋体" w:cs="宋体"/>
                <w:color w:val="auto"/>
                <w:sz w:val="24"/>
                <w:highlight w:val="none"/>
              </w:rPr>
            </w:pPr>
          </w:p>
        </w:tc>
      </w:tr>
      <w:tr w14:paraId="78483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D44A9A7">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8D6BF38">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9810D68">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5CCDA83">
            <w:pPr>
              <w:spacing w:line="360" w:lineRule="auto"/>
              <w:contextualSpacing/>
              <w:jc w:val="center"/>
              <w:rPr>
                <w:rFonts w:hint="eastAsia" w:ascii="宋体" w:hAnsi="宋体" w:cs="宋体"/>
                <w:color w:val="auto"/>
                <w:sz w:val="24"/>
                <w:highlight w:val="none"/>
              </w:rPr>
            </w:pPr>
          </w:p>
        </w:tc>
      </w:tr>
    </w:tbl>
    <w:p w14:paraId="650BB180">
      <w:pPr>
        <w:pStyle w:val="18"/>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49BE08F0">
      <w:pPr>
        <w:pStyle w:val="18"/>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采购需求”中的商务条款逐条作出明确响应，并作出偏离说明。</w:t>
      </w:r>
    </w:p>
    <w:p w14:paraId="1C8827A4">
      <w:pPr>
        <w:spacing w:line="360" w:lineRule="auto"/>
        <w:contextualSpacing/>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61B84D43">
      <w:pPr>
        <w:spacing w:line="360" w:lineRule="auto"/>
        <w:ind w:right="-817" w:rightChars="-389"/>
        <w:contextualSpacing/>
        <w:rPr>
          <w:rFonts w:hint="eastAsia" w:ascii="宋体" w:hAnsi="宋体" w:cs="宋体"/>
          <w:color w:val="auto"/>
          <w:sz w:val="24"/>
          <w:highlight w:val="none"/>
        </w:rPr>
      </w:pPr>
    </w:p>
    <w:p w14:paraId="7224C79E">
      <w:pPr>
        <w:spacing w:line="360" w:lineRule="auto"/>
        <w:ind w:right="-817" w:rightChars="-389" w:firstLine="960" w:firstLineChars="4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00E06AE3">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供应商（公章或电子签章）：      </w:t>
      </w:r>
    </w:p>
    <w:p w14:paraId="5E3C231A">
      <w:pPr>
        <w:spacing w:line="360" w:lineRule="auto"/>
        <w:ind w:right="-817" w:rightChars="-389" w:firstLine="4080" w:firstLineChars="170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2AA1A01D">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08371150">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170E76B">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0FE27402">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3FBEBFDC">
      <w:pPr>
        <w:adjustRightInd w:val="0"/>
        <w:snapToGrid w:val="0"/>
        <w:spacing w:line="520" w:lineRule="exact"/>
        <w:rPr>
          <w:rFonts w:hint="eastAsia" w:ascii="宋体" w:hAnsi="宋体" w:cs="宋体"/>
          <w:color w:val="auto"/>
          <w:szCs w:val="21"/>
          <w:highlight w:val="none"/>
          <w:u w:val="single"/>
        </w:rPr>
      </w:pPr>
    </w:p>
    <w:p w14:paraId="1FEEE894">
      <w:pPr>
        <w:pStyle w:val="3"/>
        <w:spacing w:line="360" w:lineRule="auto"/>
        <w:ind w:firstLine="0" w:firstLineChars="0"/>
        <w:contextualSpacing/>
        <w:rPr>
          <w:rFonts w:hint="eastAsia" w:hAnsi="宋体" w:cs="宋体"/>
          <w:color w:val="auto"/>
          <w:sz w:val="24"/>
          <w:szCs w:val="24"/>
          <w:highlight w:val="none"/>
        </w:rPr>
      </w:pPr>
      <w:r>
        <w:rPr>
          <w:rFonts w:hint="eastAsia" w:ascii="宋体" w:hAnsi="宋体" w:eastAsia="宋体" w:cs="宋体"/>
          <w:bCs/>
          <w:color w:val="auto"/>
          <w:sz w:val="44"/>
          <w:szCs w:val="44"/>
          <w:highlight w:val="none"/>
        </w:rPr>
        <w:br w:type="page"/>
      </w:r>
    </w:p>
    <w:p w14:paraId="4B3FBBA7">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项目技术方案（格式）</w:t>
      </w:r>
    </w:p>
    <w:p w14:paraId="54CE0065">
      <w:pPr>
        <w:snapToGrid w:val="0"/>
        <w:spacing w:before="120" w:beforeLines="50" w:after="50"/>
        <w:rPr>
          <w:rFonts w:hint="eastAsia" w:ascii="宋体" w:hAnsi="宋体" w:cs="宋体"/>
          <w:b/>
          <w:color w:val="auto"/>
          <w:sz w:val="30"/>
          <w:szCs w:val="30"/>
          <w:highlight w:val="none"/>
        </w:rPr>
      </w:pPr>
    </w:p>
    <w:p w14:paraId="3E6B7C8A">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color w:val="auto"/>
          <w:highlight w:val="none"/>
        </w:rPr>
        <w:t>由供应商按本项目竞争性磋商文件第三章“采购需求”及评分办法中的评分点自行编制。</w:t>
      </w:r>
    </w:p>
    <w:p w14:paraId="385A7646">
      <w:pPr>
        <w:snapToGrid w:val="0"/>
        <w:spacing w:before="120" w:beforeLines="50" w:after="50"/>
        <w:ind w:left="142"/>
        <w:jc w:val="left"/>
        <w:rPr>
          <w:rFonts w:hint="eastAsia" w:ascii="宋体" w:hAnsi="宋体" w:cs="宋体"/>
          <w:b/>
          <w:color w:val="auto"/>
          <w:sz w:val="24"/>
          <w:highlight w:val="none"/>
        </w:rPr>
      </w:pPr>
    </w:p>
    <w:p w14:paraId="2E4C559B">
      <w:pPr>
        <w:snapToGrid w:val="0"/>
        <w:spacing w:before="120" w:beforeLines="50" w:after="50"/>
        <w:ind w:left="142"/>
        <w:jc w:val="left"/>
        <w:rPr>
          <w:rFonts w:hint="eastAsia" w:ascii="宋体" w:hAnsi="宋体" w:cs="宋体"/>
          <w:b/>
          <w:color w:val="auto"/>
          <w:sz w:val="24"/>
          <w:highlight w:val="none"/>
        </w:rPr>
      </w:pPr>
    </w:p>
    <w:p w14:paraId="5BC60199">
      <w:pPr>
        <w:snapToGrid w:val="0"/>
        <w:spacing w:before="120" w:beforeLines="50" w:after="50"/>
        <w:ind w:left="142"/>
        <w:jc w:val="left"/>
        <w:rPr>
          <w:rFonts w:hint="eastAsia" w:ascii="宋体" w:hAnsi="宋体" w:cs="宋体"/>
          <w:b/>
          <w:color w:val="auto"/>
          <w:sz w:val="24"/>
          <w:highlight w:val="none"/>
        </w:rPr>
      </w:pPr>
    </w:p>
    <w:p w14:paraId="047AE56E">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t>项拟投入本项目的人员配置情况表格式</w:t>
      </w:r>
    </w:p>
    <w:p w14:paraId="1A84692F">
      <w:pPr>
        <w:snapToGrid w:val="0"/>
        <w:spacing w:before="120" w:beforeLines="50" w:after="50"/>
        <w:ind w:left="142"/>
        <w:jc w:val="left"/>
        <w:rPr>
          <w:rFonts w:hint="eastAsia" w:ascii="宋体" w:hAnsi="宋体" w:cs="宋体"/>
          <w:b/>
          <w:color w:val="auto"/>
          <w:sz w:val="24"/>
          <w:highlight w:val="none"/>
        </w:rPr>
      </w:pPr>
    </w:p>
    <w:p w14:paraId="0373DA9D">
      <w:pPr>
        <w:spacing w:line="360" w:lineRule="auto"/>
        <w:ind w:left="142"/>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拟投入本项目的人员配置情况表</w:t>
      </w:r>
    </w:p>
    <w:p w14:paraId="58717986">
      <w:pPr>
        <w:pStyle w:val="20"/>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275"/>
        <w:gridCol w:w="2960"/>
        <w:gridCol w:w="2183"/>
        <w:gridCol w:w="1393"/>
      </w:tblGrid>
      <w:tr w14:paraId="0C24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noWrap w:val="0"/>
            <w:vAlign w:val="center"/>
          </w:tcPr>
          <w:p w14:paraId="4DE22203">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姓名</w:t>
            </w:r>
          </w:p>
        </w:tc>
        <w:tc>
          <w:tcPr>
            <w:tcW w:w="1275" w:type="dxa"/>
            <w:noWrap w:val="0"/>
            <w:vAlign w:val="center"/>
          </w:tcPr>
          <w:p w14:paraId="12273BD5">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职务</w:t>
            </w:r>
          </w:p>
        </w:tc>
        <w:tc>
          <w:tcPr>
            <w:tcW w:w="2960" w:type="dxa"/>
            <w:noWrap w:val="0"/>
            <w:vAlign w:val="center"/>
          </w:tcPr>
          <w:p w14:paraId="06587BCE">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专业</w:t>
            </w:r>
          </w:p>
        </w:tc>
        <w:tc>
          <w:tcPr>
            <w:tcW w:w="2183" w:type="dxa"/>
            <w:noWrap w:val="0"/>
            <w:vAlign w:val="center"/>
          </w:tcPr>
          <w:p w14:paraId="0598AFBA">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393" w:type="dxa"/>
            <w:noWrap w:val="0"/>
            <w:vAlign w:val="center"/>
          </w:tcPr>
          <w:p w14:paraId="51E28A5E">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备注</w:t>
            </w:r>
          </w:p>
        </w:tc>
      </w:tr>
      <w:tr w14:paraId="09A9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4" w:type="dxa"/>
            <w:noWrap w:val="0"/>
            <w:vAlign w:val="center"/>
          </w:tcPr>
          <w:p w14:paraId="1DD38518">
            <w:pPr>
              <w:spacing w:line="360" w:lineRule="auto"/>
              <w:contextualSpacing/>
              <w:jc w:val="center"/>
              <w:rPr>
                <w:rFonts w:hint="eastAsia" w:ascii="宋体" w:hAnsi="宋体" w:cs="宋体"/>
                <w:color w:val="auto"/>
                <w:sz w:val="24"/>
                <w:szCs w:val="20"/>
                <w:highlight w:val="none"/>
              </w:rPr>
            </w:pPr>
          </w:p>
        </w:tc>
        <w:tc>
          <w:tcPr>
            <w:tcW w:w="1275" w:type="dxa"/>
            <w:noWrap w:val="0"/>
            <w:vAlign w:val="center"/>
          </w:tcPr>
          <w:p w14:paraId="32C6C597">
            <w:pPr>
              <w:spacing w:line="360" w:lineRule="auto"/>
              <w:contextualSpacing/>
              <w:jc w:val="center"/>
              <w:rPr>
                <w:rFonts w:hint="eastAsia" w:ascii="宋体" w:hAnsi="宋体" w:cs="宋体"/>
                <w:color w:val="auto"/>
                <w:sz w:val="24"/>
                <w:szCs w:val="20"/>
                <w:highlight w:val="none"/>
              </w:rPr>
            </w:pPr>
          </w:p>
        </w:tc>
        <w:tc>
          <w:tcPr>
            <w:tcW w:w="2960" w:type="dxa"/>
            <w:noWrap w:val="0"/>
            <w:vAlign w:val="center"/>
          </w:tcPr>
          <w:p w14:paraId="55B4E047">
            <w:pPr>
              <w:spacing w:line="360" w:lineRule="auto"/>
              <w:contextualSpacing/>
              <w:jc w:val="center"/>
              <w:rPr>
                <w:rFonts w:hint="eastAsia" w:ascii="宋体" w:hAnsi="宋体" w:cs="宋体"/>
                <w:color w:val="auto"/>
                <w:sz w:val="24"/>
                <w:szCs w:val="20"/>
                <w:highlight w:val="none"/>
              </w:rPr>
            </w:pPr>
          </w:p>
        </w:tc>
        <w:tc>
          <w:tcPr>
            <w:tcW w:w="2183" w:type="dxa"/>
            <w:noWrap w:val="0"/>
            <w:vAlign w:val="center"/>
          </w:tcPr>
          <w:p w14:paraId="4E4F24CE">
            <w:pPr>
              <w:spacing w:line="360" w:lineRule="auto"/>
              <w:contextualSpacing/>
              <w:jc w:val="center"/>
              <w:rPr>
                <w:rFonts w:hint="eastAsia" w:ascii="宋体" w:hAnsi="宋体" w:cs="宋体"/>
                <w:color w:val="auto"/>
                <w:sz w:val="24"/>
                <w:szCs w:val="20"/>
                <w:highlight w:val="none"/>
              </w:rPr>
            </w:pPr>
          </w:p>
        </w:tc>
        <w:tc>
          <w:tcPr>
            <w:tcW w:w="1393" w:type="dxa"/>
            <w:noWrap w:val="0"/>
            <w:vAlign w:val="center"/>
          </w:tcPr>
          <w:p w14:paraId="5C62FFC7">
            <w:pPr>
              <w:spacing w:line="360" w:lineRule="auto"/>
              <w:contextualSpacing/>
              <w:jc w:val="center"/>
              <w:rPr>
                <w:rFonts w:hint="eastAsia" w:ascii="宋体" w:hAnsi="宋体" w:cs="宋体"/>
                <w:color w:val="auto"/>
                <w:sz w:val="24"/>
                <w:szCs w:val="20"/>
                <w:highlight w:val="none"/>
              </w:rPr>
            </w:pPr>
          </w:p>
        </w:tc>
      </w:tr>
      <w:tr w14:paraId="6A44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noWrap w:val="0"/>
            <w:vAlign w:val="center"/>
          </w:tcPr>
          <w:p w14:paraId="1861F9EF">
            <w:pPr>
              <w:spacing w:line="360" w:lineRule="auto"/>
              <w:contextualSpacing/>
              <w:jc w:val="center"/>
              <w:rPr>
                <w:rFonts w:hint="eastAsia" w:ascii="宋体" w:hAnsi="宋体" w:cs="宋体"/>
                <w:color w:val="auto"/>
                <w:sz w:val="24"/>
                <w:szCs w:val="20"/>
                <w:highlight w:val="none"/>
              </w:rPr>
            </w:pPr>
          </w:p>
        </w:tc>
        <w:tc>
          <w:tcPr>
            <w:tcW w:w="1275" w:type="dxa"/>
            <w:noWrap w:val="0"/>
            <w:vAlign w:val="center"/>
          </w:tcPr>
          <w:p w14:paraId="569C3226">
            <w:pPr>
              <w:spacing w:line="360" w:lineRule="auto"/>
              <w:contextualSpacing/>
              <w:jc w:val="center"/>
              <w:rPr>
                <w:rFonts w:hint="eastAsia" w:ascii="宋体" w:hAnsi="宋体" w:cs="宋体"/>
                <w:color w:val="auto"/>
                <w:sz w:val="24"/>
                <w:szCs w:val="20"/>
                <w:highlight w:val="none"/>
              </w:rPr>
            </w:pPr>
          </w:p>
        </w:tc>
        <w:tc>
          <w:tcPr>
            <w:tcW w:w="2960" w:type="dxa"/>
            <w:noWrap w:val="0"/>
            <w:vAlign w:val="center"/>
          </w:tcPr>
          <w:p w14:paraId="2B2D0A98">
            <w:pPr>
              <w:spacing w:line="360" w:lineRule="auto"/>
              <w:contextualSpacing/>
              <w:jc w:val="center"/>
              <w:rPr>
                <w:rFonts w:hint="eastAsia" w:ascii="宋体" w:hAnsi="宋体" w:cs="宋体"/>
                <w:color w:val="auto"/>
                <w:sz w:val="24"/>
                <w:szCs w:val="20"/>
                <w:highlight w:val="none"/>
              </w:rPr>
            </w:pPr>
          </w:p>
        </w:tc>
        <w:tc>
          <w:tcPr>
            <w:tcW w:w="2183" w:type="dxa"/>
            <w:noWrap w:val="0"/>
            <w:vAlign w:val="center"/>
          </w:tcPr>
          <w:p w14:paraId="152BD2AD">
            <w:pPr>
              <w:spacing w:line="360" w:lineRule="auto"/>
              <w:contextualSpacing/>
              <w:jc w:val="center"/>
              <w:rPr>
                <w:rFonts w:hint="eastAsia" w:ascii="宋体" w:hAnsi="宋体" w:cs="宋体"/>
                <w:color w:val="auto"/>
                <w:sz w:val="24"/>
                <w:szCs w:val="20"/>
                <w:highlight w:val="none"/>
              </w:rPr>
            </w:pPr>
          </w:p>
        </w:tc>
        <w:tc>
          <w:tcPr>
            <w:tcW w:w="1393" w:type="dxa"/>
            <w:noWrap w:val="0"/>
            <w:vAlign w:val="center"/>
          </w:tcPr>
          <w:p w14:paraId="18D15069">
            <w:pPr>
              <w:spacing w:line="360" w:lineRule="auto"/>
              <w:contextualSpacing/>
              <w:jc w:val="center"/>
              <w:rPr>
                <w:rFonts w:hint="eastAsia" w:ascii="宋体" w:hAnsi="宋体" w:cs="宋体"/>
                <w:color w:val="auto"/>
                <w:sz w:val="24"/>
                <w:szCs w:val="20"/>
                <w:highlight w:val="none"/>
              </w:rPr>
            </w:pPr>
          </w:p>
        </w:tc>
      </w:tr>
      <w:tr w14:paraId="18E7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noWrap w:val="0"/>
            <w:vAlign w:val="center"/>
          </w:tcPr>
          <w:p w14:paraId="688479FE">
            <w:pPr>
              <w:spacing w:line="360" w:lineRule="auto"/>
              <w:contextualSpacing/>
              <w:jc w:val="center"/>
              <w:rPr>
                <w:rFonts w:hint="eastAsia" w:ascii="宋体" w:hAnsi="宋体" w:cs="宋体"/>
                <w:color w:val="auto"/>
                <w:sz w:val="24"/>
                <w:szCs w:val="20"/>
                <w:highlight w:val="none"/>
              </w:rPr>
            </w:pPr>
          </w:p>
        </w:tc>
        <w:tc>
          <w:tcPr>
            <w:tcW w:w="1275" w:type="dxa"/>
            <w:noWrap w:val="0"/>
            <w:vAlign w:val="center"/>
          </w:tcPr>
          <w:p w14:paraId="49808723">
            <w:pPr>
              <w:spacing w:line="360" w:lineRule="auto"/>
              <w:contextualSpacing/>
              <w:jc w:val="center"/>
              <w:rPr>
                <w:rFonts w:hint="eastAsia" w:ascii="宋体" w:hAnsi="宋体" w:cs="宋体"/>
                <w:color w:val="auto"/>
                <w:sz w:val="24"/>
                <w:szCs w:val="20"/>
                <w:highlight w:val="none"/>
              </w:rPr>
            </w:pPr>
          </w:p>
        </w:tc>
        <w:tc>
          <w:tcPr>
            <w:tcW w:w="2960" w:type="dxa"/>
            <w:noWrap w:val="0"/>
            <w:vAlign w:val="center"/>
          </w:tcPr>
          <w:p w14:paraId="716AB43C">
            <w:pPr>
              <w:spacing w:line="360" w:lineRule="auto"/>
              <w:contextualSpacing/>
              <w:jc w:val="center"/>
              <w:rPr>
                <w:rFonts w:hint="eastAsia" w:ascii="宋体" w:hAnsi="宋体" w:cs="宋体"/>
                <w:color w:val="auto"/>
                <w:sz w:val="24"/>
                <w:szCs w:val="20"/>
                <w:highlight w:val="none"/>
              </w:rPr>
            </w:pPr>
          </w:p>
        </w:tc>
        <w:tc>
          <w:tcPr>
            <w:tcW w:w="2183" w:type="dxa"/>
            <w:noWrap w:val="0"/>
            <w:vAlign w:val="center"/>
          </w:tcPr>
          <w:p w14:paraId="2D74B56E">
            <w:pPr>
              <w:spacing w:line="360" w:lineRule="auto"/>
              <w:contextualSpacing/>
              <w:jc w:val="center"/>
              <w:rPr>
                <w:rFonts w:hint="eastAsia" w:ascii="宋体" w:hAnsi="宋体" w:cs="宋体"/>
                <w:color w:val="auto"/>
                <w:sz w:val="24"/>
                <w:szCs w:val="20"/>
                <w:highlight w:val="none"/>
              </w:rPr>
            </w:pPr>
          </w:p>
        </w:tc>
        <w:tc>
          <w:tcPr>
            <w:tcW w:w="1393" w:type="dxa"/>
            <w:noWrap w:val="0"/>
            <w:vAlign w:val="center"/>
          </w:tcPr>
          <w:p w14:paraId="61F256D2">
            <w:pPr>
              <w:spacing w:line="360" w:lineRule="auto"/>
              <w:contextualSpacing/>
              <w:jc w:val="center"/>
              <w:rPr>
                <w:rFonts w:hint="eastAsia" w:ascii="宋体" w:hAnsi="宋体" w:cs="宋体"/>
                <w:color w:val="auto"/>
                <w:sz w:val="24"/>
                <w:szCs w:val="20"/>
                <w:highlight w:val="none"/>
              </w:rPr>
            </w:pPr>
          </w:p>
        </w:tc>
      </w:tr>
    </w:tbl>
    <w:p w14:paraId="37138517">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注：在填写时，如本表格不适合供应商的实际情况，可根据本表格式自行制表填写。</w:t>
      </w:r>
    </w:p>
    <w:p w14:paraId="317F3C38">
      <w:pPr>
        <w:spacing w:line="360" w:lineRule="auto"/>
        <w:contextualSpacing/>
        <w:rPr>
          <w:rFonts w:hint="eastAsia"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75C564A1">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 w:val="24"/>
          <w:highlight w:val="none"/>
        </w:rPr>
        <w:t>供应商（公章或电子签章）：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02EEA9E7">
      <w:pPr>
        <w:snapToGrid w:val="0"/>
        <w:spacing w:before="50" w:after="120" w:afterLines="50"/>
        <w:jc w:val="left"/>
        <w:rPr>
          <w:rFonts w:hint="eastAsia" w:ascii="宋体" w:hAnsi="宋体" w:cs="宋体"/>
          <w:color w:val="auto"/>
          <w:sz w:val="24"/>
          <w:szCs w:val="20"/>
          <w:highlight w:val="none"/>
        </w:rPr>
      </w:pPr>
    </w:p>
    <w:p w14:paraId="1C57C63F">
      <w:pPr>
        <w:snapToGrid w:val="0"/>
        <w:spacing w:before="50" w:after="50" w:line="360" w:lineRule="auto"/>
        <w:ind w:right="-817" w:rightChars="-389" w:firstLine="5461" w:firstLineChars="1700"/>
        <w:rPr>
          <w:rFonts w:hint="eastAsia" w:ascii="宋体" w:hAnsi="宋体" w:cs="宋体"/>
          <w:b/>
          <w:color w:val="auto"/>
          <w:sz w:val="32"/>
          <w:szCs w:val="32"/>
          <w:highlight w:val="none"/>
        </w:rPr>
      </w:pPr>
    </w:p>
    <w:p w14:paraId="2A493176">
      <w:pPr>
        <w:pStyle w:val="24"/>
        <w:rPr>
          <w:rFonts w:hint="eastAsia" w:ascii="宋体" w:hAnsi="宋体" w:cs="宋体"/>
          <w:b/>
          <w:color w:val="auto"/>
          <w:sz w:val="32"/>
          <w:szCs w:val="32"/>
          <w:highlight w:val="none"/>
        </w:rPr>
      </w:pPr>
    </w:p>
    <w:p w14:paraId="7C8EB6B0">
      <w:pPr>
        <w:pStyle w:val="24"/>
        <w:rPr>
          <w:rFonts w:hint="eastAsia" w:ascii="宋体" w:hAnsi="宋体" w:cs="宋体"/>
          <w:b/>
          <w:color w:val="auto"/>
          <w:sz w:val="32"/>
          <w:szCs w:val="32"/>
          <w:highlight w:val="none"/>
        </w:rPr>
      </w:pPr>
    </w:p>
    <w:p w14:paraId="558A5EDB">
      <w:pPr>
        <w:pStyle w:val="24"/>
        <w:rPr>
          <w:rFonts w:hint="eastAsia" w:ascii="宋体" w:hAnsi="宋体" w:cs="宋体"/>
          <w:b/>
          <w:color w:val="auto"/>
          <w:sz w:val="32"/>
          <w:szCs w:val="32"/>
          <w:highlight w:val="none"/>
        </w:rPr>
      </w:pPr>
    </w:p>
    <w:p w14:paraId="5DD41DD1">
      <w:pPr>
        <w:pStyle w:val="24"/>
        <w:rPr>
          <w:rFonts w:hint="eastAsia" w:ascii="宋体" w:hAnsi="宋体" w:cs="宋体"/>
          <w:b/>
          <w:color w:val="auto"/>
          <w:sz w:val="32"/>
          <w:szCs w:val="32"/>
          <w:highlight w:val="none"/>
        </w:rPr>
      </w:pPr>
    </w:p>
    <w:p w14:paraId="204ECA74">
      <w:pPr>
        <w:pStyle w:val="24"/>
        <w:rPr>
          <w:rFonts w:hint="eastAsia" w:ascii="宋体" w:hAnsi="宋体" w:cs="宋体"/>
          <w:b/>
          <w:color w:val="auto"/>
          <w:sz w:val="32"/>
          <w:szCs w:val="32"/>
          <w:highlight w:val="none"/>
        </w:rPr>
      </w:pPr>
    </w:p>
    <w:p w14:paraId="7FBDE27A">
      <w:pPr>
        <w:pStyle w:val="24"/>
        <w:rPr>
          <w:rFonts w:hint="eastAsia" w:ascii="宋体" w:hAnsi="宋体" w:cs="宋体"/>
          <w:b/>
          <w:color w:val="auto"/>
          <w:sz w:val="32"/>
          <w:szCs w:val="32"/>
          <w:highlight w:val="none"/>
        </w:rPr>
      </w:pPr>
    </w:p>
    <w:p w14:paraId="1C9CD3BE">
      <w:pPr>
        <w:pStyle w:val="24"/>
        <w:rPr>
          <w:rFonts w:hint="eastAsia" w:ascii="宋体" w:hAnsi="宋体" w:cs="宋体"/>
          <w:b/>
          <w:color w:val="auto"/>
          <w:sz w:val="32"/>
          <w:szCs w:val="32"/>
          <w:highlight w:val="none"/>
        </w:rPr>
      </w:pPr>
    </w:p>
    <w:p w14:paraId="55F46CAD">
      <w:pPr>
        <w:snapToGrid w:val="0"/>
        <w:spacing w:before="120" w:beforeLines="50" w:after="50"/>
        <w:jc w:val="left"/>
        <w:rPr>
          <w:rFonts w:hint="eastAsia" w:ascii="宋体" w:hAnsi="宋体" w:cs="宋体"/>
          <w:b/>
          <w:color w:val="auto"/>
          <w:sz w:val="24"/>
          <w:highlight w:val="none"/>
        </w:rPr>
      </w:pPr>
    </w:p>
    <w:p w14:paraId="368401AE">
      <w:pPr>
        <w:snapToGrid w:val="0"/>
        <w:spacing w:before="120" w:beforeLines="50" w:after="50"/>
        <w:jc w:val="left"/>
        <w:rPr>
          <w:rFonts w:hint="eastAsia" w:ascii="宋体" w:hAnsi="宋体" w:cs="宋体"/>
          <w:b/>
          <w:color w:val="auto"/>
          <w:sz w:val="24"/>
          <w:highlight w:val="none"/>
        </w:rPr>
      </w:pPr>
    </w:p>
    <w:p w14:paraId="32A1F773">
      <w:pPr>
        <w:snapToGrid w:val="0"/>
        <w:spacing w:before="120" w:beforeLines="50" w:after="50"/>
        <w:jc w:val="left"/>
        <w:rPr>
          <w:rFonts w:hint="eastAsia" w:ascii="宋体" w:hAnsi="宋体" w:cs="宋体"/>
          <w:b/>
          <w:color w:val="auto"/>
          <w:sz w:val="24"/>
          <w:highlight w:val="none"/>
        </w:rPr>
      </w:pPr>
    </w:p>
    <w:p w14:paraId="7CC2DF51">
      <w:pPr>
        <w:snapToGrid w:val="0"/>
        <w:spacing w:before="120" w:beforeLines="50" w:after="50"/>
        <w:jc w:val="left"/>
        <w:rPr>
          <w:rFonts w:hint="eastAsia" w:ascii="宋体" w:hAnsi="宋体" w:cs="宋体"/>
          <w:b/>
          <w:color w:val="auto"/>
          <w:sz w:val="24"/>
          <w:highlight w:val="none"/>
        </w:rPr>
      </w:pPr>
    </w:p>
    <w:p w14:paraId="061C91D8">
      <w:pPr>
        <w:spacing w:line="300" w:lineRule="auto"/>
        <w:rPr>
          <w:rFonts w:hint="eastAsia" w:ascii="宋体" w:hAnsi="宋体" w:cs="宋体"/>
          <w:color w:val="auto"/>
          <w:szCs w:val="21"/>
          <w:highlight w:val="none"/>
        </w:rPr>
      </w:pPr>
      <w:r>
        <w:rPr>
          <w:rFonts w:hint="eastAsia" w:ascii="宋体" w:hAnsi="宋体" w:cs="宋体"/>
          <w:b/>
          <w:bCs/>
          <w:color w:val="auto"/>
          <w:sz w:val="24"/>
          <w:highlight w:val="none"/>
        </w:rPr>
        <w:t>其他文书、文件格式</w:t>
      </w:r>
    </w:p>
    <w:p w14:paraId="48631115">
      <w:pPr>
        <w:pStyle w:val="6"/>
        <w:spacing w:before="146" w:line="500" w:lineRule="exact"/>
        <w:ind w:right="142"/>
        <w:jc w:val="center"/>
        <w:rPr>
          <w:rFonts w:hint="eastAsia" w:ascii="宋体" w:hAnsi="宋体" w:cs="宋体"/>
          <w:b w:val="0"/>
          <w:bCs w:val="0"/>
          <w:color w:val="auto"/>
          <w:highlight w:val="none"/>
        </w:rPr>
      </w:pPr>
      <w:r>
        <w:rPr>
          <w:rFonts w:hint="eastAsia" w:ascii="宋体" w:hAnsi="宋体" w:cs="宋体"/>
          <w:color w:val="auto"/>
          <w:highlight w:val="none"/>
        </w:rPr>
        <w:t>中小企业声明函（服务）</w:t>
      </w:r>
    </w:p>
    <w:p w14:paraId="791CEAB8">
      <w:pPr>
        <w:spacing w:before="2" w:line="500" w:lineRule="exact"/>
        <w:ind w:firstLine="708" w:firstLineChars="294"/>
        <w:rPr>
          <w:rFonts w:hint="eastAsia" w:ascii="宋体" w:hAnsi="宋体" w:cs="宋体"/>
          <w:b/>
          <w:bCs/>
          <w:color w:val="auto"/>
          <w:sz w:val="24"/>
          <w:highlight w:val="none"/>
        </w:rPr>
      </w:pPr>
    </w:p>
    <w:p w14:paraId="434F007B">
      <w:pPr>
        <w:pStyle w:val="5"/>
        <w:spacing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20697E9">
      <w:pPr>
        <w:tabs>
          <w:tab w:val="left" w:pos="1384"/>
          <w:tab w:val="left" w:pos="4562"/>
          <w:tab w:val="left" w:pos="6803"/>
        </w:tabs>
        <w:spacing w:before="13" w:line="500" w:lineRule="exact"/>
        <w:ind w:right="142" w:firstLine="772" w:firstLineChars="322"/>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A41F458">
      <w:pPr>
        <w:tabs>
          <w:tab w:val="left" w:pos="1065"/>
          <w:tab w:val="left" w:pos="4262"/>
          <w:tab w:val="left" w:pos="6477"/>
        </w:tabs>
        <w:spacing w:before="20" w:line="500" w:lineRule="exact"/>
        <w:ind w:right="84" w:firstLine="772" w:firstLineChars="322"/>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4D1F323">
      <w:pPr>
        <w:pStyle w:val="5"/>
        <w:spacing w:before="34"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973D965">
      <w:pPr>
        <w:pStyle w:val="5"/>
        <w:spacing w:before="34"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454123E">
      <w:pPr>
        <w:pStyle w:val="5"/>
        <w:spacing w:before="25"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A911C91">
      <w:pPr>
        <w:pStyle w:val="5"/>
        <w:spacing w:before="56" w:line="500" w:lineRule="exact"/>
        <w:ind w:right="1808" w:firstLine="705" w:firstLineChars="294"/>
        <w:rPr>
          <w:rFonts w:hint="eastAsia" w:ascii="宋体" w:hAnsi="宋体" w:cs="宋体"/>
          <w:color w:val="auto"/>
          <w:sz w:val="24"/>
          <w:highlight w:val="none"/>
        </w:rPr>
      </w:pPr>
    </w:p>
    <w:p w14:paraId="2C6289C3">
      <w:pPr>
        <w:pStyle w:val="5"/>
        <w:spacing w:before="56" w:line="500" w:lineRule="exact"/>
        <w:ind w:right="650" w:firstLine="5625" w:firstLineChars="2344"/>
        <w:rPr>
          <w:rFonts w:hint="eastAsia" w:ascii="宋体" w:hAnsi="宋体" w:cs="宋体"/>
          <w:color w:val="auto"/>
          <w:sz w:val="24"/>
          <w:highlight w:val="none"/>
        </w:rPr>
      </w:pPr>
      <w:r>
        <w:rPr>
          <w:rFonts w:hint="eastAsia" w:ascii="宋体" w:hAnsi="宋体" w:cs="宋体"/>
          <w:color w:val="auto"/>
          <w:sz w:val="24"/>
          <w:highlight w:val="none"/>
        </w:rPr>
        <w:t xml:space="preserve">企业名称（章）： </w:t>
      </w:r>
    </w:p>
    <w:p w14:paraId="295EB367">
      <w:pPr>
        <w:pStyle w:val="5"/>
        <w:spacing w:before="56" w:line="500" w:lineRule="exact"/>
        <w:ind w:right="1808" w:firstLine="5625" w:firstLineChars="2344"/>
        <w:rPr>
          <w:rFonts w:hint="eastAsia" w:ascii="宋体" w:hAnsi="宋体" w:cs="宋体"/>
          <w:color w:val="auto"/>
          <w:sz w:val="24"/>
          <w:highlight w:val="none"/>
        </w:rPr>
      </w:pPr>
      <w:r>
        <w:rPr>
          <w:rFonts w:hint="eastAsia" w:ascii="宋体" w:hAnsi="宋体" w:cs="宋体"/>
          <w:color w:val="auto"/>
          <w:sz w:val="24"/>
          <w:highlight w:val="none"/>
        </w:rPr>
        <w:t>日 期：</w:t>
      </w:r>
    </w:p>
    <w:p w14:paraId="5DC38E09">
      <w:pPr>
        <w:spacing w:line="52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7676B2">
      <w:pPr>
        <w:spacing w:line="520" w:lineRule="exact"/>
        <w:jc w:val="center"/>
        <w:rPr>
          <w:rFonts w:hint="eastAsia"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527EDA4D">
      <w:pPr>
        <w:spacing w:line="360" w:lineRule="auto"/>
        <w:contextualSpacing/>
        <w:rPr>
          <w:rFonts w:hint="eastAsia" w:ascii="宋体" w:hAnsi="宋体" w:cs="宋体"/>
          <w:color w:val="auto"/>
          <w:sz w:val="32"/>
          <w:szCs w:val="32"/>
          <w:highlight w:val="none"/>
        </w:rPr>
      </w:pPr>
    </w:p>
    <w:p w14:paraId="1FD62FB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EBABDE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00B1225">
      <w:pPr>
        <w:spacing w:line="360" w:lineRule="auto"/>
        <w:contextualSpacing/>
        <w:rPr>
          <w:rFonts w:hint="eastAsia" w:ascii="宋体" w:hAnsi="宋体" w:cs="宋体"/>
          <w:color w:val="auto"/>
          <w:sz w:val="24"/>
          <w:highlight w:val="none"/>
        </w:rPr>
      </w:pPr>
    </w:p>
    <w:p w14:paraId="59E1434D">
      <w:pPr>
        <w:spacing w:line="360" w:lineRule="auto"/>
        <w:contextualSpacing/>
        <w:rPr>
          <w:rFonts w:hint="eastAsia" w:ascii="宋体" w:hAnsi="宋体" w:cs="宋体"/>
          <w:color w:val="auto"/>
          <w:sz w:val="24"/>
          <w:highlight w:val="none"/>
        </w:rPr>
      </w:pPr>
    </w:p>
    <w:p w14:paraId="16635670">
      <w:pPr>
        <w:spacing w:line="360" w:lineRule="auto"/>
        <w:contextualSpacing/>
        <w:rPr>
          <w:rFonts w:hint="eastAsia" w:ascii="宋体" w:hAnsi="宋体" w:cs="宋体"/>
          <w:color w:val="auto"/>
          <w:sz w:val="24"/>
          <w:highlight w:val="none"/>
        </w:rPr>
      </w:pPr>
    </w:p>
    <w:p w14:paraId="4B3694D2">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单位名称（盖章）：</w:t>
      </w:r>
    </w:p>
    <w:p w14:paraId="07904370">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日  期：</w:t>
      </w:r>
    </w:p>
    <w:p w14:paraId="0AA6340C">
      <w:pPr>
        <w:spacing w:line="360" w:lineRule="auto"/>
        <w:contextualSpacing/>
        <w:rPr>
          <w:rFonts w:hint="eastAsia" w:ascii="宋体" w:hAnsi="宋体" w:cs="宋体"/>
          <w:color w:val="auto"/>
          <w:sz w:val="24"/>
          <w:highlight w:val="none"/>
        </w:rPr>
      </w:pPr>
    </w:p>
    <w:p w14:paraId="0A594179">
      <w:pPr>
        <w:spacing w:line="360" w:lineRule="auto"/>
        <w:contextualSpacing/>
        <w:rPr>
          <w:rFonts w:hint="eastAsia" w:ascii="宋体" w:hAnsi="宋体" w:cs="宋体"/>
          <w:color w:val="auto"/>
          <w:sz w:val="24"/>
          <w:highlight w:val="none"/>
        </w:rPr>
      </w:pPr>
    </w:p>
    <w:p w14:paraId="1922478E">
      <w:pPr>
        <w:spacing w:line="360" w:lineRule="auto"/>
        <w:contextualSpacing/>
        <w:rPr>
          <w:rFonts w:hint="eastAsia" w:ascii="宋体" w:hAnsi="宋体" w:cs="宋体"/>
          <w:color w:val="auto"/>
          <w:sz w:val="24"/>
          <w:highlight w:val="none"/>
        </w:rPr>
      </w:pPr>
    </w:p>
    <w:p w14:paraId="370B0CB4">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748F984">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质疑函（格式）</w:t>
      </w:r>
    </w:p>
    <w:p w14:paraId="45E11321">
      <w:pPr>
        <w:pStyle w:val="20"/>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43969EC2">
      <w:pPr>
        <w:pStyle w:val="20"/>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839F410">
      <w:pPr>
        <w:pStyle w:val="20"/>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13BF185">
      <w:pPr>
        <w:pStyle w:val="20"/>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E3067BA">
      <w:pPr>
        <w:pStyle w:val="20"/>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041302A">
      <w:pPr>
        <w:pStyle w:val="20"/>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C832049">
      <w:pPr>
        <w:pStyle w:val="20"/>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71CF5F9">
      <w:pPr>
        <w:pStyle w:val="20"/>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68B3849B">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1ED8781D">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6C24D6B">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4FF91AB4">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358097AB">
      <w:pPr>
        <w:pStyle w:val="20"/>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04BDA516">
      <w:pPr>
        <w:pStyle w:val="20"/>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01A38461">
      <w:pPr>
        <w:pStyle w:val="20"/>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70242E28">
      <w:pPr>
        <w:pStyle w:val="20"/>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746B97FF">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6B56A9F2">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1EE3991">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6953ECBB">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00C42CF7">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2AEE8033">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7F7752F6">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1304FBE">
      <w:pPr>
        <w:pStyle w:val="20"/>
        <w:spacing w:line="360" w:lineRule="auto"/>
        <w:ind w:left="25" w:leftChars="12" w:firstLine="352" w:firstLineChars="147"/>
        <w:contextualSpacing/>
        <w:rPr>
          <w:rFonts w:hint="eastAsia" w:hAnsi="宋体" w:cs="宋体"/>
          <w:color w:val="auto"/>
          <w:sz w:val="24"/>
          <w:szCs w:val="24"/>
          <w:highlight w:val="none"/>
        </w:rPr>
      </w:pPr>
    </w:p>
    <w:p w14:paraId="5C828079">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E755CF0">
      <w:pPr>
        <w:pStyle w:val="20"/>
        <w:spacing w:line="360" w:lineRule="auto"/>
        <w:ind w:left="25" w:leftChars="12" w:firstLine="352" w:firstLineChars="147"/>
        <w:contextualSpacing/>
        <w:rPr>
          <w:rFonts w:hint="eastAsia" w:hAnsi="宋体" w:cs="宋体"/>
          <w:color w:val="auto"/>
          <w:sz w:val="24"/>
          <w:szCs w:val="24"/>
          <w:highlight w:val="none"/>
        </w:rPr>
      </w:pPr>
    </w:p>
    <w:p w14:paraId="4C32EA9B">
      <w:pPr>
        <w:pStyle w:val="20"/>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74C4E33B">
      <w:pPr>
        <w:pStyle w:val="20"/>
        <w:spacing w:line="360" w:lineRule="auto"/>
        <w:contextualSpacing/>
        <w:rPr>
          <w:rFonts w:hint="eastAsia" w:hAnsi="宋体" w:cs="宋体"/>
          <w:b/>
          <w:color w:val="auto"/>
          <w:sz w:val="24"/>
          <w:szCs w:val="24"/>
          <w:highlight w:val="none"/>
        </w:rPr>
      </w:pPr>
    </w:p>
    <w:p w14:paraId="097F83CE">
      <w:pPr>
        <w:pStyle w:val="20"/>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5F7F8BC2">
      <w:pPr>
        <w:pStyle w:val="20"/>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F7DA962">
      <w:pPr>
        <w:pStyle w:val="20"/>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F7749FA">
      <w:pPr>
        <w:pStyle w:val="20"/>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9397300">
      <w:pPr>
        <w:pStyle w:val="20"/>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B1A6E2A">
      <w:pPr>
        <w:pStyle w:val="20"/>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23785C1A">
      <w:pPr>
        <w:pStyle w:val="20"/>
        <w:snapToGrid w:val="0"/>
        <w:rPr>
          <w:rFonts w:hint="eastAsia" w:hAnsi="宋体" w:cs="宋体"/>
          <w:b/>
          <w:color w:val="auto"/>
          <w:sz w:val="24"/>
          <w:szCs w:val="24"/>
          <w:highlight w:val="none"/>
        </w:rPr>
      </w:pPr>
    </w:p>
    <w:p w14:paraId="05394E5B">
      <w:pPr>
        <w:spacing w:line="460" w:lineRule="exact"/>
        <w:jc w:val="center"/>
        <w:rPr>
          <w:rFonts w:hint="eastAsia"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703160B6">
      <w:pPr>
        <w:pStyle w:val="20"/>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DF12D3E">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5C84816">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EC20C9A">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7081003">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B27A0B8">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07B75CE">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0993B711">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37D953">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0841BD68">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DA27514">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F8BF7C">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7113B02">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76C5BCB3">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3854872E">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8046ABA">
      <w:pPr>
        <w:pStyle w:val="20"/>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614EA96B">
      <w:pPr>
        <w:pStyle w:val="20"/>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8FBE6DA">
      <w:pPr>
        <w:pStyle w:val="20"/>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5BA52E5F">
      <w:pPr>
        <w:pStyle w:val="20"/>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3855F60E">
      <w:pPr>
        <w:pStyle w:val="20"/>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229BA9E">
      <w:pPr>
        <w:pStyle w:val="20"/>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E81960B">
      <w:pPr>
        <w:pStyle w:val="20"/>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5EB0BBF2">
      <w:pPr>
        <w:pStyle w:val="20"/>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9909876">
      <w:pPr>
        <w:pStyle w:val="20"/>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6B13AB">
      <w:pPr>
        <w:pStyle w:val="20"/>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630A2E41">
      <w:pPr>
        <w:pStyle w:val="2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A8E470F">
      <w:pPr>
        <w:pStyle w:val="20"/>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2D41ECA">
      <w:pPr>
        <w:pStyle w:val="20"/>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FA14D2F">
      <w:pPr>
        <w:pStyle w:val="20"/>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2CE54D72">
      <w:pPr>
        <w:pStyle w:val="20"/>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62251AF1">
      <w:pPr>
        <w:pStyle w:val="20"/>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3BB3791B">
      <w:pPr>
        <w:pStyle w:val="2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D51EB0D">
      <w:pPr>
        <w:pStyle w:val="20"/>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5002ED59">
      <w:pPr>
        <w:pStyle w:val="2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7CD6248">
      <w:pPr>
        <w:pStyle w:val="20"/>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969C91D">
      <w:pPr>
        <w:pStyle w:val="20"/>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2765F5F">
      <w:pPr>
        <w:pStyle w:val="20"/>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2E736F5E">
      <w:pPr>
        <w:pStyle w:val="20"/>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5C4A885">
      <w:pPr>
        <w:pStyle w:val="20"/>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0B499B8">
      <w:pPr>
        <w:pStyle w:val="20"/>
        <w:spacing w:line="360" w:lineRule="auto"/>
        <w:ind w:left="25" w:leftChars="12" w:firstLine="352" w:firstLineChars="147"/>
        <w:rPr>
          <w:rFonts w:hint="eastAsia" w:hAnsi="宋体" w:cs="宋体"/>
          <w:color w:val="auto"/>
          <w:sz w:val="24"/>
          <w:szCs w:val="24"/>
          <w:highlight w:val="none"/>
        </w:rPr>
      </w:pPr>
    </w:p>
    <w:p w14:paraId="01B3F170">
      <w:pPr>
        <w:pStyle w:val="20"/>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28E4CBE3">
      <w:pPr>
        <w:pStyle w:val="20"/>
        <w:spacing w:line="360" w:lineRule="auto"/>
        <w:ind w:left="25" w:leftChars="12" w:firstLine="352" w:firstLineChars="147"/>
        <w:rPr>
          <w:rFonts w:hint="eastAsia" w:hAnsi="宋体" w:cs="宋体"/>
          <w:color w:val="auto"/>
          <w:sz w:val="24"/>
          <w:szCs w:val="24"/>
          <w:highlight w:val="none"/>
        </w:rPr>
      </w:pPr>
    </w:p>
    <w:p w14:paraId="5C704EFC">
      <w:pPr>
        <w:pStyle w:val="20"/>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6C0293AF">
      <w:pPr>
        <w:pStyle w:val="20"/>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 xml:space="preserve">                                                                                 </w:t>
      </w:r>
    </w:p>
    <w:p w14:paraId="6DD107E3">
      <w:pPr>
        <w:pStyle w:val="2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470DDE3F">
      <w:pPr>
        <w:pStyle w:val="20"/>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D8A4168">
      <w:pPr>
        <w:pStyle w:val="20"/>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DD426F9">
      <w:pPr>
        <w:pStyle w:val="20"/>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77F17B4A">
      <w:pPr>
        <w:pStyle w:val="20"/>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E855E3F">
      <w:pPr>
        <w:pStyle w:val="20"/>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61964109">
      <w:pPr>
        <w:pStyle w:val="20"/>
        <w:spacing w:line="360" w:lineRule="auto"/>
        <w:ind w:left="25" w:leftChars="12" w:firstLine="354" w:firstLineChars="147"/>
        <w:rPr>
          <w:rFonts w:hint="eastAsia"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bookmarkStart w:id="86" w:name="_Toc44229900"/>
    </w:p>
    <w:bookmarkEnd w:id="86"/>
    <w:p w14:paraId="4A19B884">
      <w:pPr>
        <w:pStyle w:val="7"/>
        <w:spacing w:line="520" w:lineRule="exact"/>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第六章 合同文本</w:t>
      </w:r>
    </w:p>
    <w:p w14:paraId="6D9FA027">
      <w:pPr>
        <w:ind w:firstLine="1120" w:firstLineChars="400"/>
        <w:rPr>
          <w:rFonts w:hint="eastAsia" w:eastAsia="宋体"/>
          <w:color w:val="auto"/>
          <w:sz w:val="16"/>
          <w:szCs w:val="20"/>
          <w:highlight w:val="none"/>
          <w:lang w:eastAsia="zh-CN"/>
        </w:rPr>
      </w:pPr>
      <w:r>
        <w:rPr>
          <w:rFonts w:hint="eastAsia" w:ascii="宋体" w:hAnsi="宋体" w:cs="宋体"/>
          <w:color w:val="auto"/>
          <w:sz w:val="28"/>
          <w:szCs w:val="28"/>
          <w:highlight w:val="none"/>
          <w:lang w:val="en-US" w:eastAsia="zh-CN"/>
        </w:rPr>
        <w:t>2025年-2026年玉林市级电子政务外网购买服务项目</w:t>
      </w:r>
    </w:p>
    <w:p w14:paraId="7BDE7904">
      <w:pPr>
        <w:spacing w:line="360" w:lineRule="auto"/>
        <w:ind w:right="800"/>
        <w:rPr>
          <w:rFonts w:hint="eastAsia" w:ascii="宋体" w:hAnsi="宋体" w:cs="宋体"/>
          <w:color w:val="auto"/>
          <w:szCs w:val="21"/>
          <w:highlight w:val="none"/>
        </w:rPr>
      </w:pPr>
    </w:p>
    <w:p w14:paraId="078EE5FC">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15F7B41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F4DBD02">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676F178E">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44CF35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为满足甲方玉林市电子政务外网信息化需求，就甲方</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（“项目”），乙方为甲方提供</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使用服务，甲方为此支付相应的服务使用费。双方经过平等协商，在真实、充分地表达各自意愿的基础上，根据《中华人民共和国</w:t>
      </w:r>
      <w:r>
        <w:rPr>
          <w:rFonts w:hint="eastAsia" w:ascii="宋体" w:hAnsi="宋体"/>
          <w:color w:val="auto"/>
          <w:szCs w:val="21"/>
          <w:highlight w:val="none"/>
          <w:lang w:eastAsia="zh-CN"/>
        </w:rPr>
        <w:t>民法典</w:t>
      </w:r>
      <w:r>
        <w:rPr>
          <w:rFonts w:hint="eastAsia" w:ascii="宋体" w:hAnsi="宋体"/>
          <w:color w:val="auto"/>
          <w:szCs w:val="21"/>
          <w:highlight w:val="none"/>
        </w:rPr>
        <w:t xml:space="preserve">》的规定，达成如下合同，并由双方共同恪守。 </w:t>
      </w:r>
    </w:p>
    <w:p w14:paraId="39FD35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第一条 甲方使用乙方的</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 xml:space="preserve">服务的内容如下： </w:t>
      </w:r>
    </w:p>
    <w:p w14:paraId="22CDCE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 服务的目标：</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由乙方提供运营、维护服务；甲方进行购买服务。乙方保证</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相关系统或平台能够稳定可靠地运行和正常使用。</w:t>
      </w:r>
    </w:p>
    <w:p w14:paraId="6626D4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1.2服务的内容：[乙方为甲方提供</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 xml:space="preserve">服务，在服务使用期限内提供以下内容： </w:t>
      </w:r>
    </w:p>
    <w:p w14:paraId="5F779C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（1）光纤电路租用服务、互联网出口宽带租用服务等内容的整体交付服务;</w:t>
      </w:r>
    </w:p>
    <w:p w14:paraId="3DE6A3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（2）驻场服务;</w:t>
      </w:r>
    </w:p>
    <w:p w14:paraId="3A56181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（3）售后服务;</w:t>
      </w:r>
    </w:p>
    <w:p w14:paraId="181F6B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（4）商务条款的</w:t>
      </w:r>
      <w:r>
        <w:rPr>
          <w:rFonts w:ascii="宋体" w:hAnsi="宋体"/>
          <w:color w:val="auto"/>
          <w:szCs w:val="21"/>
          <w:highlight w:val="none"/>
        </w:rPr>
        <w:t>相关服务要求</w:t>
      </w:r>
      <w:r>
        <w:rPr>
          <w:rFonts w:hint="eastAsia" w:ascii="宋体" w:hAnsi="宋体"/>
          <w:color w:val="auto"/>
          <w:szCs w:val="21"/>
          <w:highlight w:val="none"/>
        </w:rPr>
        <w:t>;</w:t>
      </w:r>
    </w:p>
    <w:p w14:paraId="5F5772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以上服务内容的详细内容参见附件。 </w:t>
      </w:r>
    </w:p>
    <w:p w14:paraId="48B2F0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1.3 服务的方式：现场/远程。 </w:t>
      </w:r>
    </w:p>
    <w:p w14:paraId="611C20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第二条 乙方应按下列要求完成服务工作： </w:t>
      </w:r>
    </w:p>
    <w:p w14:paraId="188805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 服务交付地点：为玉林市内采购人指定地点。</w:t>
      </w:r>
    </w:p>
    <w:p w14:paraId="78E4F5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2.2 业务服务期限：双方约定业务使用期限为一年。 </w:t>
      </w:r>
    </w:p>
    <w:p w14:paraId="4D9FDB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第三条 甲方向乙方支付</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 xml:space="preserve">服务使用费及支付方式： </w:t>
      </w:r>
    </w:p>
    <w:p w14:paraId="61858C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olor w:val="auto"/>
          <w:szCs w:val="21"/>
          <w:highlight w:val="none"/>
          <w:lang w:eastAsia="zh-CN"/>
        </w:rPr>
        <w:t>2025年-2026年玉林市级电子政务外网购买服务项目</w:t>
      </w:r>
      <w:r>
        <w:rPr>
          <w:rFonts w:hint="eastAsia" w:ascii="宋体" w:hAnsi="宋体"/>
          <w:color w:val="auto"/>
          <w:szCs w:val="21"/>
          <w:highlight w:val="none"/>
        </w:rPr>
        <w:t>服务使用费合计为人民币</w:t>
      </w:r>
      <w:r>
        <w:rPr>
          <w:rFonts w:hint="eastAsia" w:ascii="宋体" w:hAnsi="宋体"/>
          <w:color w:val="auto"/>
          <w:szCs w:val="21"/>
          <w:highlight w:val="none"/>
          <w:u w:val="single"/>
        </w:rPr>
        <w:t>：X</w:t>
      </w:r>
      <w:r>
        <w:rPr>
          <w:rFonts w:ascii="宋体" w:hAnsi="宋体"/>
          <w:color w:val="auto"/>
          <w:szCs w:val="21"/>
          <w:highlight w:val="none"/>
          <w:u w:val="single"/>
        </w:rPr>
        <w:t>XXXXXXX</w:t>
      </w:r>
      <w:r>
        <w:rPr>
          <w:rFonts w:hint="eastAsia" w:ascii="宋体" w:hAnsi="宋体"/>
          <w:color w:val="auto"/>
          <w:szCs w:val="21"/>
          <w:highlight w:val="none"/>
        </w:rPr>
        <w:t xml:space="preserve">；甲方同意按以下约定的方式向乙方支付本项目服务费； </w:t>
      </w:r>
    </w:p>
    <w:p w14:paraId="485C3A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支付方式。</w:t>
      </w:r>
    </w:p>
    <w:p w14:paraId="4D94F479">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（1）第一次付款（项目预付款合同价款的30%）：自签订合同后5个工作日内甲方向乙方支付服务费人民币X</w:t>
      </w:r>
      <w:r>
        <w:rPr>
          <w:rFonts w:ascii="宋体" w:hAnsi="宋体"/>
          <w:color w:val="auto"/>
          <w:szCs w:val="21"/>
          <w:highlight w:val="none"/>
        </w:rPr>
        <w:t>XXXXXXXXX</w:t>
      </w:r>
      <w:r>
        <w:rPr>
          <w:rFonts w:hint="eastAsia" w:ascii="宋体" w:hAnsi="宋体"/>
          <w:b/>
          <w:color w:val="auto"/>
          <w:szCs w:val="21"/>
          <w:highlight w:val="none"/>
          <w:u w:val="single"/>
        </w:rPr>
        <w:t>。</w:t>
      </w:r>
    </w:p>
    <w:p w14:paraId="4C6020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（2）第二次付款：项目</w:t>
      </w:r>
      <w:r>
        <w:rPr>
          <w:rFonts w:ascii="宋体" w:hAnsi="宋体"/>
          <w:color w:val="auto"/>
          <w:szCs w:val="21"/>
          <w:highlight w:val="none"/>
        </w:rPr>
        <w:t>验收后</w:t>
      </w:r>
      <w:r>
        <w:rPr>
          <w:rFonts w:hint="eastAsia" w:ascii="宋体" w:hAnsi="宋体"/>
          <w:color w:val="auto"/>
          <w:szCs w:val="21"/>
          <w:highlight w:val="none"/>
        </w:rPr>
        <w:t>支付服务费人民币大写</w:t>
      </w:r>
      <w:r>
        <w:rPr>
          <w:rFonts w:hint="eastAsia" w:ascii="宋体" w:hAnsi="宋体"/>
          <w:b/>
          <w:color w:val="auto"/>
          <w:szCs w:val="21"/>
          <w:highlight w:val="none"/>
          <w:u w:val="single"/>
        </w:rPr>
        <w:t>：X</w:t>
      </w:r>
      <w:r>
        <w:rPr>
          <w:rFonts w:ascii="宋体" w:hAnsi="宋体"/>
          <w:b/>
          <w:color w:val="auto"/>
          <w:szCs w:val="21"/>
          <w:highlight w:val="none"/>
          <w:u w:val="single"/>
        </w:rPr>
        <w:t>XXXXXXX</w:t>
      </w:r>
      <w:r>
        <w:rPr>
          <w:rFonts w:hint="eastAsia" w:ascii="宋体" w:hAnsi="宋体"/>
          <w:b/>
          <w:color w:val="auto"/>
          <w:szCs w:val="21"/>
          <w:highlight w:val="none"/>
          <w:u w:val="single"/>
        </w:rPr>
        <w:t>。</w:t>
      </w:r>
    </w:p>
    <w:p w14:paraId="6A31D3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第四条 保密 </w:t>
      </w:r>
    </w:p>
    <w:p w14:paraId="17B4B2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 乙方对甲方所提供的所有资料以及在本合同签订、履行过程中所接触到的甲方及其关联组织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人员披露保密资料，但同时须指示其人员遵守本条规定的保密及不披露义务。 </w:t>
      </w:r>
    </w:p>
    <w:p w14:paraId="483996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4.2 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 </w:t>
      </w:r>
    </w:p>
    <w:p w14:paraId="1F2D72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4.3 当出现下述情况时，本条对保密资料的限制不适用。当保密资料： </w:t>
      </w:r>
    </w:p>
    <w:p w14:paraId="695ACB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（1）并非乙方的过错而已经进入公有领域的。 </w:t>
      </w:r>
    </w:p>
    <w:p w14:paraId="26CD6F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（2）已通过该方的有关记录证明是由乙方独立开发的。 </w:t>
      </w:r>
    </w:p>
    <w:p w14:paraId="5E63FB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（3）由乙方从没有违反对甲方的保密义务的人合法取得的。或法律要求乙方披露的，但乙方应在合理的时间提前通知甲方，使其得以采取其认为必要的保护措施。 </w:t>
      </w:r>
    </w:p>
    <w:p w14:paraId="2DCE49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4.4如乙方违反本合同关于保密的约定，乙方应赔偿因此而给甲方造成的一切损失。 </w:t>
      </w:r>
    </w:p>
    <w:p w14:paraId="2AD672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4.5本保密条款自保密资料提供或披露之日起至本合同终止或解除后五年内持续有效。 </w:t>
      </w:r>
    </w:p>
    <w:p w14:paraId="358923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第五条 本合同的变更必须由双方协商一致，并以书面形式确定。 </w:t>
      </w:r>
    </w:p>
    <w:p w14:paraId="300A68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第六条 侵权处理 </w:t>
      </w:r>
    </w:p>
    <w:p w14:paraId="53E5BD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6.1乙方应当保证，其依本合同为甲方提供业务使用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 </w:t>
      </w:r>
    </w:p>
    <w:p w14:paraId="1E1824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6.2如果在侵权指控的审理过程中有关机关禁止甲方继续使用业服务使用成果的部分或全部，乙方应当采取以下措施之一： </w:t>
      </w:r>
    </w:p>
    <w:p w14:paraId="35E602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6.2.1 使甲方重新免费获得使用上述业务使用成果的权利。 </w:t>
      </w:r>
    </w:p>
    <w:p w14:paraId="2963CA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6.2.2 免费更换或改造上述业务使用成果，使甲方不受上述禁令限制继续使用业务使用成果。 </w:t>
      </w:r>
    </w:p>
    <w:p w14:paraId="33F7C6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6.2.3 其它使甲方对业务使用成果拥有合法使用权，或其它弥补甲方受损利益、实现合同目的的合理方式。 </w:t>
      </w:r>
    </w:p>
    <w:p w14:paraId="14F1B2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乙方采取上述措施不能免除乙方就甲方因此遭受的损失进行赔偿的义务。 </w:t>
      </w:r>
    </w:p>
    <w:p w14:paraId="6133B4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第七条 项目服务成果的权利归属 </w:t>
      </w:r>
    </w:p>
    <w:p w14:paraId="2235C3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 双方确定，乙方所完成的服务成果的所有权利，包括但不限于知识产权、专利申请权和所有权，归</w:t>
      </w:r>
      <w:r>
        <w:rPr>
          <w:rFonts w:hint="eastAsia" w:ascii="宋体" w:hAnsi="宋体"/>
          <w:color w:val="auto"/>
          <w:szCs w:val="21"/>
          <w:highlight w:val="none"/>
          <w:lang w:eastAsia="zh-CN"/>
        </w:rPr>
        <w:t>甲</w:t>
      </w:r>
      <w:r>
        <w:rPr>
          <w:rFonts w:hint="eastAsia" w:ascii="宋体" w:hAnsi="宋体"/>
          <w:color w:val="auto"/>
          <w:szCs w:val="21"/>
          <w:highlight w:val="none"/>
        </w:rPr>
        <w:t xml:space="preserve">方所有。 </w:t>
      </w:r>
    </w:p>
    <w:p w14:paraId="46A6C2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w:t>
      </w:r>
      <w:r>
        <w:rPr>
          <w:rFonts w:hint="eastAsia" w:ascii="宋体" w:hAnsi="宋体"/>
          <w:color w:val="auto"/>
          <w:szCs w:val="21"/>
          <w:highlight w:val="none"/>
        </w:rPr>
        <w:tab/>
      </w:r>
      <w:r>
        <w:rPr>
          <w:rFonts w:hint="eastAsia" w:ascii="宋体" w:hAnsi="宋体"/>
          <w:color w:val="auto"/>
          <w:szCs w:val="21"/>
          <w:highlight w:val="none"/>
        </w:rPr>
        <w:t>双方确定，甲方利用乙方的服务成果所完成的新的技术成果的所有权利，包括但不限于知识产权、专利申请权和所有权，归</w:t>
      </w:r>
      <w:r>
        <w:rPr>
          <w:rFonts w:hint="eastAsia" w:ascii="宋体" w:hAnsi="宋体"/>
          <w:color w:val="auto"/>
          <w:szCs w:val="21"/>
          <w:highlight w:val="none"/>
          <w:lang w:eastAsia="zh-CN"/>
        </w:rPr>
        <w:t>甲</w:t>
      </w:r>
      <w:r>
        <w:rPr>
          <w:rFonts w:hint="eastAsia" w:ascii="宋体" w:hAnsi="宋体"/>
          <w:color w:val="auto"/>
          <w:szCs w:val="21"/>
          <w:highlight w:val="none"/>
        </w:rPr>
        <w:t xml:space="preserve">方所有。 </w:t>
      </w:r>
    </w:p>
    <w:p w14:paraId="307265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第八条 双方确定，乙方在向甲方提供服务过程中，根据甲方要求，为甲方指定的人员提供技术指导和培训。 </w:t>
      </w:r>
    </w:p>
    <w:p w14:paraId="62292E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第九条 违约责任 </w:t>
      </w:r>
    </w:p>
    <w:p w14:paraId="736F9B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9.1 乙方所提供的服务成果、数量、服务项目要求(技术参数需求)等质量不合格的，应及时更换和完善，更换和完善不及时的按逾期交付处罚。                                       </w:t>
      </w:r>
    </w:p>
    <w:p w14:paraId="485AE7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 乙方提供的服务成果如侵犯了第三方合法权益而引发的任何纠纷或诉讼，均由乙方负责交涉并承担全部责任。</w:t>
      </w:r>
    </w:p>
    <w:p w14:paraId="07FD08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 甲方无故延期接收服务成果、乙方逾期交付的，每天向对方偿付违约服务款额</w:t>
      </w:r>
      <w:r>
        <w:rPr>
          <w:rFonts w:hint="eastAsia" w:ascii="宋体" w:hAnsi="宋体"/>
          <w:color w:val="auto"/>
          <w:szCs w:val="21"/>
          <w:highlight w:val="none"/>
          <w:lang w:val="en-US" w:eastAsia="zh-CN"/>
        </w:rPr>
        <w:t>0.1‰</w:t>
      </w:r>
      <w:r>
        <w:rPr>
          <w:rFonts w:hint="eastAsia" w:ascii="宋体" w:hAnsi="宋体"/>
          <w:color w:val="auto"/>
          <w:szCs w:val="21"/>
          <w:highlight w:val="none"/>
        </w:rPr>
        <w:t>违约金，但违约金累计不得超过合同标的额5%，超过90天对方有权解除合同，违约方承担因此给对方造成经济损失。</w:t>
      </w:r>
    </w:p>
    <w:p w14:paraId="43D671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9.4 </w:t>
      </w:r>
      <w:r>
        <w:rPr>
          <w:rFonts w:hint="eastAsia" w:ascii="宋体" w:hAnsi="宋体"/>
          <w:color w:val="auto"/>
          <w:szCs w:val="21"/>
          <w:highlight w:val="none"/>
          <w:lang w:val="en-US" w:eastAsia="zh-CN"/>
        </w:rPr>
        <w:t>乙方未按本合同和投标文件中规定的服务承诺提供售后服务的，乙方应按所占服务比例减免或退还相应部分内容的服务费用。</w:t>
      </w:r>
    </w:p>
    <w:p w14:paraId="16EDCE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第十条 双方确定，出现下列情形之一，致使本合同的履行成为不必要或不可能的，可以解除本合同： </w:t>
      </w:r>
    </w:p>
    <w:p w14:paraId="1508DB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10.1 发生不可抗力。 </w:t>
      </w:r>
    </w:p>
    <w:p w14:paraId="2D546E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第十一条 法律适用和争议解决 </w:t>
      </w:r>
    </w:p>
    <w:p w14:paraId="266365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11.1 本合同适用中华人民共和国法律。 </w:t>
      </w:r>
    </w:p>
    <w:p w14:paraId="383514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w:t>
      </w:r>
      <w:r>
        <w:rPr>
          <w:rFonts w:hint="eastAsia" w:ascii="宋体" w:hAnsi="宋体"/>
          <w:color w:val="auto"/>
          <w:szCs w:val="21"/>
          <w:highlight w:val="none"/>
        </w:rPr>
        <w:tab/>
      </w:r>
      <w:r>
        <w:rPr>
          <w:rFonts w:hint="eastAsia" w:ascii="宋体" w:hAnsi="宋体"/>
          <w:color w:val="auto"/>
          <w:szCs w:val="21"/>
          <w:highlight w:val="none"/>
        </w:rPr>
        <w:t xml:space="preserve">所有因本合同引起的或与本合同有关的任何争议将通过双方友好协商解决。如果双方不能通过友好协商解决争议，则任何一方均可采取下述第（1）种争议解决方式： </w:t>
      </w:r>
    </w:p>
    <w:p w14:paraId="4CC0BF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（1）将该争议提交玉林市仲裁委员会，按照申请仲裁时该会的仲裁规则进行仲裁。仲裁在玉林市进行。仲裁语言为中文。仲裁裁决是终局的，对双方均有约束力。仲裁费用由败诉方承担。 </w:t>
      </w:r>
    </w:p>
    <w:p w14:paraId="773920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（2）向甲方所在地有管辖权的人民法院起诉。 </w:t>
      </w:r>
    </w:p>
    <w:p w14:paraId="30A2A9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11.3 仲裁或诉讼进行过程中，双方将继续履行本合同未涉仲裁或诉讼的其它部分。 </w:t>
      </w:r>
    </w:p>
    <w:p w14:paraId="6F7EFF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第十二条 双方确定，本合同及相关附件中所涉及的有关名词和技术术语，其定义和解释如下： </w:t>
      </w:r>
    </w:p>
    <w:p w14:paraId="1251CA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12.1“不可抗力”：地震、台风、水灾、火灾、战争以及其它本合同各方不能预见，并且对其发生和后果不能防止或不能避免且不可克服的客观情况。  </w:t>
      </w:r>
    </w:p>
    <w:p w14:paraId="7F4947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第十三条 双方约定本合同其他相关事项为： </w:t>
      </w:r>
    </w:p>
    <w:p w14:paraId="4CE5D7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w:t>
      </w:r>
      <w:r>
        <w:rPr>
          <w:rFonts w:hint="eastAsia" w:ascii="宋体" w:hAnsi="宋体"/>
          <w:color w:val="auto"/>
          <w:szCs w:val="21"/>
          <w:highlight w:val="none"/>
        </w:rPr>
        <w:tab/>
      </w:r>
      <w:r>
        <w:rPr>
          <w:rFonts w:hint="eastAsia" w:ascii="宋体" w:hAnsi="宋体"/>
          <w:color w:val="auto"/>
          <w:szCs w:val="21"/>
          <w:highlight w:val="none"/>
        </w:rPr>
        <w:t xml:space="preserve">任何一方未经另一方同意，不得向任何第三方透露本合同的签订及其内容。甲方向其关联公司透露的，不在此限。 </w:t>
      </w:r>
    </w:p>
    <w:p w14:paraId="55AE8961">
      <w:pPr>
        <w:spacing w:line="360" w:lineRule="auto"/>
        <w:ind w:firstLine="420" w:firstLineChars="20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2服务期届满后，双方可以就技术支持和服务另行签订合同。</w:t>
      </w:r>
    </w:p>
    <w:p w14:paraId="28E235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w:t>
      </w:r>
      <w:r>
        <w:rPr>
          <w:rFonts w:hint="eastAsia" w:ascii="宋体" w:hAnsi="宋体"/>
          <w:color w:val="auto"/>
          <w:szCs w:val="21"/>
          <w:highlight w:val="none"/>
        </w:rPr>
        <w:tab/>
      </w:r>
      <w:r>
        <w:rPr>
          <w:rFonts w:hint="eastAsia" w:ascii="宋体" w:hAnsi="宋体"/>
          <w:color w:val="auto"/>
          <w:szCs w:val="21"/>
          <w:highlight w:val="none"/>
        </w:rPr>
        <w:t xml:space="preserve">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 </w:t>
      </w:r>
    </w:p>
    <w:p w14:paraId="031914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13.4</w:t>
      </w:r>
      <w:r>
        <w:rPr>
          <w:rFonts w:hint="eastAsia" w:ascii="宋体" w:hAnsi="宋体"/>
          <w:color w:val="auto"/>
          <w:szCs w:val="21"/>
          <w:highlight w:val="none"/>
        </w:rPr>
        <w:tab/>
      </w:r>
      <w:r>
        <w:rPr>
          <w:rFonts w:hint="eastAsia" w:ascii="宋体" w:hAnsi="宋体"/>
          <w:color w:val="auto"/>
          <w:szCs w:val="21"/>
          <w:highlight w:val="none"/>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 </w:t>
      </w:r>
    </w:p>
    <w:p w14:paraId="43E11F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13.5</w:t>
      </w:r>
      <w:r>
        <w:rPr>
          <w:rFonts w:hint="eastAsia" w:ascii="宋体" w:hAnsi="宋体"/>
          <w:color w:val="auto"/>
          <w:szCs w:val="21"/>
          <w:highlight w:val="none"/>
        </w:rPr>
        <w:tab/>
      </w:r>
      <w:r>
        <w:rPr>
          <w:rFonts w:hint="eastAsia" w:ascii="宋体" w:hAnsi="宋体"/>
          <w:color w:val="auto"/>
          <w:szCs w:val="21"/>
          <w:highlight w:val="none"/>
        </w:rPr>
        <w:t xml:space="preserve">本合同的任何内容不应被视为或解释为双方之间具有合资、合伙、代理关系。 </w:t>
      </w:r>
    </w:p>
    <w:p w14:paraId="11BB89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13.6</w:t>
      </w:r>
      <w:r>
        <w:rPr>
          <w:rFonts w:hint="eastAsia" w:ascii="宋体" w:hAnsi="宋体"/>
          <w:color w:val="auto"/>
          <w:szCs w:val="21"/>
          <w:highlight w:val="none"/>
        </w:rPr>
        <w:tab/>
      </w:r>
      <w:r>
        <w:rPr>
          <w:rFonts w:hint="eastAsia" w:ascii="宋体" w:hAnsi="宋体"/>
          <w:color w:val="auto"/>
          <w:szCs w:val="21"/>
          <w:highlight w:val="none"/>
        </w:rPr>
        <w:t xml:space="preserve">本合同替代此前双方所有关于本合同事项的口头或书面的纪要、备忘录、合同和协议。 </w:t>
      </w:r>
    </w:p>
    <w:p w14:paraId="793F02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13.7</w:t>
      </w:r>
      <w:r>
        <w:rPr>
          <w:rFonts w:hint="eastAsia" w:ascii="宋体" w:hAnsi="宋体"/>
          <w:color w:val="auto"/>
          <w:szCs w:val="21"/>
          <w:highlight w:val="none"/>
        </w:rPr>
        <w:tab/>
      </w:r>
      <w:r>
        <w:rPr>
          <w:rFonts w:hint="eastAsia" w:ascii="宋体" w:hAnsi="宋体"/>
          <w:color w:val="auto"/>
          <w:szCs w:val="21"/>
          <w:highlight w:val="none"/>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 </w:t>
      </w:r>
    </w:p>
    <w:p w14:paraId="396E11B9">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甲方：</w:t>
      </w:r>
      <w:r>
        <w:rPr>
          <w:rFonts w:ascii="宋体" w:hAnsi="宋体"/>
          <w:color w:val="auto"/>
          <w:szCs w:val="21"/>
          <w:highlight w:val="none"/>
        </w:rPr>
        <w:t>[</w:t>
      </w:r>
      <w:r>
        <w:rPr>
          <w:rFonts w:hint="eastAsia" w:ascii="宋体" w:hAnsi="宋体"/>
          <w:color w:val="auto"/>
          <w:szCs w:val="21"/>
          <w:highlight w:val="none"/>
        </w:rPr>
        <w:t>X</w:t>
      </w:r>
      <w:r>
        <w:rPr>
          <w:rFonts w:ascii="宋体" w:hAnsi="宋体"/>
          <w:color w:val="auto"/>
          <w:szCs w:val="21"/>
          <w:highlight w:val="none"/>
        </w:rPr>
        <w:t>XXXXX]</w:t>
      </w:r>
    </w:p>
    <w:p w14:paraId="0FE62552">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r>
        <w:rPr>
          <w:rFonts w:hint="eastAsia" w:ascii="宋体" w:hAnsi="宋体"/>
          <w:color w:val="auto"/>
          <w:szCs w:val="21"/>
          <w:highlight w:val="none"/>
        </w:rPr>
        <w:t>X</w:t>
      </w:r>
      <w:r>
        <w:rPr>
          <w:rFonts w:ascii="宋体" w:hAnsi="宋体"/>
          <w:color w:val="auto"/>
          <w:szCs w:val="21"/>
          <w:highlight w:val="none"/>
        </w:rPr>
        <w:t xml:space="preserve">XXX] </w:t>
      </w:r>
    </w:p>
    <w:p w14:paraId="5572F008">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联系人：</w:t>
      </w:r>
      <w:r>
        <w:rPr>
          <w:rFonts w:ascii="宋体" w:hAnsi="宋体"/>
          <w:color w:val="auto"/>
          <w:szCs w:val="21"/>
          <w:highlight w:val="none"/>
        </w:rPr>
        <w:t>[</w:t>
      </w:r>
      <w:r>
        <w:rPr>
          <w:rFonts w:hint="eastAsia" w:ascii="宋体" w:hAnsi="宋体"/>
          <w:color w:val="auto"/>
          <w:szCs w:val="21"/>
          <w:highlight w:val="none"/>
        </w:rPr>
        <w:t>X</w:t>
      </w:r>
      <w:r>
        <w:rPr>
          <w:rFonts w:ascii="宋体" w:hAnsi="宋体"/>
          <w:color w:val="auto"/>
          <w:szCs w:val="21"/>
          <w:highlight w:val="none"/>
        </w:rPr>
        <w:t xml:space="preserve">XXX                     ] </w:t>
      </w:r>
    </w:p>
    <w:p w14:paraId="4434BB72">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 xml:space="preserve">[XXXX               ] </w:t>
      </w:r>
    </w:p>
    <w:p w14:paraId="024720F8">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rPr>
        <w:t xml:space="preserve">[                              ] </w:t>
      </w:r>
    </w:p>
    <w:p w14:paraId="790CC1E3">
      <w:pPr>
        <w:widowControl/>
        <w:autoSpaceDE w:val="0"/>
        <w:autoSpaceDN w:val="0"/>
        <w:spacing w:line="400" w:lineRule="exact"/>
        <w:ind w:firstLine="840" w:firstLineChars="400"/>
        <w:textAlignment w:val="bottom"/>
        <w:rPr>
          <w:rFonts w:ascii="宋体" w:hAnsi="宋体"/>
          <w:color w:val="auto"/>
          <w:szCs w:val="21"/>
          <w:highlight w:val="none"/>
        </w:rPr>
      </w:pPr>
      <w:r>
        <w:rPr>
          <w:rFonts w:hint="eastAsia" w:ascii="宋体" w:hAnsi="宋体"/>
          <w:color w:val="auto"/>
          <w:szCs w:val="21"/>
          <w:highlight w:val="none"/>
        </w:rPr>
        <w:t>邮编：</w:t>
      </w:r>
      <w:r>
        <w:rPr>
          <w:rFonts w:ascii="宋体" w:hAnsi="宋体"/>
          <w:color w:val="auto"/>
          <w:szCs w:val="21"/>
          <w:highlight w:val="none"/>
        </w:rPr>
        <w:t>[</w:t>
      </w:r>
      <w:r>
        <w:rPr>
          <w:rFonts w:hint="eastAsia" w:ascii="宋体" w:hAnsi="宋体"/>
          <w:color w:val="auto"/>
          <w:szCs w:val="21"/>
          <w:highlight w:val="none"/>
        </w:rPr>
        <w:t>537000</w:t>
      </w:r>
      <w:r>
        <w:rPr>
          <w:rFonts w:ascii="宋体" w:hAnsi="宋体"/>
          <w:color w:val="auto"/>
          <w:szCs w:val="21"/>
          <w:highlight w:val="none"/>
        </w:rPr>
        <w:t xml:space="preserve"> ] </w:t>
      </w:r>
    </w:p>
    <w:p w14:paraId="4F9F1630">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乙方：</w:t>
      </w:r>
      <w:r>
        <w:rPr>
          <w:rFonts w:ascii="宋体" w:hAnsi="宋体"/>
          <w:color w:val="auto"/>
          <w:szCs w:val="21"/>
          <w:highlight w:val="none"/>
        </w:rPr>
        <w:t>[</w:t>
      </w:r>
      <w:r>
        <w:rPr>
          <w:rFonts w:hint="eastAsia" w:ascii="宋体" w:hAnsi="宋体"/>
          <w:color w:val="auto"/>
          <w:szCs w:val="21"/>
          <w:highlight w:val="none"/>
        </w:rPr>
        <w:t>X</w:t>
      </w:r>
      <w:r>
        <w:rPr>
          <w:rFonts w:ascii="宋体" w:hAnsi="宋体"/>
          <w:color w:val="auto"/>
          <w:szCs w:val="21"/>
          <w:highlight w:val="none"/>
        </w:rPr>
        <w:t xml:space="preserve">XXXX ]     </w:t>
      </w:r>
    </w:p>
    <w:p w14:paraId="64790D67">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r>
        <w:rPr>
          <w:rFonts w:hint="eastAsia" w:ascii="宋体" w:hAnsi="宋体"/>
          <w:color w:val="auto"/>
          <w:szCs w:val="21"/>
          <w:highlight w:val="none"/>
        </w:rPr>
        <w:t>X</w:t>
      </w:r>
      <w:r>
        <w:rPr>
          <w:rFonts w:ascii="宋体" w:hAnsi="宋体"/>
          <w:color w:val="auto"/>
          <w:szCs w:val="21"/>
          <w:highlight w:val="none"/>
        </w:rPr>
        <w:t xml:space="preserve">XXXX    ] </w:t>
      </w:r>
    </w:p>
    <w:p w14:paraId="0DDBDFA4">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联系人：</w:t>
      </w:r>
      <w:r>
        <w:rPr>
          <w:rFonts w:ascii="宋体" w:hAnsi="宋体"/>
          <w:color w:val="auto"/>
          <w:szCs w:val="21"/>
          <w:highlight w:val="none"/>
        </w:rPr>
        <w:t xml:space="preserve">XXXXX   ] </w:t>
      </w:r>
    </w:p>
    <w:p w14:paraId="3BBE00B8">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 xml:space="preserve">[XXXX    ] </w:t>
      </w:r>
    </w:p>
    <w:p w14:paraId="1AB9E42C">
      <w:pPr>
        <w:widowControl/>
        <w:autoSpaceDE w:val="0"/>
        <w:autoSpaceDN w:val="0"/>
        <w:spacing w:line="400" w:lineRule="exact"/>
        <w:ind w:firstLine="420" w:firstLineChars="200"/>
        <w:textAlignment w:val="bottom"/>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rPr>
        <w:t xml:space="preserve">[XXXXX  ] </w:t>
      </w:r>
    </w:p>
    <w:p w14:paraId="216D7319">
      <w:pPr>
        <w:widowControl/>
        <w:autoSpaceDE w:val="0"/>
        <w:autoSpaceDN w:val="0"/>
        <w:spacing w:line="400" w:lineRule="exact"/>
        <w:ind w:firstLine="420" w:firstLineChars="200"/>
        <w:textAlignment w:val="bottom"/>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邮编：</w:t>
      </w:r>
      <w:r>
        <w:rPr>
          <w:rFonts w:ascii="宋体" w:hAnsi="宋体"/>
          <w:color w:val="auto"/>
          <w:szCs w:val="21"/>
          <w:highlight w:val="none"/>
        </w:rPr>
        <w:t xml:space="preserve">[XXXXXX     ] </w:t>
      </w:r>
    </w:p>
    <w:p w14:paraId="78527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第十四条本合同一式六份，经甲乙双方法定代表人或委托代理人签字并加盖公章后生效。政府采购监督管理部门和采购代理机构各一份，甲方二份，乙方二份。</w:t>
      </w:r>
    </w:p>
    <w:p w14:paraId="61198E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第十五条  签订本合同依据</w:t>
      </w:r>
    </w:p>
    <w:p w14:paraId="3C0DA91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w:t>
      </w:r>
      <w:r>
        <w:rPr>
          <w:rFonts w:hint="eastAsia" w:ascii="宋体" w:hAnsi="宋体"/>
          <w:color w:val="auto"/>
          <w:szCs w:val="21"/>
          <w:highlight w:val="none"/>
        </w:rPr>
        <w:tab/>
      </w:r>
      <w:r>
        <w:rPr>
          <w:rFonts w:hint="eastAsia" w:ascii="宋体" w:hAnsi="宋体"/>
          <w:color w:val="auto"/>
          <w:szCs w:val="21"/>
          <w:highlight w:val="none"/>
        </w:rPr>
        <w:t>采购代理机构发出的招标文件；</w:t>
      </w:r>
    </w:p>
    <w:p w14:paraId="2CCC35D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w:t>
      </w:r>
      <w:r>
        <w:rPr>
          <w:rFonts w:ascii="宋体" w:hAnsi="宋体"/>
          <w:color w:val="auto"/>
          <w:szCs w:val="21"/>
          <w:highlight w:val="none"/>
        </w:rPr>
        <w:t xml:space="preserve">    </w:t>
      </w:r>
      <w:r>
        <w:rPr>
          <w:rFonts w:hint="eastAsia" w:ascii="宋体" w:hAnsi="宋体"/>
          <w:color w:val="auto"/>
          <w:szCs w:val="21"/>
          <w:highlight w:val="none"/>
        </w:rPr>
        <w:t>采购代理机构发出的中标通知书。</w:t>
      </w:r>
    </w:p>
    <w:p w14:paraId="66725F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第十六条 附则</w:t>
      </w:r>
    </w:p>
    <w:p w14:paraId="2DE02A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 本合同未描述清楚的服务要求，参照本项目的招标文件要求和乙方对本项目的投标文件响应内容执行。</w:t>
      </w:r>
    </w:p>
    <w:p w14:paraId="70AF54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16.2附件为本合同不可分割的部分。若附件与合同正文有任何冲突，以合同正文为准。 </w:t>
      </w:r>
    </w:p>
    <w:p w14:paraId="387CF078">
      <w:pPr>
        <w:ind w:firstLine="420"/>
        <w:rPr>
          <w:rFonts w:ascii="宋体" w:hAnsi="宋体"/>
          <w:color w:val="auto"/>
          <w:szCs w:val="21"/>
          <w:highlight w:val="none"/>
        </w:rPr>
      </w:pPr>
    </w:p>
    <w:p w14:paraId="18DDB617">
      <w:pPr>
        <w:pStyle w:val="54"/>
        <w:rPr>
          <w:rFonts w:hint="eastAsia"/>
          <w:color w:val="auto"/>
          <w:highlight w:val="none"/>
          <w:lang w:val="en-US" w:bidi="ar-SA"/>
        </w:rPr>
      </w:pPr>
    </w:p>
    <w:p w14:paraId="475CC8F0">
      <w:pPr>
        <w:snapToGrid w:val="0"/>
        <w:spacing w:line="360" w:lineRule="exact"/>
        <w:rPr>
          <w:rFonts w:ascii="宋体" w:hAnsi="宋体"/>
          <w:b/>
          <w:color w:val="auto"/>
          <w:szCs w:val="21"/>
          <w:highlight w:val="none"/>
        </w:rPr>
      </w:pPr>
      <w:r>
        <w:rPr>
          <w:rFonts w:hint="eastAsia" w:ascii="宋体" w:hAnsi="宋体"/>
          <w:b/>
          <w:color w:val="auto"/>
          <w:szCs w:val="21"/>
          <w:highlight w:val="none"/>
        </w:rPr>
        <w:t>甲方：X</w:t>
      </w:r>
      <w:r>
        <w:rPr>
          <w:rFonts w:ascii="宋体" w:hAnsi="宋体"/>
          <w:b/>
          <w:color w:val="auto"/>
          <w:szCs w:val="21"/>
          <w:highlight w:val="none"/>
        </w:rPr>
        <w:t>XXXXXX</w:t>
      </w:r>
      <w:r>
        <w:rPr>
          <w:rFonts w:hint="eastAsia" w:ascii="宋体" w:hAnsi="宋体"/>
          <w:b/>
          <w:color w:val="auto"/>
          <w:szCs w:val="21"/>
          <w:highlight w:val="none"/>
        </w:rPr>
        <w:t xml:space="preserve">   （盖章）</w:t>
      </w:r>
    </w:p>
    <w:p w14:paraId="66893C19">
      <w:pPr>
        <w:snapToGrid w:val="0"/>
        <w:spacing w:line="360" w:lineRule="exact"/>
        <w:ind w:firstLine="420"/>
        <w:rPr>
          <w:rFonts w:ascii="宋体" w:hAnsi="宋体"/>
          <w:b/>
          <w:color w:val="auto"/>
          <w:szCs w:val="21"/>
          <w:highlight w:val="none"/>
        </w:rPr>
      </w:pPr>
    </w:p>
    <w:p w14:paraId="2D08A4D2">
      <w:pPr>
        <w:rPr>
          <w:rFonts w:ascii="宋体" w:hAnsi="宋体"/>
          <w:b/>
          <w:color w:val="auto"/>
          <w:szCs w:val="21"/>
          <w:highlight w:val="none"/>
        </w:rPr>
      </w:pPr>
      <w:r>
        <w:rPr>
          <w:rFonts w:hint="eastAsia" w:ascii="宋体" w:hAnsi="宋体"/>
          <w:b/>
          <w:color w:val="auto"/>
          <w:szCs w:val="21"/>
          <w:highlight w:val="none"/>
        </w:rPr>
        <w:t>法定代表人（负责人）</w:t>
      </w:r>
    </w:p>
    <w:p w14:paraId="391FC2D8">
      <w:pPr>
        <w:rPr>
          <w:rFonts w:ascii="宋体" w:hAnsi="宋体"/>
          <w:b/>
          <w:color w:val="auto"/>
          <w:szCs w:val="21"/>
          <w:highlight w:val="none"/>
        </w:rPr>
      </w:pPr>
      <w:r>
        <w:rPr>
          <w:rFonts w:hint="eastAsia" w:ascii="宋体" w:hAnsi="宋体"/>
          <w:b/>
          <w:color w:val="auto"/>
          <w:szCs w:val="21"/>
          <w:highlight w:val="none"/>
        </w:rPr>
        <w:t>或授权代表：（签字）</w:t>
      </w:r>
    </w:p>
    <w:p w14:paraId="6F17314F">
      <w:pPr>
        <w:rPr>
          <w:rFonts w:ascii="宋体" w:hAnsi="宋体"/>
          <w:b/>
          <w:color w:val="auto"/>
          <w:szCs w:val="21"/>
          <w:highlight w:val="none"/>
        </w:rPr>
      </w:pPr>
    </w:p>
    <w:p w14:paraId="0A300BF7">
      <w:pPr>
        <w:rPr>
          <w:rFonts w:ascii="宋体" w:hAnsi="宋体"/>
          <w:b/>
          <w:color w:val="auto"/>
          <w:szCs w:val="21"/>
          <w:highlight w:val="none"/>
        </w:rPr>
      </w:pPr>
      <w:r>
        <w:rPr>
          <w:rFonts w:hint="eastAsia" w:ascii="宋体" w:hAnsi="宋体"/>
          <w:b/>
          <w:color w:val="auto"/>
          <w:szCs w:val="21"/>
          <w:highlight w:val="none"/>
        </w:rPr>
        <w:t>签约日期：         年      月     日</w:t>
      </w:r>
    </w:p>
    <w:p w14:paraId="4DA204CC">
      <w:pPr>
        <w:ind w:firstLine="420"/>
        <w:rPr>
          <w:rFonts w:ascii="宋体" w:hAnsi="宋体"/>
          <w:color w:val="auto"/>
          <w:szCs w:val="21"/>
          <w:highlight w:val="none"/>
        </w:rPr>
      </w:pPr>
    </w:p>
    <w:p w14:paraId="7D3D0305">
      <w:pPr>
        <w:snapToGrid w:val="0"/>
        <w:spacing w:line="420" w:lineRule="exact"/>
        <w:ind w:left="6852" w:hanging="6852" w:hangingChars="3250"/>
        <w:rPr>
          <w:rFonts w:ascii="宋体" w:hAnsi="宋体"/>
          <w:b/>
          <w:color w:val="auto"/>
          <w:szCs w:val="21"/>
          <w:highlight w:val="none"/>
        </w:rPr>
      </w:pPr>
      <w:r>
        <w:rPr>
          <w:rFonts w:hint="eastAsia" w:ascii="宋体" w:hAnsi="宋体"/>
          <w:b/>
          <w:color w:val="auto"/>
          <w:szCs w:val="21"/>
          <w:highlight w:val="none"/>
        </w:rPr>
        <w:t>乙方：X</w:t>
      </w:r>
      <w:r>
        <w:rPr>
          <w:rFonts w:ascii="宋体" w:hAnsi="宋体"/>
          <w:b/>
          <w:color w:val="auto"/>
          <w:szCs w:val="21"/>
          <w:highlight w:val="none"/>
        </w:rPr>
        <w:t>XXXXXXXXX</w:t>
      </w:r>
      <w:r>
        <w:rPr>
          <w:rFonts w:hint="eastAsia" w:ascii="宋体" w:hAnsi="宋体"/>
          <w:b/>
          <w:color w:val="auto"/>
          <w:szCs w:val="21"/>
          <w:highlight w:val="none"/>
        </w:rPr>
        <w:t xml:space="preserve">   （盖章）      </w:t>
      </w:r>
    </w:p>
    <w:p w14:paraId="1B365DEB">
      <w:pPr>
        <w:ind w:firstLine="420"/>
        <w:rPr>
          <w:rFonts w:ascii="宋体" w:hAnsi="宋体"/>
          <w:color w:val="auto"/>
          <w:szCs w:val="21"/>
          <w:highlight w:val="none"/>
        </w:rPr>
      </w:pPr>
    </w:p>
    <w:p w14:paraId="6E41F80C">
      <w:pPr>
        <w:snapToGrid w:val="0"/>
        <w:spacing w:line="420" w:lineRule="exact"/>
        <w:ind w:left="6852" w:hanging="6852" w:hangingChars="3250"/>
        <w:rPr>
          <w:rFonts w:ascii="宋体" w:hAnsi="宋体"/>
          <w:b/>
          <w:color w:val="auto"/>
          <w:szCs w:val="21"/>
          <w:highlight w:val="none"/>
        </w:rPr>
      </w:pPr>
      <w:r>
        <w:rPr>
          <w:rFonts w:hint="eastAsia" w:ascii="宋体" w:hAnsi="宋体"/>
          <w:b/>
          <w:color w:val="auto"/>
          <w:szCs w:val="21"/>
          <w:highlight w:val="none"/>
        </w:rPr>
        <w:t xml:space="preserve">法定代表人（负责人）  </w:t>
      </w:r>
    </w:p>
    <w:p w14:paraId="43D7ACB3">
      <w:pPr>
        <w:snapToGrid w:val="0"/>
        <w:spacing w:line="420" w:lineRule="exact"/>
        <w:ind w:left="6852" w:hanging="6852" w:hangingChars="3250"/>
        <w:rPr>
          <w:rFonts w:ascii="宋体" w:hAnsi="宋体"/>
          <w:b/>
          <w:color w:val="auto"/>
          <w:szCs w:val="21"/>
          <w:highlight w:val="none"/>
        </w:rPr>
      </w:pPr>
      <w:r>
        <w:rPr>
          <w:rFonts w:hint="eastAsia" w:ascii="宋体" w:hAnsi="宋体"/>
          <w:b/>
          <w:color w:val="auto"/>
          <w:szCs w:val="21"/>
          <w:highlight w:val="none"/>
        </w:rPr>
        <w:t xml:space="preserve">或授权代表：（签字）                         </w:t>
      </w:r>
    </w:p>
    <w:p w14:paraId="3B504436">
      <w:pPr>
        <w:snapToGrid w:val="0"/>
        <w:spacing w:line="420" w:lineRule="exact"/>
        <w:ind w:left="6852" w:hanging="6852" w:hangingChars="3250"/>
        <w:rPr>
          <w:rFonts w:ascii="宋体" w:hAnsi="宋体"/>
          <w:b/>
          <w:color w:val="auto"/>
          <w:szCs w:val="21"/>
          <w:highlight w:val="none"/>
        </w:rPr>
      </w:pPr>
      <w:r>
        <w:rPr>
          <w:rFonts w:hint="eastAsia" w:ascii="宋体" w:hAnsi="宋体"/>
          <w:b/>
          <w:color w:val="auto"/>
          <w:szCs w:val="21"/>
          <w:highlight w:val="none"/>
        </w:rPr>
        <w:t xml:space="preserve">签约日期：      年   月   日                </w:t>
      </w:r>
    </w:p>
    <w:p w14:paraId="4D58950F">
      <w:pPr>
        <w:spacing w:line="360" w:lineRule="auto"/>
        <w:rPr>
          <w:rFonts w:ascii="仿宋" w:hAnsi="仿宋" w:eastAsia="仿宋"/>
          <w:color w:val="auto"/>
          <w:sz w:val="28"/>
          <w:szCs w:val="28"/>
          <w:highlight w:val="none"/>
        </w:rPr>
      </w:pPr>
    </w:p>
    <w:p w14:paraId="11F0036F">
      <w:pPr>
        <w:rPr>
          <w:rFonts w:hint="eastAsia" w:ascii="宋体" w:hAnsi="宋体" w:cs="宋体"/>
          <w:color w:val="auto"/>
          <w:sz w:val="28"/>
          <w:szCs w:val="28"/>
          <w:highlight w:val="none"/>
        </w:rPr>
      </w:pPr>
    </w:p>
    <w:p w14:paraId="7008CDBE">
      <w:pPr>
        <w:pStyle w:val="5"/>
        <w:rPr>
          <w:rFonts w:hint="eastAsia" w:ascii="宋体" w:hAnsi="宋体" w:cs="宋体"/>
          <w:color w:val="auto"/>
          <w:sz w:val="28"/>
          <w:szCs w:val="28"/>
          <w:highlight w:val="none"/>
        </w:rPr>
      </w:pPr>
    </w:p>
    <w:p w14:paraId="1D1EF2EB">
      <w:pPr>
        <w:pStyle w:val="27"/>
        <w:rPr>
          <w:rFonts w:hint="eastAsia" w:ascii="宋体" w:hAnsi="宋体" w:cs="宋体"/>
          <w:color w:val="auto"/>
          <w:sz w:val="28"/>
          <w:szCs w:val="28"/>
          <w:highlight w:val="none"/>
        </w:rPr>
      </w:pPr>
    </w:p>
    <w:p w14:paraId="2E2F90E1">
      <w:pPr>
        <w:rPr>
          <w:rFonts w:hint="eastAsia" w:ascii="宋体" w:hAnsi="宋体" w:cs="宋体"/>
          <w:color w:val="auto"/>
          <w:sz w:val="28"/>
          <w:szCs w:val="28"/>
          <w:highlight w:val="none"/>
        </w:rPr>
      </w:pPr>
    </w:p>
    <w:p w14:paraId="64C9C0A6">
      <w:pPr>
        <w:pStyle w:val="5"/>
        <w:rPr>
          <w:rFonts w:hint="eastAsia" w:ascii="宋体" w:hAnsi="宋体" w:cs="宋体"/>
          <w:color w:val="auto"/>
          <w:sz w:val="28"/>
          <w:szCs w:val="28"/>
          <w:highlight w:val="none"/>
        </w:rPr>
      </w:pPr>
    </w:p>
    <w:p w14:paraId="515EF532">
      <w:pPr>
        <w:pStyle w:val="27"/>
        <w:rPr>
          <w:rFonts w:hint="eastAsia" w:ascii="宋体" w:hAnsi="宋体" w:cs="宋体"/>
          <w:color w:val="auto"/>
          <w:sz w:val="28"/>
          <w:szCs w:val="28"/>
          <w:highlight w:val="none"/>
        </w:rPr>
      </w:pPr>
    </w:p>
    <w:p w14:paraId="12B8018E">
      <w:pPr>
        <w:rPr>
          <w:rFonts w:hint="eastAsia" w:ascii="宋体" w:hAnsi="宋体" w:cs="宋体"/>
          <w:color w:val="auto"/>
          <w:sz w:val="28"/>
          <w:szCs w:val="28"/>
          <w:highlight w:val="none"/>
        </w:rPr>
      </w:pPr>
    </w:p>
    <w:p w14:paraId="1CE04E46">
      <w:pPr>
        <w:pStyle w:val="5"/>
        <w:rPr>
          <w:rFonts w:hint="eastAsia" w:ascii="宋体" w:hAnsi="宋体" w:cs="宋体"/>
          <w:color w:val="auto"/>
          <w:sz w:val="28"/>
          <w:szCs w:val="28"/>
          <w:highlight w:val="none"/>
        </w:rPr>
      </w:pPr>
    </w:p>
    <w:p w14:paraId="0A434305">
      <w:pPr>
        <w:pStyle w:val="27"/>
        <w:rPr>
          <w:rFonts w:hint="eastAsia" w:ascii="宋体" w:hAnsi="宋体" w:cs="宋体"/>
          <w:color w:val="auto"/>
          <w:sz w:val="28"/>
          <w:szCs w:val="28"/>
          <w:highlight w:val="none"/>
        </w:rPr>
      </w:pPr>
    </w:p>
    <w:p w14:paraId="7D8EEC92">
      <w:pPr>
        <w:rPr>
          <w:rFonts w:hint="eastAsia" w:ascii="宋体" w:hAnsi="宋体" w:cs="宋体"/>
          <w:color w:val="auto"/>
          <w:sz w:val="28"/>
          <w:szCs w:val="28"/>
          <w:highlight w:val="none"/>
        </w:rPr>
      </w:pPr>
    </w:p>
    <w:p w14:paraId="14C68AE8">
      <w:pPr>
        <w:pStyle w:val="5"/>
        <w:rPr>
          <w:rFonts w:hint="eastAsia" w:ascii="宋体" w:hAnsi="宋体" w:cs="宋体"/>
          <w:color w:val="auto"/>
          <w:sz w:val="28"/>
          <w:szCs w:val="28"/>
          <w:highlight w:val="none"/>
        </w:rPr>
      </w:pPr>
    </w:p>
    <w:p w14:paraId="366B4DDC">
      <w:pPr>
        <w:pStyle w:val="27"/>
        <w:rPr>
          <w:rFonts w:hint="eastAsia" w:ascii="宋体" w:hAnsi="宋体" w:cs="宋体"/>
          <w:color w:val="auto"/>
          <w:sz w:val="28"/>
          <w:szCs w:val="28"/>
          <w:highlight w:val="none"/>
        </w:rPr>
      </w:pPr>
    </w:p>
    <w:p w14:paraId="3E816F26">
      <w:pPr>
        <w:rPr>
          <w:rFonts w:hint="eastAsia" w:ascii="宋体" w:hAnsi="宋体" w:cs="宋体"/>
          <w:color w:val="auto"/>
          <w:sz w:val="28"/>
          <w:szCs w:val="28"/>
          <w:highlight w:val="none"/>
        </w:rPr>
      </w:pPr>
    </w:p>
    <w:p w14:paraId="4FB90936">
      <w:pPr>
        <w:pStyle w:val="5"/>
        <w:rPr>
          <w:rFonts w:hint="eastAsia" w:ascii="宋体" w:hAnsi="宋体" w:cs="宋体"/>
          <w:color w:val="auto"/>
          <w:sz w:val="28"/>
          <w:szCs w:val="28"/>
          <w:highlight w:val="none"/>
        </w:rPr>
      </w:pPr>
    </w:p>
    <w:p w14:paraId="47E8085A">
      <w:pPr>
        <w:pStyle w:val="27"/>
        <w:rPr>
          <w:rFonts w:hint="eastAsia" w:ascii="宋体" w:hAnsi="宋体" w:cs="宋体"/>
          <w:color w:val="auto"/>
          <w:sz w:val="28"/>
          <w:szCs w:val="28"/>
          <w:highlight w:val="none"/>
        </w:rPr>
      </w:pPr>
    </w:p>
    <w:p w14:paraId="71B43990">
      <w:pPr>
        <w:rPr>
          <w:color w:val="auto"/>
          <w:highlight w:val="none"/>
        </w:rPr>
      </w:pPr>
    </w:p>
    <w:sectPr>
      <w:footerReference r:id="rId8" w:type="first"/>
      <w:headerReference r:id="rId6" w:type="default"/>
      <w:footerReference r:id="rId7" w:type="default"/>
      <w:pgSz w:w="11906" w:h="16838"/>
      <w:pgMar w:top="1440" w:right="1440" w:bottom="1440" w:left="158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CCD9">
    <w:pPr>
      <w:pStyle w:val="24"/>
      <w:tabs>
        <w:tab w:val="center" w:pos="4439"/>
        <w:tab w:val="clear" w:pos="4153"/>
      </w:tabs>
      <w:jc w:val="both"/>
    </w:pPr>
    <w:r>
      <w:pict>
        <v:shape id="文本框 5130"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FDF51CF">
                <w:pPr>
                  <w:pStyle w:val="24"/>
                </w:pPr>
                <w:r>
                  <w:fldChar w:fldCharType="begin"/>
                </w:r>
                <w:r>
                  <w:instrText xml:space="preserve"> PAGE  \* MERGEFORMAT </w:instrText>
                </w:r>
                <w:r>
                  <w:fldChar w:fldCharType="separate"/>
                </w:r>
                <w:r>
                  <w:t>1</w:t>
                </w:r>
                <w:r>
                  <w:fldChar w:fldCharType="end"/>
                </w:r>
              </w:p>
            </w:txbxContent>
          </v:textbox>
        </v:shape>
      </w:pict>
    </w:r>
  </w:p>
  <w:p w14:paraId="2A246DA4">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8A7C">
    <w:pPr>
      <w:pStyle w:val="24"/>
      <w:tabs>
        <w:tab w:val="center" w:pos="4439"/>
        <w:tab w:val="clear" w:pos="4153"/>
      </w:tabs>
    </w:pPr>
    <w:r>
      <w:pict>
        <v:shape id="文本框 5131" o:spid="_x0000_s4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42E368A">
                <w:pPr>
                  <w:pStyle w:val="24"/>
                </w:pPr>
                <w:r>
                  <w:fldChar w:fldCharType="begin"/>
                </w:r>
                <w:r>
                  <w:instrText xml:space="preserve"> PAGE  \* MERGEFORMAT </w:instrText>
                </w:r>
                <w:r>
                  <w:fldChar w:fldCharType="separate"/>
                </w:r>
                <w:r>
                  <w:t>1</w:t>
                </w:r>
                <w:r>
                  <w:fldChar w:fldCharType="end"/>
                </w:r>
              </w:p>
            </w:txbxContent>
          </v:textbox>
        </v:shape>
      </w:pict>
    </w:r>
    <w:r>
      <w:pict>
        <v:shape id="文本框 5132"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8A07F72"/>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E65F">
    <w:pPr>
      <w:pStyle w:val="24"/>
      <w:jc w:val="center"/>
    </w:pPr>
    <w:r>
      <w:pict>
        <v:shape id="文本框 512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7F8B1A">
                <w:pPr>
                  <w:pStyle w:val="24"/>
                  <w:jc w:val="center"/>
                </w:pPr>
                <w:r>
                  <w:fldChar w:fldCharType="begin"/>
                </w:r>
                <w:r>
                  <w:instrText xml:space="preserve"> PAGE  \* MERGEFORMAT </w:instrText>
                </w:r>
                <w:r>
                  <w:fldChar w:fldCharType="separate"/>
                </w:r>
                <w:r>
                  <w:t>36</w:t>
                </w:r>
                <w:r>
                  <w:fldChar w:fldCharType="end"/>
                </w:r>
              </w:p>
            </w:txbxContent>
          </v:textbox>
        </v:shape>
      </w:pict>
    </w:r>
  </w:p>
  <w:p w14:paraId="6119503D">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01B3">
    <w:pPr>
      <w:pStyle w:val="24"/>
    </w:pPr>
    <w:r>
      <w:pict>
        <v:shape id="文本框 5122"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D9F885C">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BCFC0">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A3DF">
    <w:pPr>
      <w:pStyle w:val="25"/>
      <w:pBdr>
        <w:bottom w:val="none" w:color="auto" w:sz="0" w:space="1"/>
      </w:pBdr>
      <w:tabs>
        <w:tab w:val="left" w:pos="2251"/>
      </w:tabs>
      <w:jc w:val="left"/>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EEA76"/>
    <w:multiLevelType w:val="singleLevel"/>
    <w:tmpl w:val="C76EEA76"/>
    <w:lvl w:ilvl="0" w:tentative="0">
      <w:start w:val="4"/>
      <w:numFmt w:val="decimal"/>
      <w:suff w:val="space"/>
      <w:lvlText w:val="%1."/>
      <w:lvlJc w:val="left"/>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F7BA0961"/>
    <w:multiLevelType w:val="singleLevel"/>
    <w:tmpl w:val="F7BA0961"/>
    <w:lvl w:ilvl="0" w:tentative="0">
      <w:start w:val="1"/>
      <w:numFmt w:val="decimal"/>
      <w:pStyle w:val="17"/>
      <w:lvlText w:val="%1."/>
      <w:lvlJc w:val="left"/>
      <w:pPr>
        <w:tabs>
          <w:tab w:val="left" w:pos="360"/>
        </w:tabs>
        <w:ind w:left="360" w:hanging="360"/>
      </w:pPr>
    </w:lvl>
  </w:abstractNum>
  <w:abstractNum w:abstractNumId="3">
    <w:nsid w:val="5D312E77"/>
    <w:multiLevelType w:val="singleLevel"/>
    <w:tmpl w:val="5D312E77"/>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672"/>
    <w:rsid w:val="00001013"/>
    <w:rsid w:val="00001799"/>
    <w:rsid w:val="00001AF2"/>
    <w:rsid w:val="00001ECA"/>
    <w:rsid w:val="00002D29"/>
    <w:rsid w:val="00003B93"/>
    <w:rsid w:val="0000474D"/>
    <w:rsid w:val="00005FDF"/>
    <w:rsid w:val="000070B3"/>
    <w:rsid w:val="000076B8"/>
    <w:rsid w:val="00007E7A"/>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0DB"/>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1C68"/>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560F"/>
    <w:rsid w:val="0009588E"/>
    <w:rsid w:val="000959EE"/>
    <w:rsid w:val="00097183"/>
    <w:rsid w:val="000972CB"/>
    <w:rsid w:val="00097608"/>
    <w:rsid w:val="000A13F3"/>
    <w:rsid w:val="000A23B1"/>
    <w:rsid w:val="000A2B0E"/>
    <w:rsid w:val="000A398F"/>
    <w:rsid w:val="000A448C"/>
    <w:rsid w:val="000A509C"/>
    <w:rsid w:val="000A54A7"/>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2CA8"/>
    <w:rsid w:val="00173256"/>
    <w:rsid w:val="00173B0E"/>
    <w:rsid w:val="00173E0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5E27"/>
    <w:rsid w:val="001C6081"/>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8A7"/>
    <w:rsid w:val="002E6E6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30"/>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155F"/>
    <w:rsid w:val="0039366C"/>
    <w:rsid w:val="00393EC8"/>
    <w:rsid w:val="0039597A"/>
    <w:rsid w:val="00395E42"/>
    <w:rsid w:val="00396409"/>
    <w:rsid w:val="00396A2D"/>
    <w:rsid w:val="00396FC3"/>
    <w:rsid w:val="003A0C7F"/>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17EF4"/>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5F3"/>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0B39"/>
    <w:rsid w:val="00561730"/>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609"/>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5CC"/>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5A09"/>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2D8C"/>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50"/>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40C3"/>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842"/>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48B"/>
    <w:rsid w:val="00980DF9"/>
    <w:rsid w:val="0098243D"/>
    <w:rsid w:val="00982D26"/>
    <w:rsid w:val="00982DBA"/>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246D"/>
    <w:rsid w:val="00A92CCA"/>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451"/>
    <w:rsid w:val="00AC66A4"/>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053C"/>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2473"/>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459F"/>
    <w:rsid w:val="00B662FF"/>
    <w:rsid w:val="00B66679"/>
    <w:rsid w:val="00B70145"/>
    <w:rsid w:val="00B71A92"/>
    <w:rsid w:val="00B721D8"/>
    <w:rsid w:val="00B730CA"/>
    <w:rsid w:val="00B747C5"/>
    <w:rsid w:val="00B74B9B"/>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06B"/>
    <w:rsid w:val="00BF7695"/>
    <w:rsid w:val="00BF79B4"/>
    <w:rsid w:val="00BF7C61"/>
    <w:rsid w:val="00C01427"/>
    <w:rsid w:val="00C014C7"/>
    <w:rsid w:val="00C047AB"/>
    <w:rsid w:val="00C058AF"/>
    <w:rsid w:val="00C075B6"/>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5D01"/>
    <w:rsid w:val="00C360B3"/>
    <w:rsid w:val="00C37027"/>
    <w:rsid w:val="00C37B19"/>
    <w:rsid w:val="00C413CB"/>
    <w:rsid w:val="00C42752"/>
    <w:rsid w:val="00C42973"/>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4EB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711"/>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420"/>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12D"/>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4FF9"/>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552"/>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5DD"/>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2933"/>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B08FB"/>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3C246A"/>
    <w:rsid w:val="01487061"/>
    <w:rsid w:val="01511826"/>
    <w:rsid w:val="01875DDB"/>
    <w:rsid w:val="01AB0F00"/>
    <w:rsid w:val="01AC3A93"/>
    <w:rsid w:val="01AF3D99"/>
    <w:rsid w:val="01B666C0"/>
    <w:rsid w:val="01BD17FD"/>
    <w:rsid w:val="01CB169E"/>
    <w:rsid w:val="01DE5BBA"/>
    <w:rsid w:val="020E3E06"/>
    <w:rsid w:val="021653B1"/>
    <w:rsid w:val="024B6E08"/>
    <w:rsid w:val="02511F9D"/>
    <w:rsid w:val="02601F6E"/>
    <w:rsid w:val="02682509"/>
    <w:rsid w:val="02685C0C"/>
    <w:rsid w:val="027917E9"/>
    <w:rsid w:val="02BE1699"/>
    <w:rsid w:val="02F046BF"/>
    <w:rsid w:val="03215DBB"/>
    <w:rsid w:val="0325200A"/>
    <w:rsid w:val="034321D6"/>
    <w:rsid w:val="035F31F9"/>
    <w:rsid w:val="037C1244"/>
    <w:rsid w:val="03885E3A"/>
    <w:rsid w:val="038A7E04"/>
    <w:rsid w:val="03A314B8"/>
    <w:rsid w:val="03B60BF9"/>
    <w:rsid w:val="03B92498"/>
    <w:rsid w:val="03C03826"/>
    <w:rsid w:val="03C52BEB"/>
    <w:rsid w:val="03D82B98"/>
    <w:rsid w:val="03DE3CAC"/>
    <w:rsid w:val="03EF5EB9"/>
    <w:rsid w:val="03F83E8B"/>
    <w:rsid w:val="04751CA5"/>
    <w:rsid w:val="04912ACD"/>
    <w:rsid w:val="049802FF"/>
    <w:rsid w:val="04A647CA"/>
    <w:rsid w:val="04BA33C3"/>
    <w:rsid w:val="04FB2F1C"/>
    <w:rsid w:val="04FC263C"/>
    <w:rsid w:val="0539563E"/>
    <w:rsid w:val="053A3164"/>
    <w:rsid w:val="05606D31"/>
    <w:rsid w:val="05702C52"/>
    <w:rsid w:val="05776166"/>
    <w:rsid w:val="057C19CF"/>
    <w:rsid w:val="05B64EE1"/>
    <w:rsid w:val="05C56868"/>
    <w:rsid w:val="05CA273A"/>
    <w:rsid w:val="05CC3022"/>
    <w:rsid w:val="06022AF2"/>
    <w:rsid w:val="061614DB"/>
    <w:rsid w:val="063876A4"/>
    <w:rsid w:val="064D79F0"/>
    <w:rsid w:val="066E30C6"/>
    <w:rsid w:val="067D2B35"/>
    <w:rsid w:val="069074E0"/>
    <w:rsid w:val="06AF1C54"/>
    <w:rsid w:val="06B50CF4"/>
    <w:rsid w:val="06B744E5"/>
    <w:rsid w:val="06C673A5"/>
    <w:rsid w:val="071A7DE7"/>
    <w:rsid w:val="073565E7"/>
    <w:rsid w:val="074A3F72"/>
    <w:rsid w:val="07771665"/>
    <w:rsid w:val="077D51F6"/>
    <w:rsid w:val="078E5AD1"/>
    <w:rsid w:val="07AF7E3A"/>
    <w:rsid w:val="07B72767"/>
    <w:rsid w:val="07C03DF5"/>
    <w:rsid w:val="07CB326A"/>
    <w:rsid w:val="07CF228A"/>
    <w:rsid w:val="07CF62EF"/>
    <w:rsid w:val="07D04329"/>
    <w:rsid w:val="07E86EA8"/>
    <w:rsid w:val="07ED0962"/>
    <w:rsid w:val="07F910B5"/>
    <w:rsid w:val="07F95559"/>
    <w:rsid w:val="08077E72"/>
    <w:rsid w:val="082D6FB0"/>
    <w:rsid w:val="08436E19"/>
    <w:rsid w:val="08517143"/>
    <w:rsid w:val="08663767"/>
    <w:rsid w:val="08674270"/>
    <w:rsid w:val="08684FF0"/>
    <w:rsid w:val="08706FD3"/>
    <w:rsid w:val="087D3A94"/>
    <w:rsid w:val="08882DD0"/>
    <w:rsid w:val="088C491B"/>
    <w:rsid w:val="08933526"/>
    <w:rsid w:val="08C43471"/>
    <w:rsid w:val="08D51B22"/>
    <w:rsid w:val="08DA2C94"/>
    <w:rsid w:val="09063A89"/>
    <w:rsid w:val="090D12BC"/>
    <w:rsid w:val="091F2D9D"/>
    <w:rsid w:val="09336848"/>
    <w:rsid w:val="095746FE"/>
    <w:rsid w:val="096322D5"/>
    <w:rsid w:val="0966277A"/>
    <w:rsid w:val="09727371"/>
    <w:rsid w:val="09756E61"/>
    <w:rsid w:val="097B7229"/>
    <w:rsid w:val="098826F0"/>
    <w:rsid w:val="099217C1"/>
    <w:rsid w:val="099866AB"/>
    <w:rsid w:val="09A70B6A"/>
    <w:rsid w:val="09BC683E"/>
    <w:rsid w:val="09CA0F5B"/>
    <w:rsid w:val="09CC2AAC"/>
    <w:rsid w:val="09D26E76"/>
    <w:rsid w:val="09D9119E"/>
    <w:rsid w:val="09F77B36"/>
    <w:rsid w:val="0A164B9F"/>
    <w:rsid w:val="0A280962"/>
    <w:rsid w:val="0A287A2F"/>
    <w:rsid w:val="0A2D14EA"/>
    <w:rsid w:val="0A4725AB"/>
    <w:rsid w:val="0A652D3E"/>
    <w:rsid w:val="0A726EFC"/>
    <w:rsid w:val="0A9B674A"/>
    <w:rsid w:val="0AA1220B"/>
    <w:rsid w:val="0AA7304A"/>
    <w:rsid w:val="0AB539B9"/>
    <w:rsid w:val="0AB553F2"/>
    <w:rsid w:val="0ABD286D"/>
    <w:rsid w:val="0AC10D17"/>
    <w:rsid w:val="0ADD4CBE"/>
    <w:rsid w:val="0AE00732"/>
    <w:rsid w:val="0AEF00D1"/>
    <w:rsid w:val="0B0C10FF"/>
    <w:rsid w:val="0B163D2C"/>
    <w:rsid w:val="0B326F2A"/>
    <w:rsid w:val="0B36617C"/>
    <w:rsid w:val="0B3B153F"/>
    <w:rsid w:val="0B422D73"/>
    <w:rsid w:val="0B742F55"/>
    <w:rsid w:val="0B7A69B0"/>
    <w:rsid w:val="0B9A670B"/>
    <w:rsid w:val="0BC1013B"/>
    <w:rsid w:val="0BC33EB3"/>
    <w:rsid w:val="0BC66880"/>
    <w:rsid w:val="0BFE4EEC"/>
    <w:rsid w:val="0C1E2888"/>
    <w:rsid w:val="0C321039"/>
    <w:rsid w:val="0C3628D7"/>
    <w:rsid w:val="0C3972F1"/>
    <w:rsid w:val="0C684A5B"/>
    <w:rsid w:val="0C6C75C1"/>
    <w:rsid w:val="0C8F3FEA"/>
    <w:rsid w:val="0C92213C"/>
    <w:rsid w:val="0CAC4948"/>
    <w:rsid w:val="0CB41A4E"/>
    <w:rsid w:val="0CD67C16"/>
    <w:rsid w:val="0CDA7428"/>
    <w:rsid w:val="0CE07117"/>
    <w:rsid w:val="0CE2480D"/>
    <w:rsid w:val="0CEB0229"/>
    <w:rsid w:val="0CEC11E8"/>
    <w:rsid w:val="0CEF2A86"/>
    <w:rsid w:val="0CF87B8D"/>
    <w:rsid w:val="0D0D75D4"/>
    <w:rsid w:val="0D1F15BD"/>
    <w:rsid w:val="0D276F41"/>
    <w:rsid w:val="0D316ADC"/>
    <w:rsid w:val="0D4B4161"/>
    <w:rsid w:val="0D51729D"/>
    <w:rsid w:val="0D5877C5"/>
    <w:rsid w:val="0D6C2329"/>
    <w:rsid w:val="0D79259A"/>
    <w:rsid w:val="0D84032B"/>
    <w:rsid w:val="0D87480F"/>
    <w:rsid w:val="0D921D8F"/>
    <w:rsid w:val="0D951880"/>
    <w:rsid w:val="0DA77262"/>
    <w:rsid w:val="0DBD4C32"/>
    <w:rsid w:val="0DBE2B84"/>
    <w:rsid w:val="0DED16BC"/>
    <w:rsid w:val="0DF30354"/>
    <w:rsid w:val="0E383F65"/>
    <w:rsid w:val="0E4E2AFE"/>
    <w:rsid w:val="0E58457A"/>
    <w:rsid w:val="0E590AFF"/>
    <w:rsid w:val="0E611762"/>
    <w:rsid w:val="0E7616B1"/>
    <w:rsid w:val="0E784992"/>
    <w:rsid w:val="0E820056"/>
    <w:rsid w:val="0E833DCE"/>
    <w:rsid w:val="0E8F2773"/>
    <w:rsid w:val="0E910299"/>
    <w:rsid w:val="0E9814B7"/>
    <w:rsid w:val="0ECD007C"/>
    <w:rsid w:val="0ED16964"/>
    <w:rsid w:val="0EDB32C2"/>
    <w:rsid w:val="0EEB525A"/>
    <w:rsid w:val="0EEF7B38"/>
    <w:rsid w:val="0F0C791F"/>
    <w:rsid w:val="0F2A74C4"/>
    <w:rsid w:val="0F492922"/>
    <w:rsid w:val="0F4A4593"/>
    <w:rsid w:val="0F6C7E9E"/>
    <w:rsid w:val="0F6E2388"/>
    <w:rsid w:val="0FA45DAA"/>
    <w:rsid w:val="0FBF30DE"/>
    <w:rsid w:val="0FF60E34"/>
    <w:rsid w:val="100E76C7"/>
    <w:rsid w:val="102D3FF1"/>
    <w:rsid w:val="1057502E"/>
    <w:rsid w:val="10611EED"/>
    <w:rsid w:val="10923E54"/>
    <w:rsid w:val="109D6127"/>
    <w:rsid w:val="109E4EEF"/>
    <w:rsid w:val="10A27F31"/>
    <w:rsid w:val="10B4201D"/>
    <w:rsid w:val="10C063DA"/>
    <w:rsid w:val="10CD30DE"/>
    <w:rsid w:val="10DB1C9F"/>
    <w:rsid w:val="10E54F76"/>
    <w:rsid w:val="10EA3E68"/>
    <w:rsid w:val="10ED13FA"/>
    <w:rsid w:val="110A60E1"/>
    <w:rsid w:val="110E0B80"/>
    <w:rsid w:val="111D4066"/>
    <w:rsid w:val="1125116C"/>
    <w:rsid w:val="11276CEA"/>
    <w:rsid w:val="113B5A78"/>
    <w:rsid w:val="1142587A"/>
    <w:rsid w:val="11544ACA"/>
    <w:rsid w:val="11586E4C"/>
    <w:rsid w:val="11772E92"/>
    <w:rsid w:val="11851C0B"/>
    <w:rsid w:val="118568A3"/>
    <w:rsid w:val="118C2F9A"/>
    <w:rsid w:val="11927058"/>
    <w:rsid w:val="1193257A"/>
    <w:rsid w:val="11A77DD3"/>
    <w:rsid w:val="11B147AE"/>
    <w:rsid w:val="11B36778"/>
    <w:rsid w:val="11C2363F"/>
    <w:rsid w:val="11D02E86"/>
    <w:rsid w:val="11D5049D"/>
    <w:rsid w:val="11E224D7"/>
    <w:rsid w:val="1211524D"/>
    <w:rsid w:val="124922EC"/>
    <w:rsid w:val="12900868"/>
    <w:rsid w:val="12AC4088"/>
    <w:rsid w:val="12C5522C"/>
    <w:rsid w:val="12D93FBD"/>
    <w:rsid w:val="12E070F9"/>
    <w:rsid w:val="12F6691D"/>
    <w:rsid w:val="131B632D"/>
    <w:rsid w:val="131D659F"/>
    <w:rsid w:val="131E7C21"/>
    <w:rsid w:val="133E6515"/>
    <w:rsid w:val="13575631"/>
    <w:rsid w:val="137D2B9A"/>
    <w:rsid w:val="13924778"/>
    <w:rsid w:val="13A32DF6"/>
    <w:rsid w:val="13AF4D1D"/>
    <w:rsid w:val="13AF4F03"/>
    <w:rsid w:val="13BB36C2"/>
    <w:rsid w:val="13BD03FE"/>
    <w:rsid w:val="13D34EB0"/>
    <w:rsid w:val="13D4391C"/>
    <w:rsid w:val="13D70261"/>
    <w:rsid w:val="13FD3CDB"/>
    <w:rsid w:val="14065285"/>
    <w:rsid w:val="141B23B3"/>
    <w:rsid w:val="141F00F5"/>
    <w:rsid w:val="14501471"/>
    <w:rsid w:val="145F25F4"/>
    <w:rsid w:val="147321EF"/>
    <w:rsid w:val="14736E66"/>
    <w:rsid w:val="147A17CF"/>
    <w:rsid w:val="147D6BCA"/>
    <w:rsid w:val="147F458F"/>
    <w:rsid w:val="14AB503C"/>
    <w:rsid w:val="14D958EC"/>
    <w:rsid w:val="14E26366"/>
    <w:rsid w:val="14E86739"/>
    <w:rsid w:val="14EF7AC7"/>
    <w:rsid w:val="14FE7CE4"/>
    <w:rsid w:val="150115A9"/>
    <w:rsid w:val="15033573"/>
    <w:rsid w:val="15284D87"/>
    <w:rsid w:val="152C0D1B"/>
    <w:rsid w:val="1534169A"/>
    <w:rsid w:val="154A73F4"/>
    <w:rsid w:val="154E32C4"/>
    <w:rsid w:val="1573515B"/>
    <w:rsid w:val="158E3310"/>
    <w:rsid w:val="159643E7"/>
    <w:rsid w:val="15B61CF7"/>
    <w:rsid w:val="15B825AF"/>
    <w:rsid w:val="15BE749A"/>
    <w:rsid w:val="15C03E03"/>
    <w:rsid w:val="15CE3164"/>
    <w:rsid w:val="15D861FA"/>
    <w:rsid w:val="15DD3DC4"/>
    <w:rsid w:val="15F630D7"/>
    <w:rsid w:val="160025DD"/>
    <w:rsid w:val="16027CCE"/>
    <w:rsid w:val="161C797C"/>
    <w:rsid w:val="162A25EB"/>
    <w:rsid w:val="163512EA"/>
    <w:rsid w:val="164B51D1"/>
    <w:rsid w:val="165329D3"/>
    <w:rsid w:val="165A086C"/>
    <w:rsid w:val="169D7A44"/>
    <w:rsid w:val="16A14DF1"/>
    <w:rsid w:val="16A9748A"/>
    <w:rsid w:val="16B94831"/>
    <w:rsid w:val="16DE1BA1"/>
    <w:rsid w:val="16EF2001"/>
    <w:rsid w:val="16FD2A55"/>
    <w:rsid w:val="17053459"/>
    <w:rsid w:val="17067C1A"/>
    <w:rsid w:val="171001C9"/>
    <w:rsid w:val="17163A31"/>
    <w:rsid w:val="1720323E"/>
    <w:rsid w:val="17366761"/>
    <w:rsid w:val="1752258F"/>
    <w:rsid w:val="17562080"/>
    <w:rsid w:val="176302F9"/>
    <w:rsid w:val="177C01F0"/>
    <w:rsid w:val="17854713"/>
    <w:rsid w:val="1789436A"/>
    <w:rsid w:val="179511F1"/>
    <w:rsid w:val="17A64C0F"/>
    <w:rsid w:val="17AA23CB"/>
    <w:rsid w:val="17CE6630"/>
    <w:rsid w:val="17DE3E23"/>
    <w:rsid w:val="181D494B"/>
    <w:rsid w:val="181F673E"/>
    <w:rsid w:val="182C1032"/>
    <w:rsid w:val="183D3DB6"/>
    <w:rsid w:val="18502F73"/>
    <w:rsid w:val="18583BD5"/>
    <w:rsid w:val="185D145C"/>
    <w:rsid w:val="1861664F"/>
    <w:rsid w:val="186407CC"/>
    <w:rsid w:val="18652CE4"/>
    <w:rsid w:val="18864588"/>
    <w:rsid w:val="189D00F6"/>
    <w:rsid w:val="18B21538"/>
    <w:rsid w:val="18D85138"/>
    <w:rsid w:val="18D86AC4"/>
    <w:rsid w:val="18DE057F"/>
    <w:rsid w:val="190101BD"/>
    <w:rsid w:val="190873AA"/>
    <w:rsid w:val="19094ED0"/>
    <w:rsid w:val="190B50EC"/>
    <w:rsid w:val="190E04AB"/>
    <w:rsid w:val="19267830"/>
    <w:rsid w:val="192817FA"/>
    <w:rsid w:val="192F7E14"/>
    <w:rsid w:val="19585D7B"/>
    <w:rsid w:val="195E22D7"/>
    <w:rsid w:val="198253AE"/>
    <w:rsid w:val="19834C82"/>
    <w:rsid w:val="19C50978"/>
    <w:rsid w:val="19EB4C0C"/>
    <w:rsid w:val="19EC6CCB"/>
    <w:rsid w:val="1A256F32"/>
    <w:rsid w:val="1A332204"/>
    <w:rsid w:val="1A4C1518"/>
    <w:rsid w:val="1A6E3824"/>
    <w:rsid w:val="1A82318C"/>
    <w:rsid w:val="1A872550"/>
    <w:rsid w:val="1A9B1392"/>
    <w:rsid w:val="1AA43102"/>
    <w:rsid w:val="1AB96CC9"/>
    <w:rsid w:val="1AC53B56"/>
    <w:rsid w:val="1AC6751C"/>
    <w:rsid w:val="1ACC4407"/>
    <w:rsid w:val="1AD27C6F"/>
    <w:rsid w:val="1AE0173D"/>
    <w:rsid w:val="1AE6371B"/>
    <w:rsid w:val="1AFB2EFF"/>
    <w:rsid w:val="1AFF0AFE"/>
    <w:rsid w:val="1B173EB4"/>
    <w:rsid w:val="1B1A33C4"/>
    <w:rsid w:val="1B213459"/>
    <w:rsid w:val="1B245FF1"/>
    <w:rsid w:val="1B2B0976"/>
    <w:rsid w:val="1B373F76"/>
    <w:rsid w:val="1B43291B"/>
    <w:rsid w:val="1B46065D"/>
    <w:rsid w:val="1B4F19F8"/>
    <w:rsid w:val="1B5772A1"/>
    <w:rsid w:val="1B5F527B"/>
    <w:rsid w:val="1B775A7F"/>
    <w:rsid w:val="1B7D57D0"/>
    <w:rsid w:val="1B835B95"/>
    <w:rsid w:val="1B8C2514"/>
    <w:rsid w:val="1BB21D5A"/>
    <w:rsid w:val="1C200EAE"/>
    <w:rsid w:val="1C226F03"/>
    <w:rsid w:val="1C33298F"/>
    <w:rsid w:val="1C3861F8"/>
    <w:rsid w:val="1C3F40DA"/>
    <w:rsid w:val="1C444B9D"/>
    <w:rsid w:val="1C4C57FF"/>
    <w:rsid w:val="1C646FED"/>
    <w:rsid w:val="1C784846"/>
    <w:rsid w:val="1CB515F6"/>
    <w:rsid w:val="1CC45CDD"/>
    <w:rsid w:val="1D1125A5"/>
    <w:rsid w:val="1D204C7B"/>
    <w:rsid w:val="1D2D73DF"/>
    <w:rsid w:val="1D48246B"/>
    <w:rsid w:val="1D5C1A72"/>
    <w:rsid w:val="1D706292"/>
    <w:rsid w:val="1D7C0366"/>
    <w:rsid w:val="1D7D2F5B"/>
    <w:rsid w:val="1DB00010"/>
    <w:rsid w:val="1DDC0E05"/>
    <w:rsid w:val="1DE11B9F"/>
    <w:rsid w:val="1DF148B0"/>
    <w:rsid w:val="1DFF01EE"/>
    <w:rsid w:val="1E1E31CB"/>
    <w:rsid w:val="1E214575"/>
    <w:rsid w:val="1E2F3EA6"/>
    <w:rsid w:val="1E4538B6"/>
    <w:rsid w:val="1E4E75CF"/>
    <w:rsid w:val="1E584235"/>
    <w:rsid w:val="1E6D7CAF"/>
    <w:rsid w:val="1E6E5F01"/>
    <w:rsid w:val="1E9516DF"/>
    <w:rsid w:val="1EC71AB5"/>
    <w:rsid w:val="1ECC44FA"/>
    <w:rsid w:val="1ED01234"/>
    <w:rsid w:val="1EE61F3B"/>
    <w:rsid w:val="1EEE762F"/>
    <w:rsid w:val="1F063325"/>
    <w:rsid w:val="1F1A3993"/>
    <w:rsid w:val="1F2A0FF4"/>
    <w:rsid w:val="1F3C1B5B"/>
    <w:rsid w:val="1F446C62"/>
    <w:rsid w:val="1F4C2EFA"/>
    <w:rsid w:val="1F6317DE"/>
    <w:rsid w:val="1F677031"/>
    <w:rsid w:val="1F6D08DA"/>
    <w:rsid w:val="1FB5190D"/>
    <w:rsid w:val="1FBC5DF5"/>
    <w:rsid w:val="1FD62420"/>
    <w:rsid w:val="1FD71884"/>
    <w:rsid w:val="1FF90588"/>
    <w:rsid w:val="200B384C"/>
    <w:rsid w:val="201E5705"/>
    <w:rsid w:val="20315438"/>
    <w:rsid w:val="20347D76"/>
    <w:rsid w:val="20567638"/>
    <w:rsid w:val="206B33A9"/>
    <w:rsid w:val="206F60DB"/>
    <w:rsid w:val="207D067D"/>
    <w:rsid w:val="20870A09"/>
    <w:rsid w:val="208F215E"/>
    <w:rsid w:val="20915ED7"/>
    <w:rsid w:val="20971013"/>
    <w:rsid w:val="20AE4CDA"/>
    <w:rsid w:val="20C3623F"/>
    <w:rsid w:val="20C46E8C"/>
    <w:rsid w:val="20E406FC"/>
    <w:rsid w:val="20EF2BFD"/>
    <w:rsid w:val="21120B1D"/>
    <w:rsid w:val="21154D5A"/>
    <w:rsid w:val="21162880"/>
    <w:rsid w:val="211E0024"/>
    <w:rsid w:val="21494A03"/>
    <w:rsid w:val="21781212"/>
    <w:rsid w:val="21A5207B"/>
    <w:rsid w:val="21B83F86"/>
    <w:rsid w:val="21BC51D5"/>
    <w:rsid w:val="21BF4CC5"/>
    <w:rsid w:val="21D4251F"/>
    <w:rsid w:val="21EA1D42"/>
    <w:rsid w:val="21F11323"/>
    <w:rsid w:val="21F51B7F"/>
    <w:rsid w:val="22047C38"/>
    <w:rsid w:val="221178A8"/>
    <w:rsid w:val="221213CF"/>
    <w:rsid w:val="22274D44"/>
    <w:rsid w:val="222F3BF9"/>
    <w:rsid w:val="2230171F"/>
    <w:rsid w:val="22327A92"/>
    <w:rsid w:val="223C1E72"/>
    <w:rsid w:val="22417ACC"/>
    <w:rsid w:val="224B0307"/>
    <w:rsid w:val="22511DC1"/>
    <w:rsid w:val="22673393"/>
    <w:rsid w:val="226E2973"/>
    <w:rsid w:val="2274785E"/>
    <w:rsid w:val="227C0E37"/>
    <w:rsid w:val="22970B49"/>
    <w:rsid w:val="229E5E41"/>
    <w:rsid w:val="22A32F81"/>
    <w:rsid w:val="22B03956"/>
    <w:rsid w:val="22B436DC"/>
    <w:rsid w:val="22CA3922"/>
    <w:rsid w:val="22D402FC"/>
    <w:rsid w:val="22EE6366"/>
    <w:rsid w:val="230E7CB2"/>
    <w:rsid w:val="231A264E"/>
    <w:rsid w:val="231D53A2"/>
    <w:rsid w:val="23201794"/>
    <w:rsid w:val="23394F8C"/>
    <w:rsid w:val="234C38D6"/>
    <w:rsid w:val="23582CDC"/>
    <w:rsid w:val="23607DE2"/>
    <w:rsid w:val="23661BFC"/>
    <w:rsid w:val="23671171"/>
    <w:rsid w:val="236D5383"/>
    <w:rsid w:val="237F295E"/>
    <w:rsid w:val="238365D1"/>
    <w:rsid w:val="23B048C6"/>
    <w:rsid w:val="23B51EDC"/>
    <w:rsid w:val="23B7504C"/>
    <w:rsid w:val="23CA0AE2"/>
    <w:rsid w:val="23D34A58"/>
    <w:rsid w:val="23F32A04"/>
    <w:rsid w:val="240C4E4F"/>
    <w:rsid w:val="2438438C"/>
    <w:rsid w:val="244F2F88"/>
    <w:rsid w:val="2455546D"/>
    <w:rsid w:val="24571307"/>
    <w:rsid w:val="2463402E"/>
    <w:rsid w:val="246F34B0"/>
    <w:rsid w:val="24720752"/>
    <w:rsid w:val="247C6073"/>
    <w:rsid w:val="24B21806"/>
    <w:rsid w:val="24B25078"/>
    <w:rsid w:val="24D1550E"/>
    <w:rsid w:val="24FD1D8D"/>
    <w:rsid w:val="25110A2A"/>
    <w:rsid w:val="25187BB4"/>
    <w:rsid w:val="25331C52"/>
    <w:rsid w:val="253C5965"/>
    <w:rsid w:val="2543586C"/>
    <w:rsid w:val="254F585C"/>
    <w:rsid w:val="256C0944"/>
    <w:rsid w:val="257638ED"/>
    <w:rsid w:val="25A75DC4"/>
    <w:rsid w:val="25B508B9"/>
    <w:rsid w:val="25BF7042"/>
    <w:rsid w:val="25C06E86"/>
    <w:rsid w:val="26202706"/>
    <w:rsid w:val="263A2B6C"/>
    <w:rsid w:val="26446DE3"/>
    <w:rsid w:val="26783373"/>
    <w:rsid w:val="269669E7"/>
    <w:rsid w:val="26C17A12"/>
    <w:rsid w:val="26D7699F"/>
    <w:rsid w:val="26F00CB0"/>
    <w:rsid w:val="26F82077"/>
    <w:rsid w:val="27035654"/>
    <w:rsid w:val="270513CC"/>
    <w:rsid w:val="27280C17"/>
    <w:rsid w:val="272F1FA5"/>
    <w:rsid w:val="27351CB2"/>
    <w:rsid w:val="27385F8E"/>
    <w:rsid w:val="273A72C8"/>
    <w:rsid w:val="274E3863"/>
    <w:rsid w:val="27514612"/>
    <w:rsid w:val="27676D46"/>
    <w:rsid w:val="278B2A8D"/>
    <w:rsid w:val="279D6D50"/>
    <w:rsid w:val="27B94749"/>
    <w:rsid w:val="27D84E00"/>
    <w:rsid w:val="2802590C"/>
    <w:rsid w:val="28387045"/>
    <w:rsid w:val="284952E9"/>
    <w:rsid w:val="285C501C"/>
    <w:rsid w:val="28650375"/>
    <w:rsid w:val="28885E11"/>
    <w:rsid w:val="28B5297E"/>
    <w:rsid w:val="28D21782"/>
    <w:rsid w:val="28D26BDC"/>
    <w:rsid w:val="28E13773"/>
    <w:rsid w:val="28E31299"/>
    <w:rsid w:val="28E53263"/>
    <w:rsid w:val="28E600F1"/>
    <w:rsid w:val="28EA6ACC"/>
    <w:rsid w:val="2920604A"/>
    <w:rsid w:val="2930490A"/>
    <w:rsid w:val="297552FA"/>
    <w:rsid w:val="29801387"/>
    <w:rsid w:val="298962E5"/>
    <w:rsid w:val="298F31CF"/>
    <w:rsid w:val="29A44ECD"/>
    <w:rsid w:val="29D07A70"/>
    <w:rsid w:val="29EC23D0"/>
    <w:rsid w:val="2A4B359A"/>
    <w:rsid w:val="2A4E44E6"/>
    <w:rsid w:val="2A704DAF"/>
    <w:rsid w:val="2A8D3BB3"/>
    <w:rsid w:val="2A9A6FAE"/>
    <w:rsid w:val="2A9F5694"/>
    <w:rsid w:val="2AB45FDD"/>
    <w:rsid w:val="2AC709F7"/>
    <w:rsid w:val="2AF4502B"/>
    <w:rsid w:val="2B055542"/>
    <w:rsid w:val="2B3537BF"/>
    <w:rsid w:val="2B774624"/>
    <w:rsid w:val="2B9C345A"/>
    <w:rsid w:val="2BD55811"/>
    <w:rsid w:val="2BD77ACC"/>
    <w:rsid w:val="2BDC6449"/>
    <w:rsid w:val="2C0016AF"/>
    <w:rsid w:val="2C1927E2"/>
    <w:rsid w:val="2C193737"/>
    <w:rsid w:val="2C26606D"/>
    <w:rsid w:val="2C333389"/>
    <w:rsid w:val="2C517164"/>
    <w:rsid w:val="2C5A36C5"/>
    <w:rsid w:val="2C714E0E"/>
    <w:rsid w:val="2C7A72BE"/>
    <w:rsid w:val="2C9A7D75"/>
    <w:rsid w:val="2CAB4598"/>
    <w:rsid w:val="2CC17412"/>
    <w:rsid w:val="2CC246A5"/>
    <w:rsid w:val="2CE57531"/>
    <w:rsid w:val="2CE90E48"/>
    <w:rsid w:val="2CE92CB7"/>
    <w:rsid w:val="2D216834"/>
    <w:rsid w:val="2D2521E9"/>
    <w:rsid w:val="2D40315E"/>
    <w:rsid w:val="2D662499"/>
    <w:rsid w:val="2D6C69BE"/>
    <w:rsid w:val="2D7E5A35"/>
    <w:rsid w:val="2D8C63A3"/>
    <w:rsid w:val="2D947006"/>
    <w:rsid w:val="2D990AC0"/>
    <w:rsid w:val="2DBF0527"/>
    <w:rsid w:val="2DD3347A"/>
    <w:rsid w:val="2E012D42"/>
    <w:rsid w:val="2E2C723F"/>
    <w:rsid w:val="2E50117F"/>
    <w:rsid w:val="2E57163E"/>
    <w:rsid w:val="2E5A4452"/>
    <w:rsid w:val="2E6764C9"/>
    <w:rsid w:val="2E891CA5"/>
    <w:rsid w:val="2E9976CE"/>
    <w:rsid w:val="2ED27DE6"/>
    <w:rsid w:val="2ED523D9"/>
    <w:rsid w:val="2EDA4EED"/>
    <w:rsid w:val="2EE1627B"/>
    <w:rsid w:val="2F34284F"/>
    <w:rsid w:val="2F401D3C"/>
    <w:rsid w:val="2F5B24E1"/>
    <w:rsid w:val="2F7470EF"/>
    <w:rsid w:val="2F762E67"/>
    <w:rsid w:val="2FA95C88"/>
    <w:rsid w:val="2FBB4D1E"/>
    <w:rsid w:val="2FBE0F0E"/>
    <w:rsid w:val="2FC811E9"/>
    <w:rsid w:val="2FD63906"/>
    <w:rsid w:val="2FF344B8"/>
    <w:rsid w:val="2FF40230"/>
    <w:rsid w:val="300F6E18"/>
    <w:rsid w:val="3030267D"/>
    <w:rsid w:val="3041370F"/>
    <w:rsid w:val="30450A8C"/>
    <w:rsid w:val="306B6744"/>
    <w:rsid w:val="30B874AF"/>
    <w:rsid w:val="31091AB9"/>
    <w:rsid w:val="310E70CF"/>
    <w:rsid w:val="310F3573"/>
    <w:rsid w:val="312A28E8"/>
    <w:rsid w:val="312B50A3"/>
    <w:rsid w:val="312E6C7B"/>
    <w:rsid w:val="314D409C"/>
    <w:rsid w:val="31593C87"/>
    <w:rsid w:val="31694B66"/>
    <w:rsid w:val="31723B02"/>
    <w:rsid w:val="319F5F79"/>
    <w:rsid w:val="31DC174D"/>
    <w:rsid w:val="31EA3699"/>
    <w:rsid w:val="32026C34"/>
    <w:rsid w:val="32056724"/>
    <w:rsid w:val="320E2C95"/>
    <w:rsid w:val="32126FE4"/>
    <w:rsid w:val="32336DF8"/>
    <w:rsid w:val="32453A27"/>
    <w:rsid w:val="325D7032"/>
    <w:rsid w:val="3263064A"/>
    <w:rsid w:val="32755658"/>
    <w:rsid w:val="32851613"/>
    <w:rsid w:val="32A43132"/>
    <w:rsid w:val="32A61CB5"/>
    <w:rsid w:val="32AB107A"/>
    <w:rsid w:val="32AC0C06"/>
    <w:rsid w:val="32B67A1F"/>
    <w:rsid w:val="32DF6F75"/>
    <w:rsid w:val="330E1609"/>
    <w:rsid w:val="331A7FAD"/>
    <w:rsid w:val="33305A23"/>
    <w:rsid w:val="33344EF5"/>
    <w:rsid w:val="333D28EB"/>
    <w:rsid w:val="33552D94"/>
    <w:rsid w:val="337959D7"/>
    <w:rsid w:val="33B04114"/>
    <w:rsid w:val="33D309A5"/>
    <w:rsid w:val="33D4015C"/>
    <w:rsid w:val="33D57C3A"/>
    <w:rsid w:val="33D60378"/>
    <w:rsid w:val="33D75E9F"/>
    <w:rsid w:val="33FB1B8D"/>
    <w:rsid w:val="34264730"/>
    <w:rsid w:val="34441786"/>
    <w:rsid w:val="34480B4A"/>
    <w:rsid w:val="34513BC3"/>
    <w:rsid w:val="345B087E"/>
    <w:rsid w:val="347E5715"/>
    <w:rsid w:val="34842DE4"/>
    <w:rsid w:val="34845D75"/>
    <w:rsid w:val="348C5F8A"/>
    <w:rsid w:val="34905118"/>
    <w:rsid w:val="349C1186"/>
    <w:rsid w:val="34AB35B3"/>
    <w:rsid w:val="34AC10D9"/>
    <w:rsid w:val="34AC2E87"/>
    <w:rsid w:val="34C71A6F"/>
    <w:rsid w:val="34D169BA"/>
    <w:rsid w:val="34D66F41"/>
    <w:rsid w:val="34E73A80"/>
    <w:rsid w:val="35042CC3"/>
    <w:rsid w:val="35101668"/>
    <w:rsid w:val="3537750C"/>
    <w:rsid w:val="3537798C"/>
    <w:rsid w:val="353F3CFB"/>
    <w:rsid w:val="355A0AC4"/>
    <w:rsid w:val="356814A4"/>
    <w:rsid w:val="35871F69"/>
    <w:rsid w:val="35A149B6"/>
    <w:rsid w:val="35BC458F"/>
    <w:rsid w:val="35C13FC9"/>
    <w:rsid w:val="35C36B07"/>
    <w:rsid w:val="35FE4CCE"/>
    <w:rsid w:val="3619291F"/>
    <w:rsid w:val="361E6007"/>
    <w:rsid w:val="362971B8"/>
    <w:rsid w:val="364257B6"/>
    <w:rsid w:val="365F76A0"/>
    <w:rsid w:val="36B402FE"/>
    <w:rsid w:val="36DE1A5D"/>
    <w:rsid w:val="36F823B4"/>
    <w:rsid w:val="36FE3EA5"/>
    <w:rsid w:val="36FF1994"/>
    <w:rsid w:val="37024943"/>
    <w:rsid w:val="370852AF"/>
    <w:rsid w:val="373718D7"/>
    <w:rsid w:val="374750E9"/>
    <w:rsid w:val="374D6BA3"/>
    <w:rsid w:val="378E2D18"/>
    <w:rsid w:val="37A367C3"/>
    <w:rsid w:val="37B564F7"/>
    <w:rsid w:val="37BA58BB"/>
    <w:rsid w:val="37EA5922"/>
    <w:rsid w:val="37EB1F18"/>
    <w:rsid w:val="37EC6BDD"/>
    <w:rsid w:val="37F012DD"/>
    <w:rsid w:val="3801798E"/>
    <w:rsid w:val="3810197F"/>
    <w:rsid w:val="38276B93"/>
    <w:rsid w:val="38295DB5"/>
    <w:rsid w:val="383F0A8C"/>
    <w:rsid w:val="384358B1"/>
    <w:rsid w:val="38563624"/>
    <w:rsid w:val="388A1731"/>
    <w:rsid w:val="3891486E"/>
    <w:rsid w:val="38AC3431"/>
    <w:rsid w:val="38FC3337"/>
    <w:rsid w:val="392F2E16"/>
    <w:rsid w:val="39317DFF"/>
    <w:rsid w:val="39445D84"/>
    <w:rsid w:val="3946010D"/>
    <w:rsid w:val="394D6942"/>
    <w:rsid w:val="395F496C"/>
    <w:rsid w:val="39673821"/>
    <w:rsid w:val="396F42D7"/>
    <w:rsid w:val="39747316"/>
    <w:rsid w:val="39822409"/>
    <w:rsid w:val="398E34A3"/>
    <w:rsid w:val="399F745E"/>
    <w:rsid w:val="39BA4C68"/>
    <w:rsid w:val="39D37108"/>
    <w:rsid w:val="39E00529"/>
    <w:rsid w:val="3A0B64A7"/>
    <w:rsid w:val="3A0E64CB"/>
    <w:rsid w:val="3A257964"/>
    <w:rsid w:val="3A30221C"/>
    <w:rsid w:val="3A30455A"/>
    <w:rsid w:val="3A43493D"/>
    <w:rsid w:val="3A491398"/>
    <w:rsid w:val="3A4C4F4A"/>
    <w:rsid w:val="3A4E1763"/>
    <w:rsid w:val="3A55567E"/>
    <w:rsid w:val="3A574DDA"/>
    <w:rsid w:val="3A744447"/>
    <w:rsid w:val="3A8B1791"/>
    <w:rsid w:val="3A925F17"/>
    <w:rsid w:val="3AAD1707"/>
    <w:rsid w:val="3ABD444D"/>
    <w:rsid w:val="3AD3075A"/>
    <w:rsid w:val="3AEE244B"/>
    <w:rsid w:val="3AF647F9"/>
    <w:rsid w:val="3AF74C02"/>
    <w:rsid w:val="3B007A89"/>
    <w:rsid w:val="3B037579"/>
    <w:rsid w:val="3B196D9D"/>
    <w:rsid w:val="3B223EA3"/>
    <w:rsid w:val="3B392F9B"/>
    <w:rsid w:val="3B4209FD"/>
    <w:rsid w:val="3B455D5F"/>
    <w:rsid w:val="3B530501"/>
    <w:rsid w:val="3B5D2065"/>
    <w:rsid w:val="3B7641EF"/>
    <w:rsid w:val="3B7D732B"/>
    <w:rsid w:val="3B856E4B"/>
    <w:rsid w:val="3BA40D5C"/>
    <w:rsid w:val="3BB615BF"/>
    <w:rsid w:val="3BB70A8F"/>
    <w:rsid w:val="3BBB2C54"/>
    <w:rsid w:val="3BC37F6D"/>
    <w:rsid w:val="3BE473AB"/>
    <w:rsid w:val="3BFC64A2"/>
    <w:rsid w:val="3C0059A5"/>
    <w:rsid w:val="3C134E78"/>
    <w:rsid w:val="3C177780"/>
    <w:rsid w:val="3C3814A4"/>
    <w:rsid w:val="3C4A1903"/>
    <w:rsid w:val="3C4E1309"/>
    <w:rsid w:val="3C7C5835"/>
    <w:rsid w:val="3C834E15"/>
    <w:rsid w:val="3C9456F7"/>
    <w:rsid w:val="3C991F43"/>
    <w:rsid w:val="3CA11B1D"/>
    <w:rsid w:val="3CB94393"/>
    <w:rsid w:val="3CBB7014"/>
    <w:rsid w:val="3CD47902"/>
    <w:rsid w:val="3CD76F0F"/>
    <w:rsid w:val="3CDB4FF4"/>
    <w:rsid w:val="3D3B124C"/>
    <w:rsid w:val="3D474095"/>
    <w:rsid w:val="3D5C1C31"/>
    <w:rsid w:val="3D8A5D30"/>
    <w:rsid w:val="3DA43295"/>
    <w:rsid w:val="3DA60DBB"/>
    <w:rsid w:val="3DA641DC"/>
    <w:rsid w:val="3DA94408"/>
    <w:rsid w:val="3DAB7629"/>
    <w:rsid w:val="3DAD2DD0"/>
    <w:rsid w:val="3DB66B25"/>
    <w:rsid w:val="3DBB413B"/>
    <w:rsid w:val="3DD833C1"/>
    <w:rsid w:val="3DEC7285"/>
    <w:rsid w:val="3DF6345D"/>
    <w:rsid w:val="3E1F291C"/>
    <w:rsid w:val="3E2755A3"/>
    <w:rsid w:val="3E2B5515"/>
    <w:rsid w:val="3E2E0DB1"/>
    <w:rsid w:val="3E463F75"/>
    <w:rsid w:val="3E4D4F28"/>
    <w:rsid w:val="3E4D56DB"/>
    <w:rsid w:val="3E614CE2"/>
    <w:rsid w:val="3E7A1A99"/>
    <w:rsid w:val="3E8D5EB9"/>
    <w:rsid w:val="3E970704"/>
    <w:rsid w:val="3E974BA8"/>
    <w:rsid w:val="3EB47508"/>
    <w:rsid w:val="3ECD2378"/>
    <w:rsid w:val="3EDB6BF0"/>
    <w:rsid w:val="3EDF3E59"/>
    <w:rsid w:val="3EE13701"/>
    <w:rsid w:val="3EFC4A0B"/>
    <w:rsid w:val="3F1A4BB3"/>
    <w:rsid w:val="3F3717E2"/>
    <w:rsid w:val="3F3A4B0A"/>
    <w:rsid w:val="3F4343E8"/>
    <w:rsid w:val="3F442DA6"/>
    <w:rsid w:val="3F446ADE"/>
    <w:rsid w:val="3F536D21"/>
    <w:rsid w:val="3F5E6123"/>
    <w:rsid w:val="3F676329"/>
    <w:rsid w:val="3F7458C4"/>
    <w:rsid w:val="3F78521C"/>
    <w:rsid w:val="3F8F762D"/>
    <w:rsid w:val="3FA03BAA"/>
    <w:rsid w:val="3FA7706D"/>
    <w:rsid w:val="3FA77587"/>
    <w:rsid w:val="3FB6471C"/>
    <w:rsid w:val="3FD21202"/>
    <w:rsid w:val="3FED7D16"/>
    <w:rsid w:val="3FF34060"/>
    <w:rsid w:val="3FFD4EDF"/>
    <w:rsid w:val="40192BA6"/>
    <w:rsid w:val="401F6C03"/>
    <w:rsid w:val="40204729"/>
    <w:rsid w:val="402A3D3B"/>
    <w:rsid w:val="40491ED2"/>
    <w:rsid w:val="407A652F"/>
    <w:rsid w:val="40842F0A"/>
    <w:rsid w:val="40951412"/>
    <w:rsid w:val="40AA62D5"/>
    <w:rsid w:val="40B557B9"/>
    <w:rsid w:val="40B94744"/>
    <w:rsid w:val="40C63523"/>
    <w:rsid w:val="40D355CB"/>
    <w:rsid w:val="40EA0A37"/>
    <w:rsid w:val="40F938F8"/>
    <w:rsid w:val="4114603C"/>
    <w:rsid w:val="411857DE"/>
    <w:rsid w:val="4127696F"/>
    <w:rsid w:val="41306BEE"/>
    <w:rsid w:val="414B6581"/>
    <w:rsid w:val="4158070B"/>
    <w:rsid w:val="41766EA9"/>
    <w:rsid w:val="417E3DFD"/>
    <w:rsid w:val="41930D79"/>
    <w:rsid w:val="419D4283"/>
    <w:rsid w:val="41AA074E"/>
    <w:rsid w:val="41AA6639"/>
    <w:rsid w:val="41B30153"/>
    <w:rsid w:val="41B33D89"/>
    <w:rsid w:val="41D028AB"/>
    <w:rsid w:val="41F42900"/>
    <w:rsid w:val="42100786"/>
    <w:rsid w:val="42114C71"/>
    <w:rsid w:val="421309EA"/>
    <w:rsid w:val="423762A7"/>
    <w:rsid w:val="42550A18"/>
    <w:rsid w:val="426F53DC"/>
    <w:rsid w:val="427A0ECA"/>
    <w:rsid w:val="429A07C3"/>
    <w:rsid w:val="429D496A"/>
    <w:rsid w:val="429E4757"/>
    <w:rsid w:val="42A277CF"/>
    <w:rsid w:val="42B75819"/>
    <w:rsid w:val="42DE7581"/>
    <w:rsid w:val="42EC4DF5"/>
    <w:rsid w:val="42ED307C"/>
    <w:rsid w:val="42F473A1"/>
    <w:rsid w:val="430703E5"/>
    <w:rsid w:val="43127A68"/>
    <w:rsid w:val="431A7B56"/>
    <w:rsid w:val="43421586"/>
    <w:rsid w:val="434339D3"/>
    <w:rsid w:val="43551666"/>
    <w:rsid w:val="43566DE0"/>
    <w:rsid w:val="435B2648"/>
    <w:rsid w:val="436667A9"/>
    <w:rsid w:val="43781A2B"/>
    <w:rsid w:val="438D657A"/>
    <w:rsid w:val="4396542E"/>
    <w:rsid w:val="43A52042"/>
    <w:rsid w:val="43C24475"/>
    <w:rsid w:val="43C40ABC"/>
    <w:rsid w:val="43CA50D8"/>
    <w:rsid w:val="43E83F1E"/>
    <w:rsid w:val="43EC036F"/>
    <w:rsid w:val="44024872"/>
    <w:rsid w:val="441E62C0"/>
    <w:rsid w:val="44265913"/>
    <w:rsid w:val="442B201A"/>
    <w:rsid w:val="443E54F3"/>
    <w:rsid w:val="444430DC"/>
    <w:rsid w:val="444957ED"/>
    <w:rsid w:val="445B2879"/>
    <w:rsid w:val="448917EC"/>
    <w:rsid w:val="44B80066"/>
    <w:rsid w:val="44D51F86"/>
    <w:rsid w:val="452847AC"/>
    <w:rsid w:val="45325D14"/>
    <w:rsid w:val="45605CF4"/>
    <w:rsid w:val="4562713E"/>
    <w:rsid w:val="456E67B0"/>
    <w:rsid w:val="45811C7C"/>
    <w:rsid w:val="458B6AE9"/>
    <w:rsid w:val="45906116"/>
    <w:rsid w:val="45943BEF"/>
    <w:rsid w:val="459B6D2C"/>
    <w:rsid w:val="461940F5"/>
    <w:rsid w:val="461B60BF"/>
    <w:rsid w:val="462F413D"/>
    <w:rsid w:val="463F7FFF"/>
    <w:rsid w:val="4645715D"/>
    <w:rsid w:val="465A44EE"/>
    <w:rsid w:val="46761DB1"/>
    <w:rsid w:val="468B3EFB"/>
    <w:rsid w:val="46A165C4"/>
    <w:rsid w:val="46A41C10"/>
    <w:rsid w:val="46B362F7"/>
    <w:rsid w:val="46C2478C"/>
    <w:rsid w:val="46C4108E"/>
    <w:rsid w:val="46F648FA"/>
    <w:rsid w:val="47064679"/>
    <w:rsid w:val="470A6193"/>
    <w:rsid w:val="47212378"/>
    <w:rsid w:val="472747A1"/>
    <w:rsid w:val="472B40E0"/>
    <w:rsid w:val="47385210"/>
    <w:rsid w:val="473A3E9D"/>
    <w:rsid w:val="473C009B"/>
    <w:rsid w:val="47574ED5"/>
    <w:rsid w:val="477041E8"/>
    <w:rsid w:val="47767A51"/>
    <w:rsid w:val="479E0D55"/>
    <w:rsid w:val="47A143A2"/>
    <w:rsid w:val="47AA76FA"/>
    <w:rsid w:val="47BA5463"/>
    <w:rsid w:val="47BB1907"/>
    <w:rsid w:val="47CF53B3"/>
    <w:rsid w:val="47D14C87"/>
    <w:rsid w:val="47D44777"/>
    <w:rsid w:val="47DC4F5C"/>
    <w:rsid w:val="47E744AA"/>
    <w:rsid w:val="47EF7803"/>
    <w:rsid w:val="480A0199"/>
    <w:rsid w:val="480C5CBF"/>
    <w:rsid w:val="480D15F4"/>
    <w:rsid w:val="481D1367"/>
    <w:rsid w:val="4829600C"/>
    <w:rsid w:val="485853A8"/>
    <w:rsid w:val="486024AF"/>
    <w:rsid w:val="487815A6"/>
    <w:rsid w:val="488C6E00"/>
    <w:rsid w:val="48B40671"/>
    <w:rsid w:val="48BB1493"/>
    <w:rsid w:val="48C04CFB"/>
    <w:rsid w:val="48EA4BE0"/>
    <w:rsid w:val="48F971C9"/>
    <w:rsid w:val="48FB078F"/>
    <w:rsid w:val="491F1A22"/>
    <w:rsid w:val="493F3E72"/>
    <w:rsid w:val="49441D34"/>
    <w:rsid w:val="494619E7"/>
    <w:rsid w:val="494871CB"/>
    <w:rsid w:val="49491F9E"/>
    <w:rsid w:val="495B1176"/>
    <w:rsid w:val="4973360C"/>
    <w:rsid w:val="499B5738"/>
    <w:rsid w:val="499F244D"/>
    <w:rsid w:val="49B64D2A"/>
    <w:rsid w:val="49B760FE"/>
    <w:rsid w:val="49D92519"/>
    <w:rsid w:val="4A1E617D"/>
    <w:rsid w:val="4A356245"/>
    <w:rsid w:val="4A594E0D"/>
    <w:rsid w:val="4A7144FF"/>
    <w:rsid w:val="4A790BF3"/>
    <w:rsid w:val="4A82495E"/>
    <w:rsid w:val="4A973F3F"/>
    <w:rsid w:val="4ABA0012"/>
    <w:rsid w:val="4ABA6F52"/>
    <w:rsid w:val="4AC705C3"/>
    <w:rsid w:val="4AF764A2"/>
    <w:rsid w:val="4AF96BC7"/>
    <w:rsid w:val="4AFC5256"/>
    <w:rsid w:val="4B0E1D4E"/>
    <w:rsid w:val="4B1530DD"/>
    <w:rsid w:val="4B1F21AD"/>
    <w:rsid w:val="4B517BFD"/>
    <w:rsid w:val="4B55797D"/>
    <w:rsid w:val="4B5A416B"/>
    <w:rsid w:val="4B7122DD"/>
    <w:rsid w:val="4B862A85"/>
    <w:rsid w:val="4BB5041C"/>
    <w:rsid w:val="4BC82845"/>
    <w:rsid w:val="4BD016F9"/>
    <w:rsid w:val="4BE40D01"/>
    <w:rsid w:val="4BF61160"/>
    <w:rsid w:val="4C067857"/>
    <w:rsid w:val="4C2D4456"/>
    <w:rsid w:val="4C3103EA"/>
    <w:rsid w:val="4C313C9D"/>
    <w:rsid w:val="4C365A00"/>
    <w:rsid w:val="4C4277CB"/>
    <w:rsid w:val="4C4579F1"/>
    <w:rsid w:val="4C4A325A"/>
    <w:rsid w:val="4C4B0D80"/>
    <w:rsid w:val="4C5E135D"/>
    <w:rsid w:val="4C5F49FA"/>
    <w:rsid w:val="4C72630D"/>
    <w:rsid w:val="4CB9218D"/>
    <w:rsid w:val="4CC34DBA"/>
    <w:rsid w:val="4CC97B89"/>
    <w:rsid w:val="4CEF36E2"/>
    <w:rsid w:val="4CEF4DC5"/>
    <w:rsid w:val="4CFA4C80"/>
    <w:rsid w:val="4CFE5DF2"/>
    <w:rsid w:val="4D00565F"/>
    <w:rsid w:val="4D111FCA"/>
    <w:rsid w:val="4D1675E0"/>
    <w:rsid w:val="4D2524E2"/>
    <w:rsid w:val="4D2C6E03"/>
    <w:rsid w:val="4D743C02"/>
    <w:rsid w:val="4D74726E"/>
    <w:rsid w:val="4D966910"/>
    <w:rsid w:val="4D9C1893"/>
    <w:rsid w:val="4DBD7A5B"/>
    <w:rsid w:val="4DCD4142"/>
    <w:rsid w:val="4DF31DAF"/>
    <w:rsid w:val="4E1924EF"/>
    <w:rsid w:val="4E1A6C5C"/>
    <w:rsid w:val="4E257655"/>
    <w:rsid w:val="4E295D5E"/>
    <w:rsid w:val="4E2C2090"/>
    <w:rsid w:val="4E3B5550"/>
    <w:rsid w:val="4E447F50"/>
    <w:rsid w:val="4E465CA3"/>
    <w:rsid w:val="4E6210E9"/>
    <w:rsid w:val="4E7B594C"/>
    <w:rsid w:val="4E853F6C"/>
    <w:rsid w:val="4E8E7871"/>
    <w:rsid w:val="4EA6137B"/>
    <w:rsid w:val="4EB961D5"/>
    <w:rsid w:val="4ED66FBD"/>
    <w:rsid w:val="4EDC4F9F"/>
    <w:rsid w:val="4EFD01D6"/>
    <w:rsid w:val="4EFF56E1"/>
    <w:rsid w:val="4F0E67C1"/>
    <w:rsid w:val="4F244236"/>
    <w:rsid w:val="4F372380"/>
    <w:rsid w:val="4F372FFB"/>
    <w:rsid w:val="4F3D2C02"/>
    <w:rsid w:val="4F4A53A9"/>
    <w:rsid w:val="4F50502B"/>
    <w:rsid w:val="4F6044F7"/>
    <w:rsid w:val="4F671D6B"/>
    <w:rsid w:val="4F6C32AD"/>
    <w:rsid w:val="4F7C5E20"/>
    <w:rsid w:val="4F7D74A2"/>
    <w:rsid w:val="4F7F321A"/>
    <w:rsid w:val="4F996D44"/>
    <w:rsid w:val="4FAA5D36"/>
    <w:rsid w:val="4FAC7D88"/>
    <w:rsid w:val="4FBD195C"/>
    <w:rsid w:val="4FFB43BA"/>
    <w:rsid w:val="5025116D"/>
    <w:rsid w:val="509075D9"/>
    <w:rsid w:val="50912D99"/>
    <w:rsid w:val="50931C06"/>
    <w:rsid w:val="50CE26AB"/>
    <w:rsid w:val="50CF3D2E"/>
    <w:rsid w:val="50D94BAC"/>
    <w:rsid w:val="50DE6667"/>
    <w:rsid w:val="50EF4638"/>
    <w:rsid w:val="51034A9D"/>
    <w:rsid w:val="510976C1"/>
    <w:rsid w:val="51234079"/>
    <w:rsid w:val="518D54B9"/>
    <w:rsid w:val="51937451"/>
    <w:rsid w:val="5196484B"/>
    <w:rsid w:val="51A67184"/>
    <w:rsid w:val="51A72EFC"/>
    <w:rsid w:val="51AB6549"/>
    <w:rsid w:val="51E77840"/>
    <w:rsid w:val="51EB103B"/>
    <w:rsid w:val="52140592"/>
    <w:rsid w:val="52171E30"/>
    <w:rsid w:val="521A0606"/>
    <w:rsid w:val="52395ECD"/>
    <w:rsid w:val="52396E13"/>
    <w:rsid w:val="526606C2"/>
    <w:rsid w:val="526B217C"/>
    <w:rsid w:val="529E31AB"/>
    <w:rsid w:val="52C10D75"/>
    <w:rsid w:val="52C625AD"/>
    <w:rsid w:val="52DF0734"/>
    <w:rsid w:val="52E2243E"/>
    <w:rsid w:val="52E334E5"/>
    <w:rsid w:val="530E74B7"/>
    <w:rsid w:val="530F0D59"/>
    <w:rsid w:val="53204D14"/>
    <w:rsid w:val="532F3EE3"/>
    <w:rsid w:val="533E33EC"/>
    <w:rsid w:val="535607AC"/>
    <w:rsid w:val="53634C01"/>
    <w:rsid w:val="536746F1"/>
    <w:rsid w:val="536A41E2"/>
    <w:rsid w:val="536C7F5A"/>
    <w:rsid w:val="537312E8"/>
    <w:rsid w:val="538B66CB"/>
    <w:rsid w:val="53BA6F17"/>
    <w:rsid w:val="53C27FF8"/>
    <w:rsid w:val="53CD3DFE"/>
    <w:rsid w:val="53D7065D"/>
    <w:rsid w:val="53DB6E8D"/>
    <w:rsid w:val="53EF5665"/>
    <w:rsid w:val="540E7263"/>
    <w:rsid w:val="5415414D"/>
    <w:rsid w:val="541A61D1"/>
    <w:rsid w:val="541A79B6"/>
    <w:rsid w:val="545729B8"/>
    <w:rsid w:val="545F7ABE"/>
    <w:rsid w:val="547C5F7A"/>
    <w:rsid w:val="54947768"/>
    <w:rsid w:val="549E1A80"/>
    <w:rsid w:val="54A35BFD"/>
    <w:rsid w:val="54A46968"/>
    <w:rsid w:val="54AD6A7C"/>
    <w:rsid w:val="54C658F4"/>
    <w:rsid w:val="54E12281"/>
    <w:rsid w:val="5503044A"/>
    <w:rsid w:val="550C4BD7"/>
    <w:rsid w:val="55180399"/>
    <w:rsid w:val="551833F2"/>
    <w:rsid w:val="553B4087"/>
    <w:rsid w:val="553C572D"/>
    <w:rsid w:val="554C1D56"/>
    <w:rsid w:val="55572986"/>
    <w:rsid w:val="555812F1"/>
    <w:rsid w:val="5560764A"/>
    <w:rsid w:val="556F1F83"/>
    <w:rsid w:val="557355CF"/>
    <w:rsid w:val="55AD3D71"/>
    <w:rsid w:val="55B81234"/>
    <w:rsid w:val="55C062DD"/>
    <w:rsid w:val="55C47AE7"/>
    <w:rsid w:val="55D342C0"/>
    <w:rsid w:val="55EF2C4F"/>
    <w:rsid w:val="56187F25"/>
    <w:rsid w:val="562B1B14"/>
    <w:rsid w:val="56436E8B"/>
    <w:rsid w:val="565151E5"/>
    <w:rsid w:val="565340FA"/>
    <w:rsid w:val="56570A4D"/>
    <w:rsid w:val="565E7FF6"/>
    <w:rsid w:val="56660CF8"/>
    <w:rsid w:val="567333AD"/>
    <w:rsid w:val="56835CE6"/>
    <w:rsid w:val="568420E4"/>
    <w:rsid w:val="5684380C"/>
    <w:rsid w:val="56890E23"/>
    <w:rsid w:val="569A68B2"/>
    <w:rsid w:val="56A31EE4"/>
    <w:rsid w:val="56AC1F86"/>
    <w:rsid w:val="56BE3B81"/>
    <w:rsid w:val="56C1236A"/>
    <w:rsid w:val="56CD68E9"/>
    <w:rsid w:val="56DC688F"/>
    <w:rsid w:val="56F3513D"/>
    <w:rsid w:val="57032983"/>
    <w:rsid w:val="57144B90"/>
    <w:rsid w:val="5723343E"/>
    <w:rsid w:val="573D7EAB"/>
    <w:rsid w:val="573F1488"/>
    <w:rsid w:val="575B456D"/>
    <w:rsid w:val="57650F48"/>
    <w:rsid w:val="57715B3F"/>
    <w:rsid w:val="5774562F"/>
    <w:rsid w:val="57E83927"/>
    <w:rsid w:val="57ED0293"/>
    <w:rsid w:val="57F70AB4"/>
    <w:rsid w:val="580E15DF"/>
    <w:rsid w:val="581A7F84"/>
    <w:rsid w:val="58201313"/>
    <w:rsid w:val="58216540"/>
    <w:rsid w:val="58346FE9"/>
    <w:rsid w:val="58375B2F"/>
    <w:rsid w:val="583F79EB"/>
    <w:rsid w:val="586E03DB"/>
    <w:rsid w:val="587C1AA2"/>
    <w:rsid w:val="587F27ED"/>
    <w:rsid w:val="589F492D"/>
    <w:rsid w:val="58A12453"/>
    <w:rsid w:val="58E30CBE"/>
    <w:rsid w:val="590E560F"/>
    <w:rsid w:val="591C0B59"/>
    <w:rsid w:val="591E5852"/>
    <w:rsid w:val="59232E69"/>
    <w:rsid w:val="592A2449"/>
    <w:rsid w:val="593313A7"/>
    <w:rsid w:val="593E411C"/>
    <w:rsid w:val="59512281"/>
    <w:rsid w:val="59534961"/>
    <w:rsid w:val="596A7545"/>
    <w:rsid w:val="598A2EE8"/>
    <w:rsid w:val="59916628"/>
    <w:rsid w:val="59AA59E5"/>
    <w:rsid w:val="59AD00B6"/>
    <w:rsid w:val="59D6437F"/>
    <w:rsid w:val="59E3084A"/>
    <w:rsid w:val="59EF71EF"/>
    <w:rsid w:val="5A2F2CC8"/>
    <w:rsid w:val="5A3317D1"/>
    <w:rsid w:val="5A5B2AD6"/>
    <w:rsid w:val="5A64198B"/>
    <w:rsid w:val="5A8042EB"/>
    <w:rsid w:val="5A9435DB"/>
    <w:rsid w:val="5AAE753D"/>
    <w:rsid w:val="5AEB20AC"/>
    <w:rsid w:val="5AF34ABD"/>
    <w:rsid w:val="5AFA6F68"/>
    <w:rsid w:val="5B1761D9"/>
    <w:rsid w:val="5B2348F0"/>
    <w:rsid w:val="5B2663C7"/>
    <w:rsid w:val="5B2D7FCE"/>
    <w:rsid w:val="5B433C96"/>
    <w:rsid w:val="5B5269F4"/>
    <w:rsid w:val="5B56541C"/>
    <w:rsid w:val="5B6339F0"/>
    <w:rsid w:val="5B70610D"/>
    <w:rsid w:val="5B8F6EDB"/>
    <w:rsid w:val="5B9C6F02"/>
    <w:rsid w:val="5BA26962"/>
    <w:rsid w:val="5BA26C0E"/>
    <w:rsid w:val="5BA504AD"/>
    <w:rsid w:val="5BB31224"/>
    <w:rsid w:val="5BCF552A"/>
    <w:rsid w:val="5BEA2363"/>
    <w:rsid w:val="5BF62AB6"/>
    <w:rsid w:val="5BF705DC"/>
    <w:rsid w:val="5C10702D"/>
    <w:rsid w:val="5C11501E"/>
    <w:rsid w:val="5C152601"/>
    <w:rsid w:val="5C1D2B8A"/>
    <w:rsid w:val="5C341831"/>
    <w:rsid w:val="5C3C0D75"/>
    <w:rsid w:val="5C591F03"/>
    <w:rsid w:val="5C593045"/>
    <w:rsid w:val="5C693288"/>
    <w:rsid w:val="5C6E7B12"/>
    <w:rsid w:val="5C7435C7"/>
    <w:rsid w:val="5C757E7F"/>
    <w:rsid w:val="5C8A1B2F"/>
    <w:rsid w:val="5C91458D"/>
    <w:rsid w:val="5CC93D27"/>
    <w:rsid w:val="5CE24DE9"/>
    <w:rsid w:val="5CEB1EEF"/>
    <w:rsid w:val="5CF05884"/>
    <w:rsid w:val="5CFF31EA"/>
    <w:rsid w:val="5D136205"/>
    <w:rsid w:val="5D487342"/>
    <w:rsid w:val="5D723FE4"/>
    <w:rsid w:val="5D7256E0"/>
    <w:rsid w:val="5D853AF8"/>
    <w:rsid w:val="5D902723"/>
    <w:rsid w:val="5D914004"/>
    <w:rsid w:val="5DA622BA"/>
    <w:rsid w:val="5DB1138B"/>
    <w:rsid w:val="5DC10EA2"/>
    <w:rsid w:val="5DC34C1A"/>
    <w:rsid w:val="5DD010E5"/>
    <w:rsid w:val="5DFC012C"/>
    <w:rsid w:val="5E0031D5"/>
    <w:rsid w:val="5E287173"/>
    <w:rsid w:val="5E420DAF"/>
    <w:rsid w:val="5E5E692F"/>
    <w:rsid w:val="5E7F1E13"/>
    <w:rsid w:val="5E820631"/>
    <w:rsid w:val="5E9C2135"/>
    <w:rsid w:val="5EA01B84"/>
    <w:rsid w:val="5EA031AD"/>
    <w:rsid w:val="5EB84053"/>
    <w:rsid w:val="5EE4067B"/>
    <w:rsid w:val="5F1119B5"/>
    <w:rsid w:val="5F131BD1"/>
    <w:rsid w:val="5F3C2ED6"/>
    <w:rsid w:val="5F561B72"/>
    <w:rsid w:val="5F661D01"/>
    <w:rsid w:val="5F73441E"/>
    <w:rsid w:val="5F801A26"/>
    <w:rsid w:val="5F8A1E93"/>
    <w:rsid w:val="5FA7073A"/>
    <w:rsid w:val="5FB54A36"/>
    <w:rsid w:val="5FC03B07"/>
    <w:rsid w:val="5FC37153"/>
    <w:rsid w:val="5FD66726"/>
    <w:rsid w:val="5FF4730D"/>
    <w:rsid w:val="5FFE5838"/>
    <w:rsid w:val="600339F4"/>
    <w:rsid w:val="60036CCD"/>
    <w:rsid w:val="600A1AD5"/>
    <w:rsid w:val="602D6CC3"/>
    <w:rsid w:val="604F4E8B"/>
    <w:rsid w:val="606007BB"/>
    <w:rsid w:val="60AC7F66"/>
    <w:rsid w:val="60BC47F5"/>
    <w:rsid w:val="60BE791B"/>
    <w:rsid w:val="60C03693"/>
    <w:rsid w:val="60E03D35"/>
    <w:rsid w:val="60F26E96"/>
    <w:rsid w:val="60F375C4"/>
    <w:rsid w:val="60F83285"/>
    <w:rsid w:val="60FA0674"/>
    <w:rsid w:val="60FD0443"/>
    <w:rsid w:val="60FD2B08"/>
    <w:rsid w:val="610B7004"/>
    <w:rsid w:val="610C68D8"/>
    <w:rsid w:val="611759A9"/>
    <w:rsid w:val="611F2AAF"/>
    <w:rsid w:val="612E2CF2"/>
    <w:rsid w:val="61354081"/>
    <w:rsid w:val="61442516"/>
    <w:rsid w:val="616B4900"/>
    <w:rsid w:val="616C351A"/>
    <w:rsid w:val="616E56E0"/>
    <w:rsid w:val="617526CF"/>
    <w:rsid w:val="61761FA3"/>
    <w:rsid w:val="619D5782"/>
    <w:rsid w:val="61A3207C"/>
    <w:rsid w:val="61B2122D"/>
    <w:rsid w:val="61BF10D9"/>
    <w:rsid w:val="61CD6067"/>
    <w:rsid w:val="61DA3D4C"/>
    <w:rsid w:val="61FB0E26"/>
    <w:rsid w:val="622A34BA"/>
    <w:rsid w:val="624B4D8B"/>
    <w:rsid w:val="626550EB"/>
    <w:rsid w:val="626B4132"/>
    <w:rsid w:val="626C5880"/>
    <w:rsid w:val="62764951"/>
    <w:rsid w:val="627E7362"/>
    <w:rsid w:val="62864468"/>
    <w:rsid w:val="628D3A49"/>
    <w:rsid w:val="62A33CEE"/>
    <w:rsid w:val="62AC22DC"/>
    <w:rsid w:val="62BF00A6"/>
    <w:rsid w:val="62C90C63"/>
    <w:rsid w:val="62F37D50"/>
    <w:rsid w:val="63097573"/>
    <w:rsid w:val="63115536"/>
    <w:rsid w:val="631602BE"/>
    <w:rsid w:val="63247F09"/>
    <w:rsid w:val="632A5D68"/>
    <w:rsid w:val="63313B17"/>
    <w:rsid w:val="63520F1A"/>
    <w:rsid w:val="63640C4D"/>
    <w:rsid w:val="63794916"/>
    <w:rsid w:val="63A25A6E"/>
    <w:rsid w:val="63D47B81"/>
    <w:rsid w:val="63D731CD"/>
    <w:rsid w:val="63D7745D"/>
    <w:rsid w:val="63E47698"/>
    <w:rsid w:val="63EE6769"/>
    <w:rsid w:val="643B19AE"/>
    <w:rsid w:val="643B7C00"/>
    <w:rsid w:val="64612CF2"/>
    <w:rsid w:val="646709F5"/>
    <w:rsid w:val="64840E54"/>
    <w:rsid w:val="648D7D30"/>
    <w:rsid w:val="64942E6C"/>
    <w:rsid w:val="64A55079"/>
    <w:rsid w:val="64B452BD"/>
    <w:rsid w:val="64C71494"/>
    <w:rsid w:val="64CD45D0"/>
    <w:rsid w:val="64DF74F0"/>
    <w:rsid w:val="64E114B7"/>
    <w:rsid w:val="64E45EF7"/>
    <w:rsid w:val="64E738E4"/>
    <w:rsid w:val="64E77440"/>
    <w:rsid w:val="651F62A0"/>
    <w:rsid w:val="654D4CC5"/>
    <w:rsid w:val="657A693C"/>
    <w:rsid w:val="657B402C"/>
    <w:rsid w:val="65CC6636"/>
    <w:rsid w:val="65CF0281"/>
    <w:rsid w:val="65D800ED"/>
    <w:rsid w:val="65F91B21"/>
    <w:rsid w:val="65FA13F5"/>
    <w:rsid w:val="660A5ADC"/>
    <w:rsid w:val="661C57FB"/>
    <w:rsid w:val="661E125C"/>
    <w:rsid w:val="66482160"/>
    <w:rsid w:val="6664510A"/>
    <w:rsid w:val="66660838"/>
    <w:rsid w:val="668A4527"/>
    <w:rsid w:val="668D4017"/>
    <w:rsid w:val="6691014E"/>
    <w:rsid w:val="66B024EE"/>
    <w:rsid w:val="66C043ED"/>
    <w:rsid w:val="66C87CCE"/>
    <w:rsid w:val="66C915E9"/>
    <w:rsid w:val="66CE6CE1"/>
    <w:rsid w:val="66DC6D4D"/>
    <w:rsid w:val="66FE4F15"/>
    <w:rsid w:val="67000C8D"/>
    <w:rsid w:val="67095D94"/>
    <w:rsid w:val="67193AFD"/>
    <w:rsid w:val="67386679"/>
    <w:rsid w:val="6759214B"/>
    <w:rsid w:val="677435B2"/>
    <w:rsid w:val="67760F4F"/>
    <w:rsid w:val="677936A6"/>
    <w:rsid w:val="6784541A"/>
    <w:rsid w:val="678C1422"/>
    <w:rsid w:val="67982C74"/>
    <w:rsid w:val="679D028A"/>
    <w:rsid w:val="67B6134C"/>
    <w:rsid w:val="67B81ECF"/>
    <w:rsid w:val="67C334BF"/>
    <w:rsid w:val="67DE407D"/>
    <w:rsid w:val="67EF75F1"/>
    <w:rsid w:val="68014CBD"/>
    <w:rsid w:val="681C38A5"/>
    <w:rsid w:val="681D13CB"/>
    <w:rsid w:val="681D14C0"/>
    <w:rsid w:val="681D4D9E"/>
    <w:rsid w:val="684C457F"/>
    <w:rsid w:val="685E210F"/>
    <w:rsid w:val="688A1DD4"/>
    <w:rsid w:val="689E075E"/>
    <w:rsid w:val="68A20009"/>
    <w:rsid w:val="68BA25E5"/>
    <w:rsid w:val="68D02EC4"/>
    <w:rsid w:val="68E85E7D"/>
    <w:rsid w:val="68EA5751"/>
    <w:rsid w:val="68EF0FB9"/>
    <w:rsid w:val="690600B1"/>
    <w:rsid w:val="69124F16"/>
    <w:rsid w:val="69180510"/>
    <w:rsid w:val="69205616"/>
    <w:rsid w:val="694A5205"/>
    <w:rsid w:val="694D7A8E"/>
    <w:rsid w:val="695452C0"/>
    <w:rsid w:val="69623539"/>
    <w:rsid w:val="697417A7"/>
    <w:rsid w:val="69782D5D"/>
    <w:rsid w:val="698711F2"/>
    <w:rsid w:val="699A724A"/>
    <w:rsid w:val="699D6C67"/>
    <w:rsid w:val="69A578CA"/>
    <w:rsid w:val="69A91168"/>
    <w:rsid w:val="69AF2FE9"/>
    <w:rsid w:val="69CD5C14"/>
    <w:rsid w:val="69CF0D33"/>
    <w:rsid w:val="69E14DA6"/>
    <w:rsid w:val="6A440E91"/>
    <w:rsid w:val="6A486BD3"/>
    <w:rsid w:val="6A4B1128"/>
    <w:rsid w:val="6A707ED8"/>
    <w:rsid w:val="6A7774B8"/>
    <w:rsid w:val="6A8350EB"/>
    <w:rsid w:val="6A9242F2"/>
    <w:rsid w:val="6A930C7B"/>
    <w:rsid w:val="6A9B69E4"/>
    <w:rsid w:val="6AA14535"/>
    <w:rsid w:val="6ACF7A12"/>
    <w:rsid w:val="6ADC731B"/>
    <w:rsid w:val="6AE016F7"/>
    <w:rsid w:val="6B19231D"/>
    <w:rsid w:val="6B576D20"/>
    <w:rsid w:val="6B802775"/>
    <w:rsid w:val="6B9946B3"/>
    <w:rsid w:val="6BB87D88"/>
    <w:rsid w:val="6BCD6EF6"/>
    <w:rsid w:val="6BFA5D63"/>
    <w:rsid w:val="6C247E90"/>
    <w:rsid w:val="6C315445"/>
    <w:rsid w:val="6C450EF0"/>
    <w:rsid w:val="6C5F064E"/>
    <w:rsid w:val="6C6543B4"/>
    <w:rsid w:val="6C7007C7"/>
    <w:rsid w:val="6C867EA1"/>
    <w:rsid w:val="6C873EB5"/>
    <w:rsid w:val="6CBA7B30"/>
    <w:rsid w:val="6CC256E5"/>
    <w:rsid w:val="6CEF1588"/>
    <w:rsid w:val="6CFF5543"/>
    <w:rsid w:val="6D120DC8"/>
    <w:rsid w:val="6D262AD0"/>
    <w:rsid w:val="6D2B6D28"/>
    <w:rsid w:val="6D2E0CDE"/>
    <w:rsid w:val="6D3F3294"/>
    <w:rsid w:val="6D500B6F"/>
    <w:rsid w:val="6D822D8F"/>
    <w:rsid w:val="6D9D45A6"/>
    <w:rsid w:val="6DA94109"/>
    <w:rsid w:val="6DB12CE1"/>
    <w:rsid w:val="6DD56A5A"/>
    <w:rsid w:val="6DDA2238"/>
    <w:rsid w:val="6DDD5884"/>
    <w:rsid w:val="6DE76850"/>
    <w:rsid w:val="6DEC3D19"/>
    <w:rsid w:val="6DFE57FA"/>
    <w:rsid w:val="6E041367"/>
    <w:rsid w:val="6E3C285F"/>
    <w:rsid w:val="6E5F67AF"/>
    <w:rsid w:val="6E6466FB"/>
    <w:rsid w:val="6E663EC4"/>
    <w:rsid w:val="6E851A78"/>
    <w:rsid w:val="6EB500A4"/>
    <w:rsid w:val="6EB8444E"/>
    <w:rsid w:val="6EC6456A"/>
    <w:rsid w:val="6F024FB7"/>
    <w:rsid w:val="6F0C1717"/>
    <w:rsid w:val="6F22050E"/>
    <w:rsid w:val="6F23376B"/>
    <w:rsid w:val="6F280D81"/>
    <w:rsid w:val="6F4A5E60"/>
    <w:rsid w:val="6F5E17D4"/>
    <w:rsid w:val="6F71097A"/>
    <w:rsid w:val="6F7B31A9"/>
    <w:rsid w:val="6F7C731F"/>
    <w:rsid w:val="6F9F1303"/>
    <w:rsid w:val="6FB20BD4"/>
    <w:rsid w:val="6FB650F7"/>
    <w:rsid w:val="6FBA59BE"/>
    <w:rsid w:val="6FCC3E02"/>
    <w:rsid w:val="6FD9581B"/>
    <w:rsid w:val="6FDC1B6B"/>
    <w:rsid w:val="6FDE5D1C"/>
    <w:rsid w:val="6FE0340A"/>
    <w:rsid w:val="6FF43359"/>
    <w:rsid w:val="6FF9271D"/>
    <w:rsid w:val="6FFE5F86"/>
    <w:rsid w:val="701337DF"/>
    <w:rsid w:val="701B773E"/>
    <w:rsid w:val="70296B3E"/>
    <w:rsid w:val="702C48A1"/>
    <w:rsid w:val="704A4D27"/>
    <w:rsid w:val="70590943"/>
    <w:rsid w:val="705D2CAC"/>
    <w:rsid w:val="70611204"/>
    <w:rsid w:val="706606D9"/>
    <w:rsid w:val="70A02B99"/>
    <w:rsid w:val="70A97C9F"/>
    <w:rsid w:val="70C1323B"/>
    <w:rsid w:val="70D2369A"/>
    <w:rsid w:val="70DF5DB7"/>
    <w:rsid w:val="7101593A"/>
    <w:rsid w:val="71285068"/>
    <w:rsid w:val="71431EA2"/>
    <w:rsid w:val="71665B90"/>
    <w:rsid w:val="716E5570"/>
    <w:rsid w:val="71F62B06"/>
    <w:rsid w:val="72077373"/>
    <w:rsid w:val="720930EC"/>
    <w:rsid w:val="720D53D5"/>
    <w:rsid w:val="720D5EBC"/>
    <w:rsid w:val="7218332F"/>
    <w:rsid w:val="721D0945"/>
    <w:rsid w:val="72325662"/>
    <w:rsid w:val="723914F7"/>
    <w:rsid w:val="725105EF"/>
    <w:rsid w:val="725B72E8"/>
    <w:rsid w:val="72695938"/>
    <w:rsid w:val="72710C91"/>
    <w:rsid w:val="728B1EAC"/>
    <w:rsid w:val="72A61598"/>
    <w:rsid w:val="72AA7CFF"/>
    <w:rsid w:val="72B017B9"/>
    <w:rsid w:val="72D27981"/>
    <w:rsid w:val="72E2406D"/>
    <w:rsid w:val="73010267"/>
    <w:rsid w:val="73013DC3"/>
    <w:rsid w:val="731735E6"/>
    <w:rsid w:val="731C6E4F"/>
    <w:rsid w:val="731D413A"/>
    <w:rsid w:val="731F693F"/>
    <w:rsid w:val="73303EEA"/>
    <w:rsid w:val="733046A8"/>
    <w:rsid w:val="73593E71"/>
    <w:rsid w:val="7365121C"/>
    <w:rsid w:val="7380268B"/>
    <w:rsid w:val="738703E4"/>
    <w:rsid w:val="73A8420A"/>
    <w:rsid w:val="73AB3D2F"/>
    <w:rsid w:val="73B103CC"/>
    <w:rsid w:val="73BB4C72"/>
    <w:rsid w:val="73CA0659"/>
    <w:rsid w:val="73CC590B"/>
    <w:rsid w:val="73CD1EF7"/>
    <w:rsid w:val="73D239B1"/>
    <w:rsid w:val="73D46162"/>
    <w:rsid w:val="73DE3FB3"/>
    <w:rsid w:val="73E01C2A"/>
    <w:rsid w:val="73E07E7C"/>
    <w:rsid w:val="73F846C2"/>
    <w:rsid w:val="73FB2F08"/>
    <w:rsid w:val="741915E0"/>
    <w:rsid w:val="7420471D"/>
    <w:rsid w:val="742D0BE7"/>
    <w:rsid w:val="74324450"/>
    <w:rsid w:val="743D707D"/>
    <w:rsid w:val="744F6DB0"/>
    <w:rsid w:val="745E6FD6"/>
    <w:rsid w:val="74636FBB"/>
    <w:rsid w:val="746542BE"/>
    <w:rsid w:val="746A3BEA"/>
    <w:rsid w:val="747F3106"/>
    <w:rsid w:val="748E5B2A"/>
    <w:rsid w:val="7499002B"/>
    <w:rsid w:val="74C07CAE"/>
    <w:rsid w:val="74DC4AE7"/>
    <w:rsid w:val="74FA2C30"/>
    <w:rsid w:val="75061B64"/>
    <w:rsid w:val="7513602F"/>
    <w:rsid w:val="754D5C4B"/>
    <w:rsid w:val="75754E51"/>
    <w:rsid w:val="75CB73D9"/>
    <w:rsid w:val="75E726D1"/>
    <w:rsid w:val="75F45E61"/>
    <w:rsid w:val="76283D5C"/>
    <w:rsid w:val="7630595F"/>
    <w:rsid w:val="763E532E"/>
    <w:rsid w:val="765863F0"/>
    <w:rsid w:val="7669674E"/>
    <w:rsid w:val="768C6099"/>
    <w:rsid w:val="76A67A63"/>
    <w:rsid w:val="76AA29C3"/>
    <w:rsid w:val="76B46A62"/>
    <w:rsid w:val="76B6461C"/>
    <w:rsid w:val="76B770A1"/>
    <w:rsid w:val="76C05D43"/>
    <w:rsid w:val="76C240A7"/>
    <w:rsid w:val="76C84BF7"/>
    <w:rsid w:val="76DF08BF"/>
    <w:rsid w:val="76F87CDF"/>
    <w:rsid w:val="77000835"/>
    <w:rsid w:val="774249AA"/>
    <w:rsid w:val="774626EC"/>
    <w:rsid w:val="774B1537"/>
    <w:rsid w:val="775246B7"/>
    <w:rsid w:val="77596FB9"/>
    <w:rsid w:val="775D3592"/>
    <w:rsid w:val="776B2153"/>
    <w:rsid w:val="77732DB5"/>
    <w:rsid w:val="77887125"/>
    <w:rsid w:val="779C67B0"/>
    <w:rsid w:val="77A80CB1"/>
    <w:rsid w:val="77A8625B"/>
    <w:rsid w:val="77DB4E9B"/>
    <w:rsid w:val="77F051E7"/>
    <w:rsid w:val="77F20DEA"/>
    <w:rsid w:val="78021C8C"/>
    <w:rsid w:val="781E69D1"/>
    <w:rsid w:val="781E71C5"/>
    <w:rsid w:val="78251997"/>
    <w:rsid w:val="787119EB"/>
    <w:rsid w:val="788D65E7"/>
    <w:rsid w:val="78AC7C52"/>
    <w:rsid w:val="78CD54A3"/>
    <w:rsid w:val="78CD54E5"/>
    <w:rsid w:val="78E06ACC"/>
    <w:rsid w:val="79004B1D"/>
    <w:rsid w:val="7901156B"/>
    <w:rsid w:val="79142376"/>
    <w:rsid w:val="79295E21"/>
    <w:rsid w:val="7939786F"/>
    <w:rsid w:val="794964C4"/>
    <w:rsid w:val="79586707"/>
    <w:rsid w:val="79870D9A"/>
    <w:rsid w:val="7987327C"/>
    <w:rsid w:val="798C015E"/>
    <w:rsid w:val="798E1A47"/>
    <w:rsid w:val="79997202"/>
    <w:rsid w:val="799F60E4"/>
    <w:rsid w:val="79B27967"/>
    <w:rsid w:val="79D270C4"/>
    <w:rsid w:val="79DD09BA"/>
    <w:rsid w:val="79DE1CD4"/>
    <w:rsid w:val="79FE105C"/>
    <w:rsid w:val="7A0348C4"/>
    <w:rsid w:val="7A08012D"/>
    <w:rsid w:val="7A170370"/>
    <w:rsid w:val="7A263B6B"/>
    <w:rsid w:val="7A396538"/>
    <w:rsid w:val="7A452028"/>
    <w:rsid w:val="7A6730A5"/>
    <w:rsid w:val="7A6A04A0"/>
    <w:rsid w:val="7A7237F8"/>
    <w:rsid w:val="7A8F37D9"/>
    <w:rsid w:val="7A990D85"/>
    <w:rsid w:val="7AA27CF8"/>
    <w:rsid w:val="7AB61523"/>
    <w:rsid w:val="7AB67B89"/>
    <w:rsid w:val="7AD700E0"/>
    <w:rsid w:val="7ADE74EA"/>
    <w:rsid w:val="7AEA5A84"/>
    <w:rsid w:val="7AF46346"/>
    <w:rsid w:val="7AFB37ED"/>
    <w:rsid w:val="7B0F5EBF"/>
    <w:rsid w:val="7B130FB9"/>
    <w:rsid w:val="7B247715"/>
    <w:rsid w:val="7B2745E3"/>
    <w:rsid w:val="7B2C4973"/>
    <w:rsid w:val="7B533629"/>
    <w:rsid w:val="7B5C2BD2"/>
    <w:rsid w:val="7B653379"/>
    <w:rsid w:val="7B6C0247"/>
    <w:rsid w:val="7B963516"/>
    <w:rsid w:val="7B9B0B2D"/>
    <w:rsid w:val="7BD36518"/>
    <w:rsid w:val="7BF64EDE"/>
    <w:rsid w:val="7C0522B0"/>
    <w:rsid w:val="7C093CE8"/>
    <w:rsid w:val="7C1619AD"/>
    <w:rsid w:val="7C400C1E"/>
    <w:rsid w:val="7C4E5B9F"/>
    <w:rsid w:val="7C635AEE"/>
    <w:rsid w:val="7C7A6994"/>
    <w:rsid w:val="7C831CEC"/>
    <w:rsid w:val="7CB400F8"/>
    <w:rsid w:val="7CE65DD7"/>
    <w:rsid w:val="7D263FE0"/>
    <w:rsid w:val="7D3134F6"/>
    <w:rsid w:val="7D4C0330"/>
    <w:rsid w:val="7D697134"/>
    <w:rsid w:val="7D6B2EAC"/>
    <w:rsid w:val="7D964D01"/>
    <w:rsid w:val="7DB303AF"/>
    <w:rsid w:val="7DD11708"/>
    <w:rsid w:val="7DF440CE"/>
    <w:rsid w:val="7DFA4230"/>
    <w:rsid w:val="7E357016"/>
    <w:rsid w:val="7E4D4360"/>
    <w:rsid w:val="7E6B6EDC"/>
    <w:rsid w:val="7E755213"/>
    <w:rsid w:val="7E7B217F"/>
    <w:rsid w:val="7EBD579E"/>
    <w:rsid w:val="7EC167BD"/>
    <w:rsid w:val="7ED00AED"/>
    <w:rsid w:val="7ED607F9"/>
    <w:rsid w:val="7EDC3936"/>
    <w:rsid w:val="7EE60311"/>
    <w:rsid w:val="7F0F7867"/>
    <w:rsid w:val="7F1631CE"/>
    <w:rsid w:val="7F26481D"/>
    <w:rsid w:val="7F272D9E"/>
    <w:rsid w:val="7F392B36"/>
    <w:rsid w:val="7F4D6D51"/>
    <w:rsid w:val="7F6F47AA"/>
    <w:rsid w:val="7F9B734D"/>
    <w:rsid w:val="7FC56178"/>
    <w:rsid w:val="7FCC39AA"/>
    <w:rsid w:val="7FFD1F7F"/>
    <w:rsid w:val="BE274B53"/>
    <w:rsid w:val="EEFF0A89"/>
    <w:rsid w:val="FEEFE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9"/>
    <w:qFormat/>
    <w:uiPriority w:val="0"/>
    <w:pPr>
      <w:keepNext/>
      <w:keepLines/>
      <w:widowControl w:val="0"/>
      <w:adjustRightInd/>
      <w:snapToGrid/>
      <w:spacing w:after="0" w:line="380" w:lineRule="exact"/>
      <w:jc w:val="center"/>
      <w:outlineLvl w:val="2"/>
    </w:pPr>
    <w:rPr>
      <w:rFonts w:ascii="宋体" w:hAnsi="宋体" w:eastAsia="宋体"/>
      <w:bCs/>
      <w:sz w:val="30"/>
      <w:szCs w:val="32"/>
    </w:rPr>
  </w:style>
  <w:style w:type="paragraph" w:styleId="1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3">
    <w:name w:val="heading 5"/>
    <w:basedOn w:val="1"/>
    <w:next w:val="9"/>
    <w:link w:val="47"/>
    <w:qFormat/>
    <w:uiPriority w:val="9"/>
    <w:pPr>
      <w:keepNext/>
      <w:keepLines/>
      <w:spacing w:before="280" w:after="290" w:line="376" w:lineRule="auto"/>
      <w:outlineLvl w:val="4"/>
    </w:pPr>
    <w:rPr>
      <w:b/>
      <w:bCs/>
      <w:sz w:val="28"/>
      <w:szCs w:val="28"/>
    </w:rPr>
  </w:style>
  <w:style w:type="paragraph" w:styleId="14">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表格文字"/>
    <w:basedOn w:val="3"/>
    <w:next w:val="5"/>
    <w:qFormat/>
    <w:uiPriority w:val="99"/>
    <w:pPr>
      <w:spacing w:before="25" w:after="25"/>
      <w:jc w:val="left"/>
    </w:pPr>
    <w:rPr>
      <w:bCs/>
      <w:spacing w:val="10"/>
      <w:sz w:val="24"/>
    </w:rPr>
  </w:style>
  <w:style w:type="paragraph" w:styleId="3">
    <w:name w:val="Body Text Indent"/>
    <w:basedOn w:val="1"/>
    <w:next w:val="4"/>
    <w:link w:val="45"/>
    <w:qFormat/>
    <w:uiPriority w:val="0"/>
    <w:pPr>
      <w:ind w:firstLine="830" w:firstLineChars="352"/>
    </w:pPr>
    <w:rPr>
      <w:rFonts w:ascii="仿宋_GB2312" w:eastAsia="仿宋_GB2312"/>
      <w:kern w:val="0"/>
      <w:sz w:val="32"/>
      <w:szCs w:val="20"/>
    </w:rPr>
  </w:style>
  <w:style w:type="paragraph" w:styleId="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5">
    <w:name w:val="Body Text"/>
    <w:basedOn w:val="1"/>
    <w:link w:val="41"/>
    <w:unhideWhenUsed/>
    <w:qFormat/>
    <w:uiPriority w:val="0"/>
    <w:pPr>
      <w:spacing w:after="120"/>
    </w:pPr>
  </w:style>
  <w:style w:type="paragraph" w:styleId="9">
    <w:name w:val="Normal Indent"/>
    <w:basedOn w:val="1"/>
    <w:next w:val="10"/>
    <w:qFormat/>
    <w:uiPriority w:val="0"/>
    <w:pPr>
      <w:ind w:firstLine="420"/>
    </w:pPr>
    <w:rPr>
      <w:szCs w:val="20"/>
    </w:rPr>
  </w:style>
  <w:style w:type="paragraph" w:styleId="10">
    <w:name w:val="annotation subject"/>
    <w:basedOn w:val="11"/>
    <w:next w:val="3"/>
    <w:link w:val="46"/>
    <w:qFormat/>
    <w:uiPriority w:val="99"/>
    <w:rPr>
      <w:b/>
      <w:bCs/>
    </w:rPr>
  </w:style>
  <w:style w:type="paragraph" w:styleId="11">
    <w:name w:val="annotation text"/>
    <w:basedOn w:val="1"/>
    <w:next w:val="3"/>
    <w:link w:val="44"/>
    <w:qFormat/>
    <w:uiPriority w:val="0"/>
    <w:pPr>
      <w:jc w:val="left"/>
    </w:pPr>
  </w:style>
  <w:style w:type="paragraph" w:styleId="15">
    <w:name w:val="table of authorities"/>
    <w:basedOn w:val="1"/>
    <w:next w:val="1"/>
    <w:unhideWhenUsed/>
    <w:qFormat/>
    <w:uiPriority w:val="99"/>
    <w:pPr>
      <w:ind w:left="420" w:leftChars="200"/>
    </w:pPr>
  </w:style>
  <w:style w:type="paragraph" w:styleId="16">
    <w:name w:val="index 8"/>
    <w:basedOn w:val="1"/>
    <w:next w:val="1"/>
    <w:qFormat/>
    <w:uiPriority w:val="0"/>
    <w:pPr>
      <w:ind w:left="2940"/>
    </w:pPr>
  </w:style>
  <w:style w:type="paragraph" w:styleId="17">
    <w:name w:val="List Number"/>
    <w:basedOn w:val="1"/>
    <w:qFormat/>
    <w:uiPriority w:val="0"/>
    <w:pPr>
      <w:numPr>
        <w:ilvl w:val="0"/>
        <w:numId w:val="1"/>
      </w:numPr>
    </w:pPr>
  </w:style>
  <w:style w:type="paragraph" w:styleId="18">
    <w:name w:val="Body Text 3"/>
    <w:basedOn w:val="1"/>
    <w:next w:val="9"/>
    <w:link w:val="49"/>
    <w:unhideWhenUsed/>
    <w:qFormat/>
    <w:uiPriority w:val="99"/>
    <w:pPr>
      <w:spacing w:after="120"/>
    </w:pPr>
    <w:rPr>
      <w:sz w:val="16"/>
      <w:szCs w:val="16"/>
    </w:rPr>
  </w:style>
  <w:style w:type="paragraph" w:styleId="19">
    <w:name w:val="List 2"/>
    <w:basedOn w:val="1"/>
    <w:unhideWhenUsed/>
    <w:qFormat/>
    <w:uiPriority w:val="99"/>
    <w:pPr>
      <w:ind w:left="100" w:leftChars="200" w:hanging="200" w:hangingChars="200"/>
      <w:contextualSpacing/>
    </w:pPr>
  </w:style>
  <w:style w:type="paragraph" w:styleId="20">
    <w:name w:val="Plain Text"/>
    <w:basedOn w:val="1"/>
    <w:next w:val="6"/>
    <w:link w:val="50"/>
    <w:qFormat/>
    <w:uiPriority w:val="0"/>
    <w:rPr>
      <w:rFonts w:ascii="宋体" w:hAnsi="Courier New"/>
      <w:kern w:val="0"/>
      <w:sz w:val="20"/>
      <w:szCs w:val="21"/>
    </w:rPr>
  </w:style>
  <w:style w:type="paragraph" w:styleId="21">
    <w:name w:val="Date"/>
    <w:basedOn w:val="1"/>
    <w:next w:val="1"/>
    <w:link w:val="51"/>
    <w:unhideWhenUsed/>
    <w:qFormat/>
    <w:uiPriority w:val="99"/>
    <w:pPr>
      <w:ind w:left="100" w:leftChars="2500"/>
    </w:pPr>
  </w:style>
  <w:style w:type="paragraph" w:styleId="22">
    <w:name w:val="Body Text Indent 2"/>
    <w:basedOn w:val="1"/>
    <w:qFormat/>
    <w:uiPriority w:val="99"/>
    <w:pPr>
      <w:ind w:firstLine="412" w:firstLineChars="196"/>
    </w:pPr>
  </w:style>
  <w:style w:type="paragraph" w:styleId="23">
    <w:name w:val="Balloon Text"/>
    <w:basedOn w:val="1"/>
    <w:semiHidden/>
    <w:qFormat/>
    <w:uiPriority w:val="0"/>
    <w:rPr>
      <w:sz w:val="18"/>
      <w:szCs w:val="18"/>
    </w:rPr>
  </w:style>
  <w:style w:type="paragraph" w:styleId="24">
    <w:name w:val="footer"/>
    <w:basedOn w:val="1"/>
    <w:link w:val="52"/>
    <w:unhideWhenUsed/>
    <w:qFormat/>
    <w:uiPriority w:val="99"/>
    <w:pPr>
      <w:tabs>
        <w:tab w:val="center" w:pos="4153"/>
        <w:tab w:val="right" w:pos="8306"/>
      </w:tabs>
      <w:snapToGrid w:val="0"/>
      <w:jc w:val="left"/>
    </w:pPr>
    <w:rPr>
      <w:kern w:val="0"/>
      <w:sz w:val="18"/>
      <w:szCs w:val="18"/>
    </w:rPr>
  </w:style>
  <w:style w:type="paragraph" w:styleId="25">
    <w:name w:val="header"/>
    <w:basedOn w:val="1"/>
    <w:link w:val="5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Subtitle"/>
    <w:basedOn w:val="1"/>
    <w:next w:val="1"/>
    <w:qFormat/>
    <w:uiPriority w:val="0"/>
    <w:pPr>
      <w:widowControl w:val="0"/>
      <w:autoSpaceDE/>
      <w:autoSpaceDN/>
      <w:spacing w:before="240" w:after="60" w:line="312" w:lineRule="auto"/>
      <w:ind w:left="0" w:firstLine="0"/>
      <w:jc w:val="center"/>
      <w:outlineLvl w:val="1"/>
    </w:pPr>
    <w:rPr>
      <w:rFonts w:ascii="Cambria" w:eastAsia="宋体"/>
      <w:b/>
      <w:sz w:val="32"/>
    </w:rPr>
  </w:style>
  <w:style w:type="paragraph" w:styleId="28">
    <w:name w:val="toc 2"/>
    <w:basedOn w:val="1"/>
    <w:next w:val="1"/>
    <w:unhideWhenUsed/>
    <w:qFormat/>
    <w:uiPriority w:val="39"/>
    <w:pPr>
      <w:tabs>
        <w:tab w:val="right" w:leader="dot" w:pos="8296"/>
      </w:tabs>
      <w:ind w:left="420" w:leftChars="200"/>
    </w:pPr>
  </w:style>
  <w:style w:type="paragraph" w:styleId="29">
    <w:name w:val="index 1"/>
    <w:basedOn w:val="1"/>
    <w:next w:val="1"/>
    <w:semiHidden/>
    <w:qFormat/>
    <w:uiPriority w:val="0"/>
    <w:pPr>
      <w:spacing w:line="240" w:lineRule="exact"/>
      <w:ind w:firstLine="420" w:firstLineChars="200"/>
    </w:pPr>
    <w:rPr>
      <w:rFonts w:ascii="宋体" w:hAnsi="宋体"/>
      <w:bCs/>
      <w:szCs w:val="21"/>
    </w:rPr>
  </w:style>
  <w:style w:type="paragraph" w:styleId="30">
    <w:name w:val="Title"/>
    <w:basedOn w:val="1"/>
    <w:next w:val="1"/>
    <w:link w:val="82"/>
    <w:qFormat/>
    <w:uiPriority w:val="10"/>
    <w:pPr>
      <w:spacing w:before="240" w:after="60"/>
      <w:jc w:val="center"/>
      <w:outlineLvl w:val="0"/>
    </w:pPr>
    <w:rPr>
      <w:rFonts w:ascii="Cambria" w:hAnsi="Cambria"/>
      <w:b/>
      <w:bCs/>
      <w:sz w:val="32"/>
      <w:szCs w:val="32"/>
    </w:rPr>
  </w:style>
  <w:style w:type="paragraph" w:styleId="31">
    <w:name w:val="Body Text First Indent"/>
    <w:basedOn w:val="5"/>
    <w:next w:val="1"/>
    <w:qFormat/>
    <w:uiPriority w:val="0"/>
    <w:pPr>
      <w:spacing w:after="120"/>
      <w:ind w:firstLine="420" w:firstLineChars="100"/>
    </w:pPr>
  </w:style>
  <w:style w:type="paragraph" w:styleId="32">
    <w:name w:val="Body Text First Indent 2"/>
    <w:basedOn w:val="3"/>
    <w:qFormat/>
    <w:uiPriority w:val="0"/>
    <w:pPr>
      <w:spacing w:after="120" w:afterLines="0" w:line="240" w:lineRule="auto"/>
      <w:ind w:left="420" w:leftChars="200" w:firstLine="420"/>
      <w:jc w:val="both"/>
    </w:pPr>
    <w:rPr>
      <w:color w:val="000000"/>
      <w:sz w:val="21"/>
      <w:szCs w:val="21"/>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0"/>
    <w:rPr>
      <w:rFonts w:ascii="Times New Roman" w:hAnsi="Times New Roman" w:eastAsia="宋体" w:cs="Times New Roman"/>
      <w:b/>
      <w:sz w:val="20"/>
    </w:rPr>
  </w:style>
  <w:style w:type="character" w:styleId="37">
    <w:name w:val="endnote reference"/>
    <w:unhideWhenUsed/>
    <w:qFormat/>
    <w:uiPriority w:val="99"/>
    <w:rPr>
      <w:rFonts w:ascii="Times New Roman" w:hAnsi="Times New Roman" w:eastAsia="宋体" w:cs="Times New Roman"/>
      <w:vertAlign w:val="superscript"/>
    </w:rPr>
  </w:style>
  <w:style w:type="character" w:styleId="38">
    <w:name w:val="page number"/>
    <w:qFormat/>
    <w:uiPriority w:val="0"/>
    <w:rPr>
      <w:rFonts w:ascii="Times New Roman" w:hAnsi="Times New Roman" w:eastAsia="宋体" w:cs="Times New Roman"/>
    </w:rPr>
  </w:style>
  <w:style w:type="character" w:styleId="39">
    <w:name w:val="Hyperlink"/>
    <w:unhideWhenUsed/>
    <w:qFormat/>
    <w:uiPriority w:val="99"/>
    <w:rPr>
      <w:rFonts w:ascii="Times New Roman" w:hAnsi="Times New Roman" w:eastAsia="宋体" w:cs="Times New Roman"/>
      <w:color w:val="0000FF"/>
      <w:u w:val="single"/>
    </w:rPr>
  </w:style>
  <w:style w:type="character" w:styleId="40">
    <w:name w:val="annotation reference"/>
    <w:qFormat/>
    <w:uiPriority w:val="0"/>
    <w:rPr>
      <w:rFonts w:ascii="Times New Roman" w:hAnsi="Times New Roman" w:eastAsia="宋体" w:cs="Times New Roman"/>
      <w:sz w:val="21"/>
      <w:szCs w:val="21"/>
    </w:rPr>
  </w:style>
  <w:style w:type="character" w:customStyle="1" w:styleId="41">
    <w:name w:val="正文文本 Char1"/>
    <w:link w:val="5"/>
    <w:qFormat/>
    <w:uiPriority w:val="0"/>
    <w:rPr>
      <w:rFonts w:ascii="Times New Roman" w:hAnsi="Times New Roman" w:eastAsia="宋体" w:cs="Times New Roman"/>
    </w:rPr>
  </w:style>
  <w:style w:type="character" w:customStyle="1" w:styleId="42">
    <w:name w:val="标题 1 Char"/>
    <w:link w:val="6"/>
    <w:qFormat/>
    <w:uiPriority w:val="9"/>
    <w:rPr>
      <w:rFonts w:ascii="Times New Roman" w:hAnsi="Times New Roman" w:eastAsia="宋体" w:cs="Times New Roman"/>
      <w:b/>
      <w:bCs/>
      <w:kern w:val="44"/>
      <w:sz w:val="44"/>
      <w:szCs w:val="44"/>
    </w:rPr>
  </w:style>
  <w:style w:type="character" w:customStyle="1" w:styleId="43">
    <w:name w:val="标题 2 Char1"/>
    <w:link w:val="7"/>
    <w:qFormat/>
    <w:uiPriority w:val="9"/>
    <w:rPr>
      <w:rFonts w:ascii="Cambria" w:hAnsi="Cambria" w:eastAsia="宋体" w:cs="Times New Roman"/>
      <w:b/>
      <w:bCs/>
      <w:sz w:val="32"/>
      <w:szCs w:val="32"/>
    </w:rPr>
  </w:style>
  <w:style w:type="character" w:customStyle="1" w:styleId="44">
    <w:name w:val="批注文字 Char1"/>
    <w:link w:val="11"/>
    <w:qFormat/>
    <w:uiPriority w:val="0"/>
    <w:rPr>
      <w:rFonts w:ascii="Times New Roman" w:hAnsi="Times New Roman" w:eastAsia="宋体" w:cs="Times New Roman"/>
    </w:rPr>
  </w:style>
  <w:style w:type="character" w:customStyle="1" w:styleId="45">
    <w:name w:val="正文文本缩进 Char"/>
    <w:link w:val="3"/>
    <w:qFormat/>
    <w:uiPriority w:val="0"/>
    <w:rPr>
      <w:rFonts w:ascii="仿宋_GB2312" w:hAnsi="Times New Roman" w:eastAsia="仿宋_GB2312" w:cs="Times New Roman"/>
      <w:kern w:val="0"/>
      <w:sz w:val="32"/>
      <w:szCs w:val="20"/>
    </w:rPr>
  </w:style>
  <w:style w:type="character" w:customStyle="1" w:styleId="46">
    <w:name w:val="批注主题 Char"/>
    <w:link w:val="10"/>
    <w:qFormat/>
    <w:uiPriority w:val="99"/>
    <w:rPr>
      <w:rFonts w:ascii="Times New Roman" w:hAnsi="Times New Roman" w:eastAsia="宋体" w:cs="Times New Roman"/>
      <w:b/>
      <w:bCs/>
    </w:rPr>
  </w:style>
  <w:style w:type="character" w:customStyle="1" w:styleId="47">
    <w:name w:val="标题 5 Char"/>
    <w:link w:val="13"/>
    <w:semiHidden/>
    <w:qFormat/>
    <w:uiPriority w:val="9"/>
    <w:rPr>
      <w:rFonts w:ascii="Times New Roman" w:hAnsi="Times New Roman" w:eastAsia="宋体" w:cs="Times New Roman"/>
      <w:b/>
      <w:bCs/>
      <w:sz w:val="28"/>
      <w:szCs w:val="28"/>
    </w:rPr>
  </w:style>
  <w:style w:type="character" w:customStyle="1" w:styleId="48">
    <w:name w:val="标题 8 Char1"/>
    <w:link w:val="14"/>
    <w:semiHidden/>
    <w:qFormat/>
    <w:uiPriority w:val="9"/>
    <w:rPr>
      <w:rFonts w:ascii="等线 Light" w:hAnsi="等线 Light" w:eastAsia="等线 Light" w:cs="Times New Roman"/>
      <w:sz w:val="24"/>
    </w:rPr>
  </w:style>
  <w:style w:type="character" w:customStyle="1" w:styleId="49">
    <w:name w:val="正文文本 3 Char"/>
    <w:link w:val="18"/>
    <w:semiHidden/>
    <w:qFormat/>
    <w:uiPriority w:val="99"/>
    <w:rPr>
      <w:rFonts w:ascii="Times New Roman" w:hAnsi="Times New Roman" w:eastAsia="宋体" w:cs="Times New Roman"/>
      <w:sz w:val="16"/>
      <w:szCs w:val="16"/>
    </w:rPr>
  </w:style>
  <w:style w:type="character" w:customStyle="1" w:styleId="50">
    <w:name w:val="纯文本 Char1"/>
    <w:link w:val="20"/>
    <w:qFormat/>
    <w:uiPriority w:val="0"/>
    <w:rPr>
      <w:rFonts w:ascii="宋体" w:hAnsi="Courier New" w:eastAsia="宋体" w:cs="Times New Roman"/>
      <w:kern w:val="0"/>
      <w:sz w:val="20"/>
      <w:szCs w:val="21"/>
    </w:rPr>
  </w:style>
  <w:style w:type="character" w:customStyle="1" w:styleId="51">
    <w:name w:val="日期 Char"/>
    <w:link w:val="21"/>
    <w:semiHidden/>
    <w:qFormat/>
    <w:uiPriority w:val="99"/>
    <w:rPr>
      <w:rFonts w:ascii="Times New Roman" w:hAnsi="Times New Roman" w:eastAsia="宋体" w:cs="Times New Roman"/>
    </w:rPr>
  </w:style>
  <w:style w:type="character" w:customStyle="1" w:styleId="52">
    <w:name w:val="页脚 Char"/>
    <w:link w:val="24"/>
    <w:qFormat/>
    <w:uiPriority w:val="99"/>
    <w:rPr>
      <w:rFonts w:ascii="Times New Roman" w:hAnsi="Times New Roman" w:eastAsia="宋体" w:cs="Times New Roman"/>
      <w:kern w:val="0"/>
      <w:sz w:val="18"/>
      <w:szCs w:val="18"/>
    </w:rPr>
  </w:style>
  <w:style w:type="character" w:customStyle="1" w:styleId="53">
    <w:name w:val="页眉 Char"/>
    <w:link w:val="25"/>
    <w:qFormat/>
    <w:uiPriority w:val="99"/>
    <w:rPr>
      <w:rFonts w:ascii="Times New Roman" w:hAnsi="Times New Roman" w:eastAsia="宋体" w:cs="Times New Roman"/>
      <w:kern w:val="0"/>
      <w:sz w:val="18"/>
      <w:szCs w:val="18"/>
    </w:rPr>
  </w:style>
  <w:style w:type="paragraph" w:customStyle="1" w:styleId="54">
    <w:name w:val="Heading4"/>
    <w:basedOn w:val="1"/>
    <w:next w:val="1"/>
    <w:qFormat/>
    <w:uiPriority w:val="0"/>
    <w:pPr>
      <w:ind w:left="1232"/>
      <w:textAlignment w:val="baseline"/>
    </w:pPr>
    <w:rPr>
      <w:rFonts w:ascii="宋体" w:hAnsi="宋体" w:cs="宋体"/>
      <w:b/>
      <w:bCs/>
      <w:sz w:val="24"/>
      <w:lang w:val="zh-CN" w:bidi="zh-CN"/>
    </w:rPr>
  </w:style>
  <w:style w:type="character" w:customStyle="1" w:styleId="55">
    <w:name w:val="标题 2 Char"/>
    <w:qFormat/>
    <w:uiPriority w:val="9"/>
    <w:rPr>
      <w:rFonts w:ascii="Cambria" w:hAnsi="Cambria" w:eastAsia="宋体" w:cs="Times New Roman"/>
      <w:b/>
      <w:bCs/>
      <w:kern w:val="2"/>
      <w:sz w:val="32"/>
      <w:szCs w:val="32"/>
    </w:rPr>
  </w:style>
  <w:style w:type="character" w:customStyle="1" w:styleId="56">
    <w:name w:val="纯文本 字符"/>
    <w:qFormat/>
    <w:uiPriority w:val="0"/>
    <w:rPr>
      <w:rFonts w:ascii="宋体" w:hAnsi="Courier New" w:eastAsia="宋体" w:cs="Courier New"/>
      <w:szCs w:val="21"/>
    </w:rPr>
  </w:style>
  <w:style w:type="character" w:customStyle="1" w:styleId="57">
    <w:name w:val="正文文本 字符"/>
    <w:qFormat/>
    <w:uiPriority w:val="0"/>
    <w:rPr>
      <w:rFonts w:ascii="Times New Roman" w:hAnsi="Times New Roman" w:eastAsia="宋体" w:cs="Times New Roman"/>
      <w:kern w:val="2"/>
      <w:sz w:val="21"/>
      <w:szCs w:val="24"/>
    </w:rPr>
  </w:style>
  <w:style w:type="character" w:customStyle="1" w:styleId="58">
    <w:name w:val="apple-style-span"/>
    <w:qFormat/>
    <w:uiPriority w:val="0"/>
    <w:rPr>
      <w:rFonts w:ascii="Times New Roman" w:hAnsi="Times New Roman" w:eastAsia="宋体" w:cs="Times New Roman"/>
    </w:rPr>
  </w:style>
  <w:style w:type="character" w:customStyle="1" w:styleId="59">
    <w:name w:val="标题 8 Char"/>
    <w:qFormat/>
    <w:uiPriority w:val="0"/>
    <w:rPr>
      <w:rFonts w:ascii="Arial" w:hAnsi="Arial" w:eastAsia="黑体" w:cs="Times New Roman"/>
      <w:kern w:val="2"/>
      <w:sz w:val="24"/>
      <w:szCs w:val="24"/>
    </w:rPr>
  </w:style>
  <w:style w:type="character" w:customStyle="1" w:styleId="60">
    <w:name w:val="标题 1 字符1"/>
    <w:qFormat/>
    <w:uiPriority w:val="0"/>
    <w:rPr>
      <w:rFonts w:ascii="Times New Roman" w:hAnsi="Times New Roman" w:eastAsia="宋体" w:cs="Times New Roman"/>
      <w:b/>
      <w:bCs/>
      <w:kern w:val="44"/>
      <w:sz w:val="44"/>
      <w:szCs w:val="44"/>
    </w:rPr>
  </w:style>
  <w:style w:type="character" w:customStyle="1" w:styleId="61">
    <w:name w:val="纯文本 字符1"/>
    <w:qFormat/>
    <w:uiPriority w:val="0"/>
    <w:rPr>
      <w:rFonts w:ascii="宋体" w:hAnsi="Courier New" w:eastAsia="宋体" w:cs="Times New Roman"/>
    </w:rPr>
  </w:style>
  <w:style w:type="character" w:customStyle="1" w:styleId="62">
    <w:name w:val="纯文本 字符2"/>
    <w:qFormat/>
    <w:uiPriority w:val="0"/>
    <w:rPr>
      <w:rFonts w:ascii="宋体" w:hAnsi="Courier New" w:eastAsia="宋体" w:cs="Courier New"/>
      <w:szCs w:val="21"/>
    </w:rPr>
  </w:style>
  <w:style w:type="character" w:customStyle="1" w:styleId="63">
    <w:name w:val="NormalCharacter"/>
    <w:semiHidden/>
    <w:qFormat/>
    <w:uiPriority w:val="0"/>
    <w:rPr>
      <w:rFonts w:ascii="Times New Roman" w:hAnsi="Times New Roman" w:eastAsia="宋体" w:cs="Times New Roman"/>
    </w:rPr>
  </w:style>
  <w:style w:type="character" w:customStyle="1" w:styleId="64">
    <w:name w:val="纯文本 Char"/>
    <w:qFormat/>
    <w:uiPriority w:val="0"/>
    <w:rPr>
      <w:rFonts w:ascii="宋体" w:hAnsi="Courier New" w:eastAsia="宋体" w:cs="Courier New"/>
      <w:szCs w:val="21"/>
    </w:rPr>
  </w:style>
  <w:style w:type="character" w:customStyle="1" w:styleId="65">
    <w:name w:val="正文文本 Char"/>
    <w:qFormat/>
    <w:uiPriority w:val="0"/>
    <w:rPr>
      <w:rFonts w:ascii="Times New Roman" w:hAnsi="Times New Roman" w:eastAsia="宋体" w:cs="Times New Roman"/>
      <w:kern w:val="2"/>
      <w:sz w:val="21"/>
      <w:szCs w:val="24"/>
    </w:rPr>
  </w:style>
  <w:style w:type="character" w:customStyle="1" w:styleId="66">
    <w:name w:val="批注文字 字符1"/>
    <w:qFormat/>
    <w:uiPriority w:val="0"/>
    <w:rPr>
      <w:rFonts w:ascii="Times New Roman" w:hAnsi="Times New Roman" w:eastAsia="宋体" w:cs="Times New Roman"/>
      <w:kern w:val="2"/>
      <w:sz w:val="21"/>
      <w:szCs w:val="24"/>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批注文字 字符"/>
    <w:qFormat/>
    <w:uiPriority w:val="0"/>
    <w:rPr>
      <w:rFonts w:ascii="Times New Roman" w:hAnsi="Times New Roman" w:eastAsia="宋体" w:cs="Times New Roman"/>
      <w:kern w:val="2"/>
      <w:sz w:val="21"/>
      <w:szCs w:val="24"/>
    </w:rPr>
  </w:style>
  <w:style w:type="character" w:customStyle="1" w:styleId="69">
    <w:name w:val="textcontents"/>
    <w:qFormat/>
    <w:uiPriority w:val="0"/>
    <w:rPr>
      <w:rFonts w:ascii="Times New Roman" w:hAnsi="Times New Roman" w:eastAsia="宋体" w:cs="Times New Roman"/>
    </w:rPr>
  </w:style>
  <w:style w:type="character" w:customStyle="1" w:styleId="70">
    <w:name w:val="批注文字 Char"/>
    <w:qFormat/>
    <w:uiPriority w:val="0"/>
    <w:rPr>
      <w:rFonts w:ascii="Times New Roman" w:hAnsi="Times New Roman" w:eastAsia="宋体" w:cs="Times New Roman"/>
      <w:kern w:val="2"/>
      <w:sz w:val="21"/>
      <w:szCs w:val="24"/>
    </w:rPr>
  </w:style>
  <w:style w:type="paragraph" w:customStyle="1" w:styleId="71">
    <w:name w:val="Table Paragraph"/>
    <w:basedOn w:val="1"/>
    <w:qFormat/>
    <w:uiPriority w:val="1"/>
    <w:pPr>
      <w:jc w:val="left"/>
    </w:pPr>
    <w:rPr>
      <w:rFonts w:ascii="Calibri" w:hAnsi="Calibri"/>
      <w:kern w:val="0"/>
      <w:sz w:val="22"/>
      <w:szCs w:val="22"/>
      <w:lang w:eastAsia="en-US"/>
    </w:rPr>
  </w:style>
  <w:style w:type="paragraph" w:customStyle="1" w:styleId="72">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4">
    <w:name w:val="List Paragraph1"/>
    <w:basedOn w:val="1"/>
    <w:qFormat/>
    <w:uiPriority w:val="34"/>
    <w:pPr>
      <w:ind w:firstLine="420" w:firstLineChars="200"/>
    </w:pPr>
  </w:style>
  <w:style w:type="paragraph" w:styleId="75">
    <w:name w:val="List Paragraph"/>
    <w:basedOn w:val="1"/>
    <w:qFormat/>
    <w:uiPriority w:val="34"/>
    <w:pPr>
      <w:ind w:firstLine="420" w:firstLineChars="200"/>
    </w:pPr>
  </w:style>
  <w:style w:type="paragraph" w:customStyle="1" w:styleId="76">
    <w:name w:val="默认段落字体 Para Char Char Char Char Char Char Char Char Char1 Char Char Char Char"/>
    <w:basedOn w:val="1"/>
    <w:uiPriority w:val="0"/>
    <w:rPr>
      <w:rFonts w:ascii="Tahoma" w:hAnsi="Tahoma"/>
      <w:sz w:val="24"/>
      <w:szCs w:val="20"/>
    </w:rPr>
  </w:style>
  <w:style w:type="paragraph" w:customStyle="1" w:styleId="77">
    <w:name w:val="p0"/>
    <w:basedOn w:val="1"/>
    <w:qFormat/>
    <w:uiPriority w:val="0"/>
    <w:pPr>
      <w:widowControl/>
    </w:pPr>
    <w:rPr>
      <w:kern w:val="0"/>
      <w:szCs w:val="21"/>
    </w:rPr>
  </w:style>
  <w:style w:type="paragraph" w:customStyle="1" w:styleId="78">
    <w:name w:val="正文2"/>
    <w:basedOn w:val="1"/>
    <w:qFormat/>
    <w:uiPriority w:val="0"/>
    <w:pPr>
      <w:autoSpaceDE/>
      <w:autoSpaceDN/>
      <w:adjustRightInd w:val="0"/>
      <w:spacing w:before="156" w:beforeLines="0" w:afterLines="0" w:line="360" w:lineRule="auto"/>
      <w:ind w:firstLine="510" w:firstLineChars="200"/>
      <w:jc w:val="both"/>
    </w:pPr>
    <w:rPr>
      <w:rFonts w:hint="default" w:ascii="Times New Roman" w:hAnsi="Times New Roman" w:cs="Times New Roman"/>
      <w:kern w:val="2"/>
      <w:sz w:val="24"/>
      <w:szCs w:val="20"/>
      <w:lang w:val="en-US" w:eastAsia="zh-CN" w:bidi="ar-SA"/>
    </w:rPr>
  </w:style>
  <w:style w:type="paragraph" w:customStyle="1" w:styleId="79">
    <w:name w:val="Default"/>
    <w:qFormat/>
    <w:uiPriority w:val="99"/>
    <w:pPr>
      <w:widowControl w:val="0"/>
      <w:autoSpaceDE w:val="0"/>
      <w:autoSpaceDN w:val="0"/>
      <w:adjustRightInd w:val="0"/>
      <w:spacing w:line="360" w:lineRule="auto"/>
      <w:ind w:firstLine="147" w:firstLineChars="147"/>
      <w:jc w:val="both"/>
    </w:pPr>
    <w:rPr>
      <w:rFonts w:ascii="宋体" w:hAnsi="Arial" w:eastAsia="宋体" w:cs="Times New Roman"/>
      <w:color w:val="000000"/>
      <w:sz w:val="24"/>
      <w:szCs w:val="24"/>
      <w:lang w:val="en-US" w:eastAsia="zh-CN" w:bidi="ar-SA"/>
    </w:rPr>
  </w:style>
  <w:style w:type="paragraph" w:customStyle="1" w:styleId="80">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81">
    <w:name w:val="_Style 79"/>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标题 Char"/>
    <w:link w:val="30"/>
    <w:qFormat/>
    <w:uiPriority w:val="10"/>
    <w:rPr>
      <w:rFonts w:ascii="Cambria" w:hAnsi="Cambria"/>
      <w:b/>
      <w:bCs/>
      <w:sz w:val="32"/>
      <w:szCs w:val="32"/>
    </w:rPr>
  </w:style>
  <w:style w:type="paragraph" w:customStyle="1" w:styleId="83">
    <w:name w:val="Table Text"/>
    <w:basedOn w:val="1"/>
    <w:semiHidden/>
    <w:qFormat/>
    <w:uiPriority w:val="0"/>
    <w:rPr>
      <w:rFonts w:ascii="宋体" w:hAnsi="宋体" w:eastAsia="宋体" w:cs="宋体"/>
      <w:sz w:val="20"/>
      <w:szCs w:val="20"/>
    </w:rPr>
  </w:style>
  <w:style w:type="table" w:customStyle="1" w:styleId="8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Info spid="_x0000_s4097" textRotate="1"/>
    <customShpInfo spid="_x0000_s4098" textRotate="1"/>
    <customShpInfo spid="_x0000_s4101"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22865</Words>
  <Characters>24384</Characters>
  <Lines>0</Lines>
  <Paragraphs>0</Paragraphs>
  <TotalTime>30</TotalTime>
  <ScaleCrop>false</ScaleCrop>
  <LinksUpToDate>false</LinksUpToDate>
  <CharactersWithSpaces>25264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2025-09-26T09:49:00Z</dcterms:created>
  <dc:creator>skyblue°天空</dc:creator>
  <cp:lastModifiedBy>skyblue°天空</cp:lastModifiedBy>
  <dcterms:modified xsi:type="dcterms:W3CDTF">2025-10-31T08:21:27Z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5C700C25877141A3968AA67A2C04E3DD_11</vt:lpwstr>
  </property>
  <property fmtid="{D5CDD505-2E9C-101B-9397-08002B2CF9AE}" pid="4" name="KSOTemplateDocerSaveRecord">
    <vt:lpwstr>eyJoZGlkIjoiYjliMWZmZTBhYjAxZDEzZWEyODZmN2Q5ZDE0ZmUyMDMiLCJ1c2VySWQiOiI0OTAzOTk5NDcifQ==</vt:lpwstr>
  </property>
</Properties>
</file>